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docProps/core.xml" ContentType="application/vnd.openxmlformats-package.core-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E054FE" w:rsidRPr="002E6CD3" w14:paraId="64960CCE" w14:textId="77777777" w:rsidTr="007869AC">
        <w:tc>
          <w:tcPr>
            <w:tcW w:w="9061" w:type="dxa"/>
          </w:tcPr>
          <w:p w14:paraId="4E7A5BE4" w14:textId="77777777" w:rsidR="00700F7C" w:rsidRPr="00BA01D7" w:rsidRDefault="00700F7C" w:rsidP="00700F7C">
            <w:pPr>
              <w:rPr>
                <w:sz w:val="22"/>
                <w:szCs w:val="22"/>
                <w:lang w:val="de-DE"/>
              </w:rPr>
            </w:pPr>
            <w:r w:rsidRPr="00BA01D7">
              <w:rPr>
                <w:sz w:val="22"/>
                <w:szCs w:val="22"/>
                <w:lang w:val="de-DE"/>
              </w:rPr>
              <w:t xml:space="preserve">Bei diesem Dokument handelt es sich um die genehmigte Produktinformation für </w:t>
            </w:r>
            <w:r w:rsidRPr="00BA01D7">
              <w:rPr>
                <w:sz w:val="22"/>
                <w:szCs w:val="22"/>
                <w:lang w:val="da-DK"/>
              </w:rPr>
              <w:t>Amgevita</w:t>
            </w:r>
            <w:r w:rsidRPr="00BA01D7">
              <w:rPr>
                <w:sz w:val="22"/>
                <w:szCs w:val="22"/>
                <w:lang w:val="de-DE"/>
              </w:rPr>
              <w:t xml:space="preserve">, wobei die Änderungen seit dem vorherigen Verfahren, die sich auf die Produktinformation </w:t>
            </w:r>
            <w:r w:rsidRPr="00BA01D7">
              <w:rPr>
                <w:sz w:val="22"/>
                <w:szCs w:val="22"/>
                <w:lang w:val="da-DK"/>
              </w:rPr>
              <w:t>(EMA/N/0000248712)</w:t>
            </w:r>
            <w:r w:rsidRPr="00BA01D7">
              <w:rPr>
                <w:sz w:val="22"/>
                <w:szCs w:val="22"/>
                <w:lang w:val="de-DE"/>
              </w:rPr>
              <w:t xml:space="preserve"> auswirken, unterstrichen sind.</w:t>
            </w:r>
          </w:p>
          <w:p w14:paraId="472409DA" w14:textId="77777777" w:rsidR="00700F7C" w:rsidRPr="00BA01D7" w:rsidRDefault="00700F7C" w:rsidP="00700F7C">
            <w:pPr>
              <w:rPr>
                <w:sz w:val="22"/>
                <w:szCs w:val="22"/>
                <w:lang w:val="de-DE"/>
              </w:rPr>
            </w:pPr>
          </w:p>
          <w:p w14:paraId="30EF3A23" w14:textId="4C9AC9BC" w:rsidR="00E054FE" w:rsidRPr="00BA01D7" w:rsidRDefault="00700F7C" w:rsidP="007869AC">
            <w:pPr>
              <w:widowControl/>
              <w:outlineLvl w:val="0"/>
              <w:rPr>
                <w:b/>
                <w:sz w:val="22"/>
                <w:szCs w:val="22"/>
                <w:lang w:val="de-DE"/>
              </w:rPr>
            </w:pPr>
            <w:r w:rsidRPr="00BA01D7">
              <w:rPr>
                <w:sz w:val="22"/>
                <w:szCs w:val="22"/>
                <w:lang w:val="de-DE"/>
              </w:rPr>
              <w:t xml:space="preserve">Weitere Informationen finden Sie auf der Website der Europäischen Arzneimittel-Agentur: </w:t>
            </w:r>
            <w:r w:rsidRPr="00C85130">
              <w:rPr>
                <w:sz w:val="22"/>
                <w:szCs w:val="22"/>
                <w:rPrChange w:id="0" w:author="Author">
                  <w:rPr/>
                </w:rPrChange>
              </w:rPr>
              <w:fldChar w:fldCharType="begin"/>
            </w:r>
            <w:r w:rsidRPr="00C85130">
              <w:rPr>
                <w:sz w:val="22"/>
                <w:szCs w:val="22"/>
                <w:lang w:val="da-DK"/>
                <w:rPrChange w:id="1" w:author="Author">
                  <w:rPr/>
                </w:rPrChange>
              </w:rPr>
              <w:instrText>HYPERLINK "https://www.ema.europa.eu/en/medicines/human/EPAR/amgevita"</w:instrText>
            </w:r>
            <w:r w:rsidRPr="009C5B62">
              <w:rPr>
                <w:sz w:val="22"/>
                <w:szCs w:val="22"/>
              </w:rPr>
            </w:r>
            <w:r w:rsidRPr="00C85130">
              <w:rPr>
                <w:sz w:val="22"/>
                <w:szCs w:val="22"/>
                <w:rPrChange w:id="2" w:author="Author">
                  <w:rPr/>
                </w:rPrChange>
              </w:rPr>
              <w:fldChar w:fldCharType="separate"/>
            </w:r>
            <w:r w:rsidRPr="00BA01D7">
              <w:rPr>
                <w:rStyle w:val="Hyperlink"/>
                <w:sz w:val="22"/>
                <w:szCs w:val="22"/>
                <w:lang w:val="cs-CZ"/>
              </w:rPr>
              <w:t>https://www.ema.europa.eu/en/medicines/human/EPAR/amgevita</w:t>
            </w:r>
            <w:r w:rsidRPr="00C85130">
              <w:rPr>
                <w:sz w:val="22"/>
                <w:szCs w:val="22"/>
                <w:rPrChange w:id="3" w:author="Author">
                  <w:rPr/>
                </w:rPrChange>
              </w:rPr>
              <w:fldChar w:fldCharType="end"/>
            </w:r>
          </w:p>
        </w:tc>
      </w:tr>
    </w:tbl>
    <w:p w14:paraId="33753652" w14:textId="77777777" w:rsidR="00FE291A" w:rsidRDefault="00FE291A">
      <w:pPr>
        <w:widowControl/>
        <w:outlineLvl w:val="0"/>
        <w:rPr>
          <w:b/>
          <w:sz w:val="22"/>
          <w:lang w:val="de-DE"/>
        </w:rPr>
      </w:pPr>
    </w:p>
    <w:p w14:paraId="32B1BABC" w14:textId="77777777" w:rsidR="00FE291A" w:rsidRDefault="00FE291A">
      <w:pPr>
        <w:widowControl/>
        <w:outlineLvl w:val="0"/>
        <w:rPr>
          <w:b/>
          <w:sz w:val="22"/>
          <w:lang w:val="de-DE"/>
        </w:rPr>
      </w:pPr>
    </w:p>
    <w:p w14:paraId="67559B0E" w14:textId="77777777" w:rsidR="00FE291A" w:rsidRDefault="00FE291A">
      <w:pPr>
        <w:widowControl/>
        <w:outlineLvl w:val="0"/>
        <w:rPr>
          <w:b/>
          <w:sz w:val="22"/>
          <w:lang w:val="de-DE"/>
        </w:rPr>
      </w:pPr>
    </w:p>
    <w:p w14:paraId="5A2A6357" w14:textId="77777777" w:rsidR="00FE291A" w:rsidRDefault="00FE291A">
      <w:pPr>
        <w:widowControl/>
        <w:outlineLvl w:val="0"/>
        <w:rPr>
          <w:b/>
          <w:sz w:val="22"/>
          <w:lang w:val="de-DE"/>
        </w:rPr>
      </w:pPr>
    </w:p>
    <w:p w14:paraId="2731F918" w14:textId="77777777" w:rsidR="00FE291A" w:rsidRDefault="00FE291A">
      <w:pPr>
        <w:widowControl/>
        <w:outlineLvl w:val="0"/>
        <w:rPr>
          <w:b/>
          <w:sz w:val="22"/>
          <w:lang w:val="de-DE"/>
        </w:rPr>
      </w:pPr>
    </w:p>
    <w:p w14:paraId="432DC431" w14:textId="77777777" w:rsidR="00FE291A" w:rsidRDefault="00FE291A">
      <w:pPr>
        <w:widowControl/>
        <w:outlineLvl w:val="0"/>
        <w:rPr>
          <w:b/>
          <w:sz w:val="22"/>
          <w:lang w:val="de-DE"/>
        </w:rPr>
      </w:pPr>
    </w:p>
    <w:p w14:paraId="4DCC67AA" w14:textId="77777777" w:rsidR="00FE291A" w:rsidRDefault="00FE291A">
      <w:pPr>
        <w:widowControl/>
        <w:outlineLvl w:val="0"/>
        <w:rPr>
          <w:b/>
          <w:sz w:val="22"/>
          <w:lang w:val="de-DE"/>
        </w:rPr>
      </w:pPr>
    </w:p>
    <w:p w14:paraId="530B6CBA" w14:textId="77777777" w:rsidR="00FE291A" w:rsidRDefault="00FE291A">
      <w:pPr>
        <w:widowControl/>
        <w:outlineLvl w:val="0"/>
        <w:rPr>
          <w:b/>
          <w:sz w:val="22"/>
          <w:lang w:val="de-DE"/>
        </w:rPr>
      </w:pPr>
    </w:p>
    <w:p w14:paraId="7856F841" w14:textId="77777777" w:rsidR="00FE291A" w:rsidRDefault="00FE291A">
      <w:pPr>
        <w:widowControl/>
        <w:outlineLvl w:val="0"/>
        <w:rPr>
          <w:b/>
          <w:sz w:val="22"/>
          <w:lang w:val="de-DE"/>
        </w:rPr>
      </w:pPr>
    </w:p>
    <w:p w14:paraId="3B7EC9E7" w14:textId="77777777" w:rsidR="00FE291A" w:rsidRDefault="00FE291A">
      <w:pPr>
        <w:widowControl/>
        <w:outlineLvl w:val="0"/>
        <w:rPr>
          <w:b/>
          <w:sz w:val="22"/>
          <w:lang w:val="de-DE"/>
        </w:rPr>
      </w:pPr>
    </w:p>
    <w:p w14:paraId="0A14792A" w14:textId="77777777" w:rsidR="00FE291A" w:rsidRDefault="00FE291A">
      <w:pPr>
        <w:widowControl/>
        <w:outlineLvl w:val="0"/>
        <w:rPr>
          <w:b/>
          <w:sz w:val="22"/>
          <w:lang w:val="de-DE"/>
        </w:rPr>
      </w:pPr>
    </w:p>
    <w:p w14:paraId="4E78F65B" w14:textId="77777777" w:rsidR="00FE291A" w:rsidRDefault="00FE291A">
      <w:pPr>
        <w:widowControl/>
        <w:outlineLvl w:val="0"/>
        <w:rPr>
          <w:b/>
          <w:sz w:val="22"/>
          <w:lang w:val="de-DE"/>
        </w:rPr>
      </w:pPr>
    </w:p>
    <w:p w14:paraId="118FE072" w14:textId="77777777" w:rsidR="00FE291A" w:rsidRDefault="00FE291A">
      <w:pPr>
        <w:widowControl/>
        <w:outlineLvl w:val="0"/>
        <w:rPr>
          <w:b/>
          <w:sz w:val="22"/>
          <w:lang w:val="de-DE"/>
        </w:rPr>
      </w:pPr>
    </w:p>
    <w:p w14:paraId="57A231A8" w14:textId="77777777" w:rsidR="00FE291A" w:rsidRDefault="00FE291A">
      <w:pPr>
        <w:widowControl/>
        <w:outlineLvl w:val="0"/>
        <w:rPr>
          <w:b/>
          <w:sz w:val="22"/>
          <w:lang w:val="de-DE"/>
        </w:rPr>
      </w:pPr>
    </w:p>
    <w:p w14:paraId="0457D55F" w14:textId="77777777" w:rsidR="00FE291A" w:rsidRDefault="00FE291A">
      <w:pPr>
        <w:widowControl/>
        <w:outlineLvl w:val="0"/>
        <w:rPr>
          <w:b/>
          <w:sz w:val="22"/>
          <w:lang w:val="de-DE"/>
        </w:rPr>
      </w:pPr>
    </w:p>
    <w:p w14:paraId="38A16119" w14:textId="77777777" w:rsidR="00FE291A" w:rsidRDefault="00FE291A">
      <w:pPr>
        <w:widowControl/>
        <w:outlineLvl w:val="0"/>
        <w:rPr>
          <w:b/>
          <w:sz w:val="22"/>
          <w:lang w:val="de-DE"/>
        </w:rPr>
      </w:pPr>
    </w:p>
    <w:p w14:paraId="2216CFC7" w14:textId="77777777" w:rsidR="00FE291A" w:rsidRDefault="00FE291A">
      <w:pPr>
        <w:widowControl/>
        <w:outlineLvl w:val="0"/>
        <w:rPr>
          <w:b/>
          <w:sz w:val="22"/>
          <w:lang w:val="de-DE"/>
        </w:rPr>
      </w:pPr>
    </w:p>
    <w:p w14:paraId="602DDB02" w14:textId="77777777" w:rsidR="00FE291A" w:rsidRDefault="00C8738F">
      <w:pPr>
        <w:widowControl/>
        <w:jc w:val="center"/>
        <w:outlineLvl w:val="0"/>
        <w:rPr>
          <w:sz w:val="22"/>
          <w:szCs w:val="22"/>
          <w:lang w:val="de-DE"/>
        </w:rPr>
      </w:pPr>
      <w:r>
        <w:rPr>
          <w:b/>
          <w:sz w:val="22"/>
          <w:szCs w:val="22"/>
          <w:lang w:val="de-DE"/>
        </w:rPr>
        <w:t>ANHANG I</w:t>
      </w:r>
    </w:p>
    <w:p w14:paraId="5A37D423" w14:textId="77777777" w:rsidR="00FE291A" w:rsidRDefault="00FE291A">
      <w:pPr>
        <w:widowControl/>
        <w:jc w:val="center"/>
        <w:outlineLvl w:val="0"/>
        <w:rPr>
          <w:sz w:val="22"/>
          <w:szCs w:val="22"/>
          <w:lang w:val="de-DE"/>
        </w:rPr>
      </w:pPr>
    </w:p>
    <w:p w14:paraId="2AD21896" w14:textId="77777777" w:rsidR="00FE291A" w:rsidRDefault="00C8738F">
      <w:pPr>
        <w:pStyle w:val="TitleA"/>
        <w:widowControl/>
      </w:pPr>
      <w:r>
        <w:t>ZUSAMMENFASSUNG DER MERKMALE DES ARZNEIMITTELS</w:t>
      </w:r>
    </w:p>
    <w:p w14:paraId="5905EC1C" w14:textId="77777777" w:rsidR="00FE291A" w:rsidRDefault="00C8738F">
      <w:pPr>
        <w:widowControl/>
        <w:rPr>
          <w:sz w:val="22"/>
          <w:lang w:val="de-DE"/>
        </w:rPr>
      </w:pPr>
      <w:r>
        <w:rPr>
          <w:sz w:val="22"/>
          <w:lang w:val="de-DE"/>
        </w:rPr>
        <w:br w:type="page"/>
      </w:r>
    </w:p>
    <w:p w14:paraId="533FE229" w14:textId="77777777" w:rsidR="00FE291A" w:rsidRDefault="00C8738F">
      <w:pPr>
        <w:pStyle w:val="Heading1"/>
        <w:keepNext/>
        <w:widowControl/>
        <w:numPr>
          <w:ilvl w:val="0"/>
          <w:numId w:val="7"/>
        </w:numPr>
        <w:tabs>
          <w:tab w:val="left" w:pos="567"/>
        </w:tabs>
        <w:kinsoku w:val="0"/>
        <w:overflowPunct w:val="0"/>
        <w:ind w:left="0" w:firstLine="0"/>
        <w:rPr>
          <w:b w:val="0"/>
          <w:bCs w:val="0"/>
          <w:lang w:val="de-DE"/>
        </w:rPr>
      </w:pPr>
      <w:r>
        <w:rPr>
          <w:lang w:val="de-DE"/>
        </w:rPr>
        <w:lastRenderedPageBreak/>
        <w:t>BEZEICHNUNG DES ARZNEIMITTELS</w:t>
      </w:r>
    </w:p>
    <w:p w14:paraId="54D41FA0" w14:textId="77777777" w:rsidR="00FE291A" w:rsidRDefault="00FE291A">
      <w:pPr>
        <w:keepNext/>
        <w:widowControl/>
        <w:kinsoku w:val="0"/>
        <w:overflowPunct w:val="0"/>
        <w:rPr>
          <w:sz w:val="22"/>
          <w:szCs w:val="22"/>
          <w:lang w:val="de-DE"/>
        </w:rPr>
      </w:pPr>
    </w:p>
    <w:p w14:paraId="68CE2A12" w14:textId="77777777" w:rsidR="00FE291A" w:rsidRDefault="00C8738F">
      <w:pPr>
        <w:widowControl/>
        <w:kinsoku w:val="0"/>
        <w:overflowPunct w:val="0"/>
        <w:rPr>
          <w:sz w:val="22"/>
          <w:szCs w:val="22"/>
          <w:lang w:val="de-DE"/>
        </w:rPr>
      </w:pPr>
      <w:r>
        <w:rPr>
          <w:sz w:val="22"/>
          <w:szCs w:val="22"/>
          <w:lang w:val="de-DE"/>
        </w:rPr>
        <w:t>AMGEVITA 20 mg Injektionslösung in einer Fertigspritze</w:t>
      </w:r>
    </w:p>
    <w:p w14:paraId="4830D26D" w14:textId="77777777" w:rsidR="00FE291A" w:rsidRDefault="00C8738F">
      <w:pPr>
        <w:widowControl/>
        <w:kinsoku w:val="0"/>
        <w:overflowPunct w:val="0"/>
        <w:rPr>
          <w:sz w:val="22"/>
          <w:szCs w:val="22"/>
          <w:lang w:val="de-DE"/>
        </w:rPr>
      </w:pPr>
      <w:r>
        <w:rPr>
          <w:sz w:val="22"/>
          <w:szCs w:val="22"/>
          <w:lang w:val="de-DE"/>
        </w:rPr>
        <w:t>AMGEVITA 40 mg Injektionslösung in einer Fertigspritze</w:t>
      </w:r>
    </w:p>
    <w:p w14:paraId="140569EE" w14:textId="77777777" w:rsidR="00FE291A" w:rsidRDefault="00C8738F">
      <w:pPr>
        <w:widowControl/>
        <w:kinsoku w:val="0"/>
        <w:overflowPunct w:val="0"/>
        <w:rPr>
          <w:sz w:val="22"/>
          <w:szCs w:val="22"/>
          <w:lang w:val="de-DE"/>
        </w:rPr>
      </w:pPr>
      <w:r>
        <w:rPr>
          <w:sz w:val="22"/>
          <w:szCs w:val="22"/>
          <w:lang w:val="de-DE"/>
        </w:rPr>
        <w:t>AMGEVITA 40 mg Injektionslösung im Fertigpen</w:t>
      </w:r>
    </w:p>
    <w:p w14:paraId="2EBD8A22" w14:textId="77777777" w:rsidR="00FE291A" w:rsidRDefault="00FE291A">
      <w:pPr>
        <w:widowControl/>
        <w:kinsoku w:val="0"/>
        <w:overflowPunct w:val="0"/>
        <w:rPr>
          <w:sz w:val="22"/>
          <w:szCs w:val="22"/>
          <w:lang w:val="de-DE"/>
        </w:rPr>
      </w:pPr>
    </w:p>
    <w:p w14:paraId="3868F672" w14:textId="77777777" w:rsidR="00FE291A" w:rsidRDefault="00FE291A">
      <w:pPr>
        <w:widowControl/>
        <w:kinsoku w:val="0"/>
        <w:overflowPunct w:val="0"/>
        <w:rPr>
          <w:sz w:val="22"/>
          <w:szCs w:val="22"/>
          <w:lang w:val="de-DE"/>
        </w:rPr>
      </w:pPr>
    </w:p>
    <w:p w14:paraId="2DC340D1" w14:textId="77777777" w:rsidR="00FE291A" w:rsidRDefault="00C8738F">
      <w:pPr>
        <w:pStyle w:val="Heading1"/>
        <w:keepNext/>
        <w:widowControl/>
        <w:numPr>
          <w:ilvl w:val="0"/>
          <w:numId w:val="7"/>
        </w:numPr>
        <w:tabs>
          <w:tab w:val="left" w:pos="567"/>
        </w:tabs>
        <w:kinsoku w:val="0"/>
        <w:overflowPunct w:val="0"/>
        <w:ind w:left="0" w:firstLine="0"/>
        <w:rPr>
          <w:b w:val="0"/>
          <w:bCs w:val="0"/>
          <w:lang w:val="de-DE"/>
        </w:rPr>
      </w:pPr>
      <w:r>
        <w:rPr>
          <w:lang w:val="de-DE"/>
        </w:rPr>
        <w:t>QUALITATIVE UND QUANTITATIVE ZUSAMMENSETZUNG</w:t>
      </w:r>
    </w:p>
    <w:p w14:paraId="369A5DC1" w14:textId="77777777" w:rsidR="00FE291A" w:rsidRDefault="00FE291A">
      <w:pPr>
        <w:keepNext/>
        <w:widowControl/>
        <w:kinsoku w:val="0"/>
        <w:overflowPunct w:val="0"/>
        <w:rPr>
          <w:sz w:val="22"/>
          <w:szCs w:val="22"/>
          <w:lang w:val="de-DE"/>
        </w:rPr>
      </w:pPr>
    </w:p>
    <w:p w14:paraId="5B0B880F" w14:textId="77777777" w:rsidR="00FE291A" w:rsidRDefault="00C8738F">
      <w:pPr>
        <w:widowControl/>
        <w:kinsoku w:val="0"/>
        <w:overflowPunct w:val="0"/>
        <w:rPr>
          <w:sz w:val="22"/>
          <w:szCs w:val="22"/>
          <w:u w:val="single"/>
          <w:lang w:val="de-DE"/>
        </w:rPr>
      </w:pPr>
      <w:r>
        <w:rPr>
          <w:sz w:val="22"/>
          <w:szCs w:val="22"/>
          <w:u w:val="single"/>
          <w:lang w:val="de-DE"/>
        </w:rPr>
        <w:t>AMGEVITA 20 mg Injektionslösung in einer Fertigspritze</w:t>
      </w:r>
    </w:p>
    <w:p w14:paraId="646F8435" w14:textId="77777777" w:rsidR="00FE291A" w:rsidRDefault="00FE291A">
      <w:pPr>
        <w:widowControl/>
        <w:kinsoku w:val="0"/>
        <w:overflowPunct w:val="0"/>
        <w:rPr>
          <w:sz w:val="22"/>
          <w:szCs w:val="22"/>
          <w:lang w:val="de-DE"/>
        </w:rPr>
      </w:pPr>
    </w:p>
    <w:p w14:paraId="252FE083" w14:textId="77777777" w:rsidR="00FE291A" w:rsidRDefault="00C8738F">
      <w:pPr>
        <w:widowControl/>
        <w:kinsoku w:val="0"/>
        <w:overflowPunct w:val="0"/>
        <w:rPr>
          <w:sz w:val="22"/>
          <w:szCs w:val="22"/>
          <w:lang w:val="de-DE"/>
        </w:rPr>
      </w:pPr>
      <w:r>
        <w:rPr>
          <w:sz w:val="22"/>
          <w:szCs w:val="22"/>
          <w:lang w:val="de-DE"/>
        </w:rPr>
        <w:t>Jede Einzeldosis-Fertigspritze enthält 20 mg Adalimumab in 0,4 ml Lösung (50 mg/ml).</w:t>
      </w:r>
    </w:p>
    <w:p w14:paraId="38C4D3B6" w14:textId="77777777" w:rsidR="00FE291A" w:rsidRDefault="00FE291A">
      <w:pPr>
        <w:widowControl/>
        <w:kinsoku w:val="0"/>
        <w:overflowPunct w:val="0"/>
        <w:rPr>
          <w:sz w:val="22"/>
          <w:szCs w:val="22"/>
          <w:lang w:val="de-DE"/>
        </w:rPr>
      </w:pPr>
    </w:p>
    <w:p w14:paraId="71FAC9F3" w14:textId="77777777" w:rsidR="00FE291A" w:rsidRDefault="00C8738F">
      <w:pPr>
        <w:widowControl/>
        <w:kinsoku w:val="0"/>
        <w:overflowPunct w:val="0"/>
        <w:rPr>
          <w:sz w:val="22"/>
          <w:szCs w:val="22"/>
          <w:u w:val="single"/>
          <w:lang w:val="de-DE"/>
        </w:rPr>
      </w:pPr>
      <w:r>
        <w:rPr>
          <w:sz w:val="22"/>
          <w:szCs w:val="22"/>
          <w:u w:val="single"/>
          <w:lang w:val="de-DE"/>
        </w:rPr>
        <w:t>AMGEVITA 40 mg Injektionslösung in einer Fertigspritze</w:t>
      </w:r>
    </w:p>
    <w:p w14:paraId="3D227181" w14:textId="77777777" w:rsidR="00FE291A" w:rsidRDefault="00FE291A">
      <w:pPr>
        <w:widowControl/>
        <w:kinsoku w:val="0"/>
        <w:overflowPunct w:val="0"/>
        <w:rPr>
          <w:sz w:val="22"/>
          <w:szCs w:val="22"/>
          <w:lang w:val="de-DE"/>
        </w:rPr>
      </w:pPr>
    </w:p>
    <w:p w14:paraId="6D693003" w14:textId="77777777" w:rsidR="00FE291A" w:rsidRDefault="00C8738F">
      <w:pPr>
        <w:widowControl/>
        <w:kinsoku w:val="0"/>
        <w:overflowPunct w:val="0"/>
        <w:rPr>
          <w:sz w:val="22"/>
          <w:szCs w:val="22"/>
          <w:lang w:val="de-DE"/>
        </w:rPr>
      </w:pPr>
      <w:r>
        <w:rPr>
          <w:sz w:val="22"/>
          <w:szCs w:val="22"/>
          <w:lang w:val="de-DE"/>
        </w:rPr>
        <w:t>Jede Einzeldosis-Fertigspritze enthält 40 mg Adalimumab in 0,8 ml Lösung (50 mg/ml).</w:t>
      </w:r>
    </w:p>
    <w:p w14:paraId="7763CE3C" w14:textId="77777777" w:rsidR="00FE291A" w:rsidRDefault="00FE291A">
      <w:pPr>
        <w:widowControl/>
        <w:kinsoku w:val="0"/>
        <w:overflowPunct w:val="0"/>
        <w:rPr>
          <w:sz w:val="22"/>
          <w:szCs w:val="22"/>
          <w:lang w:val="de-DE"/>
        </w:rPr>
      </w:pPr>
    </w:p>
    <w:p w14:paraId="4AEBCA68" w14:textId="77777777" w:rsidR="00FE291A" w:rsidRDefault="00C8738F">
      <w:pPr>
        <w:widowControl/>
        <w:kinsoku w:val="0"/>
        <w:overflowPunct w:val="0"/>
        <w:rPr>
          <w:sz w:val="22"/>
          <w:szCs w:val="22"/>
          <w:u w:val="single"/>
          <w:lang w:val="de-DE"/>
        </w:rPr>
      </w:pPr>
      <w:r>
        <w:rPr>
          <w:sz w:val="22"/>
          <w:szCs w:val="22"/>
          <w:u w:val="single"/>
          <w:lang w:val="de-DE"/>
        </w:rPr>
        <w:t>AMGEVITA 40 mg Injektionslösung im Fertigpen</w:t>
      </w:r>
    </w:p>
    <w:p w14:paraId="52C0E64D" w14:textId="77777777" w:rsidR="00FE291A" w:rsidRDefault="00FE291A">
      <w:pPr>
        <w:widowControl/>
        <w:kinsoku w:val="0"/>
        <w:overflowPunct w:val="0"/>
        <w:rPr>
          <w:sz w:val="22"/>
          <w:szCs w:val="22"/>
          <w:lang w:val="de-DE"/>
        </w:rPr>
      </w:pPr>
    </w:p>
    <w:p w14:paraId="4D4FEEBD" w14:textId="77777777" w:rsidR="00FE291A" w:rsidRDefault="00C8738F">
      <w:pPr>
        <w:widowControl/>
        <w:kinsoku w:val="0"/>
        <w:overflowPunct w:val="0"/>
        <w:rPr>
          <w:sz w:val="22"/>
          <w:szCs w:val="22"/>
          <w:lang w:val="de-DE"/>
        </w:rPr>
      </w:pPr>
      <w:r>
        <w:rPr>
          <w:sz w:val="22"/>
          <w:szCs w:val="22"/>
          <w:lang w:val="de-DE"/>
        </w:rPr>
        <w:t>Jeder Einzeldosis-Fertigpen enthält 40 mg Adalimumab in 0,8 ml Lösung (50 mg/ml).</w:t>
      </w:r>
    </w:p>
    <w:p w14:paraId="0E86AF8A" w14:textId="77777777" w:rsidR="00FE291A" w:rsidRDefault="00FE291A">
      <w:pPr>
        <w:widowControl/>
        <w:kinsoku w:val="0"/>
        <w:overflowPunct w:val="0"/>
        <w:rPr>
          <w:sz w:val="22"/>
          <w:szCs w:val="22"/>
          <w:lang w:val="de-DE"/>
        </w:rPr>
      </w:pPr>
    </w:p>
    <w:p w14:paraId="600903AB" w14:textId="77777777" w:rsidR="00FE291A" w:rsidRDefault="00C8738F">
      <w:pPr>
        <w:widowControl/>
        <w:kinsoku w:val="0"/>
        <w:overflowPunct w:val="0"/>
        <w:rPr>
          <w:sz w:val="22"/>
          <w:szCs w:val="22"/>
          <w:lang w:val="de-DE"/>
        </w:rPr>
      </w:pPr>
      <w:r>
        <w:rPr>
          <w:sz w:val="22"/>
          <w:szCs w:val="22"/>
          <w:lang w:val="de-DE"/>
        </w:rPr>
        <w:t>Adalimumab ist ein rekombinanter humaner monoklonaler Antikörper, der in Ovarialzellen des Chinesischen Hamsters produziert wird.</w:t>
      </w:r>
    </w:p>
    <w:p w14:paraId="54DE9C59" w14:textId="77777777" w:rsidR="00FE291A" w:rsidRDefault="00FE291A">
      <w:pPr>
        <w:widowControl/>
        <w:kinsoku w:val="0"/>
        <w:overflowPunct w:val="0"/>
        <w:rPr>
          <w:sz w:val="22"/>
          <w:szCs w:val="22"/>
          <w:lang w:val="de-DE"/>
        </w:rPr>
      </w:pPr>
    </w:p>
    <w:p w14:paraId="7B20EB61" w14:textId="77777777" w:rsidR="00FE291A" w:rsidRDefault="00C8738F">
      <w:pPr>
        <w:widowControl/>
        <w:kinsoku w:val="0"/>
        <w:overflowPunct w:val="0"/>
        <w:rPr>
          <w:sz w:val="22"/>
          <w:szCs w:val="22"/>
          <w:lang w:val="de-DE"/>
        </w:rPr>
      </w:pPr>
      <w:r>
        <w:rPr>
          <w:sz w:val="22"/>
          <w:szCs w:val="22"/>
          <w:lang w:val="de-DE"/>
        </w:rPr>
        <w:t>Vollständige Auflistung der sonstigen Bestandteile, siehe Abschnitt 6.1.</w:t>
      </w:r>
    </w:p>
    <w:p w14:paraId="38F2DB67" w14:textId="77777777" w:rsidR="00FE291A" w:rsidRDefault="00FE291A">
      <w:pPr>
        <w:widowControl/>
        <w:kinsoku w:val="0"/>
        <w:overflowPunct w:val="0"/>
        <w:rPr>
          <w:sz w:val="22"/>
          <w:szCs w:val="22"/>
          <w:lang w:val="de-DE"/>
        </w:rPr>
      </w:pPr>
    </w:p>
    <w:p w14:paraId="57D7DF4D" w14:textId="77777777" w:rsidR="00FE291A" w:rsidRDefault="00FE291A">
      <w:pPr>
        <w:widowControl/>
        <w:kinsoku w:val="0"/>
        <w:overflowPunct w:val="0"/>
        <w:rPr>
          <w:sz w:val="22"/>
          <w:szCs w:val="22"/>
          <w:lang w:val="de-DE"/>
        </w:rPr>
      </w:pPr>
    </w:p>
    <w:p w14:paraId="0F9E617F" w14:textId="77777777" w:rsidR="00FE291A" w:rsidRDefault="00C8738F">
      <w:pPr>
        <w:pStyle w:val="Heading1"/>
        <w:keepNext/>
        <w:widowControl/>
        <w:numPr>
          <w:ilvl w:val="0"/>
          <w:numId w:val="7"/>
        </w:numPr>
        <w:tabs>
          <w:tab w:val="left" w:pos="567"/>
        </w:tabs>
        <w:kinsoku w:val="0"/>
        <w:overflowPunct w:val="0"/>
        <w:ind w:left="0" w:firstLine="0"/>
        <w:rPr>
          <w:b w:val="0"/>
          <w:bCs w:val="0"/>
          <w:lang w:val="de-DE"/>
        </w:rPr>
      </w:pPr>
      <w:r>
        <w:rPr>
          <w:lang w:val="de-DE"/>
        </w:rPr>
        <w:t>DARREICHUNGSFORM</w:t>
      </w:r>
    </w:p>
    <w:p w14:paraId="4A0EF46B" w14:textId="77777777" w:rsidR="00FE291A" w:rsidRDefault="00FE291A">
      <w:pPr>
        <w:keepNext/>
        <w:widowControl/>
        <w:kinsoku w:val="0"/>
        <w:overflowPunct w:val="0"/>
        <w:rPr>
          <w:sz w:val="22"/>
          <w:szCs w:val="22"/>
          <w:lang w:val="de-DE"/>
        </w:rPr>
      </w:pPr>
    </w:p>
    <w:p w14:paraId="3AC377F3" w14:textId="77777777" w:rsidR="00FE291A" w:rsidRDefault="00C8738F">
      <w:pPr>
        <w:pStyle w:val="BodyText"/>
        <w:widowControl/>
        <w:kinsoku w:val="0"/>
        <w:overflowPunct w:val="0"/>
        <w:ind w:left="0"/>
        <w:rPr>
          <w:lang w:val="de-DE"/>
        </w:rPr>
      </w:pPr>
      <w:r>
        <w:rPr>
          <w:lang w:val="de-DE"/>
        </w:rPr>
        <w:t>Injektionslösung (Injektion)</w:t>
      </w:r>
    </w:p>
    <w:p w14:paraId="77DD7F43" w14:textId="77777777" w:rsidR="00FE291A" w:rsidRDefault="00C8738F">
      <w:pPr>
        <w:pStyle w:val="BodyText"/>
        <w:widowControl/>
        <w:kinsoku w:val="0"/>
        <w:overflowPunct w:val="0"/>
        <w:ind w:left="0"/>
        <w:rPr>
          <w:lang w:val="de-DE"/>
        </w:rPr>
      </w:pPr>
      <w:r>
        <w:rPr>
          <w:lang w:val="de-DE"/>
        </w:rPr>
        <w:t>Injektionslösung (Injektion) im Fertigpen (SureClick)</w:t>
      </w:r>
    </w:p>
    <w:p w14:paraId="07683351" w14:textId="77777777" w:rsidR="00FE291A" w:rsidRDefault="00FE291A">
      <w:pPr>
        <w:pStyle w:val="BodyText"/>
        <w:widowControl/>
        <w:kinsoku w:val="0"/>
        <w:overflowPunct w:val="0"/>
        <w:ind w:left="0"/>
        <w:rPr>
          <w:lang w:val="de-DE"/>
        </w:rPr>
      </w:pPr>
    </w:p>
    <w:p w14:paraId="43855536" w14:textId="77777777" w:rsidR="00FE291A" w:rsidRDefault="00C8738F">
      <w:pPr>
        <w:pStyle w:val="BodyText"/>
        <w:widowControl/>
        <w:kinsoku w:val="0"/>
        <w:overflowPunct w:val="0"/>
        <w:ind w:left="0"/>
        <w:rPr>
          <w:lang w:val="de-DE"/>
        </w:rPr>
      </w:pPr>
      <w:r>
        <w:rPr>
          <w:lang w:val="de-DE"/>
        </w:rPr>
        <w:t>Klare und farblose bis leicht gelbliche Lösung.</w:t>
      </w:r>
    </w:p>
    <w:p w14:paraId="6D22C797" w14:textId="77777777" w:rsidR="00FE291A" w:rsidRDefault="00FE291A">
      <w:pPr>
        <w:widowControl/>
        <w:kinsoku w:val="0"/>
        <w:overflowPunct w:val="0"/>
        <w:rPr>
          <w:sz w:val="22"/>
          <w:szCs w:val="22"/>
          <w:lang w:val="de-DE"/>
        </w:rPr>
      </w:pPr>
    </w:p>
    <w:p w14:paraId="6A4FD6ED" w14:textId="77777777" w:rsidR="00FE291A" w:rsidRDefault="00FE291A">
      <w:pPr>
        <w:widowControl/>
        <w:kinsoku w:val="0"/>
        <w:overflowPunct w:val="0"/>
        <w:rPr>
          <w:sz w:val="22"/>
          <w:szCs w:val="22"/>
          <w:lang w:val="de-DE"/>
        </w:rPr>
      </w:pPr>
    </w:p>
    <w:p w14:paraId="13F531AB" w14:textId="77777777" w:rsidR="00FE291A" w:rsidRDefault="00C8738F">
      <w:pPr>
        <w:pStyle w:val="Heading1"/>
        <w:keepNext/>
        <w:widowControl/>
        <w:numPr>
          <w:ilvl w:val="0"/>
          <w:numId w:val="7"/>
        </w:numPr>
        <w:tabs>
          <w:tab w:val="left" w:pos="567"/>
        </w:tabs>
        <w:kinsoku w:val="0"/>
        <w:overflowPunct w:val="0"/>
        <w:ind w:left="0" w:firstLine="0"/>
        <w:rPr>
          <w:b w:val="0"/>
          <w:bCs w:val="0"/>
          <w:lang w:val="de-DE"/>
        </w:rPr>
      </w:pPr>
      <w:r>
        <w:rPr>
          <w:lang w:val="de-DE"/>
        </w:rPr>
        <w:t>KLINISCHE ANGABEN</w:t>
      </w:r>
    </w:p>
    <w:p w14:paraId="407F325B" w14:textId="77777777" w:rsidR="00FE291A" w:rsidRDefault="00FE291A">
      <w:pPr>
        <w:keepNext/>
        <w:widowControl/>
        <w:kinsoku w:val="0"/>
        <w:overflowPunct w:val="0"/>
        <w:rPr>
          <w:sz w:val="22"/>
          <w:szCs w:val="22"/>
          <w:lang w:val="de-DE"/>
        </w:rPr>
      </w:pPr>
    </w:p>
    <w:p w14:paraId="6ABBA09A" w14:textId="77777777" w:rsidR="00FE291A" w:rsidRDefault="00C8738F">
      <w:pPr>
        <w:keepNext/>
        <w:widowControl/>
        <w:numPr>
          <w:ilvl w:val="1"/>
          <w:numId w:val="7"/>
        </w:numPr>
        <w:tabs>
          <w:tab w:val="left" w:pos="567"/>
        </w:tabs>
        <w:kinsoku w:val="0"/>
        <w:overflowPunct w:val="0"/>
        <w:ind w:firstLine="0"/>
        <w:rPr>
          <w:sz w:val="22"/>
          <w:szCs w:val="22"/>
          <w:lang w:val="de-DE"/>
        </w:rPr>
      </w:pPr>
      <w:r>
        <w:rPr>
          <w:b/>
          <w:bCs/>
          <w:sz w:val="22"/>
          <w:szCs w:val="22"/>
          <w:lang w:val="de-DE"/>
        </w:rPr>
        <w:t>Anwendungsgebiete</w:t>
      </w:r>
    </w:p>
    <w:p w14:paraId="3B0D2217" w14:textId="77777777" w:rsidR="00FE291A" w:rsidRDefault="00FE291A">
      <w:pPr>
        <w:keepNext/>
        <w:widowControl/>
        <w:kinsoku w:val="0"/>
        <w:overflowPunct w:val="0"/>
        <w:rPr>
          <w:sz w:val="22"/>
          <w:szCs w:val="22"/>
          <w:lang w:val="de-DE"/>
        </w:rPr>
      </w:pPr>
    </w:p>
    <w:p w14:paraId="01E1A6A6" w14:textId="77777777" w:rsidR="00FE291A" w:rsidRDefault="00C8738F">
      <w:pPr>
        <w:pStyle w:val="BodyText"/>
        <w:widowControl/>
        <w:kinsoku w:val="0"/>
        <w:overflowPunct w:val="0"/>
        <w:ind w:left="0"/>
        <w:rPr>
          <w:lang w:val="de-DE"/>
        </w:rPr>
      </w:pPr>
      <w:r>
        <w:rPr>
          <w:u w:val="single"/>
          <w:lang w:val="de-DE"/>
        </w:rPr>
        <w:t>Rheumatoide Arthritis</w:t>
      </w:r>
    </w:p>
    <w:p w14:paraId="48C2DD0F" w14:textId="77777777" w:rsidR="00FE291A" w:rsidRDefault="00FE291A">
      <w:pPr>
        <w:widowControl/>
        <w:kinsoku w:val="0"/>
        <w:overflowPunct w:val="0"/>
        <w:rPr>
          <w:sz w:val="22"/>
          <w:szCs w:val="22"/>
          <w:lang w:val="de-DE"/>
        </w:rPr>
      </w:pPr>
    </w:p>
    <w:p w14:paraId="76A76F7A" w14:textId="77777777" w:rsidR="00FE291A" w:rsidRDefault="00C8738F">
      <w:pPr>
        <w:pStyle w:val="BodyText"/>
        <w:widowControl/>
        <w:kinsoku w:val="0"/>
        <w:overflowPunct w:val="0"/>
        <w:ind w:left="0"/>
        <w:rPr>
          <w:lang w:val="de-DE"/>
        </w:rPr>
      </w:pPr>
      <w:r>
        <w:rPr>
          <w:lang w:val="de-DE"/>
        </w:rPr>
        <w:t>AMGEVITA wird in Kombination mit Methotrexat angewendet zur</w:t>
      </w:r>
    </w:p>
    <w:p w14:paraId="106C82CD" w14:textId="77777777" w:rsidR="00FE291A" w:rsidRDefault="00C8738F">
      <w:pPr>
        <w:pStyle w:val="BodyText"/>
        <w:widowControl/>
        <w:numPr>
          <w:ilvl w:val="0"/>
          <w:numId w:val="8"/>
        </w:numPr>
        <w:kinsoku w:val="0"/>
        <w:overflowPunct w:val="0"/>
        <w:ind w:left="567" w:hanging="567"/>
        <w:rPr>
          <w:lang w:val="de-DE"/>
        </w:rPr>
      </w:pPr>
      <w:r>
        <w:rPr>
          <w:lang w:val="de-DE"/>
        </w:rPr>
        <w:t>Behandlung der mäßigen bis schweren aktiven rheumatoiden Arthritis bei erwachsenen Patienten, die nur unzureichend auf krankheitsmodifizierende Antirheumatika (</w:t>
      </w:r>
      <w:r>
        <w:rPr>
          <w:i/>
          <w:lang w:val="de-DE"/>
        </w:rPr>
        <w:t>disease-modifying anti-rheumatic drugs</w:t>
      </w:r>
      <w:r>
        <w:rPr>
          <w:lang w:val="de-DE"/>
        </w:rPr>
        <w:t>, DMARDs), einschließlich Methotrexat, angesprochen haben.</w:t>
      </w:r>
    </w:p>
    <w:p w14:paraId="2DE2A01B" w14:textId="77777777" w:rsidR="00FE291A" w:rsidRDefault="00C8738F">
      <w:pPr>
        <w:pStyle w:val="BodyText"/>
        <w:widowControl/>
        <w:numPr>
          <w:ilvl w:val="0"/>
          <w:numId w:val="8"/>
        </w:numPr>
        <w:kinsoku w:val="0"/>
        <w:overflowPunct w:val="0"/>
        <w:ind w:left="567" w:hanging="567"/>
        <w:rPr>
          <w:lang w:val="de-DE"/>
        </w:rPr>
      </w:pPr>
      <w:r>
        <w:rPr>
          <w:lang w:val="de-DE"/>
        </w:rPr>
        <w:t>Behandlung der schweren, aktiven und progressiven rheumatoiden Arthritis bei Erwachsenen, die zuvor nicht mit Methotrexat behandelt worden sind.</w:t>
      </w:r>
    </w:p>
    <w:p w14:paraId="6A24F709" w14:textId="77777777" w:rsidR="00FE291A" w:rsidRDefault="00FE291A">
      <w:pPr>
        <w:widowControl/>
        <w:kinsoku w:val="0"/>
        <w:overflowPunct w:val="0"/>
        <w:rPr>
          <w:sz w:val="22"/>
          <w:lang w:val="de-DE"/>
        </w:rPr>
      </w:pPr>
    </w:p>
    <w:p w14:paraId="2725FC32" w14:textId="77777777" w:rsidR="00FE291A" w:rsidRDefault="00C8738F">
      <w:pPr>
        <w:pStyle w:val="BodyText"/>
        <w:widowControl/>
        <w:kinsoku w:val="0"/>
        <w:overflowPunct w:val="0"/>
        <w:ind w:left="0"/>
        <w:rPr>
          <w:lang w:val="de-DE"/>
        </w:rPr>
      </w:pPr>
      <w:r>
        <w:rPr>
          <w:lang w:val="de-DE"/>
        </w:rPr>
        <w:t>AMGEVITA kann im Falle einer Unverträglichkeit gegenüber Methotrexat, oder wenn die weitere Behandlung mit Methotrexat nicht sinnvoll ist, als Monotherapie angewendet werden.</w:t>
      </w:r>
    </w:p>
    <w:p w14:paraId="7748E187" w14:textId="77777777" w:rsidR="00FE291A" w:rsidRDefault="00FE291A">
      <w:pPr>
        <w:widowControl/>
        <w:kinsoku w:val="0"/>
        <w:overflowPunct w:val="0"/>
        <w:rPr>
          <w:sz w:val="22"/>
          <w:lang w:val="de-DE"/>
        </w:rPr>
      </w:pPr>
    </w:p>
    <w:p w14:paraId="4200F04E" w14:textId="77777777" w:rsidR="00FE291A" w:rsidRDefault="00C8738F">
      <w:pPr>
        <w:pStyle w:val="BodyText"/>
        <w:widowControl/>
        <w:kinsoku w:val="0"/>
        <w:overflowPunct w:val="0"/>
        <w:ind w:left="0"/>
        <w:rPr>
          <w:lang w:val="de-DE"/>
        </w:rPr>
      </w:pPr>
      <w:r>
        <w:rPr>
          <w:lang w:val="de-DE"/>
        </w:rPr>
        <w:t>AMGEVITA reduziert in Kombination mit Methotrexat das Fortschreiten der radiologisch nachweisbaren strukturellen Gelenkschädigungen und verbessert die körperliche Funktionsfähigkeit.</w:t>
      </w:r>
    </w:p>
    <w:p w14:paraId="390FA858" w14:textId="77777777" w:rsidR="00FE291A" w:rsidRDefault="00FE291A">
      <w:pPr>
        <w:widowControl/>
        <w:kinsoku w:val="0"/>
        <w:overflowPunct w:val="0"/>
        <w:rPr>
          <w:sz w:val="22"/>
          <w:szCs w:val="22"/>
          <w:lang w:val="de-DE"/>
        </w:rPr>
      </w:pPr>
    </w:p>
    <w:p w14:paraId="28BA00CD" w14:textId="77777777" w:rsidR="00FE291A" w:rsidRDefault="00C8738F">
      <w:pPr>
        <w:pStyle w:val="BodyText"/>
        <w:keepNext/>
        <w:keepLines/>
        <w:widowControl/>
        <w:kinsoku w:val="0"/>
        <w:overflowPunct w:val="0"/>
        <w:ind w:left="0"/>
        <w:rPr>
          <w:lang w:val="de-DE"/>
        </w:rPr>
      </w:pPr>
      <w:r>
        <w:rPr>
          <w:u w:val="single"/>
          <w:lang w:val="de-DE"/>
        </w:rPr>
        <w:lastRenderedPageBreak/>
        <w:t>Juvenile idiopathische Arthritis</w:t>
      </w:r>
    </w:p>
    <w:p w14:paraId="02BD813B" w14:textId="77777777" w:rsidR="00FE291A" w:rsidRDefault="00FE291A">
      <w:pPr>
        <w:keepNext/>
        <w:keepLines/>
        <w:widowControl/>
        <w:kinsoku w:val="0"/>
        <w:overflowPunct w:val="0"/>
        <w:rPr>
          <w:sz w:val="22"/>
          <w:szCs w:val="22"/>
          <w:lang w:val="de-DE"/>
        </w:rPr>
      </w:pPr>
    </w:p>
    <w:p w14:paraId="3B137639" w14:textId="77777777" w:rsidR="00FE291A" w:rsidRDefault="00C8738F">
      <w:pPr>
        <w:keepNext/>
        <w:keepLines/>
        <w:widowControl/>
        <w:kinsoku w:val="0"/>
        <w:overflowPunct w:val="0"/>
        <w:rPr>
          <w:i/>
          <w:sz w:val="22"/>
          <w:szCs w:val="22"/>
          <w:lang w:val="de-DE"/>
        </w:rPr>
      </w:pPr>
      <w:r>
        <w:rPr>
          <w:i/>
          <w:iCs/>
          <w:sz w:val="22"/>
          <w:szCs w:val="22"/>
          <w:lang w:val="de-DE"/>
        </w:rPr>
        <w:t>Polyartikuläre juvenile idiopathische Arthritis</w:t>
      </w:r>
    </w:p>
    <w:p w14:paraId="74AB2E9D" w14:textId="77777777" w:rsidR="00FE291A" w:rsidRDefault="00FE291A">
      <w:pPr>
        <w:keepNext/>
        <w:keepLines/>
        <w:widowControl/>
        <w:kinsoku w:val="0"/>
        <w:overflowPunct w:val="0"/>
        <w:rPr>
          <w:sz w:val="22"/>
          <w:szCs w:val="22"/>
          <w:lang w:val="de-DE"/>
        </w:rPr>
      </w:pPr>
    </w:p>
    <w:p w14:paraId="66283FEF" w14:textId="77777777" w:rsidR="00FE291A" w:rsidRDefault="00C8738F">
      <w:pPr>
        <w:pStyle w:val="BodyText"/>
        <w:keepNext/>
        <w:keepLines/>
        <w:widowControl/>
        <w:kinsoku w:val="0"/>
        <w:overflowPunct w:val="0"/>
        <w:ind w:left="0"/>
        <w:rPr>
          <w:lang w:val="de-DE"/>
        </w:rPr>
      </w:pPr>
      <w:r>
        <w:rPr>
          <w:lang w:val="de-DE"/>
        </w:rPr>
        <w:t>AMGEVITA wird in Kombination mit Methotrexat angewendet zur Behandlung der aktiven polyartikulären juvenilen idiopathischen Arthritis bei Patienten ab dem Alter von 2 Jahren, die nur unzureichend auf ein oder mehrere DMARDs angesprochen haben. AMGEVITA kann im Falle einer Unverträglichkeit gegenüber Methotrexat oder, wenn die weitere Behandlung mit Methotrexat nicht sinnvoll ist, als Monotherapie angewendet werden (zur Wirksamkeit bei der Monotherapie siehe Abschnitt 5.1). Bei Patienten, die jünger als 2 Jahre sind, wurde Adalimumab nicht untersucht.</w:t>
      </w:r>
    </w:p>
    <w:p w14:paraId="31299A41" w14:textId="77777777" w:rsidR="00FE291A" w:rsidRDefault="00FE291A">
      <w:pPr>
        <w:pStyle w:val="BodyText"/>
        <w:widowControl/>
        <w:kinsoku w:val="0"/>
        <w:overflowPunct w:val="0"/>
        <w:ind w:left="0"/>
        <w:rPr>
          <w:lang w:val="de-DE"/>
        </w:rPr>
      </w:pPr>
    </w:p>
    <w:p w14:paraId="240F6EB4" w14:textId="77777777" w:rsidR="00FE291A" w:rsidRDefault="00C8738F">
      <w:pPr>
        <w:keepNext/>
        <w:widowControl/>
        <w:kinsoku w:val="0"/>
        <w:overflowPunct w:val="0"/>
        <w:rPr>
          <w:sz w:val="22"/>
          <w:szCs w:val="22"/>
          <w:lang w:val="de-DE"/>
        </w:rPr>
      </w:pPr>
      <w:r>
        <w:rPr>
          <w:i/>
          <w:iCs/>
          <w:sz w:val="22"/>
          <w:szCs w:val="22"/>
          <w:lang w:val="de-DE"/>
        </w:rPr>
        <w:t>Enthesitis-assoziierte Arthritis</w:t>
      </w:r>
    </w:p>
    <w:p w14:paraId="7F16C6FA" w14:textId="77777777" w:rsidR="00FE291A" w:rsidRDefault="00FE291A">
      <w:pPr>
        <w:keepNext/>
        <w:widowControl/>
        <w:kinsoku w:val="0"/>
        <w:overflowPunct w:val="0"/>
        <w:rPr>
          <w:sz w:val="22"/>
          <w:szCs w:val="22"/>
          <w:lang w:val="de-DE"/>
        </w:rPr>
      </w:pPr>
    </w:p>
    <w:p w14:paraId="27DC71FD" w14:textId="77777777" w:rsidR="00FE291A" w:rsidRDefault="00C8738F">
      <w:pPr>
        <w:pStyle w:val="BodyText"/>
        <w:widowControl/>
        <w:kinsoku w:val="0"/>
        <w:overflowPunct w:val="0"/>
        <w:ind w:left="0"/>
        <w:rPr>
          <w:lang w:val="de-DE"/>
        </w:rPr>
      </w:pPr>
      <w:r>
        <w:rPr>
          <w:lang w:val="de-DE"/>
        </w:rPr>
        <w:t>AMGEVITA wird angewendet zur Behandlung der aktiven Enthesitis-assoziierten Arthritis bei Patienten, die 6 Jahre und älter sind und die nur unzureichend auf eine konventionelle Therapie angesprochen haben oder die eine Unverträglichkeit gegenüber einer solchen Therapie haben (siehe Abschnitt 5.1).</w:t>
      </w:r>
    </w:p>
    <w:p w14:paraId="4F0DB27A" w14:textId="77777777" w:rsidR="00FE291A" w:rsidRDefault="00FE291A">
      <w:pPr>
        <w:pStyle w:val="BodyText"/>
        <w:widowControl/>
        <w:kinsoku w:val="0"/>
        <w:overflowPunct w:val="0"/>
        <w:ind w:left="0"/>
        <w:rPr>
          <w:lang w:val="de-DE"/>
        </w:rPr>
      </w:pPr>
    </w:p>
    <w:p w14:paraId="5B84DBAB" w14:textId="77777777" w:rsidR="00FE291A" w:rsidRDefault="00C8738F">
      <w:pPr>
        <w:pStyle w:val="BodyText"/>
        <w:keepNext/>
        <w:widowControl/>
        <w:kinsoku w:val="0"/>
        <w:overflowPunct w:val="0"/>
        <w:ind w:left="0"/>
        <w:rPr>
          <w:lang w:val="de-DE"/>
        </w:rPr>
      </w:pPr>
      <w:r>
        <w:rPr>
          <w:u w:val="single"/>
          <w:lang w:val="de-DE"/>
        </w:rPr>
        <w:t>Axiale Spondyloarthritis</w:t>
      </w:r>
    </w:p>
    <w:p w14:paraId="12EC17CD" w14:textId="77777777" w:rsidR="00FE291A" w:rsidRDefault="00FE291A">
      <w:pPr>
        <w:keepNext/>
        <w:widowControl/>
        <w:kinsoku w:val="0"/>
        <w:overflowPunct w:val="0"/>
        <w:rPr>
          <w:sz w:val="22"/>
          <w:szCs w:val="22"/>
          <w:lang w:val="de-DE"/>
        </w:rPr>
      </w:pPr>
    </w:p>
    <w:p w14:paraId="0659BD70" w14:textId="77777777" w:rsidR="00FE291A" w:rsidRDefault="00C8738F">
      <w:pPr>
        <w:widowControl/>
        <w:kinsoku w:val="0"/>
        <w:overflowPunct w:val="0"/>
        <w:rPr>
          <w:sz w:val="22"/>
          <w:szCs w:val="22"/>
          <w:lang w:val="de-DE"/>
        </w:rPr>
      </w:pPr>
      <w:r>
        <w:rPr>
          <w:i/>
          <w:iCs/>
          <w:sz w:val="22"/>
          <w:szCs w:val="22"/>
          <w:lang w:val="de-DE"/>
        </w:rPr>
        <w:t>Ankylosierende Spondylitis (AS)</w:t>
      </w:r>
    </w:p>
    <w:p w14:paraId="3BC51A60" w14:textId="77777777" w:rsidR="00FE291A" w:rsidRDefault="00FE291A">
      <w:pPr>
        <w:widowControl/>
        <w:kinsoku w:val="0"/>
        <w:overflowPunct w:val="0"/>
        <w:rPr>
          <w:sz w:val="22"/>
          <w:szCs w:val="22"/>
          <w:lang w:val="de-DE"/>
        </w:rPr>
      </w:pPr>
    </w:p>
    <w:p w14:paraId="1391A08E" w14:textId="77777777" w:rsidR="00FE291A" w:rsidRDefault="00C8738F">
      <w:pPr>
        <w:pStyle w:val="BodyText"/>
        <w:widowControl/>
        <w:kinsoku w:val="0"/>
        <w:overflowPunct w:val="0"/>
        <w:ind w:left="0"/>
        <w:rPr>
          <w:lang w:val="de-DE"/>
        </w:rPr>
      </w:pPr>
      <w:r>
        <w:rPr>
          <w:lang w:val="de-DE"/>
        </w:rPr>
        <w:t>AMGEVITA wird angewendet zur Behandlung der schweren aktiven ankylosierenden Spondylitis bei Erwachsenen, die nur unzureichend auf eine konventionelle Therapie angesprochen haben.</w:t>
      </w:r>
    </w:p>
    <w:p w14:paraId="54C92C98" w14:textId="77777777" w:rsidR="00FE291A" w:rsidRDefault="00FE291A">
      <w:pPr>
        <w:widowControl/>
        <w:kinsoku w:val="0"/>
        <w:overflowPunct w:val="0"/>
        <w:rPr>
          <w:sz w:val="22"/>
          <w:szCs w:val="22"/>
          <w:lang w:val="de-DE"/>
        </w:rPr>
      </w:pPr>
    </w:p>
    <w:p w14:paraId="44C0A839" w14:textId="77777777" w:rsidR="00FE291A" w:rsidRDefault="00C8738F">
      <w:pPr>
        <w:keepNext/>
        <w:widowControl/>
        <w:kinsoku w:val="0"/>
        <w:overflowPunct w:val="0"/>
        <w:rPr>
          <w:sz w:val="22"/>
          <w:szCs w:val="22"/>
          <w:lang w:val="de-DE"/>
        </w:rPr>
      </w:pPr>
      <w:r>
        <w:rPr>
          <w:i/>
          <w:iCs/>
          <w:sz w:val="22"/>
          <w:szCs w:val="22"/>
          <w:lang w:val="de-DE"/>
        </w:rPr>
        <w:t>Axiale Spondyloarthritis ohne Röntgennachweis einer AS</w:t>
      </w:r>
    </w:p>
    <w:p w14:paraId="2E0266DA" w14:textId="77777777" w:rsidR="00FE291A" w:rsidRDefault="00FE291A">
      <w:pPr>
        <w:keepNext/>
        <w:widowControl/>
        <w:kinsoku w:val="0"/>
        <w:overflowPunct w:val="0"/>
        <w:rPr>
          <w:sz w:val="22"/>
          <w:szCs w:val="22"/>
          <w:lang w:val="de-DE"/>
        </w:rPr>
      </w:pPr>
    </w:p>
    <w:p w14:paraId="2D30925D" w14:textId="77777777" w:rsidR="00FE291A" w:rsidRDefault="00C8738F">
      <w:pPr>
        <w:pStyle w:val="BodyText"/>
        <w:widowControl/>
        <w:kinsoku w:val="0"/>
        <w:overflowPunct w:val="0"/>
        <w:ind w:left="0"/>
        <w:rPr>
          <w:lang w:val="de-DE"/>
        </w:rPr>
      </w:pPr>
      <w:r>
        <w:rPr>
          <w:lang w:val="de-DE"/>
        </w:rPr>
        <w:t>AMGEVITA wird angewendet zur Behandlung der schweren axialen Spondyloarthritis ohne Röntgennachweis einer AS, aber mit objektiven Anzeichen der Entzündung durch erhöhtes CRP und/oder MRT, bei Erwachsenen, die nur unzureichend auf nicht steroidale Antirheumatika (NSAR) angesprochen haben oder bei denen eine Unverträglichkeit gegenüber diesen vorliegt.</w:t>
      </w:r>
    </w:p>
    <w:p w14:paraId="3B6BB31B" w14:textId="77777777" w:rsidR="00FE291A" w:rsidRDefault="00FE291A">
      <w:pPr>
        <w:widowControl/>
        <w:kinsoku w:val="0"/>
        <w:overflowPunct w:val="0"/>
        <w:rPr>
          <w:sz w:val="22"/>
          <w:szCs w:val="22"/>
          <w:lang w:val="de-DE"/>
        </w:rPr>
      </w:pPr>
    </w:p>
    <w:p w14:paraId="2DC2EAED" w14:textId="77777777" w:rsidR="00FE291A" w:rsidRDefault="00C8738F">
      <w:pPr>
        <w:pStyle w:val="BodyText"/>
        <w:keepNext/>
        <w:widowControl/>
        <w:kinsoku w:val="0"/>
        <w:overflowPunct w:val="0"/>
        <w:ind w:left="0"/>
        <w:rPr>
          <w:lang w:val="de-DE"/>
        </w:rPr>
      </w:pPr>
      <w:r>
        <w:rPr>
          <w:u w:val="single"/>
          <w:lang w:val="de-DE"/>
        </w:rPr>
        <w:t>Psoriasis-Arthritis</w:t>
      </w:r>
    </w:p>
    <w:p w14:paraId="29BB50F4" w14:textId="77777777" w:rsidR="00FE291A" w:rsidRDefault="00FE291A">
      <w:pPr>
        <w:keepNext/>
        <w:widowControl/>
        <w:kinsoku w:val="0"/>
        <w:overflowPunct w:val="0"/>
        <w:rPr>
          <w:sz w:val="22"/>
          <w:szCs w:val="22"/>
          <w:lang w:val="de-DE"/>
        </w:rPr>
      </w:pPr>
    </w:p>
    <w:p w14:paraId="121D65BA" w14:textId="77777777" w:rsidR="00FE291A" w:rsidRDefault="00C8738F">
      <w:pPr>
        <w:pStyle w:val="BodyText"/>
        <w:widowControl/>
        <w:kinsoku w:val="0"/>
        <w:overflowPunct w:val="0"/>
        <w:ind w:left="0"/>
        <w:rPr>
          <w:lang w:val="de-DE"/>
        </w:rPr>
      </w:pPr>
      <w:r>
        <w:rPr>
          <w:lang w:val="de-DE"/>
        </w:rPr>
        <w:t>AMGEVITA wird angewendet zur Behandlung der aktiven und progressiven Psoriasis-Arthritis (Arthritis psoriatica) bei Erwachsenen, die nur unzureichend auf eine vorherige DMARD-Therapie angesprochen haben. AMGEVITA reduziert das Fortschreiten der radiologisch nachweisbaren strukturellen Schädigungen der peripheren Gelenke bei Patienten mit polyartikulären symmetrischen Subtypen der Erkrankung (siehe Abschnitt 5.1) und verbessert die körperliche Funktionsfähigkeit.</w:t>
      </w:r>
    </w:p>
    <w:p w14:paraId="0CD4562F" w14:textId="77777777" w:rsidR="00FE291A" w:rsidRDefault="00FE291A">
      <w:pPr>
        <w:widowControl/>
        <w:kinsoku w:val="0"/>
        <w:overflowPunct w:val="0"/>
        <w:rPr>
          <w:sz w:val="22"/>
          <w:szCs w:val="22"/>
          <w:lang w:val="de-DE"/>
        </w:rPr>
      </w:pPr>
    </w:p>
    <w:p w14:paraId="48FAF2BC" w14:textId="77777777" w:rsidR="00FE291A" w:rsidRDefault="00C8738F">
      <w:pPr>
        <w:pStyle w:val="BodyText"/>
        <w:keepNext/>
        <w:widowControl/>
        <w:kinsoku w:val="0"/>
        <w:overflowPunct w:val="0"/>
        <w:ind w:left="0"/>
        <w:rPr>
          <w:lang w:val="de-DE"/>
        </w:rPr>
      </w:pPr>
      <w:r>
        <w:rPr>
          <w:u w:val="single"/>
          <w:lang w:val="de-DE"/>
        </w:rPr>
        <w:t>Psoriasis</w:t>
      </w:r>
    </w:p>
    <w:p w14:paraId="5E3EEFD6" w14:textId="77777777" w:rsidR="00FE291A" w:rsidRDefault="00FE291A">
      <w:pPr>
        <w:keepNext/>
        <w:widowControl/>
        <w:kinsoku w:val="0"/>
        <w:overflowPunct w:val="0"/>
        <w:rPr>
          <w:sz w:val="22"/>
          <w:szCs w:val="22"/>
          <w:lang w:val="de-DE"/>
        </w:rPr>
      </w:pPr>
    </w:p>
    <w:p w14:paraId="2F83C0E8" w14:textId="77777777" w:rsidR="00FE291A" w:rsidRDefault="00C8738F">
      <w:pPr>
        <w:pStyle w:val="BodyText"/>
        <w:widowControl/>
        <w:kinsoku w:val="0"/>
        <w:overflowPunct w:val="0"/>
        <w:ind w:left="0"/>
        <w:rPr>
          <w:lang w:val="de-DE"/>
        </w:rPr>
      </w:pPr>
      <w:r>
        <w:rPr>
          <w:lang w:val="de-DE"/>
        </w:rPr>
        <w:t>AMGEVITA wird angewendet zur Behandlung der mittelschweren bis schweren chronischen Plaque</w:t>
      </w:r>
      <w:r>
        <w:rPr>
          <w:lang w:val="de-DE"/>
        </w:rPr>
        <w:noBreakHyphen/>
        <w:t>Psoriasis bei erwachsenen Patienten, die Kandidaten für eine systemische Therapie sind.</w:t>
      </w:r>
    </w:p>
    <w:p w14:paraId="6C8C47CA" w14:textId="77777777" w:rsidR="00FE291A" w:rsidRDefault="00FE291A">
      <w:pPr>
        <w:widowControl/>
        <w:kinsoku w:val="0"/>
        <w:overflowPunct w:val="0"/>
        <w:rPr>
          <w:sz w:val="22"/>
          <w:szCs w:val="22"/>
          <w:lang w:val="de-DE"/>
        </w:rPr>
      </w:pPr>
    </w:p>
    <w:p w14:paraId="5CAB0379" w14:textId="77777777" w:rsidR="00FE291A" w:rsidRDefault="00C8738F">
      <w:pPr>
        <w:pStyle w:val="BodyText"/>
        <w:keepNext/>
        <w:widowControl/>
        <w:kinsoku w:val="0"/>
        <w:overflowPunct w:val="0"/>
        <w:ind w:left="0"/>
        <w:rPr>
          <w:lang w:val="de-DE"/>
        </w:rPr>
      </w:pPr>
      <w:r>
        <w:rPr>
          <w:u w:val="single"/>
          <w:lang w:val="de-DE"/>
        </w:rPr>
        <w:t>Plaque-Psoriasis bei Kindern und Jugendlichen</w:t>
      </w:r>
    </w:p>
    <w:p w14:paraId="27B112CC" w14:textId="77777777" w:rsidR="00FE291A" w:rsidRDefault="00FE291A">
      <w:pPr>
        <w:keepNext/>
        <w:widowControl/>
        <w:kinsoku w:val="0"/>
        <w:overflowPunct w:val="0"/>
        <w:rPr>
          <w:sz w:val="22"/>
          <w:szCs w:val="22"/>
          <w:lang w:val="de-DE"/>
        </w:rPr>
      </w:pPr>
    </w:p>
    <w:p w14:paraId="4F2AEDC8" w14:textId="77777777" w:rsidR="00FE291A" w:rsidRDefault="00C8738F">
      <w:pPr>
        <w:pStyle w:val="BodyText"/>
        <w:widowControl/>
        <w:kinsoku w:val="0"/>
        <w:overflowPunct w:val="0"/>
        <w:ind w:left="0"/>
        <w:rPr>
          <w:lang w:val="de-DE"/>
        </w:rPr>
      </w:pPr>
      <w:r>
        <w:rPr>
          <w:lang w:val="de-DE"/>
        </w:rPr>
        <w:t>AMGEVITA wird angewendet zur Behandlung der schweren chronischen Plaque-Psoriasis bei Kindern und Jugendlichen ab dem Alter von 4 Jahren, die nur unzureichend auf eine topische Therapie und Phototherapien angesprochen haben oder für die diese Therapien nicht geeignet sind.</w:t>
      </w:r>
    </w:p>
    <w:p w14:paraId="3CF0EB0C" w14:textId="77777777" w:rsidR="00FE291A" w:rsidRDefault="00FE291A">
      <w:pPr>
        <w:widowControl/>
        <w:kinsoku w:val="0"/>
        <w:overflowPunct w:val="0"/>
        <w:rPr>
          <w:sz w:val="22"/>
          <w:szCs w:val="22"/>
          <w:lang w:val="de-DE"/>
        </w:rPr>
      </w:pPr>
    </w:p>
    <w:p w14:paraId="0175F997" w14:textId="77777777" w:rsidR="00FE291A" w:rsidRDefault="00C8738F">
      <w:pPr>
        <w:pStyle w:val="BodyText"/>
        <w:keepNext/>
        <w:widowControl/>
        <w:kinsoku w:val="0"/>
        <w:overflowPunct w:val="0"/>
        <w:ind w:left="0"/>
        <w:rPr>
          <w:lang w:val="de-DE"/>
        </w:rPr>
      </w:pPr>
      <w:r>
        <w:rPr>
          <w:u w:val="single"/>
          <w:lang w:val="de-DE"/>
        </w:rPr>
        <w:t>Hidradenitis suppurativa (Acne inversa)</w:t>
      </w:r>
    </w:p>
    <w:p w14:paraId="25F4BB3F" w14:textId="77777777" w:rsidR="00FE291A" w:rsidRDefault="00FE291A">
      <w:pPr>
        <w:keepNext/>
        <w:widowControl/>
        <w:kinsoku w:val="0"/>
        <w:overflowPunct w:val="0"/>
        <w:rPr>
          <w:sz w:val="22"/>
          <w:szCs w:val="22"/>
          <w:lang w:val="de-DE"/>
        </w:rPr>
      </w:pPr>
    </w:p>
    <w:p w14:paraId="38C02BDE" w14:textId="77777777" w:rsidR="00FE291A" w:rsidRDefault="00C8738F">
      <w:pPr>
        <w:pStyle w:val="BodyText"/>
        <w:widowControl/>
        <w:kinsoku w:val="0"/>
        <w:overflowPunct w:val="0"/>
        <w:ind w:left="0"/>
        <w:rPr>
          <w:lang w:val="de-DE"/>
        </w:rPr>
      </w:pPr>
      <w:r>
        <w:rPr>
          <w:lang w:val="de-DE"/>
        </w:rPr>
        <w:t>AMGEVITA wird angewendet zur Behandlung der mittelschweren bis schweren aktiven Hidradenitis suppurativa (HS) bei Erwachsenen und Jugendlichen ab einem Alter von 12 Jahren, die unzureichend auf eine konventionelle systemische HS</w:t>
      </w:r>
      <w:r>
        <w:rPr>
          <w:lang w:val="de-DE"/>
        </w:rPr>
        <w:noBreakHyphen/>
        <w:t>Therapie ansprechen (siehe Abschnitte 5.1 und 5.2).</w:t>
      </w:r>
    </w:p>
    <w:p w14:paraId="3F5FA9AB" w14:textId="77777777" w:rsidR="00FE291A" w:rsidRDefault="00FE291A">
      <w:pPr>
        <w:widowControl/>
        <w:kinsoku w:val="0"/>
        <w:overflowPunct w:val="0"/>
        <w:rPr>
          <w:sz w:val="22"/>
          <w:szCs w:val="22"/>
          <w:lang w:val="de-DE"/>
        </w:rPr>
      </w:pPr>
    </w:p>
    <w:p w14:paraId="53FCE853" w14:textId="77777777" w:rsidR="00FE291A" w:rsidRDefault="00C8738F">
      <w:pPr>
        <w:pStyle w:val="BodyText"/>
        <w:keepNext/>
        <w:widowControl/>
        <w:kinsoku w:val="0"/>
        <w:overflowPunct w:val="0"/>
        <w:ind w:left="0"/>
        <w:rPr>
          <w:lang w:val="de-DE"/>
        </w:rPr>
      </w:pPr>
      <w:r>
        <w:rPr>
          <w:u w:val="single"/>
          <w:lang w:val="de-DE"/>
        </w:rPr>
        <w:lastRenderedPageBreak/>
        <w:t>Morbus Crohn</w:t>
      </w:r>
    </w:p>
    <w:p w14:paraId="2869A4E0" w14:textId="77777777" w:rsidR="00FE291A" w:rsidRDefault="00FE291A">
      <w:pPr>
        <w:keepNext/>
        <w:widowControl/>
        <w:kinsoku w:val="0"/>
        <w:overflowPunct w:val="0"/>
        <w:rPr>
          <w:sz w:val="22"/>
          <w:szCs w:val="22"/>
          <w:lang w:val="de-DE"/>
        </w:rPr>
      </w:pPr>
    </w:p>
    <w:p w14:paraId="77E6EE5A" w14:textId="77777777" w:rsidR="00FE291A" w:rsidRDefault="00C8738F">
      <w:pPr>
        <w:pStyle w:val="BodyText"/>
        <w:keepNext/>
        <w:widowControl/>
        <w:kinsoku w:val="0"/>
        <w:overflowPunct w:val="0"/>
        <w:ind w:left="0"/>
        <w:rPr>
          <w:lang w:val="de-DE"/>
        </w:rPr>
      </w:pPr>
      <w:r>
        <w:rPr>
          <w:lang w:val="de-DE"/>
        </w:rPr>
        <w:t>AMGEVITA wird angewendet zur Behandlung des mittelschweren bis schweren, aktiven Morbus Crohn bei erwachsenen Patienten, die trotz einer vollständigen und adäquaten Therapie mit einem Kortikosteroid und/oder einem Immunsuppressivum nicht ausreichend angesprochen haben oder die eine Unverträglichkeit gegenüber einer solchen Therapie haben oder bei denen eine solche Therapie kontraindiziert ist.</w:t>
      </w:r>
    </w:p>
    <w:p w14:paraId="7152EFBF" w14:textId="77777777" w:rsidR="00FE291A" w:rsidRDefault="00FE291A">
      <w:pPr>
        <w:pStyle w:val="BodyText"/>
        <w:widowControl/>
        <w:kinsoku w:val="0"/>
        <w:overflowPunct w:val="0"/>
        <w:ind w:left="0"/>
        <w:rPr>
          <w:lang w:val="de-DE"/>
        </w:rPr>
      </w:pPr>
    </w:p>
    <w:p w14:paraId="15C478BC" w14:textId="77777777" w:rsidR="00FE291A" w:rsidRDefault="00C8738F">
      <w:pPr>
        <w:pStyle w:val="BodyText"/>
        <w:keepNext/>
        <w:widowControl/>
        <w:kinsoku w:val="0"/>
        <w:overflowPunct w:val="0"/>
        <w:ind w:left="0"/>
        <w:rPr>
          <w:lang w:val="de-DE"/>
        </w:rPr>
      </w:pPr>
      <w:r>
        <w:rPr>
          <w:u w:val="single"/>
          <w:lang w:val="de-DE"/>
        </w:rPr>
        <w:t>Morbus Crohn bei Kindern und Jugendlichen</w:t>
      </w:r>
    </w:p>
    <w:p w14:paraId="2D589200" w14:textId="77777777" w:rsidR="00FE291A" w:rsidRDefault="00FE291A">
      <w:pPr>
        <w:keepNext/>
        <w:widowControl/>
        <w:kinsoku w:val="0"/>
        <w:overflowPunct w:val="0"/>
        <w:rPr>
          <w:sz w:val="22"/>
          <w:szCs w:val="22"/>
          <w:lang w:val="de-DE"/>
        </w:rPr>
      </w:pPr>
    </w:p>
    <w:p w14:paraId="39E5CB57" w14:textId="77777777" w:rsidR="00FE291A" w:rsidRDefault="00C8738F">
      <w:pPr>
        <w:pStyle w:val="BodyText"/>
        <w:widowControl/>
        <w:kinsoku w:val="0"/>
        <w:overflowPunct w:val="0"/>
        <w:ind w:left="0"/>
        <w:rPr>
          <w:lang w:val="de-DE"/>
        </w:rPr>
      </w:pPr>
      <w:r>
        <w:rPr>
          <w:lang w:val="de-DE"/>
        </w:rPr>
        <w:t>AMGEVITA wird angewendet zur Behandlung des mittelschweren bis schweren, aktiven Morbus Crohn bei Kindern und Jugendlichen (ab dem Alter von 6 Jahren), die nur unzureichend auf eine konventionelle Therapie, einschließlich primärer Ernährungstherapie und einem Kortikosteroid und/oder einem Immunsuppressivum, angesprochen haben oder die eine Unverträglichkeit gegenüber einer solchen Therapie haben oder bei denen eine solche Therapie kontraindiziert ist.</w:t>
      </w:r>
    </w:p>
    <w:p w14:paraId="3FB68B11" w14:textId="77777777" w:rsidR="00FE291A" w:rsidRDefault="00FE291A">
      <w:pPr>
        <w:widowControl/>
        <w:kinsoku w:val="0"/>
        <w:overflowPunct w:val="0"/>
        <w:rPr>
          <w:sz w:val="22"/>
          <w:szCs w:val="22"/>
          <w:lang w:val="de-DE"/>
        </w:rPr>
      </w:pPr>
    </w:p>
    <w:p w14:paraId="5901E96F" w14:textId="77777777" w:rsidR="00FE291A" w:rsidRDefault="00C8738F">
      <w:pPr>
        <w:pStyle w:val="BodyText"/>
        <w:keepNext/>
        <w:widowControl/>
        <w:kinsoku w:val="0"/>
        <w:overflowPunct w:val="0"/>
        <w:ind w:left="0"/>
        <w:rPr>
          <w:lang w:val="de-DE"/>
        </w:rPr>
      </w:pPr>
      <w:r>
        <w:rPr>
          <w:u w:val="single"/>
          <w:lang w:val="de-DE"/>
        </w:rPr>
        <w:t>Colitis ulcerosa</w:t>
      </w:r>
    </w:p>
    <w:p w14:paraId="3965347F" w14:textId="77777777" w:rsidR="00FE291A" w:rsidRDefault="00FE291A">
      <w:pPr>
        <w:keepNext/>
        <w:widowControl/>
        <w:kinsoku w:val="0"/>
        <w:overflowPunct w:val="0"/>
        <w:rPr>
          <w:sz w:val="22"/>
          <w:szCs w:val="22"/>
          <w:lang w:val="de-DE"/>
        </w:rPr>
      </w:pPr>
    </w:p>
    <w:p w14:paraId="7A9BB88F" w14:textId="77777777" w:rsidR="00FE291A" w:rsidRDefault="00C8738F">
      <w:pPr>
        <w:pStyle w:val="BodyText"/>
        <w:widowControl/>
        <w:kinsoku w:val="0"/>
        <w:overflowPunct w:val="0"/>
        <w:ind w:left="0"/>
        <w:rPr>
          <w:lang w:val="de-DE"/>
        </w:rPr>
      </w:pPr>
      <w:r>
        <w:rPr>
          <w:lang w:val="de-DE"/>
        </w:rPr>
        <w:t>AMGEVITA wird angewendet zur Behandlung der mittelschweren bis schweren aktiven Colitis ulcerosa bei erwachsenen Patienten, die auf eine konventionelle Therapie, einschließlich Kortikosteroiden und 6</w:t>
      </w:r>
      <w:r>
        <w:rPr>
          <w:lang w:val="de-DE"/>
        </w:rPr>
        <w:noBreakHyphen/>
        <w:t>Mercaptopurin (6-MP) oder Azathioprin (AZA), unzureichend angesprochen haben oder die eine Unverträglichkeit gegenüber einer solchen Therapie haben oder bei denen eine solche Therapie kontraindiziert ist.</w:t>
      </w:r>
    </w:p>
    <w:p w14:paraId="430450A4" w14:textId="77777777" w:rsidR="00FE291A" w:rsidRDefault="00FE291A">
      <w:pPr>
        <w:widowControl/>
        <w:kinsoku w:val="0"/>
        <w:overflowPunct w:val="0"/>
        <w:rPr>
          <w:sz w:val="22"/>
          <w:szCs w:val="22"/>
          <w:lang w:val="de-DE"/>
        </w:rPr>
      </w:pPr>
    </w:p>
    <w:p w14:paraId="179685D0" w14:textId="77777777" w:rsidR="00FE291A" w:rsidRDefault="00C8738F">
      <w:pPr>
        <w:widowControl/>
        <w:rPr>
          <w:color w:val="000000"/>
          <w:sz w:val="22"/>
          <w:szCs w:val="22"/>
          <w:u w:val="single"/>
          <w:lang w:val="de-DE"/>
        </w:rPr>
      </w:pPr>
      <w:r>
        <w:rPr>
          <w:color w:val="000000"/>
          <w:sz w:val="22"/>
          <w:szCs w:val="22"/>
          <w:u w:val="single"/>
          <w:lang w:val="de-DE"/>
        </w:rPr>
        <w:t>Colitis ulcerosa bei Kindern und Jugendlichen</w:t>
      </w:r>
      <w:r>
        <w:rPr>
          <w:color w:val="000000"/>
          <w:sz w:val="22"/>
          <w:szCs w:val="22"/>
          <w:lang w:val="de-DE"/>
        </w:rPr>
        <w:t xml:space="preserve"> </w:t>
      </w:r>
    </w:p>
    <w:p w14:paraId="04983510" w14:textId="77777777" w:rsidR="00FE291A" w:rsidRDefault="00FE291A">
      <w:pPr>
        <w:widowControl/>
        <w:rPr>
          <w:color w:val="000000"/>
          <w:sz w:val="22"/>
          <w:szCs w:val="22"/>
          <w:lang w:val="de-DE"/>
        </w:rPr>
      </w:pPr>
    </w:p>
    <w:p w14:paraId="5E3858A3" w14:textId="77777777" w:rsidR="00FE291A" w:rsidRDefault="00C8738F">
      <w:pPr>
        <w:pStyle w:val="BodyText"/>
        <w:keepNext/>
        <w:widowControl/>
        <w:kinsoku w:val="0"/>
        <w:overflowPunct w:val="0"/>
        <w:ind w:left="0"/>
        <w:rPr>
          <w:u w:val="single"/>
          <w:lang w:val="de-DE"/>
        </w:rPr>
      </w:pPr>
      <w:r>
        <w:rPr>
          <w:color w:val="000000"/>
          <w:lang w:val="de-DE"/>
        </w:rPr>
        <w:t>AMGEVITA wird angewendet zur Behandlung der mittelschweren bis schweren aktiven Colitis ulcerosa bei Kindern und Jugendlichen (ab dem Alter von 6 Jahren), die nur unzureichend auf eine konventionelle Therapie, einschließlich Kortikosteroiden und/oder 6-Mercaptopurin (6-MP) oder Azathioprin (AZA), angesprochen haben oder die eine Unverträglichkeit gegenüber einer solchen Therapie haben oder bei denen eine solche Therapie kontraindiziert ist.</w:t>
      </w:r>
    </w:p>
    <w:p w14:paraId="32AD5D67" w14:textId="77777777" w:rsidR="00FE291A" w:rsidRDefault="00FE291A">
      <w:pPr>
        <w:pStyle w:val="BodyText"/>
        <w:keepNext/>
        <w:widowControl/>
        <w:kinsoku w:val="0"/>
        <w:overflowPunct w:val="0"/>
        <w:ind w:left="0"/>
        <w:rPr>
          <w:u w:val="single"/>
          <w:lang w:val="de-DE"/>
        </w:rPr>
      </w:pPr>
    </w:p>
    <w:p w14:paraId="3FE4F962" w14:textId="77777777" w:rsidR="00FE291A" w:rsidRDefault="00C8738F">
      <w:pPr>
        <w:pStyle w:val="BodyText"/>
        <w:keepNext/>
        <w:widowControl/>
        <w:kinsoku w:val="0"/>
        <w:overflowPunct w:val="0"/>
        <w:ind w:left="0"/>
        <w:rPr>
          <w:lang w:val="de-DE"/>
        </w:rPr>
      </w:pPr>
      <w:r>
        <w:rPr>
          <w:u w:val="single"/>
          <w:lang w:val="de-DE"/>
        </w:rPr>
        <w:t>Uveitis</w:t>
      </w:r>
    </w:p>
    <w:p w14:paraId="4E3FEA96" w14:textId="77777777" w:rsidR="00FE291A" w:rsidRDefault="00FE291A">
      <w:pPr>
        <w:keepNext/>
        <w:widowControl/>
        <w:kinsoku w:val="0"/>
        <w:overflowPunct w:val="0"/>
        <w:rPr>
          <w:sz w:val="22"/>
          <w:szCs w:val="22"/>
          <w:lang w:val="de-DE"/>
        </w:rPr>
      </w:pPr>
    </w:p>
    <w:p w14:paraId="051748FF" w14:textId="77777777" w:rsidR="00FE291A" w:rsidRDefault="00C8738F">
      <w:pPr>
        <w:pStyle w:val="BodyText"/>
        <w:widowControl/>
        <w:kinsoku w:val="0"/>
        <w:overflowPunct w:val="0"/>
        <w:ind w:left="0"/>
        <w:rPr>
          <w:lang w:val="de-DE"/>
        </w:rPr>
      </w:pPr>
      <w:r>
        <w:rPr>
          <w:lang w:val="de-DE"/>
        </w:rPr>
        <w:t>AMGEVITA wird angewendet zur Behandlung der nicht infektiösen Uveitis intermedia, Uveitis posterior und Panuveitis bei erwachsenen Patienten, die nur unzureichend auf Kortikosteroide angesprochen haben, eine Kortikosteroid sparende Behandlung benötigen oder für die eine Behandlung mit Kortikosteroiden nicht geeignet ist.</w:t>
      </w:r>
    </w:p>
    <w:p w14:paraId="69582392" w14:textId="77777777" w:rsidR="00FE291A" w:rsidRDefault="00FE291A">
      <w:pPr>
        <w:pStyle w:val="BodyText"/>
        <w:widowControl/>
        <w:kinsoku w:val="0"/>
        <w:overflowPunct w:val="0"/>
        <w:ind w:left="0"/>
        <w:rPr>
          <w:lang w:val="de-DE"/>
        </w:rPr>
      </w:pPr>
    </w:p>
    <w:p w14:paraId="75597612" w14:textId="77777777" w:rsidR="00FE291A" w:rsidRDefault="00C8738F">
      <w:pPr>
        <w:pStyle w:val="BodyText"/>
        <w:keepNext/>
        <w:widowControl/>
        <w:kinsoku w:val="0"/>
        <w:overflowPunct w:val="0"/>
        <w:ind w:left="0"/>
        <w:rPr>
          <w:u w:val="single"/>
          <w:lang w:val="de-DE"/>
        </w:rPr>
      </w:pPr>
      <w:r>
        <w:rPr>
          <w:u w:val="single"/>
          <w:lang w:val="de-DE"/>
        </w:rPr>
        <w:t>Uveitis bei Kindern und Jugendlichen</w:t>
      </w:r>
    </w:p>
    <w:p w14:paraId="04138F2C" w14:textId="77777777" w:rsidR="00FE291A" w:rsidRDefault="00FE291A">
      <w:pPr>
        <w:pStyle w:val="BodyText"/>
        <w:keepNext/>
        <w:widowControl/>
        <w:kinsoku w:val="0"/>
        <w:overflowPunct w:val="0"/>
        <w:ind w:left="0"/>
        <w:rPr>
          <w:lang w:val="de-DE"/>
        </w:rPr>
      </w:pPr>
    </w:p>
    <w:p w14:paraId="7D683D8F" w14:textId="77777777" w:rsidR="00FE291A" w:rsidRDefault="00C8738F">
      <w:pPr>
        <w:pStyle w:val="BodyText"/>
        <w:widowControl/>
        <w:kinsoku w:val="0"/>
        <w:overflowPunct w:val="0"/>
        <w:ind w:left="0"/>
        <w:rPr>
          <w:lang w:val="de-DE"/>
        </w:rPr>
      </w:pPr>
      <w:r>
        <w:rPr>
          <w:lang w:val="de-DE"/>
        </w:rPr>
        <w:t xml:space="preserve">AMGEVITA wird angewendet zur Behandlung </w:t>
      </w:r>
      <w:r>
        <w:rPr>
          <w:rFonts w:cs="Calibri"/>
          <w:lang w:val="de-DE"/>
        </w:rPr>
        <w:t>der chronischen nicht infektiösen Uveitis anterior bei Kindern und Jugendlichen ab dem Alter von 2 Jahren, die unzureichend auf eine konventionelle Therapie angesprochen haben oder die eine Unverträglichkeit gegenüber einer solchen Therapie haben oder für die eine konventionelle Therapie nicht geeignet ist.</w:t>
      </w:r>
    </w:p>
    <w:p w14:paraId="230E8818" w14:textId="77777777" w:rsidR="00FE291A" w:rsidRDefault="00FE291A">
      <w:pPr>
        <w:widowControl/>
        <w:kinsoku w:val="0"/>
        <w:overflowPunct w:val="0"/>
        <w:rPr>
          <w:sz w:val="22"/>
          <w:szCs w:val="22"/>
          <w:lang w:val="de-DE"/>
        </w:rPr>
      </w:pPr>
    </w:p>
    <w:p w14:paraId="7F87BEFB" w14:textId="77777777" w:rsidR="00FE291A" w:rsidRDefault="00C8738F">
      <w:pPr>
        <w:pStyle w:val="Heading1"/>
        <w:keepNext/>
        <w:widowControl/>
        <w:numPr>
          <w:ilvl w:val="1"/>
          <w:numId w:val="7"/>
        </w:numPr>
        <w:tabs>
          <w:tab w:val="left" w:pos="567"/>
        </w:tabs>
        <w:kinsoku w:val="0"/>
        <w:overflowPunct w:val="0"/>
        <w:ind w:left="0" w:firstLine="0"/>
        <w:rPr>
          <w:b w:val="0"/>
          <w:bCs w:val="0"/>
          <w:lang w:val="de-DE"/>
        </w:rPr>
      </w:pPr>
      <w:r>
        <w:rPr>
          <w:lang w:val="de-DE"/>
        </w:rPr>
        <w:t>Dosierung und Art der Anwendung</w:t>
      </w:r>
    </w:p>
    <w:p w14:paraId="15B6A137" w14:textId="77777777" w:rsidR="00FE291A" w:rsidRDefault="00FE291A">
      <w:pPr>
        <w:keepNext/>
        <w:widowControl/>
        <w:kinsoku w:val="0"/>
        <w:overflowPunct w:val="0"/>
        <w:rPr>
          <w:sz w:val="22"/>
          <w:szCs w:val="22"/>
          <w:lang w:val="de-DE"/>
        </w:rPr>
      </w:pPr>
    </w:p>
    <w:p w14:paraId="1A53828A" w14:textId="77777777" w:rsidR="00FE291A" w:rsidRDefault="00C8738F">
      <w:pPr>
        <w:pStyle w:val="BodyText"/>
        <w:widowControl/>
        <w:kinsoku w:val="0"/>
        <w:overflowPunct w:val="0"/>
        <w:ind w:left="0"/>
        <w:rPr>
          <w:lang w:val="de-DE"/>
        </w:rPr>
      </w:pPr>
      <w:r>
        <w:rPr>
          <w:lang w:val="de-DE"/>
        </w:rPr>
        <w:t>Die Behandlung mit AMGEVITA sollte von einem Facharzt mit Erfahrung in der Diagnose und Behandlung von Krankheitszuständen, für die AMGEVITA indiziert ist, eingeleitet und überwacht werden. Augenärzten wird angeraten, vor der Einleitung einer AMGEVITA-Therapie einen entsprechenden Spezialisten zurate zu ziehen (siehe Abschnitt 4.4). Patienten, die mit AMGEVITA behandelt werden, sollte der spezielle Patientenpass ausgehändigt werden.</w:t>
      </w:r>
    </w:p>
    <w:p w14:paraId="10C3AD85" w14:textId="77777777" w:rsidR="00FE291A" w:rsidRDefault="00FE291A">
      <w:pPr>
        <w:widowControl/>
        <w:kinsoku w:val="0"/>
        <w:overflowPunct w:val="0"/>
        <w:rPr>
          <w:sz w:val="22"/>
          <w:szCs w:val="22"/>
          <w:lang w:val="de-DE"/>
        </w:rPr>
      </w:pPr>
    </w:p>
    <w:p w14:paraId="3DE4826F" w14:textId="77777777" w:rsidR="00FE291A" w:rsidRDefault="00C8738F">
      <w:pPr>
        <w:widowControl/>
        <w:kinsoku w:val="0"/>
        <w:overflowPunct w:val="0"/>
        <w:rPr>
          <w:sz w:val="22"/>
          <w:szCs w:val="22"/>
          <w:lang w:val="de-DE"/>
        </w:rPr>
      </w:pPr>
      <w:r>
        <w:rPr>
          <w:sz w:val="22"/>
          <w:szCs w:val="22"/>
          <w:lang w:val="de-DE"/>
        </w:rPr>
        <w:t>Nach einer entsprechenden Einweisung in die Injektionstechnik können Patienten AMGEVITA selbst injizieren, falls ihr Arzt dies für angemessen hält und medizinische Nachuntersuchungen nach Bedarf erfolgen.</w:t>
      </w:r>
    </w:p>
    <w:p w14:paraId="026CC23B" w14:textId="77777777" w:rsidR="00FE291A" w:rsidRDefault="00FE291A">
      <w:pPr>
        <w:widowControl/>
        <w:kinsoku w:val="0"/>
        <w:overflowPunct w:val="0"/>
        <w:rPr>
          <w:sz w:val="22"/>
          <w:szCs w:val="22"/>
          <w:lang w:val="de-DE"/>
        </w:rPr>
      </w:pPr>
    </w:p>
    <w:p w14:paraId="2164061C" w14:textId="77777777" w:rsidR="00FE291A" w:rsidRDefault="00C8738F">
      <w:pPr>
        <w:pStyle w:val="BodyText"/>
        <w:widowControl/>
        <w:kinsoku w:val="0"/>
        <w:overflowPunct w:val="0"/>
        <w:ind w:left="0"/>
        <w:rPr>
          <w:lang w:val="de-DE"/>
        </w:rPr>
      </w:pPr>
      <w:r>
        <w:rPr>
          <w:lang w:val="de-DE"/>
        </w:rPr>
        <w:t>Während der Behandlung mit AMGEVITA sollten andere Begleittherapien (z. B. Kortikosteroide und/oder Immunsuppressiva) optimiert werden.</w:t>
      </w:r>
    </w:p>
    <w:p w14:paraId="154B2E41" w14:textId="77777777" w:rsidR="00FE291A" w:rsidRDefault="00FE291A">
      <w:pPr>
        <w:widowControl/>
        <w:kinsoku w:val="0"/>
        <w:overflowPunct w:val="0"/>
        <w:rPr>
          <w:sz w:val="22"/>
          <w:szCs w:val="22"/>
          <w:lang w:val="de-DE"/>
        </w:rPr>
      </w:pPr>
    </w:p>
    <w:p w14:paraId="003A2213" w14:textId="77777777" w:rsidR="00FE291A" w:rsidRDefault="00C8738F">
      <w:pPr>
        <w:pStyle w:val="BodyText"/>
        <w:keepNext/>
        <w:widowControl/>
        <w:kinsoku w:val="0"/>
        <w:overflowPunct w:val="0"/>
        <w:ind w:left="0"/>
        <w:rPr>
          <w:lang w:val="de-DE"/>
        </w:rPr>
      </w:pPr>
      <w:r>
        <w:rPr>
          <w:u w:val="single"/>
          <w:lang w:val="de-DE"/>
        </w:rPr>
        <w:t>Dosierung</w:t>
      </w:r>
    </w:p>
    <w:p w14:paraId="5139D7B1" w14:textId="77777777" w:rsidR="00FE291A" w:rsidRDefault="00FE291A">
      <w:pPr>
        <w:keepNext/>
        <w:widowControl/>
        <w:kinsoku w:val="0"/>
        <w:overflowPunct w:val="0"/>
        <w:rPr>
          <w:sz w:val="22"/>
          <w:szCs w:val="22"/>
          <w:lang w:val="de-DE"/>
        </w:rPr>
      </w:pPr>
    </w:p>
    <w:p w14:paraId="33148243" w14:textId="77777777" w:rsidR="00FE291A" w:rsidRDefault="00C8738F">
      <w:pPr>
        <w:keepNext/>
        <w:widowControl/>
        <w:kinsoku w:val="0"/>
        <w:overflowPunct w:val="0"/>
        <w:rPr>
          <w:sz w:val="22"/>
          <w:szCs w:val="22"/>
          <w:lang w:val="de-DE"/>
        </w:rPr>
      </w:pPr>
      <w:r>
        <w:rPr>
          <w:i/>
          <w:iCs/>
          <w:sz w:val="22"/>
          <w:szCs w:val="22"/>
          <w:lang w:val="de-DE"/>
        </w:rPr>
        <w:t>Rheumatoide Arthritis</w:t>
      </w:r>
    </w:p>
    <w:p w14:paraId="34D607DA" w14:textId="77777777" w:rsidR="00FE291A" w:rsidRDefault="00FE291A">
      <w:pPr>
        <w:keepNext/>
        <w:widowControl/>
        <w:kinsoku w:val="0"/>
        <w:overflowPunct w:val="0"/>
        <w:rPr>
          <w:sz w:val="22"/>
          <w:szCs w:val="22"/>
          <w:lang w:val="de-DE"/>
        </w:rPr>
      </w:pPr>
    </w:p>
    <w:p w14:paraId="11F802ED" w14:textId="77777777" w:rsidR="00FE291A" w:rsidRDefault="00C8738F">
      <w:pPr>
        <w:pStyle w:val="BodyText"/>
        <w:widowControl/>
        <w:kinsoku w:val="0"/>
        <w:overflowPunct w:val="0"/>
        <w:ind w:left="0"/>
        <w:rPr>
          <w:lang w:val="de-DE"/>
        </w:rPr>
      </w:pPr>
      <w:r>
        <w:rPr>
          <w:lang w:val="de-DE"/>
        </w:rPr>
        <w:t>Bei erwachsenen Patienten mit rheumatoider Arthritis beträgt die empfohlene Dosis von AMGEVITA 40 mg Adalimumab, die jede zweite Woche als Einzeldosis subkutan injiziert wird. Die Anwendung von Methotrexat sollte während der Behandlung mit AMGEVITA fortgesetzt werden.</w:t>
      </w:r>
    </w:p>
    <w:p w14:paraId="7294F192" w14:textId="77777777" w:rsidR="00FE291A" w:rsidRDefault="00FE291A">
      <w:pPr>
        <w:widowControl/>
        <w:kinsoku w:val="0"/>
        <w:overflowPunct w:val="0"/>
        <w:rPr>
          <w:sz w:val="22"/>
          <w:szCs w:val="22"/>
          <w:lang w:val="de-DE"/>
        </w:rPr>
      </w:pPr>
    </w:p>
    <w:p w14:paraId="57046613" w14:textId="77777777" w:rsidR="00FE291A" w:rsidRDefault="00C8738F">
      <w:pPr>
        <w:pStyle w:val="BodyText"/>
        <w:widowControl/>
        <w:kinsoku w:val="0"/>
        <w:overflowPunct w:val="0"/>
        <w:ind w:left="0"/>
        <w:rPr>
          <w:lang w:val="de-DE"/>
        </w:rPr>
      </w:pPr>
      <w:r>
        <w:rPr>
          <w:lang w:val="de-DE"/>
        </w:rPr>
        <w:t>Die Gabe von Kortikosteroiden, Salizylaten, nicht steroidalen Antiphlogistika oder Analgetika kann während der Behandlung mit AMGEVITA fortgesetzt werden. Bezüglich der Kombination mit anderen krankheitsmodifizierenden Antirheumatika als Methotrexat siehe Abschnitte 4.4 und 5.1.</w:t>
      </w:r>
    </w:p>
    <w:p w14:paraId="5ECCC071" w14:textId="77777777" w:rsidR="00FE291A" w:rsidRDefault="00FE291A">
      <w:pPr>
        <w:widowControl/>
        <w:kinsoku w:val="0"/>
        <w:overflowPunct w:val="0"/>
        <w:rPr>
          <w:sz w:val="22"/>
          <w:szCs w:val="22"/>
          <w:lang w:val="de-DE"/>
        </w:rPr>
      </w:pPr>
    </w:p>
    <w:p w14:paraId="6FFF8B36" w14:textId="77777777" w:rsidR="00FE291A" w:rsidRDefault="00C8738F">
      <w:pPr>
        <w:pStyle w:val="BodyText"/>
        <w:widowControl/>
        <w:kinsoku w:val="0"/>
        <w:overflowPunct w:val="0"/>
        <w:ind w:left="0"/>
        <w:rPr>
          <w:lang w:val="de-DE"/>
        </w:rPr>
      </w:pPr>
      <w:r>
        <w:rPr>
          <w:lang w:val="de-DE"/>
        </w:rPr>
        <w:t>Einige der Patienten, die mit einer Monotherapie behandelt werden und nur unzureichend auf AMGEVITA 40 mg jede zweite Woche ansprechen, könnten von einer Erhöhung der Dosis auf 40 mg Adalimumab jede Woche oder 80 mg jede zweite Woche profitieren.</w:t>
      </w:r>
    </w:p>
    <w:p w14:paraId="398C807E" w14:textId="77777777" w:rsidR="00FE291A" w:rsidRDefault="00FE291A">
      <w:pPr>
        <w:widowControl/>
        <w:kinsoku w:val="0"/>
        <w:overflowPunct w:val="0"/>
        <w:rPr>
          <w:sz w:val="22"/>
          <w:szCs w:val="22"/>
          <w:lang w:val="de-DE"/>
        </w:rPr>
      </w:pPr>
    </w:p>
    <w:p w14:paraId="5E2A2E93" w14:textId="77777777" w:rsidR="00FE291A" w:rsidRDefault="00C8738F">
      <w:pPr>
        <w:pStyle w:val="BodyText"/>
        <w:widowControl/>
        <w:kinsoku w:val="0"/>
        <w:overflowPunct w:val="0"/>
        <w:ind w:left="0"/>
        <w:rPr>
          <w:lang w:val="de-DE"/>
        </w:rPr>
      </w:pPr>
      <w:r>
        <w:rPr>
          <w:lang w:val="de-DE"/>
        </w:rPr>
        <w:t>Die verfügbaren Adalimumab-Daten weisen darauf hin, dass ein klinisches Ansprechen üblicherweise innerhalb von 12 Behandlungswochen erreicht wird. Die Fortsetzung der Therapie sollte bei einem Patienten, der innerhalb dieser Zeitspanne nicht anspricht, nochmals überdacht werden.</w:t>
      </w:r>
    </w:p>
    <w:p w14:paraId="13499E36" w14:textId="77777777" w:rsidR="00FE291A" w:rsidRDefault="00FE291A">
      <w:pPr>
        <w:widowControl/>
        <w:kinsoku w:val="0"/>
        <w:overflowPunct w:val="0"/>
        <w:rPr>
          <w:sz w:val="22"/>
          <w:szCs w:val="22"/>
          <w:lang w:val="de-DE"/>
        </w:rPr>
      </w:pPr>
    </w:p>
    <w:p w14:paraId="0A474B2C" w14:textId="77777777" w:rsidR="00FE291A" w:rsidRDefault="00C8738F">
      <w:pPr>
        <w:keepNext/>
        <w:widowControl/>
        <w:kinsoku w:val="0"/>
        <w:overflowPunct w:val="0"/>
        <w:rPr>
          <w:sz w:val="22"/>
          <w:szCs w:val="22"/>
          <w:lang w:val="de-DE"/>
        </w:rPr>
      </w:pPr>
      <w:r>
        <w:rPr>
          <w:i/>
          <w:iCs/>
          <w:sz w:val="22"/>
          <w:szCs w:val="22"/>
          <w:u w:val="single"/>
          <w:lang w:val="de-DE"/>
        </w:rPr>
        <w:t>Dosisunterbrechung</w:t>
      </w:r>
    </w:p>
    <w:p w14:paraId="6C1B8A62" w14:textId="77777777" w:rsidR="00FE291A" w:rsidRDefault="00FE291A">
      <w:pPr>
        <w:keepNext/>
        <w:widowControl/>
        <w:kinsoku w:val="0"/>
        <w:overflowPunct w:val="0"/>
        <w:rPr>
          <w:sz w:val="22"/>
          <w:szCs w:val="22"/>
          <w:lang w:val="de-DE"/>
        </w:rPr>
      </w:pPr>
    </w:p>
    <w:p w14:paraId="7798C2AA" w14:textId="77777777" w:rsidR="00FE291A" w:rsidRDefault="00C8738F">
      <w:pPr>
        <w:pStyle w:val="BodyText"/>
        <w:widowControl/>
        <w:kinsoku w:val="0"/>
        <w:overflowPunct w:val="0"/>
        <w:ind w:left="0"/>
        <w:rPr>
          <w:lang w:val="de-DE"/>
        </w:rPr>
      </w:pPr>
      <w:r>
        <w:rPr>
          <w:lang w:val="de-DE"/>
        </w:rPr>
        <w:t>Eine Dosisunterbrechung kann erforderlich sein, z. B. vor einer Operation oder beim Auftreten einer schweren Infektion.</w:t>
      </w:r>
    </w:p>
    <w:p w14:paraId="3A70F7B5" w14:textId="77777777" w:rsidR="00FE291A" w:rsidRDefault="00FE291A">
      <w:pPr>
        <w:widowControl/>
        <w:kinsoku w:val="0"/>
        <w:overflowPunct w:val="0"/>
        <w:rPr>
          <w:sz w:val="22"/>
          <w:szCs w:val="22"/>
          <w:lang w:val="de-DE"/>
        </w:rPr>
      </w:pPr>
    </w:p>
    <w:p w14:paraId="1ADBAFA6" w14:textId="77777777" w:rsidR="00FE291A" w:rsidRDefault="00C8738F">
      <w:pPr>
        <w:pStyle w:val="BodyText"/>
        <w:widowControl/>
        <w:kinsoku w:val="0"/>
        <w:overflowPunct w:val="0"/>
        <w:ind w:left="0"/>
        <w:rPr>
          <w:lang w:val="de-DE"/>
        </w:rPr>
      </w:pPr>
      <w:r>
        <w:rPr>
          <w:lang w:val="de-DE"/>
        </w:rPr>
        <w:t>Die verfügbaren Daten weisen darauf hin, dass nach einer Unterbrechung von 70 Tagen oder länger, die Wiederaufnahme der A</w:t>
      </w:r>
      <w:r>
        <w:rPr>
          <w:lang w:val="de-DE" w:eastAsia="en-GB"/>
        </w:rPr>
        <w:t>dalimumab</w:t>
      </w:r>
      <w:r>
        <w:rPr>
          <w:lang w:val="de-DE"/>
        </w:rPr>
        <w:noBreakHyphen/>
        <w:t>Therapie zu der gleichen Größenordnung des klinischen Ansprechens und einem ähnlichen Sicherheitsprofil wie vor der Dosisunterbrechung führte.</w:t>
      </w:r>
    </w:p>
    <w:p w14:paraId="78EE456C" w14:textId="77777777" w:rsidR="00FE291A" w:rsidRDefault="00FE291A">
      <w:pPr>
        <w:widowControl/>
        <w:kinsoku w:val="0"/>
        <w:overflowPunct w:val="0"/>
        <w:rPr>
          <w:sz w:val="22"/>
          <w:szCs w:val="22"/>
          <w:lang w:val="de-DE"/>
        </w:rPr>
      </w:pPr>
    </w:p>
    <w:p w14:paraId="67EA436F" w14:textId="77777777" w:rsidR="00FE291A" w:rsidRDefault="00C8738F">
      <w:pPr>
        <w:keepNext/>
        <w:widowControl/>
        <w:kinsoku w:val="0"/>
        <w:overflowPunct w:val="0"/>
        <w:rPr>
          <w:sz w:val="22"/>
          <w:szCs w:val="22"/>
          <w:lang w:val="de-DE"/>
        </w:rPr>
      </w:pPr>
      <w:r>
        <w:rPr>
          <w:i/>
          <w:iCs/>
          <w:sz w:val="22"/>
          <w:szCs w:val="22"/>
          <w:lang w:val="de-DE"/>
        </w:rPr>
        <w:t>Ankylosierende Spondylitis, axiale Spondyloarthritis ohne Röntgennachweis einer AS und Psoriasis- Arthritis</w:t>
      </w:r>
    </w:p>
    <w:p w14:paraId="2129D543" w14:textId="77777777" w:rsidR="00FE291A" w:rsidRDefault="00FE291A">
      <w:pPr>
        <w:keepNext/>
        <w:widowControl/>
        <w:kinsoku w:val="0"/>
        <w:overflowPunct w:val="0"/>
        <w:rPr>
          <w:sz w:val="22"/>
          <w:szCs w:val="22"/>
          <w:lang w:val="de-DE"/>
        </w:rPr>
      </w:pPr>
    </w:p>
    <w:p w14:paraId="5CE7404F" w14:textId="77777777" w:rsidR="00FE291A" w:rsidRDefault="00C8738F">
      <w:pPr>
        <w:pStyle w:val="BodyText"/>
        <w:widowControl/>
        <w:kinsoku w:val="0"/>
        <w:overflowPunct w:val="0"/>
        <w:ind w:left="0"/>
        <w:rPr>
          <w:lang w:val="de-DE"/>
        </w:rPr>
      </w:pPr>
      <w:r>
        <w:rPr>
          <w:lang w:val="de-DE"/>
        </w:rPr>
        <w:t>Bei Patienten mit ankylosierender Spondylitis, axialer Spondyloarthritis ohne Röntgennachweis einer AS oder bei Patienten mit Psoriasis-Arthritis beträgt die empfohlene Dosis von AMGEVITA 40 mg Adalimumab, die jede zweite Woche als Einzeldosis subkutan injiziert wird.</w:t>
      </w:r>
    </w:p>
    <w:p w14:paraId="2E9AEFCA" w14:textId="77777777" w:rsidR="00FE291A" w:rsidRDefault="00FE291A">
      <w:pPr>
        <w:widowControl/>
        <w:kinsoku w:val="0"/>
        <w:overflowPunct w:val="0"/>
        <w:rPr>
          <w:sz w:val="22"/>
          <w:szCs w:val="22"/>
          <w:lang w:val="de-DE"/>
        </w:rPr>
      </w:pPr>
    </w:p>
    <w:p w14:paraId="08EDF11A" w14:textId="77777777" w:rsidR="00FE291A" w:rsidRDefault="00C8738F">
      <w:pPr>
        <w:pStyle w:val="BodyText"/>
        <w:widowControl/>
        <w:kinsoku w:val="0"/>
        <w:overflowPunct w:val="0"/>
        <w:ind w:left="0"/>
        <w:rPr>
          <w:lang w:val="de-DE"/>
        </w:rPr>
      </w:pPr>
      <w:r>
        <w:rPr>
          <w:lang w:val="de-DE"/>
        </w:rPr>
        <w:t>Die verfügbaren Daten weisen darauf hin, dass ein klinisches Ansprechen üblicherweise innerhalb von 12 Behandlungswochen erreicht wird. Die Fortsetzung der Therapie sollte bei einem Patienten, der innerhalb dieser Zeitspanne nicht anspricht, nochmals überdacht werden.</w:t>
      </w:r>
    </w:p>
    <w:p w14:paraId="2B472852" w14:textId="77777777" w:rsidR="00FE291A" w:rsidRDefault="00FE291A">
      <w:pPr>
        <w:widowControl/>
        <w:kinsoku w:val="0"/>
        <w:overflowPunct w:val="0"/>
        <w:rPr>
          <w:sz w:val="22"/>
          <w:szCs w:val="22"/>
          <w:lang w:val="de-DE"/>
        </w:rPr>
      </w:pPr>
    </w:p>
    <w:p w14:paraId="63E29C44" w14:textId="77777777" w:rsidR="00FE291A" w:rsidRDefault="00C8738F">
      <w:pPr>
        <w:keepNext/>
        <w:widowControl/>
        <w:kinsoku w:val="0"/>
        <w:overflowPunct w:val="0"/>
        <w:rPr>
          <w:sz w:val="22"/>
          <w:szCs w:val="22"/>
          <w:lang w:val="de-DE"/>
        </w:rPr>
      </w:pPr>
      <w:r>
        <w:rPr>
          <w:i/>
          <w:iCs/>
          <w:sz w:val="22"/>
          <w:szCs w:val="22"/>
          <w:lang w:val="de-DE"/>
        </w:rPr>
        <w:t>Psoriasis</w:t>
      </w:r>
    </w:p>
    <w:p w14:paraId="0791CBAD" w14:textId="77777777" w:rsidR="00FE291A" w:rsidRDefault="00FE291A">
      <w:pPr>
        <w:keepNext/>
        <w:widowControl/>
        <w:kinsoku w:val="0"/>
        <w:overflowPunct w:val="0"/>
        <w:rPr>
          <w:sz w:val="22"/>
          <w:szCs w:val="22"/>
          <w:lang w:val="de-DE"/>
        </w:rPr>
      </w:pPr>
    </w:p>
    <w:p w14:paraId="7F3F5FB2" w14:textId="77777777" w:rsidR="00FE291A" w:rsidRDefault="00C8738F">
      <w:pPr>
        <w:pStyle w:val="BodyText"/>
        <w:widowControl/>
        <w:kinsoku w:val="0"/>
        <w:overflowPunct w:val="0"/>
        <w:ind w:left="0"/>
        <w:rPr>
          <w:lang w:val="de-DE"/>
        </w:rPr>
      </w:pPr>
      <w:r>
        <w:rPr>
          <w:lang w:val="de-DE"/>
        </w:rPr>
        <w:t>Die empfohlene Dosierung von AMGEVITA für erwachsene Patienten mit Psoriasis beträgt 80 mg Adalimumab, subkutan als Induktionsdosis verabreicht, gefolgt von 40 mg Adalimumab subkutan jede zweite Woche, beginnend eine Woche nach der Induktionsdosis.</w:t>
      </w:r>
    </w:p>
    <w:p w14:paraId="3D47242E" w14:textId="77777777" w:rsidR="00FE291A" w:rsidRDefault="00FE291A">
      <w:pPr>
        <w:widowControl/>
        <w:kinsoku w:val="0"/>
        <w:overflowPunct w:val="0"/>
        <w:rPr>
          <w:sz w:val="22"/>
          <w:szCs w:val="22"/>
          <w:lang w:val="de-DE"/>
        </w:rPr>
      </w:pPr>
    </w:p>
    <w:p w14:paraId="6D43BD91" w14:textId="77777777" w:rsidR="00FE291A" w:rsidRDefault="00C8738F">
      <w:pPr>
        <w:pStyle w:val="BodyText"/>
        <w:widowControl/>
        <w:kinsoku w:val="0"/>
        <w:overflowPunct w:val="0"/>
        <w:ind w:left="0"/>
        <w:rPr>
          <w:lang w:val="de-DE"/>
        </w:rPr>
      </w:pPr>
      <w:r>
        <w:rPr>
          <w:lang w:val="de-DE"/>
        </w:rPr>
        <w:t>Bei Patienten, die 16 Wochen lang nicht auf die Therapie angesprochen haben, sollte eine Weiterbehandlung sorgfältig geprüft werden.</w:t>
      </w:r>
    </w:p>
    <w:p w14:paraId="5ACC611B" w14:textId="77777777" w:rsidR="00FE291A" w:rsidRDefault="00FE291A">
      <w:pPr>
        <w:widowControl/>
        <w:kinsoku w:val="0"/>
        <w:overflowPunct w:val="0"/>
        <w:rPr>
          <w:sz w:val="22"/>
          <w:szCs w:val="22"/>
          <w:lang w:val="de-DE"/>
        </w:rPr>
      </w:pPr>
    </w:p>
    <w:p w14:paraId="6DB62558" w14:textId="77777777" w:rsidR="00FE291A" w:rsidRDefault="00C8738F">
      <w:pPr>
        <w:pStyle w:val="BodyText"/>
        <w:widowControl/>
        <w:kinsoku w:val="0"/>
        <w:overflowPunct w:val="0"/>
        <w:ind w:left="0"/>
        <w:rPr>
          <w:lang w:val="de-DE"/>
        </w:rPr>
      </w:pPr>
      <w:r>
        <w:rPr>
          <w:lang w:val="de-DE"/>
        </w:rPr>
        <w:t xml:space="preserve">Nach 16 Wochen kann bei Patienten, die unzureichend auf AMGEVITA 40 mg jede zweite Woche ansprechen, eine Erhöhung der Dosis auf 40 mg jede Woche oder 80 mg jede zweite Woche von Nutzen sein. Bei Patienten, die auch nach Erhöhung der Dosis unzureichend ansprechen, sollten Nutzen und Risiko einer fortgesetzten Behandlung mit 40 mg jede Woche oder 80 mg jede zweite Woche sorgfältig </w:t>
      </w:r>
      <w:r>
        <w:rPr>
          <w:lang w:val="de-DE"/>
        </w:rPr>
        <w:lastRenderedPageBreak/>
        <w:t>abgewogen werden (siehe Abschnitt 5.1). Bei Erreichen eines ausreichenden Ansprechens mit 40 mg jede Woche oder 80 mg jede zweite Woche kann die Dosis anschließend auf 40 mg jede zweite Woche reduziert werden.</w:t>
      </w:r>
    </w:p>
    <w:p w14:paraId="7FC38751" w14:textId="77777777" w:rsidR="00FE291A" w:rsidRDefault="00FE291A">
      <w:pPr>
        <w:widowControl/>
        <w:kinsoku w:val="0"/>
        <w:overflowPunct w:val="0"/>
        <w:rPr>
          <w:sz w:val="22"/>
          <w:szCs w:val="22"/>
          <w:lang w:val="de-DE"/>
        </w:rPr>
      </w:pPr>
    </w:p>
    <w:p w14:paraId="0B2B336D" w14:textId="77777777" w:rsidR="00FE291A" w:rsidRDefault="00C8738F">
      <w:pPr>
        <w:keepNext/>
        <w:widowControl/>
        <w:kinsoku w:val="0"/>
        <w:overflowPunct w:val="0"/>
        <w:rPr>
          <w:sz w:val="22"/>
          <w:szCs w:val="22"/>
          <w:lang w:val="de-DE"/>
        </w:rPr>
      </w:pPr>
      <w:r>
        <w:rPr>
          <w:i/>
          <w:iCs/>
          <w:sz w:val="22"/>
          <w:szCs w:val="22"/>
          <w:lang w:val="de-DE"/>
        </w:rPr>
        <w:t>Hidradenitis suppurativa (Acne inversa)</w:t>
      </w:r>
    </w:p>
    <w:p w14:paraId="13609FF6" w14:textId="77777777" w:rsidR="00FE291A" w:rsidRDefault="00FE291A">
      <w:pPr>
        <w:widowControl/>
        <w:kinsoku w:val="0"/>
        <w:overflowPunct w:val="0"/>
        <w:rPr>
          <w:sz w:val="22"/>
          <w:szCs w:val="22"/>
          <w:lang w:val="de-DE"/>
        </w:rPr>
      </w:pPr>
    </w:p>
    <w:p w14:paraId="7CE55F27" w14:textId="77777777" w:rsidR="00FE291A" w:rsidRDefault="00C8738F">
      <w:pPr>
        <w:pStyle w:val="BodyText"/>
        <w:widowControl/>
        <w:kinsoku w:val="0"/>
        <w:overflowPunct w:val="0"/>
        <w:ind w:left="0"/>
        <w:rPr>
          <w:lang w:val="de-DE"/>
        </w:rPr>
      </w:pPr>
      <w:r>
        <w:rPr>
          <w:lang w:val="de-DE"/>
        </w:rPr>
        <w:t>Die empfohlene Dosis von AMGEVITA für erwachsene Patienten mit Hidradenitis suppurativa (HS) beträgt anfänglich 160 mg an Tag 1 (verabreicht als vier Injektionen von 40 mg innerhalb eines Tages oder als zwei Injektionen von 40 mg pro Tag an zwei aufeinanderfolgenden Tagen), gefolgt von 80 mg zwei Wochen später an Tag 15 (verabreicht als zwei Injektionen von 40 mg innerhalb eines Tages). Zwei Wochen später (Tag 29) wird die Behandlung mit einer Dosis von 40 mg jede Woche oder 80 mg jede zweite Woche (verabreicht als zwei Injektionen von 40 mg innerhalb eines Tages) fortgesetzt. Falls notwendig, kann eine Antibiotikatherapie während der Behandlung mit AMGEVITA weitergeführt werden. Es wird empfohlen, dass die Patienten während der Behandlung mit AMGEVITA täglich eine topische antiseptische Waschlösung an ihren HS-Läsionen anwenden.</w:t>
      </w:r>
    </w:p>
    <w:p w14:paraId="0680639E" w14:textId="77777777" w:rsidR="00FE291A" w:rsidRDefault="00FE291A">
      <w:pPr>
        <w:widowControl/>
        <w:kinsoku w:val="0"/>
        <w:overflowPunct w:val="0"/>
        <w:rPr>
          <w:sz w:val="22"/>
          <w:szCs w:val="22"/>
          <w:lang w:val="de-DE"/>
        </w:rPr>
      </w:pPr>
    </w:p>
    <w:p w14:paraId="067A4F09" w14:textId="77777777" w:rsidR="00FE291A" w:rsidRDefault="00C8738F">
      <w:pPr>
        <w:pStyle w:val="BodyText"/>
        <w:widowControl/>
        <w:kinsoku w:val="0"/>
        <w:overflowPunct w:val="0"/>
        <w:ind w:left="0"/>
        <w:rPr>
          <w:lang w:val="de-DE"/>
        </w:rPr>
      </w:pPr>
      <w:r>
        <w:rPr>
          <w:lang w:val="de-DE"/>
        </w:rPr>
        <w:t>Eine Fortsetzung der Therapie länger als 12 Wochen sollte sorgfältig abgewogen werden bei Patienten, die innerhalb dieser Zeitspanne keine Verbesserung zeigen.</w:t>
      </w:r>
    </w:p>
    <w:p w14:paraId="1D36CD4F" w14:textId="77777777" w:rsidR="00FE291A" w:rsidRDefault="00FE291A">
      <w:pPr>
        <w:widowControl/>
        <w:kinsoku w:val="0"/>
        <w:overflowPunct w:val="0"/>
        <w:rPr>
          <w:sz w:val="22"/>
          <w:szCs w:val="22"/>
          <w:lang w:val="de-DE"/>
        </w:rPr>
      </w:pPr>
    </w:p>
    <w:p w14:paraId="5A6F1CA6" w14:textId="77777777" w:rsidR="00FE291A" w:rsidRDefault="00C8738F">
      <w:pPr>
        <w:pStyle w:val="BodyText"/>
        <w:widowControl/>
        <w:kinsoku w:val="0"/>
        <w:overflowPunct w:val="0"/>
        <w:ind w:left="0"/>
        <w:rPr>
          <w:lang w:val="de-DE"/>
        </w:rPr>
      </w:pPr>
      <w:r>
        <w:rPr>
          <w:lang w:val="de-DE"/>
        </w:rPr>
        <w:t>Sollte eine Unterbrechung der Behandlung erforderlich sein, kann wieder mit einer Behandlung mit AMGEVITA 40 mg jede Woche oder 80 mg jede zweite Woche begonnen werden (siehe Abschnitt 5.1).</w:t>
      </w:r>
    </w:p>
    <w:p w14:paraId="73AAFB0C" w14:textId="77777777" w:rsidR="00FE291A" w:rsidRDefault="00FE291A">
      <w:pPr>
        <w:widowControl/>
        <w:kinsoku w:val="0"/>
        <w:overflowPunct w:val="0"/>
        <w:rPr>
          <w:sz w:val="22"/>
          <w:szCs w:val="22"/>
          <w:lang w:val="de-DE"/>
        </w:rPr>
      </w:pPr>
    </w:p>
    <w:p w14:paraId="016DE709" w14:textId="77777777" w:rsidR="00FE291A" w:rsidRDefault="00C8738F">
      <w:pPr>
        <w:pStyle w:val="BodyText"/>
        <w:widowControl/>
        <w:kinsoku w:val="0"/>
        <w:overflowPunct w:val="0"/>
        <w:ind w:left="0"/>
        <w:rPr>
          <w:lang w:val="de-DE"/>
        </w:rPr>
      </w:pPr>
      <w:r>
        <w:rPr>
          <w:lang w:val="de-DE"/>
        </w:rPr>
        <w:t>Nutzen und Risiko einer Langzeitbehandlung sollten regelmäßig beurteilt werden (siehe Abschnitt 5.1).</w:t>
      </w:r>
    </w:p>
    <w:p w14:paraId="7044F87E" w14:textId="77777777" w:rsidR="00FE291A" w:rsidRDefault="00FE291A">
      <w:pPr>
        <w:widowControl/>
        <w:kinsoku w:val="0"/>
        <w:overflowPunct w:val="0"/>
        <w:rPr>
          <w:iCs/>
          <w:sz w:val="22"/>
          <w:szCs w:val="22"/>
          <w:lang w:val="de-DE"/>
        </w:rPr>
      </w:pPr>
    </w:p>
    <w:p w14:paraId="20FDEAC5" w14:textId="77777777" w:rsidR="00FE291A" w:rsidRDefault="00C8738F">
      <w:pPr>
        <w:keepNext/>
        <w:widowControl/>
        <w:kinsoku w:val="0"/>
        <w:overflowPunct w:val="0"/>
        <w:rPr>
          <w:sz w:val="22"/>
          <w:szCs w:val="22"/>
          <w:lang w:val="de-DE"/>
        </w:rPr>
      </w:pPr>
      <w:r>
        <w:rPr>
          <w:i/>
          <w:iCs/>
          <w:sz w:val="22"/>
          <w:szCs w:val="22"/>
          <w:lang w:val="de-DE"/>
        </w:rPr>
        <w:t>Morbus Crohn</w:t>
      </w:r>
    </w:p>
    <w:p w14:paraId="48244349" w14:textId="77777777" w:rsidR="00FE291A" w:rsidRDefault="00FE291A">
      <w:pPr>
        <w:keepNext/>
        <w:widowControl/>
        <w:kinsoku w:val="0"/>
        <w:overflowPunct w:val="0"/>
        <w:rPr>
          <w:sz w:val="22"/>
          <w:szCs w:val="22"/>
          <w:lang w:val="de-DE"/>
        </w:rPr>
      </w:pPr>
    </w:p>
    <w:p w14:paraId="32361871" w14:textId="77777777" w:rsidR="00FE291A" w:rsidRDefault="00C8738F">
      <w:pPr>
        <w:pStyle w:val="BodyText"/>
        <w:widowControl/>
        <w:kinsoku w:val="0"/>
        <w:overflowPunct w:val="0"/>
        <w:ind w:left="0"/>
        <w:rPr>
          <w:lang w:val="de-DE"/>
        </w:rPr>
      </w:pPr>
      <w:r>
        <w:rPr>
          <w:lang w:val="de-DE"/>
        </w:rPr>
        <w:t>Die empfohlene Induktionsdosis für AMGEVITA beträgt bei Erwachsenen mit mittelschwerem bis schwerem, aktivem Morbus Crohn 80 mg in Woche 0, gefolgt von 40 mg in Woche 2. Ist ein schnelleres Ansprechen auf die Therapie erforderlich, kann die Dosis auf 160 mg in Woche 0 (verabreicht als vier Injektionen von 40 mg innerhalb eines Tages oder als zwei Injektionen von 40 mg pro Tag an zwei aufeinanderfolgenden Tagen) gefolgt von 80 mg in Woche 2 (verabreicht als zwei Injektionen von 40 mg innerhalb eines Tages) erhöht werden, allerdings sollte beachtet werden, dass dies das Risiko für unerwünschte Ereignisse während der Therapieeinleitung erhöht.</w:t>
      </w:r>
    </w:p>
    <w:p w14:paraId="6054877B" w14:textId="77777777" w:rsidR="00FE291A" w:rsidRDefault="00FE291A">
      <w:pPr>
        <w:widowControl/>
        <w:kinsoku w:val="0"/>
        <w:overflowPunct w:val="0"/>
        <w:rPr>
          <w:sz w:val="22"/>
          <w:szCs w:val="22"/>
          <w:lang w:val="de-DE"/>
        </w:rPr>
      </w:pPr>
    </w:p>
    <w:p w14:paraId="25DE711F" w14:textId="77777777" w:rsidR="00FE291A" w:rsidRDefault="00C8738F">
      <w:pPr>
        <w:pStyle w:val="BodyText"/>
        <w:widowControl/>
        <w:kinsoku w:val="0"/>
        <w:overflowPunct w:val="0"/>
        <w:ind w:left="0"/>
        <w:rPr>
          <w:lang w:val="de-DE"/>
        </w:rPr>
      </w:pPr>
      <w:r>
        <w:rPr>
          <w:lang w:val="de-DE"/>
        </w:rPr>
        <w:t>Nach der Induktionsbehandlung beträgt die empfohlene Dosis 40 mg als subkutane Injektion jede zweite Woche. Wenn AMGEVITA abgesetzt wurde, kann AMGEVITA erneut verabreicht werden, wenn die Anzeichen und Symptome der Erkrankung wieder auftreten. Zu einer erneuten Verabreichung nach mehr als 8 Wochen seit der letzten Dosis liegen nur wenige Erfahrungen vor.</w:t>
      </w:r>
    </w:p>
    <w:p w14:paraId="61A67A44" w14:textId="77777777" w:rsidR="00FE291A" w:rsidRDefault="00FE291A">
      <w:pPr>
        <w:widowControl/>
        <w:kinsoku w:val="0"/>
        <w:overflowPunct w:val="0"/>
        <w:rPr>
          <w:sz w:val="22"/>
          <w:szCs w:val="22"/>
          <w:lang w:val="de-DE"/>
        </w:rPr>
      </w:pPr>
    </w:p>
    <w:p w14:paraId="4AAD71E5" w14:textId="77777777" w:rsidR="00FE291A" w:rsidRDefault="00C8738F">
      <w:pPr>
        <w:pStyle w:val="BodyText"/>
        <w:widowControl/>
        <w:kinsoku w:val="0"/>
        <w:overflowPunct w:val="0"/>
        <w:ind w:left="0"/>
        <w:rPr>
          <w:lang w:val="de-DE"/>
        </w:rPr>
      </w:pPr>
      <w:r>
        <w:rPr>
          <w:lang w:val="de-DE"/>
        </w:rPr>
        <w:t>Während der Erhaltungstherapie können Kortikosteroide gemäß den klinischen Empfehlungen ausgeschlichen werden.</w:t>
      </w:r>
    </w:p>
    <w:p w14:paraId="7AF74D4F" w14:textId="77777777" w:rsidR="00FE291A" w:rsidRDefault="00FE291A">
      <w:pPr>
        <w:widowControl/>
        <w:kinsoku w:val="0"/>
        <w:overflowPunct w:val="0"/>
        <w:rPr>
          <w:sz w:val="22"/>
          <w:szCs w:val="22"/>
          <w:lang w:val="de-DE"/>
        </w:rPr>
      </w:pPr>
    </w:p>
    <w:p w14:paraId="7C5DB7D9" w14:textId="77777777" w:rsidR="00FE291A" w:rsidRDefault="00C8738F">
      <w:pPr>
        <w:pStyle w:val="BodyText"/>
        <w:widowControl/>
        <w:kinsoku w:val="0"/>
        <w:overflowPunct w:val="0"/>
        <w:ind w:left="0"/>
        <w:rPr>
          <w:lang w:val="de-DE"/>
        </w:rPr>
      </w:pPr>
      <w:r>
        <w:rPr>
          <w:lang w:val="de-DE"/>
        </w:rPr>
        <w:t>Einige Patienten, bei deren Behandlung mit AMGEVITA 40 mg jede zweite Woche ein Wirkverlust auftritt, können von einer Erhöhung der Dosis auf 40 mg AMGEVITA jede Woche oder 80 mg jede zweite Woche profitieren.</w:t>
      </w:r>
    </w:p>
    <w:p w14:paraId="3262EC41" w14:textId="77777777" w:rsidR="00FE291A" w:rsidRDefault="00FE291A">
      <w:pPr>
        <w:widowControl/>
        <w:kinsoku w:val="0"/>
        <w:overflowPunct w:val="0"/>
        <w:rPr>
          <w:sz w:val="22"/>
          <w:szCs w:val="22"/>
          <w:lang w:val="de-DE"/>
        </w:rPr>
      </w:pPr>
    </w:p>
    <w:p w14:paraId="180E4D29" w14:textId="77777777" w:rsidR="00FE291A" w:rsidRDefault="00C8738F">
      <w:pPr>
        <w:pStyle w:val="BodyText"/>
        <w:widowControl/>
        <w:kinsoku w:val="0"/>
        <w:overflowPunct w:val="0"/>
        <w:ind w:left="0"/>
        <w:rPr>
          <w:lang w:val="de-DE"/>
        </w:rPr>
      </w:pPr>
      <w:r>
        <w:rPr>
          <w:lang w:val="de-DE"/>
        </w:rPr>
        <w:t>Einige Patienten, die bis Woche 4 noch nicht auf die Therapie angesprochen haben, können von einer Weiterführung der Erhaltungstherapie bis Woche 12 profitieren. Eine weitere Behandlung von Patienten, die in diesem Zeitraum nicht auf die Therapie angesprochen haben, sollte sorgfältig abgewogen werden.</w:t>
      </w:r>
    </w:p>
    <w:p w14:paraId="77B2E5AC" w14:textId="77777777" w:rsidR="00FE291A" w:rsidRDefault="00FE291A">
      <w:pPr>
        <w:widowControl/>
        <w:kinsoku w:val="0"/>
        <w:overflowPunct w:val="0"/>
        <w:rPr>
          <w:sz w:val="22"/>
          <w:szCs w:val="22"/>
          <w:lang w:val="de-DE"/>
        </w:rPr>
      </w:pPr>
    </w:p>
    <w:p w14:paraId="2521F823" w14:textId="77777777" w:rsidR="00FE291A" w:rsidRDefault="00C8738F">
      <w:pPr>
        <w:keepNext/>
        <w:widowControl/>
        <w:kinsoku w:val="0"/>
        <w:overflowPunct w:val="0"/>
        <w:rPr>
          <w:sz w:val="22"/>
          <w:szCs w:val="22"/>
          <w:lang w:val="de-DE"/>
        </w:rPr>
      </w:pPr>
      <w:r>
        <w:rPr>
          <w:i/>
          <w:iCs/>
          <w:sz w:val="22"/>
          <w:szCs w:val="22"/>
          <w:lang w:val="de-DE"/>
        </w:rPr>
        <w:t>Colitis ulcerosa</w:t>
      </w:r>
    </w:p>
    <w:p w14:paraId="23392BE9" w14:textId="77777777" w:rsidR="00FE291A" w:rsidRDefault="00FE291A">
      <w:pPr>
        <w:keepNext/>
        <w:widowControl/>
        <w:kinsoku w:val="0"/>
        <w:overflowPunct w:val="0"/>
        <w:rPr>
          <w:sz w:val="22"/>
          <w:szCs w:val="22"/>
          <w:lang w:val="de-DE"/>
        </w:rPr>
      </w:pPr>
    </w:p>
    <w:p w14:paraId="63565146" w14:textId="77777777" w:rsidR="00FE291A" w:rsidRDefault="00C8738F">
      <w:pPr>
        <w:pStyle w:val="BodyText"/>
        <w:widowControl/>
        <w:kinsoku w:val="0"/>
        <w:overflowPunct w:val="0"/>
        <w:ind w:left="0"/>
        <w:rPr>
          <w:lang w:val="de-DE"/>
        </w:rPr>
      </w:pPr>
      <w:r>
        <w:rPr>
          <w:lang w:val="de-DE"/>
        </w:rPr>
        <w:t xml:space="preserve">Die empfohlene Induktionsdosis für AMGEVITA beträgt bei erwachsenen Patienten mit mittelschwerer bis schwerer Colitis ulcerosa 160 mg in Woche 0 (verabreicht als vier Injektionen von 40 mg innerhalb eines Tages oder als zwei Injektionen von 40 mg pro Tag an zwei aufeinanderfolgenden Tagen) und </w:t>
      </w:r>
      <w:r>
        <w:rPr>
          <w:lang w:val="de-DE"/>
        </w:rPr>
        <w:lastRenderedPageBreak/>
        <w:t>80 mg in Woche 2 (verabreicht als zwei Injektionen von 40 mg innerhalb eines Tages). Nach der Induktionsbehandlung beträgt die empfohlene Dosis 40 mg als subkutane Injektion jede zweite Woche.</w:t>
      </w:r>
    </w:p>
    <w:p w14:paraId="0178DD26" w14:textId="77777777" w:rsidR="00FE291A" w:rsidRDefault="00FE291A">
      <w:pPr>
        <w:widowControl/>
        <w:kinsoku w:val="0"/>
        <w:overflowPunct w:val="0"/>
        <w:rPr>
          <w:sz w:val="22"/>
          <w:szCs w:val="22"/>
          <w:lang w:val="de-DE"/>
        </w:rPr>
      </w:pPr>
    </w:p>
    <w:p w14:paraId="14C8B1CE" w14:textId="77777777" w:rsidR="00FE291A" w:rsidRDefault="00C8738F">
      <w:pPr>
        <w:pStyle w:val="BodyText"/>
        <w:widowControl/>
        <w:kinsoku w:val="0"/>
        <w:overflowPunct w:val="0"/>
        <w:ind w:left="0"/>
        <w:rPr>
          <w:lang w:val="de-DE"/>
        </w:rPr>
      </w:pPr>
      <w:r>
        <w:rPr>
          <w:lang w:val="de-DE"/>
        </w:rPr>
        <w:t>Während der Erhaltungstherapie können Kortikosteroide gemäß den klinischen Empfehlungen ausgeschlichen werden.</w:t>
      </w:r>
    </w:p>
    <w:p w14:paraId="7259EBC0" w14:textId="77777777" w:rsidR="00FE291A" w:rsidRDefault="00FE291A">
      <w:pPr>
        <w:widowControl/>
        <w:kinsoku w:val="0"/>
        <w:overflowPunct w:val="0"/>
        <w:rPr>
          <w:sz w:val="22"/>
          <w:szCs w:val="22"/>
          <w:lang w:val="de-DE"/>
        </w:rPr>
      </w:pPr>
    </w:p>
    <w:p w14:paraId="7EB607C4" w14:textId="77777777" w:rsidR="00FE291A" w:rsidRDefault="00C8738F">
      <w:pPr>
        <w:pStyle w:val="BodyText"/>
        <w:widowControl/>
        <w:kinsoku w:val="0"/>
        <w:overflowPunct w:val="0"/>
        <w:ind w:left="0"/>
        <w:rPr>
          <w:lang w:val="de-DE"/>
        </w:rPr>
      </w:pPr>
      <w:r>
        <w:rPr>
          <w:lang w:val="de-DE"/>
        </w:rPr>
        <w:t>Einige Patienten, bei deren Behandlung mit AMGEVITA 40 mg jede zweite Woche ein Wirkverlust auftritt, können von einer Erhöhung der Dosis auf 40 mg AMGEVITA jede Woche oder 80 mg jede zweite Woche profitieren.</w:t>
      </w:r>
    </w:p>
    <w:p w14:paraId="2854D8B9" w14:textId="77777777" w:rsidR="00FE291A" w:rsidRDefault="00FE291A">
      <w:pPr>
        <w:widowControl/>
        <w:kinsoku w:val="0"/>
        <w:overflowPunct w:val="0"/>
        <w:rPr>
          <w:sz w:val="22"/>
          <w:szCs w:val="22"/>
          <w:lang w:val="de-DE"/>
        </w:rPr>
      </w:pPr>
    </w:p>
    <w:p w14:paraId="5A0B080C" w14:textId="77777777" w:rsidR="00FE291A" w:rsidRDefault="00C8738F">
      <w:pPr>
        <w:pStyle w:val="BodyText"/>
        <w:widowControl/>
        <w:kinsoku w:val="0"/>
        <w:overflowPunct w:val="0"/>
        <w:ind w:left="0"/>
        <w:rPr>
          <w:lang w:val="de-DE"/>
        </w:rPr>
      </w:pPr>
      <w:r>
        <w:rPr>
          <w:lang w:val="de-DE"/>
        </w:rPr>
        <w:t>Die verfügbaren Daten weisen darauf hin, dass ein klinisches Ansprechen gewöhnlich innerhalb von 2 bis 8 Behandlungswochen erreicht wird. Bei Patienten, die in dieser Zeit nicht ansprechen, sollte die Behandlung mit AMGEVITA nicht fortgesetzt werden.</w:t>
      </w:r>
    </w:p>
    <w:p w14:paraId="7440A234" w14:textId="77777777" w:rsidR="00FE291A" w:rsidRDefault="00FE291A">
      <w:pPr>
        <w:widowControl/>
        <w:kinsoku w:val="0"/>
        <w:overflowPunct w:val="0"/>
        <w:rPr>
          <w:sz w:val="22"/>
          <w:szCs w:val="22"/>
          <w:lang w:val="de-DE"/>
        </w:rPr>
      </w:pPr>
    </w:p>
    <w:p w14:paraId="6E9B89AB" w14:textId="77777777" w:rsidR="00FE291A" w:rsidRDefault="00C8738F">
      <w:pPr>
        <w:keepNext/>
        <w:widowControl/>
        <w:kinsoku w:val="0"/>
        <w:overflowPunct w:val="0"/>
        <w:rPr>
          <w:sz w:val="22"/>
          <w:szCs w:val="22"/>
          <w:lang w:val="de-DE"/>
        </w:rPr>
      </w:pPr>
      <w:r>
        <w:rPr>
          <w:i/>
          <w:iCs/>
          <w:sz w:val="22"/>
          <w:szCs w:val="22"/>
          <w:lang w:val="de-DE"/>
        </w:rPr>
        <w:t>Uveitis</w:t>
      </w:r>
    </w:p>
    <w:p w14:paraId="5FFD4ACC" w14:textId="77777777" w:rsidR="00FE291A" w:rsidRDefault="00FE291A">
      <w:pPr>
        <w:widowControl/>
        <w:kinsoku w:val="0"/>
        <w:overflowPunct w:val="0"/>
        <w:rPr>
          <w:sz w:val="22"/>
          <w:szCs w:val="22"/>
          <w:lang w:val="de-DE"/>
        </w:rPr>
      </w:pPr>
    </w:p>
    <w:p w14:paraId="132B60AF" w14:textId="77777777" w:rsidR="00FE291A" w:rsidRDefault="00C8738F">
      <w:pPr>
        <w:pStyle w:val="BodyText"/>
        <w:widowControl/>
        <w:kinsoku w:val="0"/>
        <w:overflowPunct w:val="0"/>
        <w:ind w:left="0"/>
        <w:rPr>
          <w:lang w:val="de-DE"/>
        </w:rPr>
      </w:pPr>
      <w:r>
        <w:rPr>
          <w:lang w:val="de-DE"/>
        </w:rPr>
        <w:t>Die empfohlene Dosierung von AMGEVITA für erwachsene Patienten mit Uveitis beträgt 80 mg als Induktionsdosis, gefolgt von 40 mg alle zwei Wochen, beginnend eine Woche nach der Induktionsdosis. Es liegen nur begrenzte Erfahrungen zur Einleitung von Adalimumab als Monotherapie vor. Die Behandlung mit AMGEVITA kann in Kombination mit Kortikosteroiden und/oder anderen nicht biologischen Immunsuppressiva eingeleitet werden. Eine begleitende Anwendung von Kortikosteroiden kann gemäß gängiger klinischer Praxis ab zwei Wochen nach der Einleitung der Behandlung mit AMGEVITA ausgeschlichen werden.</w:t>
      </w:r>
    </w:p>
    <w:p w14:paraId="0228D49F" w14:textId="77777777" w:rsidR="00FE291A" w:rsidRDefault="00FE291A">
      <w:pPr>
        <w:pStyle w:val="BodyText"/>
        <w:widowControl/>
        <w:kinsoku w:val="0"/>
        <w:overflowPunct w:val="0"/>
        <w:ind w:left="0"/>
        <w:rPr>
          <w:lang w:val="de-DE"/>
        </w:rPr>
      </w:pPr>
    </w:p>
    <w:p w14:paraId="73719054" w14:textId="77777777" w:rsidR="00FE291A" w:rsidRDefault="00C8738F">
      <w:pPr>
        <w:pStyle w:val="BodyText"/>
        <w:widowControl/>
        <w:kinsoku w:val="0"/>
        <w:overflowPunct w:val="0"/>
        <w:ind w:left="0"/>
        <w:rPr>
          <w:lang w:val="de-DE"/>
        </w:rPr>
      </w:pPr>
      <w:r>
        <w:rPr>
          <w:lang w:val="de-DE"/>
        </w:rPr>
        <w:t>Es wird empfohlen, Nutzen und Risiko einer Langzeitbehandlung jährlich zu beurteilen (siehe Abschnitt 5.1).</w:t>
      </w:r>
    </w:p>
    <w:p w14:paraId="66BAEC0A" w14:textId="77777777" w:rsidR="00FE291A" w:rsidRDefault="00FE291A">
      <w:pPr>
        <w:pStyle w:val="BodyText"/>
        <w:widowControl/>
        <w:kinsoku w:val="0"/>
        <w:overflowPunct w:val="0"/>
        <w:ind w:left="0"/>
        <w:rPr>
          <w:lang w:val="de-DE"/>
        </w:rPr>
      </w:pPr>
    </w:p>
    <w:p w14:paraId="2BFE206A" w14:textId="77777777" w:rsidR="00FE291A" w:rsidRDefault="00C8738F">
      <w:pPr>
        <w:pStyle w:val="BodyText"/>
        <w:keepNext/>
        <w:widowControl/>
        <w:kinsoku w:val="0"/>
        <w:overflowPunct w:val="0"/>
        <w:ind w:left="0"/>
        <w:rPr>
          <w:u w:val="single"/>
          <w:lang w:val="de-DE"/>
        </w:rPr>
      </w:pPr>
      <w:r>
        <w:rPr>
          <w:u w:val="single"/>
          <w:lang w:val="de-DE"/>
        </w:rPr>
        <w:t>Besondere Patientengruppen</w:t>
      </w:r>
    </w:p>
    <w:p w14:paraId="4F2E41BF" w14:textId="77777777" w:rsidR="00FE291A" w:rsidRDefault="00FE291A">
      <w:pPr>
        <w:pStyle w:val="BodyText"/>
        <w:keepNext/>
        <w:widowControl/>
        <w:kinsoku w:val="0"/>
        <w:overflowPunct w:val="0"/>
        <w:ind w:left="0"/>
        <w:rPr>
          <w:u w:val="single"/>
          <w:lang w:val="de-DE"/>
        </w:rPr>
      </w:pPr>
    </w:p>
    <w:p w14:paraId="3C9D21EA" w14:textId="77777777" w:rsidR="00FE291A" w:rsidRDefault="00C8738F">
      <w:pPr>
        <w:pStyle w:val="BodyText"/>
        <w:keepNext/>
        <w:widowControl/>
        <w:kinsoku w:val="0"/>
        <w:overflowPunct w:val="0"/>
        <w:ind w:left="0"/>
        <w:rPr>
          <w:i/>
          <w:lang w:val="de-DE"/>
        </w:rPr>
      </w:pPr>
      <w:r>
        <w:rPr>
          <w:i/>
          <w:lang w:val="de-DE"/>
        </w:rPr>
        <w:t>Ältere Patienten</w:t>
      </w:r>
    </w:p>
    <w:p w14:paraId="732AEC91" w14:textId="77777777" w:rsidR="00FE291A" w:rsidRDefault="00FE291A">
      <w:pPr>
        <w:keepNext/>
        <w:widowControl/>
        <w:kinsoku w:val="0"/>
        <w:overflowPunct w:val="0"/>
        <w:rPr>
          <w:sz w:val="22"/>
          <w:szCs w:val="22"/>
          <w:lang w:val="de-DE"/>
        </w:rPr>
      </w:pPr>
    </w:p>
    <w:p w14:paraId="50C2595B" w14:textId="77777777" w:rsidR="00FE291A" w:rsidRDefault="00C8738F">
      <w:pPr>
        <w:pStyle w:val="BodyText"/>
        <w:widowControl/>
        <w:kinsoku w:val="0"/>
        <w:overflowPunct w:val="0"/>
        <w:ind w:left="0"/>
        <w:rPr>
          <w:lang w:val="de-DE"/>
        </w:rPr>
      </w:pPr>
      <w:r>
        <w:rPr>
          <w:lang w:val="de-DE"/>
        </w:rPr>
        <w:t xml:space="preserve">Eine Dosisanpassung ist nicht erforderlich. </w:t>
      </w:r>
    </w:p>
    <w:p w14:paraId="4AEADA70" w14:textId="77777777" w:rsidR="00FE291A" w:rsidRDefault="00FE291A">
      <w:pPr>
        <w:widowControl/>
        <w:kinsoku w:val="0"/>
        <w:overflowPunct w:val="0"/>
        <w:rPr>
          <w:sz w:val="22"/>
          <w:szCs w:val="22"/>
          <w:lang w:val="de-DE"/>
        </w:rPr>
      </w:pPr>
    </w:p>
    <w:p w14:paraId="2ECAE77C" w14:textId="77777777" w:rsidR="00FE291A" w:rsidRDefault="00C8738F">
      <w:pPr>
        <w:pStyle w:val="BodyText"/>
        <w:keepNext/>
        <w:widowControl/>
        <w:kinsoku w:val="0"/>
        <w:overflowPunct w:val="0"/>
        <w:ind w:left="0"/>
        <w:rPr>
          <w:i/>
          <w:lang w:val="de-DE"/>
        </w:rPr>
      </w:pPr>
      <w:r>
        <w:rPr>
          <w:i/>
          <w:lang w:val="de-DE"/>
        </w:rPr>
        <w:t>Nieren- und/oder Leberfunktionsstörungen</w:t>
      </w:r>
    </w:p>
    <w:p w14:paraId="391F4FFF" w14:textId="77777777" w:rsidR="00FE291A" w:rsidRDefault="00FE291A">
      <w:pPr>
        <w:keepNext/>
        <w:widowControl/>
        <w:kinsoku w:val="0"/>
        <w:overflowPunct w:val="0"/>
        <w:rPr>
          <w:sz w:val="22"/>
          <w:szCs w:val="22"/>
          <w:lang w:val="de-DE"/>
        </w:rPr>
      </w:pPr>
    </w:p>
    <w:p w14:paraId="014CBC36" w14:textId="77777777" w:rsidR="00FE291A" w:rsidRDefault="00C8738F">
      <w:pPr>
        <w:pStyle w:val="BodyText"/>
        <w:widowControl/>
        <w:kinsoku w:val="0"/>
        <w:overflowPunct w:val="0"/>
        <w:ind w:left="0"/>
        <w:rPr>
          <w:lang w:val="de-DE"/>
        </w:rPr>
      </w:pPr>
      <w:r>
        <w:rPr>
          <w:lang w:val="de-DE"/>
        </w:rPr>
        <w:t>Adalimumab wurde in dieser Patientengruppe nicht untersucht. Eine Dosisempfehlung kann nicht gegeben werden.</w:t>
      </w:r>
    </w:p>
    <w:p w14:paraId="77DD1D89" w14:textId="77777777" w:rsidR="00FE291A" w:rsidRDefault="00FE291A">
      <w:pPr>
        <w:widowControl/>
        <w:kinsoku w:val="0"/>
        <w:overflowPunct w:val="0"/>
        <w:rPr>
          <w:sz w:val="22"/>
          <w:szCs w:val="22"/>
          <w:lang w:val="de-DE"/>
        </w:rPr>
      </w:pPr>
    </w:p>
    <w:p w14:paraId="78C2FA44" w14:textId="77777777" w:rsidR="00FE291A" w:rsidRDefault="00C8738F">
      <w:pPr>
        <w:pStyle w:val="BodyText"/>
        <w:keepNext/>
        <w:keepLines/>
        <w:widowControl/>
        <w:kinsoku w:val="0"/>
        <w:overflowPunct w:val="0"/>
        <w:ind w:left="0"/>
        <w:rPr>
          <w:i/>
          <w:lang w:val="de-DE"/>
        </w:rPr>
      </w:pPr>
      <w:r>
        <w:rPr>
          <w:i/>
          <w:lang w:val="de-DE"/>
        </w:rPr>
        <w:t>Kinder und Jugendliche</w:t>
      </w:r>
    </w:p>
    <w:p w14:paraId="6B0804DA" w14:textId="77777777" w:rsidR="00FE291A" w:rsidRDefault="00FE291A">
      <w:pPr>
        <w:keepNext/>
        <w:keepLines/>
        <w:widowControl/>
        <w:kinsoku w:val="0"/>
        <w:overflowPunct w:val="0"/>
        <w:rPr>
          <w:sz w:val="22"/>
          <w:szCs w:val="22"/>
          <w:lang w:val="de-DE"/>
        </w:rPr>
      </w:pPr>
    </w:p>
    <w:p w14:paraId="2DAF0CAB" w14:textId="77777777" w:rsidR="00FE291A" w:rsidRDefault="00C8738F">
      <w:pPr>
        <w:keepNext/>
        <w:widowControl/>
        <w:kinsoku w:val="0"/>
        <w:overflowPunct w:val="0"/>
        <w:rPr>
          <w:i/>
          <w:sz w:val="22"/>
          <w:szCs w:val="22"/>
          <w:u w:val="single"/>
          <w:lang w:val="de-DE"/>
        </w:rPr>
      </w:pPr>
      <w:r>
        <w:rPr>
          <w:i/>
          <w:sz w:val="22"/>
          <w:szCs w:val="22"/>
          <w:u w:val="single"/>
          <w:lang w:val="de-DE"/>
        </w:rPr>
        <w:t>Juvenile idiopathische Arthritis</w:t>
      </w:r>
    </w:p>
    <w:p w14:paraId="2F85BE22" w14:textId="77777777" w:rsidR="00FE291A" w:rsidRDefault="00FE291A">
      <w:pPr>
        <w:keepNext/>
        <w:widowControl/>
        <w:kinsoku w:val="0"/>
        <w:overflowPunct w:val="0"/>
        <w:rPr>
          <w:i/>
          <w:iCs/>
          <w:sz w:val="22"/>
          <w:szCs w:val="22"/>
          <w:u w:val="single"/>
          <w:lang w:val="de-DE"/>
        </w:rPr>
      </w:pPr>
    </w:p>
    <w:p w14:paraId="38DBF92A" w14:textId="77777777" w:rsidR="00FE291A" w:rsidRDefault="00C8738F">
      <w:pPr>
        <w:keepNext/>
        <w:widowControl/>
        <w:kinsoku w:val="0"/>
        <w:overflowPunct w:val="0"/>
        <w:rPr>
          <w:sz w:val="22"/>
          <w:szCs w:val="22"/>
          <w:lang w:val="de-DE"/>
        </w:rPr>
      </w:pPr>
      <w:r>
        <w:rPr>
          <w:iCs/>
          <w:sz w:val="22"/>
          <w:szCs w:val="22"/>
          <w:lang w:val="de-DE"/>
        </w:rPr>
        <w:t>Polyartikuläre juvenile idiopathische Arthritis ab einem Alter von 2 Jahren</w:t>
      </w:r>
    </w:p>
    <w:p w14:paraId="69F29FCA" w14:textId="77777777" w:rsidR="00FE291A" w:rsidRDefault="00FE291A">
      <w:pPr>
        <w:keepNext/>
        <w:widowControl/>
        <w:kinsoku w:val="0"/>
        <w:overflowPunct w:val="0"/>
        <w:rPr>
          <w:sz w:val="22"/>
          <w:szCs w:val="22"/>
          <w:lang w:val="de-DE"/>
        </w:rPr>
      </w:pPr>
    </w:p>
    <w:p w14:paraId="1BE8F8ED" w14:textId="77777777" w:rsidR="00FE291A" w:rsidRDefault="00C8738F">
      <w:pPr>
        <w:pStyle w:val="BodyText"/>
        <w:widowControl/>
        <w:kinsoku w:val="0"/>
        <w:overflowPunct w:val="0"/>
        <w:ind w:left="0"/>
        <w:rPr>
          <w:lang w:val="de-DE"/>
        </w:rPr>
      </w:pPr>
      <w:r>
        <w:rPr>
          <w:lang w:val="de-DE"/>
        </w:rPr>
        <w:t>Die empfohlene Dosis von AMGEVITA wird für Patienten mit polyartikulärer juveniler idiopathischer Arthritis ab einem Alter von 2 Jahren anhand des Körpergewichtes bestimmt (Tabelle 1). AMGEVITA wird jede zweite Woche subkutan injiziert.</w:t>
      </w:r>
    </w:p>
    <w:p w14:paraId="53A26F31" w14:textId="77777777" w:rsidR="00FE291A" w:rsidRDefault="00FE291A">
      <w:pPr>
        <w:pStyle w:val="BodyText"/>
        <w:widowControl/>
        <w:kinsoku w:val="0"/>
        <w:overflowPunct w:val="0"/>
        <w:ind w:left="0"/>
        <w:rPr>
          <w:lang w:val="de-DE"/>
        </w:rPr>
      </w:pPr>
    </w:p>
    <w:p w14:paraId="19909580" w14:textId="77777777" w:rsidR="00FE291A" w:rsidRDefault="00C8738F">
      <w:pPr>
        <w:keepNext/>
        <w:keepLines/>
        <w:widowControl/>
        <w:rPr>
          <w:b/>
          <w:sz w:val="22"/>
          <w:szCs w:val="22"/>
          <w:lang w:val="de-DE"/>
        </w:rPr>
      </w:pPr>
      <w:r>
        <w:rPr>
          <w:b/>
          <w:sz w:val="22"/>
          <w:szCs w:val="22"/>
          <w:lang w:val="de-DE"/>
        </w:rPr>
        <w:t>Tabelle 1: AMGEVITA-Dosis für Patienten mit polyartikulärer juveniler idiopathischer Arthritis</w:t>
      </w:r>
    </w:p>
    <w:p w14:paraId="5AC41C26" w14:textId="77777777" w:rsidR="00FE291A" w:rsidRDefault="00FE291A">
      <w:pPr>
        <w:widowControl/>
        <w:kinsoku w:val="0"/>
        <w:overflowPunct w:val="0"/>
        <w:rPr>
          <w:sz w:val="22"/>
          <w:szCs w:val="22"/>
          <w:lang w:val="de-D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6"/>
        <w:gridCol w:w="6060"/>
      </w:tblGrid>
      <w:tr w:rsidR="00FE291A" w14:paraId="3E8BDE9D" w14:textId="77777777">
        <w:trPr>
          <w:tblHeader/>
        </w:trPr>
        <w:tc>
          <w:tcPr>
            <w:tcW w:w="3296" w:type="dxa"/>
          </w:tcPr>
          <w:p w14:paraId="3078D70A" w14:textId="77777777" w:rsidR="00FE291A" w:rsidRDefault="00C8738F">
            <w:pPr>
              <w:keepNext/>
              <w:rPr>
                <w:b/>
                <w:sz w:val="22"/>
                <w:szCs w:val="22"/>
                <w:lang w:val="de-DE"/>
              </w:rPr>
            </w:pPr>
            <w:r>
              <w:rPr>
                <w:b/>
                <w:sz w:val="22"/>
                <w:szCs w:val="22"/>
                <w:lang w:val="de-DE" w:eastAsia="en-GB"/>
              </w:rPr>
              <w:t>Gewicht des Patienten</w:t>
            </w:r>
          </w:p>
        </w:tc>
        <w:tc>
          <w:tcPr>
            <w:tcW w:w="6060" w:type="dxa"/>
          </w:tcPr>
          <w:p w14:paraId="26DE706D" w14:textId="77777777" w:rsidR="00FE291A" w:rsidRDefault="00C8738F">
            <w:pPr>
              <w:keepNext/>
              <w:rPr>
                <w:b/>
                <w:sz w:val="22"/>
                <w:szCs w:val="22"/>
                <w:lang w:val="de-DE"/>
              </w:rPr>
            </w:pPr>
            <w:r>
              <w:rPr>
                <w:b/>
                <w:sz w:val="22"/>
                <w:szCs w:val="22"/>
                <w:lang w:val="de-DE" w:eastAsia="en-GB"/>
              </w:rPr>
              <w:t>Dosierungsschema</w:t>
            </w:r>
          </w:p>
        </w:tc>
      </w:tr>
      <w:tr w:rsidR="00FE291A" w14:paraId="1A80A68F" w14:textId="77777777">
        <w:trPr>
          <w:tblHeader/>
        </w:trPr>
        <w:tc>
          <w:tcPr>
            <w:tcW w:w="3296" w:type="dxa"/>
          </w:tcPr>
          <w:p w14:paraId="16E7FEC9" w14:textId="77777777" w:rsidR="00FE291A" w:rsidRDefault="00C8738F">
            <w:pPr>
              <w:keepNext/>
              <w:rPr>
                <w:b/>
                <w:sz w:val="22"/>
                <w:szCs w:val="22"/>
                <w:lang w:val="de-DE"/>
              </w:rPr>
            </w:pPr>
            <w:r>
              <w:rPr>
                <w:sz w:val="22"/>
                <w:szCs w:val="22"/>
                <w:lang w:val="de-DE"/>
              </w:rPr>
              <w:t>10 </w:t>
            </w:r>
            <w:r>
              <w:rPr>
                <w:rFonts w:eastAsia="Calibri"/>
                <w:sz w:val="22"/>
                <w:szCs w:val="22"/>
                <w:lang w:val="de-DE" w:eastAsia="ja-JP"/>
              </w:rPr>
              <w:t>kg bis &lt; 30 kg</w:t>
            </w:r>
          </w:p>
        </w:tc>
        <w:tc>
          <w:tcPr>
            <w:tcW w:w="6060" w:type="dxa"/>
          </w:tcPr>
          <w:p w14:paraId="5D261F03" w14:textId="77777777" w:rsidR="00FE291A" w:rsidRDefault="00C8738F">
            <w:pPr>
              <w:keepNext/>
              <w:rPr>
                <w:b/>
                <w:sz w:val="22"/>
                <w:szCs w:val="22"/>
                <w:lang w:val="de-DE" w:eastAsia="en-GB"/>
              </w:rPr>
            </w:pPr>
            <w:r>
              <w:rPr>
                <w:sz w:val="22"/>
                <w:szCs w:val="22"/>
                <w:lang w:val="de-DE" w:eastAsia="ja-JP"/>
              </w:rPr>
              <w:t>20 mg jede zweite Woche</w:t>
            </w:r>
          </w:p>
        </w:tc>
      </w:tr>
      <w:tr w:rsidR="00FE291A" w14:paraId="7852987B" w14:textId="77777777">
        <w:trPr>
          <w:tblHeader/>
        </w:trPr>
        <w:tc>
          <w:tcPr>
            <w:tcW w:w="3296" w:type="dxa"/>
          </w:tcPr>
          <w:p w14:paraId="54828813" w14:textId="77777777" w:rsidR="00FE291A" w:rsidRDefault="00C8738F">
            <w:pPr>
              <w:keepNext/>
              <w:rPr>
                <w:b/>
                <w:sz w:val="22"/>
                <w:szCs w:val="22"/>
                <w:lang w:val="de-DE"/>
              </w:rPr>
            </w:pPr>
            <w:r>
              <w:rPr>
                <w:rFonts w:eastAsia="Calibri"/>
                <w:sz w:val="22"/>
                <w:szCs w:val="22"/>
                <w:lang w:val="de-DE" w:eastAsia="ja-JP"/>
              </w:rPr>
              <w:t>≥ 30</w:t>
            </w:r>
            <w:r>
              <w:rPr>
                <w:sz w:val="22"/>
                <w:szCs w:val="22"/>
                <w:lang w:val="de-DE" w:eastAsia="zh-TW"/>
              </w:rPr>
              <w:t> </w:t>
            </w:r>
            <w:r>
              <w:rPr>
                <w:rFonts w:eastAsia="Calibri"/>
                <w:sz w:val="22"/>
                <w:szCs w:val="22"/>
                <w:lang w:val="de-DE" w:eastAsia="ja-JP"/>
              </w:rPr>
              <w:t>kg</w:t>
            </w:r>
          </w:p>
        </w:tc>
        <w:tc>
          <w:tcPr>
            <w:tcW w:w="6060" w:type="dxa"/>
          </w:tcPr>
          <w:p w14:paraId="2EAB2FB9" w14:textId="77777777" w:rsidR="00FE291A" w:rsidRDefault="00C8738F">
            <w:pPr>
              <w:keepNext/>
              <w:rPr>
                <w:sz w:val="22"/>
                <w:szCs w:val="22"/>
                <w:lang w:val="de-DE" w:eastAsia="en-GB"/>
              </w:rPr>
            </w:pPr>
            <w:r>
              <w:rPr>
                <w:sz w:val="22"/>
                <w:szCs w:val="22"/>
                <w:lang w:val="de-DE" w:eastAsia="ja-JP"/>
              </w:rPr>
              <w:t>40 mg jede zweite Woche</w:t>
            </w:r>
          </w:p>
        </w:tc>
      </w:tr>
    </w:tbl>
    <w:p w14:paraId="13B0A371" w14:textId="77777777" w:rsidR="00FE291A" w:rsidRDefault="00FE291A">
      <w:pPr>
        <w:widowControl/>
        <w:kinsoku w:val="0"/>
        <w:overflowPunct w:val="0"/>
        <w:rPr>
          <w:sz w:val="22"/>
          <w:szCs w:val="22"/>
          <w:lang w:val="de-DE"/>
        </w:rPr>
      </w:pPr>
    </w:p>
    <w:p w14:paraId="7A7AEA28" w14:textId="77777777" w:rsidR="00FE291A" w:rsidRDefault="00C8738F">
      <w:pPr>
        <w:pStyle w:val="BodyText"/>
        <w:widowControl/>
        <w:kinsoku w:val="0"/>
        <w:overflowPunct w:val="0"/>
        <w:ind w:left="0"/>
        <w:rPr>
          <w:lang w:val="de-DE"/>
        </w:rPr>
      </w:pPr>
      <w:r>
        <w:rPr>
          <w:lang w:val="de-DE"/>
        </w:rPr>
        <w:t>Die verfügbaren Daten weisen darauf hin, dass ein klinisches Ansprechen üblicherweise innerhalb von 12 Behandlungswochen erreicht wird. Die Fortsetzung der Therapie sollte bei einem Patienten, der innerhalb dieser Zeitspanne nicht anspricht, nochmals sorgfältig überdacht werden.</w:t>
      </w:r>
    </w:p>
    <w:p w14:paraId="58760501" w14:textId="77777777" w:rsidR="00FE291A" w:rsidRDefault="00FE291A">
      <w:pPr>
        <w:widowControl/>
        <w:kinsoku w:val="0"/>
        <w:overflowPunct w:val="0"/>
        <w:rPr>
          <w:sz w:val="22"/>
          <w:szCs w:val="22"/>
          <w:lang w:val="de-DE"/>
        </w:rPr>
      </w:pPr>
    </w:p>
    <w:p w14:paraId="42AAD699" w14:textId="77777777" w:rsidR="00FE291A" w:rsidRDefault="00C8738F">
      <w:pPr>
        <w:pStyle w:val="BodyText"/>
        <w:widowControl/>
        <w:kinsoku w:val="0"/>
        <w:overflowPunct w:val="0"/>
        <w:ind w:left="0"/>
        <w:rPr>
          <w:lang w:val="de-DE"/>
        </w:rPr>
      </w:pPr>
      <w:r>
        <w:rPr>
          <w:lang w:val="de-DE"/>
        </w:rPr>
        <w:t>Es gibt in dieser Indikation keinen relevanten Nutzen von Adalimumab bei Kindern, die jünger als 2 Jahre sind.</w:t>
      </w:r>
    </w:p>
    <w:p w14:paraId="2EF78041" w14:textId="77777777" w:rsidR="00FE291A" w:rsidRDefault="00FE291A">
      <w:pPr>
        <w:widowControl/>
        <w:kinsoku w:val="0"/>
        <w:overflowPunct w:val="0"/>
        <w:rPr>
          <w:sz w:val="22"/>
          <w:szCs w:val="22"/>
          <w:lang w:val="de-DE"/>
        </w:rPr>
      </w:pPr>
    </w:p>
    <w:p w14:paraId="67FFFAD4" w14:textId="77777777" w:rsidR="00FE291A" w:rsidRDefault="00C8738F">
      <w:pPr>
        <w:keepNext/>
        <w:widowControl/>
        <w:kinsoku w:val="0"/>
        <w:overflowPunct w:val="0"/>
        <w:rPr>
          <w:sz w:val="22"/>
          <w:szCs w:val="22"/>
          <w:u w:val="single"/>
          <w:lang w:val="de-DE"/>
        </w:rPr>
      </w:pPr>
      <w:r>
        <w:rPr>
          <w:i/>
          <w:iCs/>
          <w:sz w:val="22"/>
          <w:szCs w:val="22"/>
          <w:u w:val="single"/>
          <w:lang w:val="de-DE"/>
        </w:rPr>
        <w:t>Enthesitis-assoziierte Arthritis</w:t>
      </w:r>
    </w:p>
    <w:p w14:paraId="62468037" w14:textId="77777777" w:rsidR="00FE291A" w:rsidRDefault="00FE291A">
      <w:pPr>
        <w:keepNext/>
        <w:widowControl/>
        <w:kinsoku w:val="0"/>
        <w:overflowPunct w:val="0"/>
        <w:rPr>
          <w:sz w:val="22"/>
          <w:szCs w:val="22"/>
          <w:lang w:val="de-DE"/>
        </w:rPr>
      </w:pPr>
    </w:p>
    <w:p w14:paraId="45B198B8" w14:textId="77777777" w:rsidR="00FE291A" w:rsidRDefault="00C8738F">
      <w:pPr>
        <w:pStyle w:val="BodyText"/>
        <w:widowControl/>
        <w:kinsoku w:val="0"/>
        <w:overflowPunct w:val="0"/>
        <w:ind w:left="0"/>
        <w:rPr>
          <w:lang w:val="de-DE"/>
        </w:rPr>
      </w:pPr>
      <w:r>
        <w:rPr>
          <w:lang w:val="de-DE"/>
        </w:rPr>
        <w:t>Die empfohlene Dosis von AMGEVITA für Patienten mit Enthesitis-assoziierter Arthritis ab einem Alter von 6 Jahren wird anhand des Körpergewichtes bestimmt (Tabelle 2). AMGEVITA wird jede zweite Woche subkutan injiziert.</w:t>
      </w:r>
    </w:p>
    <w:p w14:paraId="493CA369" w14:textId="77777777" w:rsidR="00FE291A" w:rsidRDefault="00FE291A">
      <w:pPr>
        <w:pStyle w:val="BodyText"/>
        <w:widowControl/>
        <w:kinsoku w:val="0"/>
        <w:overflowPunct w:val="0"/>
        <w:ind w:left="0"/>
        <w:rPr>
          <w:lang w:val="de-DE"/>
        </w:rPr>
      </w:pPr>
    </w:p>
    <w:p w14:paraId="3655C172" w14:textId="77777777" w:rsidR="00FE291A" w:rsidRDefault="00C8738F">
      <w:pPr>
        <w:keepNext/>
        <w:keepLines/>
        <w:widowControl/>
        <w:rPr>
          <w:b/>
          <w:sz w:val="22"/>
          <w:szCs w:val="22"/>
          <w:lang w:val="de-DE"/>
        </w:rPr>
      </w:pPr>
      <w:r>
        <w:rPr>
          <w:b/>
          <w:sz w:val="22"/>
          <w:szCs w:val="22"/>
          <w:lang w:val="de-DE"/>
        </w:rPr>
        <w:t>Tabelle 2: AMGEVITA-Dosis für Patienten mit Enthesitis-assoziierter Arthritis</w:t>
      </w:r>
    </w:p>
    <w:p w14:paraId="12EB0523" w14:textId="77777777" w:rsidR="00FE291A" w:rsidRDefault="00FE291A">
      <w:pPr>
        <w:pStyle w:val="BodyText"/>
        <w:widowControl/>
        <w:kinsoku w:val="0"/>
        <w:overflowPunct w:val="0"/>
        <w:ind w:left="0"/>
        <w:rPr>
          <w:lang w:val="de-D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6"/>
        <w:gridCol w:w="6060"/>
      </w:tblGrid>
      <w:tr w:rsidR="00FE291A" w14:paraId="42987D9B" w14:textId="77777777">
        <w:trPr>
          <w:tblHeader/>
        </w:trPr>
        <w:tc>
          <w:tcPr>
            <w:tcW w:w="3296" w:type="dxa"/>
          </w:tcPr>
          <w:p w14:paraId="5D30D792" w14:textId="77777777" w:rsidR="00FE291A" w:rsidRDefault="00C8738F">
            <w:pPr>
              <w:keepNext/>
              <w:rPr>
                <w:b/>
                <w:sz w:val="22"/>
                <w:szCs w:val="22"/>
                <w:lang w:val="de-DE"/>
              </w:rPr>
            </w:pPr>
            <w:r>
              <w:rPr>
                <w:b/>
                <w:sz w:val="22"/>
                <w:szCs w:val="22"/>
                <w:lang w:val="de-DE" w:eastAsia="en-GB"/>
              </w:rPr>
              <w:t>Gewicht des Patienten</w:t>
            </w:r>
          </w:p>
        </w:tc>
        <w:tc>
          <w:tcPr>
            <w:tcW w:w="6060" w:type="dxa"/>
          </w:tcPr>
          <w:p w14:paraId="35CADD4C" w14:textId="77777777" w:rsidR="00FE291A" w:rsidRDefault="00C8738F">
            <w:pPr>
              <w:keepNext/>
              <w:rPr>
                <w:b/>
                <w:sz w:val="22"/>
                <w:szCs w:val="22"/>
                <w:lang w:val="de-DE"/>
              </w:rPr>
            </w:pPr>
            <w:r>
              <w:rPr>
                <w:b/>
                <w:sz w:val="22"/>
                <w:szCs w:val="22"/>
                <w:lang w:val="de-DE" w:eastAsia="en-GB"/>
              </w:rPr>
              <w:t>Dosierungsschema</w:t>
            </w:r>
          </w:p>
        </w:tc>
      </w:tr>
      <w:tr w:rsidR="00FE291A" w14:paraId="7BCDBBFE" w14:textId="77777777">
        <w:trPr>
          <w:tblHeader/>
        </w:trPr>
        <w:tc>
          <w:tcPr>
            <w:tcW w:w="3296" w:type="dxa"/>
          </w:tcPr>
          <w:p w14:paraId="6F178AB5" w14:textId="77777777" w:rsidR="00FE291A" w:rsidRDefault="00C8738F">
            <w:pPr>
              <w:keepNext/>
              <w:rPr>
                <w:b/>
                <w:sz w:val="22"/>
                <w:szCs w:val="22"/>
                <w:lang w:val="de-DE"/>
              </w:rPr>
            </w:pPr>
            <w:r>
              <w:rPr>
                <w:sz w:val="22"/>
                <w:szCs w:val="22"/>
                <w:lang w:val="de-DE"/>
              </w:rPr>
              <w:t>15 </w:t>
            </w:r>
            <w:r>
              <w:rPr>
                <w:rFonts w:eastAsia="Calibri"/>
                <w:sz w:val="22"/>
                <w:szCs w:val="22"/>
                <w:lang w:val="de-DE" w:eastAsia="ja-JP"/>
              </w:rPr>
              <w:t>kg bis &lt; 30 kg</w:t>
            </w:r>
          </w:p>
        </w:tc>
        <w:tc>
          <w:tcPr>
            <w:tcW w:w="6060" w:type="dxa"/>
          </w:tcPr>
          <w:p w14:paraId="75313511" w14:textId="77777777" w:rsidR="00FE291A" w:rsidRDefault="00C8738F">
            <w:pPr>
              <w:keepNext/>
              <w:rPr>
                <w:b/>
                <w:sz w:val="22"/>
                <w:szCs w:val="22"/>
                <w:lang w:val="de-DE" w:eastAsia="en-GB"/>
              </w:rPr>
            </w:pPr>
            <w:r>
              <w:rPr>
                <w:sz w:val="22"/>
                <w:szCs w:val="22"/>
                <w:lang w:val="de-DE" w:eastAsia="ja-JP"/>
              </w:rPr>
              <w:t>20 mg jede zweite Woche</w:t>
            </w:r>
          </w:p>
        </w:tc>
      </w:tr>
      <w:tr w:rsidR="00FE291A" w14:paraId="4DB9A137" w14:textId="77777777">
        <w:trPr>
          <w:tblHeader/>
        </w:trPr>
        <w:tc>
          <w:tcPr>
            <w:tcW w:w="3296" w:type="dxa"/>
          </w:tcPr>
          <w:p w14:paraId="1EB1F1FE" w14:textId="77777777" w:rsidR="00FE291A" w:rsidRDefault="00C8738F">
            <w:pPr>
              <w:keepNext/>
              <w:rPr>
                <w:b/>
                <w:sz w:val="22"/>
                <w:szCs w:val="22"/>
                <w:lang w:val="de-DE"/>
              </w:rPr>
            </w:pPr>
            <w:r>
              <w:rPr>
                <w:rFonts w:eastAsia="Calibri"/>
                <w:sz w:val="22"/>
                <w:szCs w:val="22"/>
                <w:lang w:val="de-DE" w:eastAsia="ja-JP"/>
              </w:rPr>
              <w:t>≥ 30</w:t>
            </w:r>
            <w:r>
              <w:rPr>
                <w:sz w:val="22"/>
                <w:szCs w:val="22"/>
                <w:lang w:val="de-DE" w:eastAsia="zh-TW"/>
              </w:rPr>
              <w:t> </w:t>
            </w:r>
            <w:r>
              <w:rPr>
                <w:rFonts w:eastAsia="Calibri"/>
                <w:sz w:val="22"/>
                <w:szCs w:val="22"/>
                <w:lang w:val="de-DE" w:eastAsia="ja-JP"/>
              </w:rPr>
              <w:t>kg</w:t>
            </w:r>
          </w:p>
        </w:tc>
        <w:tc>
          <w:tcPr>
            <w:tcW w:w="6060" w:type="dxa"/>
          </w:tcPr>
          <w:p w14:paraId="2B9D5459" w14:textId="77777777" w:rsidR="00FE291A" w:rsidRDefault="00C8738F">
            <w:pPr>
              <w:keepNext/>
              <w:rPr>
                <w:sz w:val="22"/>
                <w:szCs w:val="22"/>
                <w:lang w:val="de-DE" w:eastAsia="en-GB"/>
              </w:rPr>
            </w:pPr>
            <w:r>
              <w:rPr>
                <w:sz w:val="22"/>
                <w:szCs w:val="22"/>
                <w:lang w:val="de-DE" w:eastAsia="ja-JP"/>
              </w:rPr>
              <w:t>40 mg jede zweite Woche</w:t>
            </w:r>
          </w:p>
        </w:tc>
      </w:tr>
    </w:tbl>
    <w:p w14:paraId="656A8E60" w14:textId="77777777" w:rsidR="00FE291A" w:rsidRDefault="00FE291A">
      <w:pPr>
        <w:pStyle w:val="BodyText"/>
        <w:widowControl/>
        <w:kinsoku w:val="0"/>
        <w:overflowPunct w:val="0"/>
        <w:ind w:left="0"/>
        <w:rPr>
          <w:lang w:val="de-DE"/>
        </w:rPr>
      </w:pPr>
    </w:p>
    <w:p w14:paraId="43E4D915" w14:textId="77777777" w:rsidR="00FE291A" w:rsidRDefault="00C8738F">
      <w:pPr>
        <w:pStyle w:val="BodyText"/>
        <w:widowControl/>
        <w:kinsoku w:val="0"/>
        <w:overflowPunct w:val="0"/>
        <w:ind w:left="0"/>
        <w:rPr>
          <w:lang w:val="de-DE"/>
        </w:rPr>
      </w:pPr>
      <w:r>
        <w:rPr>
          <w:lang w:val="de-DE"/>
        </w:rPr>
        <w:t>Adalimumab wurde bei Patienten mit Enthesitis-assoziierter Arthritis, die jünger als 6 Jahre sind, nicht untersucht.</w:t>
      </w:r>
    </w:p>
    <w:p w14:paraId="3D68DD29" w14:textId="77777777" w:rsidR="00FE291A" w:rsidRDefault="00FE291A">
      <w:pPr>
        <w:pStyle w:val="BodyText"/>
        <w:widowControl/>
        <w:kinsoku w:val="0"/>
        <w:overflowPunct w:val="0"/>
        <w:ind w:left="0"/>
        <w:rPr>
          <w:lang w:val="de-DE"/>
        </w:rPr>
      </w:pPr>
    </w:p>
    <w:p w14:paraId="7AF94243" w14:textId="77777777" w:rsidR="00FE291A" w:rsidRDefault="00C8738F">
      <w:pPr>
        <w:widowControl/>
        <w:rPr>
          <w:i/>
          <w:iCs/>
          <w:color w:val="000000"/>
          <w:sz w:val="22"/>
          <w:szCs w:val="22"/>
          <w:lang w:val="de-DE"/>
        </w:rPr>
      </w:pPr>
      <w:r>
        <w:rPr>
          <w:i/>
          <w:iCs/>
          <w:color w:val="000000"/>
          <w:sz w:val="22"/>
          <w:szCs w:val="22"/>
          <w:lang w:val="de-DE"/>
        </w:rPr>
        <w:t xml:space="preserve">Psoriasis-Arthritis und axiale Spondyloarthritis, einschließlich ankylosierender Spondylitis </w:t>
      </w:r>
    </w:p>
    <w:p w14:paraId="476FF269" w14:textId="77777777" w:rsidR="00FE291A" w:rsidRDefault="00FE291A">
      <w:pPr>
        <w:widowControl/>
        <w:rPr>
          <w:color w:val="000000"/>
          <w:sz w:val="22"/>
          <w:szCs w:val="22"/>
          <w:lang w:val="de-DE"/>
        </w:rPr>
      </w:pPr>
    </w:p>
    <w:p w14:paraId="2CB3798B" w14:textId="77777777" w:rsidR="00FE291A" w:rsidRDefault="00C8738F">
      <w:pPr>
        <w:pStyle w:val="BodyText"/>
        <w:widowControl/>
        <w:kinsoku w:val="0"/>
        <w:overflowPunct w:val="0"/>
        <w:ind w:left="0"/>
        <w:rPr>
          <w:lang w:val="de-DE"/>
        </w:rPr>
      </w:pPr>
      <w:r>
        <w:rPr>
          <w:color w:val="000000"/>
          <w:lang w:val="de-DE"/>
        </w:rPr>
        <w:t>Es gibt in den Indikationen ankylosierende Spondylitis und Psoriasis-Arthritis keinen relevanten Nutzen von Adalimumab bei Kindern und Jugendlichen.</w:t>
      </w:r>
    </w:p>
    <w:p w14:paraId="7C4A8356" w14:textId="77777777" w:rsidR="00FE291A" w:rsidRDefault="00FE291A">
      <w:pPr>
        <w:pStyle w:val="BodyText"/>
        <w:widowControl/>
        <w:kinsoku w:val="0"/>
        <w:overflowPunct w:val="0"/>
        <w:ind w:left="0"/>
        <w:rPr>
          <w:lang w:val="de-DE"/>
        </w:rPr>
      </w:pPr>
    </w:p>
    <w:p w14:paraId="519D8323" w14:textId="77777777" w:rsidR="00FE291A" w:rsidRDefault="00C8738F">
      <w:pPr>
        <w:widowControl/>
        <w:kinsoku w:val="0"/>
        <w:overflowPunct w:val="0"/>
        <w:rPr>
          <w:sz w:val="22"/>
          <w:szCs w:val="22"/>
          <w:lang w:val="de-DE"/>
        </w:rPr>
      </w:pPr>
      <w:r>
        <w:rPr>
          <w:i/>
          <w:iCs/>
          <w:sz w:val="22"/>
          <w:szCs w:val="22"/>
          <w:lang w:val="de-DE"/>
        </w:rPr>
        <w:t>Plaque-Psoriasis bei Kindern und Jugendlichen</w:t>
      </w:r>
    </w:p>
    <w:p w14:paraId="22BCAA29" w14:textId="77777777" w:rsidR="00FE291A" w:rsidRDefault="00FE291A">
      <w:pPr>
        <w:widowControl/>
        <w:kinsoku w:val="0"/>
        <w:overflowPunct w:val="0"/>
        <w:rPr>
          <w:sz w:val="22"/>
          <w:szCs w:val="22"/>
          <w:lang w:val="de-DE"/>
        </w:rPr>
      </w:pPr>
    </w:p>
    <w:p w14:paraId="3AD8B592" w14:textId="77777777" w:rsidR="00FE291A" w:rsidRDefault="00C8738F">
      <w:pPr>
        <w:pStyle w:val="BodyText"/>
        <w:widowControl/>
        <w:kinsoku w:val="0"/>
        <w:overflowPunct w:val="0"/>
        <w:ind w:left="0"/>
        <w:rPr>
          <w:lang w:val="de-DE"/>
        </w:rPr>
      </w:pPr>
      <w:r>
        <w:rPr>
          <w:lang w:val="de-DE"/>
        </w:rPr>
        <w:t>Die empfohlene AMGEVITA-Dosis wird für Patienten mit Plaque-Psoriasis im Alter von 4 bis 17 Jahren anhand des Körpergewichtes bestimmt (Tabelle 3). AMGEVITA wird subkutan injiziert.</w:t>
      </w:r>
    </w:p>
    <w:p w14:paraId="26BA713D" w14:textId="77777777" w:rsidR="00FE291A" w:rsidRDefault="00FE291A">
      <w:pPr>
        <w:pStyle w:val="BodyText"/>
        <w:widowControl/>
        <w:kinsoku w:val="0"/>
        <w:overflowPunct w:val="0"/>
        <w:ind w:left="0"/>
        <w:rPr>
          <w:lang w:val="de-DE"/>
        </w:rPr>
      </w:pPr>
    </w:p>
    <w:p w14:paraId="59970AC6" w14:textId="77777777" w:rsidR="00FE291A" w:rsidRDefault="00C8738F">
      <w:pPr>
        <w:keepNext/>
        <w:keepLines/>
        <w:widowControl/>
        <w:rPr>
          <w:b/>
          <w:sz w:val="22"/>
          <w:szCs w:val="22"/>
          <w:lang w:val="de-DE"/>
        </w:rPr>
      </w:pPr>
      <w:r>
        <w:rPr>
          <w:b/>
          <w:sz w:val="22"/>
          <w:szCs w:val="22"/>
          <w:lang w:val="de-DE"/>
        </w:rPr>
        <w:t>Tabelle 3: AMGEVITA-Dosis für Kinder und Jugendliche mit Plaque-Psoriasis</w:t>
      </w:r>
    </w:p>
    <w:p w14:paraId="12853110" w14:textId="77777777" w:rsidR="00FE291A" w:rsidRDefault="00FE291A">
      <w:pPr>
        <w:keepNext/>
        <w:suppressAutoHyphens/>
        <w:rPr>
          <w:rFonts w:eastAsia="Times New Roman"/>
          <w:sz w:val="22"/>
          <w:szCs w:val="22"/>
          <w:lang w:val="de-D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5103"/>
      </w:tblGrid>
      <w:tr w:rsidR="00FE291A" w14:paraId="562EC397" w14:textId="77777777">
        <w:trPr>
          <w:tblHeader/>
        </w:trPr>
        <w:tc>
          <w:tcPr>
            <w:tcW w:w="4253" w:type="dxa"/>
          </w:tcPr>
          <w:p w14:paraId="1AB7F234" w14:textId="77777777" w:rsidR="00FE291A" w:rsidRDefault="00C8738F">
            <w:pPr>
              <w:keepNext/>
              <w:rPr>
                <w:b/>
                <w:sz w:val="22"/>
                <w:szCs w:val="22"/>
                <w:lang w:val="de-DE" w:eastAsia="en-GB"/>
              </w:rPr>
            </w:pPr>
            <w:r>
              <w:rPr>
                <w:b/>
                <w:sz w:val="22"/>
                <w:szCs w:val="22"/>
                <w:lang w:val="de-DE" w:eastAsia="en-GB"/>
              </w:rPr>
              <w:t>Gewicht des Patienten</w:t>
            </w:r>
          </w:p>
        </w:tc>
        <w:tc>
          <w:tcPr>
            <w:tcW w:w="5103" w:type="dxa"/>
          </w:tcPr>
          <w:p w14:paraId="1DD381FF" w14:textId="77777777" w:rsidR="00FE291A" w:rsidRDefault="00C8738F">
            <w:pPr>
              <w:keepNext/>
              <w:rPr>
                <w:b/>
                <w:sz w:val="22"/>
                <w:szCs w:val="22"/>
                <w:lang w:val="de-DE" w:eastAsia="en-GB"/>
              </w:rPr>
            </w:pPr>
            <w:r>
              <w:rPr>
                <w:b/>
                <w:sz w:val="22"/>
                <w:szCs w:val="22"/>
                <w:lang w:val="de-DE" w:eastAsia="en-GB"/>
              </w:rPr>
              <w:t>Dosierungsschema</w:t>
            </w:r>
          </w:p>
        </w:tc>
      </w:tr>
      <w:tr w:rsidR="00FE291A" w:rsidRPr="002E6CD3" w14:paraId="6E8A0DA2" w14:textId="77777777">
        <w:trPr>
          <w:tblHeader/>
        </w:trPr>
        <w:tc>
          <w:tcPr>
            <w:tcW w:w="4253" w:type="dxa"/>
          </w:tcPr>
          <w:p w14:paraId="5B125B49" w14:textId="77777777" w:rsidR="00FE291A" w:rsidRDefault="00C8738F">
            <w:pPr>
              <w:keepNext/>
              <w:rPr>
                <w:sz w:val="22"/>
                <w:szCs w:val="22"/>
                <w:lang w:val="de-DE"/>
              </w:rPr>
            </w:pPr>
            <w:r>
              <w:rPr>
                <w:sz w:val="22"/>
                <w:szCs w:val="22"/>
                <w:lang w:val="de-DE"/>
              </w:rPr>
              <w:t>15 kg bis &lt; 30 kg</w:t>
            </w:r>
          </w:p>
        </w:tc>
        <w:tc>
          <w:tcPr>
            <w:tcW w:w="5103" w:type="dxa"/>
          </w:tcPr>
          <w:p w14:paraId="6A44DAC8" w14:textId="77777777" w:rsidR="00FE291A" w:rsidRDefault="00C8738F">
            <w:pPr>
              <w:keepNext/>
              <w:rPr>
                <w:sz w:val="22"/>
                <w:szCs w:val="22"/>
                <w:lang w:val="de-DE"/>
              </w:rPr>
            </w:pPr>
            <w:r>
              <w:rPr>
                <w:sz w:val="22"/>
                <w:szCs w:val="22"/>
                <w:lang w:val="de-DE" w:eastAsia="ja-JP"/>
              </w:rPr>
              <w:t>Anfangsdosis von 20 mg, gefolgt von einer Dosis von 20 mg jede zweite Woche, beginnend eine Woche nach der Anfangsdosis</w:t>
            </w:r>
          </w:p>
        </w:tc>
      </w:tr>
      <w:tr w:rsidR="00FE291A" w:rsidRPr="002E6CD3" w14:paraId="0D6DC2D2" w14:textId="77777777">
        <w:trPr>
          <w:tblHeader/>
        </w:trPr>
        <w:tc>
          <w:tcPr>
            <w:tcW w:w="4253" w:type="dxa"/>
          </w:tcPr>
          <w:p w14:paraId="4139FE08" w14:textId="77777777" w:rsidR="00FE291A" w:rsidRDefault="00C8738F">
            <w:pPr>
              <w:keepNext/>
              <w:rPr>
                <w:sz w:val="22"/>
                <w:szCs w:val="22"/>
                <w:lang w:val="de-DE"/>
              </w:rPr>
            </w:pPr>
            <w:r>
              <w:rPr>
                <w:sz w:val="22"/>
                <w:szCs w:val="22"/>
                <w:lang w:val="de-DE" w:eastAsia="ja-JP"/>
              </w:rPr>
              <w:t>≥ 30</w:t>
            </w:r>
            <w:r>
              <w:rPr>
                <w:sz w:val="22"/>
                <w:szCs w:val="22"/>
                <w:lang w:val="de-DE"/>
              </w:rPr>
              <w:t> </w:t>
            </w:r>
            <w:r>
              <w:rPr>
                <w:sz w:val="22"/>
                <w:szCs w:val="22"/>
                <w:lang w:val="de-DE" w:eastAsia="ja-JP"/>
              </w:rPr>
              <w:t>kg</w:t>
            </w:r>
          </w:p>
        </w:tc>
        <w:tc>
          <w:tcPr>
            <w:tcW w:w="5103" w:type="dxa"/>
          </w:tcPr>
          <w:p w14:paraId="68D34E3F" w14:textId="77777777" w:rsidR="00FE291A" w:rsidRDefault="00C8738F">
            <w:pPr>
              <w:keepNext/>
              <w:rPr>
                <w:sz w:val="22"/>
                <w:szCs w:val="22"/>
                <w:lang w:val="de-DE"/>
              </w:rPr>
            </w:pPr>
            <w:r>
              <w:rPr>
                <w:sz w:val="22"/>
                <w:szCs w:val="22"/>
                <w:lang w:val="de-DE" w:eastAsia="ja-JP"/>
              </w:rPr>
              <w:t>Anfangsdosis von 40 mg, gefolgt von einer Dosis von 40 mg jede zweite Woche, beginnend eine Woche nach der Anfangsdosis</w:t>
            </w:r>
          </w:p>
        </w:tc>
      </w:tr>
    </w:tbl>
    <w:p w14:paraId="46D7B666" w14:textId="77777777" w:rsidR="00FE291A" w:rsidRDefault="00FE291A">
      <w:pPr>
        <w:pStyle w:val="BodyText"/>
        <w:widowControl/>
        <w:kinsoku w:val="0"/>
        <w:overflowPunct w:val="0"/>
        <w:ind w:left="0"/>
        <w:rPr>
          <w:lang w:val="de-DE"/>
        </w:rPr>
      </w:pPr>
    </w:p>
    <w:p w14:paraId="5C7D452A" w14:textId="77777777" w:rsidR="00FE291A" w:rsidRDefault="00C8738F">
      <w:pPr>
        <w:pStyle w:val="BodyText"/>
        <w:widowControl/>
        <w:kinsoku w:val="0"/>
        <w:overflowPunct w:val="0"/>
        <w:ind w:left="0"/>
        <w:rPr>
          <w:lang w:val="de-DE"/>
        </w:rPr>
      </w:pPr>
      <w:r>
        <w:rPr>
          <w:lang w:val="de-DE"/>
        </w:rPr>
        <w:t>Die Fortsetzung der Therapie länger als 16 Wochen sollte bei Patienten, die innerhalb dieser Zeitspanne nicht ansprechen, sorgfältig abgewogen werden.</w:t>
      </w:r>
    </w:p>
    <w:p w14:paraId="4CD33B7E" w14:textId="77777777" w:rsidR="00FE291A" w:rsidRDefault="00FE291A">
      <w:pPr>
        <w:widowControl/>
        <w:kinsoku w:val="0"/>
        <w:overflowPunct w:val="0"/>
        <w:rPr>
          <w:sz w:val="22"/>
          <w:szCs w:val="22"/>
          <w:lang w:val="de-DE"/>
        </w:rPr>
      </w:pPr>
    </w:p>
    <w:p w14:paraId="5E9E2571" w14:textId="77777777" w:rsidR="00FE291A" w:rsidRDefault="00C8738F">
      <w:pPr>
        <w:pStyle w:val="BodyText"/>
        <w:widowControl/>
        <w:kinsoku w:val="0"/>
        <w:overflowPunct w:val="0"/>
        <w:ind w:left="0"/>
        <w:rPr>
          <w:lang w:val="de-DE"/>
        </w:rPr>
      </w:pPr>
      <w:r>
        <w:rPr>
          <w:lang w:val="de-DE"/>
        </w:rPr>
        <w:t>Wenn die Wiederaufnahme der Therapie mit AMGEVITA angezeigt ist, sollte bezüglich Dosis und Behandlungsdauer die oben beschriebene Anleitung befolgt werden.</w:t>
      </w:r>
    </w:p>
    <w:p w14:paraId="740F43A1" w14:textId="77777777" w:rsidR="00FE291A" w:rsidRDefault="00FE291A">
      <w:pPr>
        <w:widowControl/>
        <w:kinsoku w:val="0"/>
        <w:overflowPunct w:val="0"/>
        <w:rPr>
          <w:sz w:val="22"/>
          <w:szCs w:val="22"/>
          <w:lang w:val="de-DE"/>
        </w:rPr>
      </w:pPr>
    </w:p>
    <w:p w14:paraId="08A260B1" w14:textId="77777777" w:rsidR="00FE291A" w:rsidRDefault="00C8738F">
      <w:pPr>
        <w:pStyle w:val="BodyText"/>
        <w:widowControl/>
        <w:kinsoku w:val="0"/>
        <w:overflowPunct w:val="0"/>
        <w:ind w:left="0"/>
        <w:rPr>
          <w:lang w:val="de-DE"/>
        </w:rPr>
      </w:pPr>
      <w:r>
        <w:rPr>
          <w:lang w:val="de-DE"/>
        </w:rPr>
        <w:t>Die Sicherheit von Adalimumab bei Kindern und Jugendlichen mit Plaque-Psoriasis wurde für durchschnittlich 13 Monate beurteilt.</w:t>
      </w:r>
    </w:p>
    <w:p w14:paraId="58641AAD" w14:textId="77777777" w:rsidR="00FE291A" w:rsidRDefault="00FE291A">
      <w:pPr>
        <w:widowControl/>
        <w:kinsoku w:val="0"/>
        <w:overflowPunct w:val="0"/>
        <w:rPr>
          <w:sz w:val="22"/>
          <w:szCs w:val="22"/>
          <w:lang w:val="de-DE"/>
        </w:rPr>
      </w:pPr>
    </w:p>
    <w:p w14:paraId="1360376A" w14:textId="77777777" w:rsidR="00FE291A" w:rsidRDefault="00C8738F">
      <w:pPr>
        <w:pStyle w:val="BodyText"/>
        <w:widowControl/>
        <w:kinsoku w:val="0"/>
        <w:overflowPunct w:val="0"/>
        <w:ind w:left="0"/>
        <w:rPr>
          <w:lang w:val="de-DE"/>
        </w:rPr>
      </w:pPr>
      <w:r>
        <w:rPr>
          <w:lang w:val="de-DE"/>
        </w:rPr>
        <w:t>Es gibt in dieser Indikation keinen relevanten Nutzen von Adalimumab bei Kindern, die jünger als 4 Jahre sind.</w:t>
      </w:r>
    </w:p>
    <w:p w14:paraId="6D3AABCE" w14:textId="77777777" w:rsidR="00FE291A" w:rsidRDefault="00FE291A">
      <w:pPr>
        <w:widowControl/>
        <w:kinsoku w:val="0"/>
        <w:overflowPunct w:val="0"/>
        <w:rPr>
          <w:sz w:val="22"/>
          <w:szCs w:val="22"/>
          <w:lang w:val="de-DE"/>
        </w:rPr>
      </w:pPr>
    </w:p>
    <w:p w14:paraId="7EDDF6EB" w14:textId="77777777" w:rsidR="00FE291A" w:rsidRDefault="00C8738F">
      <w:pPr>
        <w:keepNext/>
        <w:rPr>
          <w:i/>
          <w:sz w:val="22"/>
          <w:szCs w:val="22"/>
          <w:lang w:val="de-DE"/>
        </w:rPr>
      </w:pPr>
      <w:r>
        <w:rPr>
          <w:i/>
          <w:sz w:val="22"/>
          <w:szCs w:val="22"/>
          <w:lang w:val="de-DE" w:eastAsia="de-DE"/>
        </w:rPr>
        <w:t>Hidradenitis suppurativa (Acne inversa) bei Jugendlichen (ab 12 Jahren und mit einem Gewicht von mindestens 30 kg)</w:t>
      </w:r>
    </w:p>
    <w:p w14:paraId="24568398" w14:textId="77777777" w:rsidR="00FE291A" w:rsidRDefault="00FE291A">
      <w:pPr>
        <w:keepNext/>
        <w:rPr>
          <w:i/>
          <w:sz w:val="22"/>
          <w:szCs w:val="22"/>
          <w:lang w:val="de-DE"/>
        </w:rPr>
      </w:pPr>
    </w:p>
    <w:p w14:paraId="26031930" w14:textId="77777777" w:rsidR="00FE291A" w:rsidRDefault="00C8738F">
      <w:pPr>
        <w:rPr>
          <w:sz w:val="22"/>
          <w:szCs w:val="22"/>
          <w:shd w:val="clear" w:color="000000" w:fill="auto"/>
          <w:lang w:val="de-DE"/>
        </w:rPr>
      </w:pPr>
      <w:r>
        <w:rPr>
          <w:sz w:val="22"/>
          <w:szCs w:val="22"/>
          <w:lang w:val="de-DE" w:eastAsia="de-DE"/>
        </w:rPr>
        <w:t>Es gibt keine klinischen Studien mit Adalimumab bei jugendlichen Patienten mit Hidradenitis suppurativa (HS). Die Dosierung von AMGEVITA bei diesen Patienten wurde in pharmakokinetischen Modellen und Simulationen bestimmt (siehe Abschnitt 5.2).</w:t>
      </w:r>
    </w:p>
    <w:p w14:paraId="5FEA1E67" w14:textId="77777777" w:rsidR="00FE291A" w:rsidRDefault="00FE291A">
      <w:pPr>
        <w:rPr>
          <w:sz w:val="22"/>
          <w:szCs w:val="22"/>
          <w:lang w:val="de-DE"/>
        </w:rPr>
      </w:pPr>
    </w:p>
    <w:p w14:paraId="339D38B3" w14:textId="77777777" w:rsidR="00FE291A" w:rsidRDefault="00C8738F">
      <w:pPr>
        <w:rPr>
          <w:sz w:val="22"/>
          <w:szCs w:val="22"/>
          <w:lang w:val="de-DE"/>
        </w:rPr>
      </w:pPr>
      <w:r>
        <w:rPr>
          <w:sz w:val="22"/>
          <w:szCs w:val="22"/>
          <w:lang w:val="de-DE" w:eastAsia="de-DE"/>
        </w:rPr>
        <w:t>Die empfohlene Dosis von AMGEVITA beträgt 80 mg in Woche 0, gefolgt von 40 mg jede zweite Woche ab Woche 1 als subkutane Injektion.</w:t>
      </w:r>
    </w:p>
    <w:p w14:paraId="3194F85B" w14:textId="77777777" w:rsidR="00FE291A" w:rsidRDefault="00FE291A">
      <w:pPr>
        <w:rPr>
          <w:sz w:val="22"/>
          <w:szCs w:val="22"/>
          <w:lang w:val="de-DE"/>
        </w:rPr>
      </w:pPr>
    </w:p>
    <w:p w14:paraId="3B087FEB" w14:textId="77777777" w:rsidR="00FE291A" w:rsidRDefault="00C8738F">
      <w:pPr>
        <w:rPr>
          <w:sz w:val="22"/>
          <w:szCs w:val="22"/>
          <w:lang w:val="de-DE" w:eastAsia="de-DE"/>
        </w:rPr>
      </w:pPr>
      <w:r>
        <w:rPr>
          <w:sz w:val="22"/>
          <w:szCs w:val="22"/>
          <w:lang w:val="de-DE" w:eastAsia="de-DE"/>
        </w:rPr>
        <w:t>Bei jugendlichen Patienten, die unzureichend auf 40 mg AMGEVITA jede zweite Woche ansprechen, kann eine Erhöhung der Dosis auf 40 mg jede Woche oder 80 mg jede zweite Woche erwogen werden.</w:t>
      </w:r>
    </w:p>
    <w:p w14:paraId="50203170" w14:textId="77777777" w:rsidR="00FE291A" w:rsidRDefault="00FE291A">
      <w:pPr>
        <w:rPr>
          <w:sz w:val="22"/>
          <w:szCs w:val="22"/>
          <w:lang w:val="de-DE"/>
        </w:rPr>
      </w:pPr>
    </w:p>
    <w:p w14:paraId="7E157212" w14:textId="77777777" w:rsidR="00FE291A" w:rsidRDefault="00C8738F">
      <w:pPr>
        <w:rPr>
          <w:sz w:val="22"/>
          <w:szCs w:val="22"/>
          <w:lang w:val="de-DE"/>
        </w:rPr>
      </w:pPr>
      <w:r>
        <w:rPr>
          <w:sz w:val="22"/>
          <w:szCs w:val="22"/>
          <w:lang w:val="de-DE" w:eastAsia="de-DE"/>
        </w:rPr>
        <w:t>Falls notwendig, kann eine Antibiotikatherapie während der Behandlung mit AMGEVITA weitergeführt werden. Es wird empfohlen, dass die Patienten während der Behandlung mit AMGEVITA täglich eine topische antiseptische Waschlösung an ihren HS-Läsionen anwenden.</w:t>
      </w:r>
    </w:p>
    <w:p w14:paraId="17C61B52" w14:textId="77777777" w:rsidR="00FE291A" w:rsidRDefault="00FE291A">
      <w:pPr>
        <w:rPr>
          <w:sz w:val="22"/>
          <w:szCs w:val="22"/>
          <w:lang w:val="de-DE" w:eastAsia="de-DE"/>
        </w:rPr>
      </w:pPr>
    </w:p>
    <w:p w14:paraId="2612D928" w14:textId="77777777" w:rsidR="00FE291A" w:rsidRDefault="00C8738F">
      <w:pPr>
        <w:rPr>
          <w:sz w:val="22"/>
          <w:szCs w:val="22"/>
          <w:lang w:val="de-DE"/>
        </w:rPr>
      </w:pPr>
      <w:r>
        <w:rPr>
          <w:sz w:val="22"/>
          <w:szCs w:val="22"/>
          <w:lang w:val="de-DE" w:eastAsia="de-DE"/>
        </w:rPr>
        <w:t>Eine Fortsetzung der Therapie länger als 12 Wochen sollte sorgfältig abgewogen werden bei Patienten, die innerhalb dieser Zeitspanne keine Verbesserung zeigen.</w:t>
      </w:r>
    </w:p>
    <w:p w14:paraId="3C218822" w14:textId="77777777" w:rsidR="00FE291A" w:rsidRDefault="00FE291A">
      <w:pPr>
        <w:rPr>
          <w:sz w:val="22"/>
          <w:szCs w:val="22"/>
          <w:lang w:val="de-DE" w:eastAsia="de-DE"/>
        </w:rPr>
      </w:pPr>
    </w:p>
    <w:p w14:paraId="6D704775" w14:textId="77777777" w:rsidR="00FE291A" w:rsidRDefault="00C8738F">
      <w:pPr>
        <w:rPr>
          <w:sz w:val="22"/>
          <w:szCs w:val="22"/>
          <w:lang w:val="de-DE"/>
        </w:rPr>
      </w:pPr>
      <w:r>
        <w:rPr>
          <w:sz w:val="22"/>
          <w:szCs w:val="22"/>
          <w:lang w:val="de-DE" w:eastAsia="de-DE"/>
        </w:rPr>
        <w:t>Sollte eine Unterbrechung der Behandlung erforderlich sein, kann AMGEVITA nach Bedarf erneut gegeben werden.</w:t>
      </w:r>
    </w:p>
    <w:p w14:paraId="07723BCF" w14:textId="77777777" w:rsidR="00FE291A" w:rsidRDefault="00FE291A">
      <w:pPr>
        <w:rPr>
          <w:sz w:val="22"/>
          <w:szCs w:val="22"/>
          <w:lang w:val="de-DE" w:eastAsia="de-DE"/>
        </w:rPr>
      </w:pPr>
    </w:p>
    <w:p w14:paraId="446D21AE" w14:textId="77777777" w:rsidR="00FE291A" w:rsidRDefault="00C8738F">
      <w:pPr>
        <w:rPr>
          <w:sz w:val="22"/>
          <w:szCs w:val="22"/>
          <w:lang w:val="de-DE"/>
        </w:rPr>
      </w:pPr>
      <w:r>
        <w:rPr>
          <w:sz w:val="22"/>
          <w:szCs w:val="22"/>
          <w:lang w:val="de-DE" w:eastAsia="de-DE"/>
        </w:rPr>
        <w:t>Nutzen und Risiko einer fortgesetzten Langzeitbehandlung sollten regelmäßig beurteilt werden (siehe Daten zu Erwachsenen in Abschnitt 5.1).</w:t>
      </w:r>
    </w:p>
    <w:p w14:paraId="29B1F3DE" w14:textId="77777777" w:rsidR="00FE291A" w:rsidRDefault="00FE291A">
      <w:pPr>
        <w:rPr>
          <w:sz w:val="22"/>
          <w:szCs w:val="22"/>
          <w:lang w:val="de-DE" w:eastAsia="de-DE"/>
        </w:rPr>
      </w:pPr>
    </w:p>
    <w:p w14:paraId="2AE55574" w14:textId="77777777" w:rsidR="00FE291A" w:rsidRDefault="00C8738F">
      <w:pPr>
        <w:widowControl/>
        <w:kinsoku w:val="0"/>
        <w:overflowPunct w:val="0"/>
        <w:rPr>
          <w:sz w:val="22"/>
          <w:szCs w:val="22"/>
          <w:lang w:val="de-DE" w:eastAsia="de-DE"/>
        </w:rPr>
      </w:pPr>
      <w:r>
        <w:rPr>
          <w:sz w:val="22"/>
          <w:szCs w:val="22"/>
          <w:lang w:val="de-DE" w:eastAsia="de-DE"/>
        </w:rPr>
        <w:t>Es gibt in dieser Indikation keinen relevanten Nutzen von AMGEVITA bei Kindern, die jünger als 12 Jahre sind.</w:t>
      </w:r>
    </w:p>
    <w:p w14:paraId="3B0C19C2" w14:textId="77777777" w:rsidR="00FE291A" w:rsidRDefault="00FE291A">
      <w:pPr>
        <w:widowControl/>
        <w:kinsoku w:val="0"/>
        <w:overflowPunct w:val="0"/>
        <w:rPr>
          <w:sz w:val="22"/>
          <w:szCs w:val="22"/>
          <w:lang w:val="de-DE"/>
        </w:rPr>
      </w:pPr>
    </w:p>
    <w:p w14:paraId="5A45006A" w14:textId="77777777" w:rsidR="00FE291A" w:rsidRDefault="00C8738F">
      <w:pPr>
        <w:keepNext/>
        <w:widowControl/>
        <w:kinsoku w:val="0"/>
        <w:overflowPunct w:val="0"/>
        <w:rPr>
          <w:sz w:val="22"/>
          <w:szCs w:val="22"/>
          <w:lang w:val="de-DE"/>
        </w:rPr>
      </w:pPr>
      <w:r>
        <w:rPr>
          <w:i/>
          <w:iCs/>
          <w:sz w:val="22"/>
          <w:szCs w:val="22"/>
          <w:lang w:val="de-DE"/>
        </w:rPr>
        <w:t>Morbus Crohn bei Kindern und Jugendlichen</w:t>
      </w:r>
    </w:p>
    <w:p w14:paraId="242DD3A7" w14:textId="77777777" w:rsidR="00FE291A" w:rsidRDefault="00FE291A">
      <w:pPr>
        <w:keepNext/>
        <w:widowControl/>
        <w:kinsoku w:val="0"/>
        <w:overflowPunct w:val="0"/>
        <w:rPr>
          <w:sz w:val="22"/>
          <w:szCs w:val="22"/>
          <w:lang w:val="de-DE"/>
        </w:rPr>
      </w:pPr>
    </w:p>
    <w:p w14:paraId="0D1D6BC9" w14:textId="77777777" w:rsidR="00FE291A" w:rsidRDefault="00C8738F">
      <w:pPr>
        <w:pStyle w:val="BodyText"/>
        <w:widowControl/>
        <w:kinsoku w:val="0"/>
        <w:overflowPunct w:val="0"/>
        <w:ind w:left="0"/>
        <w:rPr>
          <w:lang w:val="de-DE"/>
        </w:rPr>
      </w:pPr>
      <w:r>
        <w:rPr>
          <w:lang w:val="de-DE"/>
        </w:rPr>
        <w:t>Die empfohlene Dosis von AMGEVITA für Patienten mit Morbus Crohn im Alter von 6 bis 17 Jahren wird anhand des Körpergewichts bestimmt (Tabelle 4). AMGEVITA wird subkutan injiziert.</w:t>
      </w:r>
    </w:p>
    <w:p w14:paraId="3CBCC7C0" w14:textId="77777777" w:rsidR="00FE291A" w:rsidRDefault="00FE291A">
      <w:pPr>
        <w:pStyle w:val="BodyText"/>
        <w:widowControl/>
        <w:kinsoku w:val="0"/>
        <w:overflowPunct w:val="0"/>
        <w:ind w:left="0"/>
        <w:rPr>
          <w:lang w:val="de-DE"/>
        </w:rPr>
      </w:pPr>
    </w:p>
    <w:p w14:paraId="3147E066" w14:textId="77777777" w:rsidR="00FE291A" w:rsidRDefault="00C8738F">
      <w:pPr>
        <w:keepNext/>
        <w:keepLines/>
        <w:widowControl/>
        <w:rPr>
          <w:b/>
          <w:sz w:val="22"/>
          <w:szCs w:val="22"/>
          <w:lang w:val="de-DE"/>
        </w:rPr>
      </w:pPr>
      <w:r>
        <w:rPr>
          <w:b/>
          <w:sz w:val="22"/>
          <w:szCs w:val="22"/>
          <w:lang w:val="de-DE"/>
        </w:rPr>
        <w:t>Tabelle 4: AMGEVITA-Dosis für Kinder und Jugendliche mit Morbus Crohn</w:t>
      </w:r>
    </w:p>
    <w:p w14:paraId="2D78861E" w14:textId="77777777" w:rsidR="00FE291A" w:rsidRDefault="00FE291A">
      <w:pPr>
        <w:keepNext/>
        <w:suppressAutoHyphens/>
        <w:rPr>
          <w:rFonts w:eastAsia="Times New Roman"/>
          <w:sz w:val="22"/>
          <w:szCs w:val="22"/>
          <w:lang w:val="de-DE"/>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84"/>
        <w:gridCol w:w="6065"/>
        <w:gridCol w:w="1706"/>
      </w:tblGrid>
      <w:tr w:rsidR="00FE291A" w14:paraId="20857B86" w14:textId="77777777">
        <w:trPr>
          <w:tblHeader/>
        </w:trPr>
        <w:tc>
          <w:tcPr>
            <w:tcW w:w="0" w:type="auto"/>
            <w:tcBorders>
              <w:top w:val="single" w:sz="6" w:space="0" w:color="000000"/>
              <w:left w:val="single" w:sz="6" w:space="0" w:color="000000"/>
              <w:bottom w:val="single" w:sz="6" w:space="0" w:color="000000"/>
              <w:right w:val="single" w:sz="6" w:space="0" w:color="000000"/>
            </w:tcBorders>
          </w:tcPr>
          <w:p w14:paraId="03BDF74E" w14:textId="77777777" w:rsidR="00FE291A" w:rsidRDefault="00C8738F">
            <w:pPr>
              <w:keepNext/>
              <w:rPr>
                <w:b/>
                <w:sz w:val="22"/>
                <w:szCs w:val="22"/>
                <w:lang w:val="de-DE" w:eastAsia="en-GB"/>
              </w:rPr>
            </w:pPr>
            <w:r>
              <w:rPr>
                <w:b/>
                <w:sz w:val="22"/>
                <w:szCs w:val="22"/>
                <w:lang w:val="de-DE"/>
              </w:rPr>
              <w:t>Gewicht des Patienten</w:t>
            </w:r>
          </w:p>
        </w:tc>
        <w:tc>
          <w:tcPr>
            <w:tcW w:w="3349" w:type="pct"/>
            <w:tcBorders>
              <w:top w:val="single" w:sz="6" w:space="0" w:color="000000"/>
              <w:left w:val="single" w:sz="6" w:space="0" w:color="000000"/>
              <w:bottom w:val="single" w:sz="6" w:space="0" w:color="000000"/>
              <w:right w:val="single" w:sz="6" w:space="0" w:color="000000"/>
            </w:tcBorders>
          </w:tcPr>
          <w:p w14:paraId="29C52CFA" w14:textId="77777777" w:rsidR="00FE291A" w:rsidRDefault="00C8738F">
            <w:pPr>
              <w:keepNext/>
              <w:ind w:firstLine="116"/>
              <w:rPr>
                <w:b/>
                <w:sz w:val="22"/>
                <w:szCs w:val="22"/>
                <w:lang w:val="de-DE" w:eastAsia="en-GB"/>
              </w:rPr>
            </w:pPr>
            <w:r>
              <w:rPr>
                <w:b/>
                <w:sz w:val="22"/>
                <w:szCs w:val="22"/>
                <w:lang w:val="de-DE"/>
              </w:rPr>
              <w:t>Anfangsdosis</w:t>
            </w:r>
          </w:p>
        </w:tc>
        <w:tc>
          <w:tcPr>
            <w:tcW w:w="942" w:type="pct"/>
            <w:tcBorders>
              <w:top w:val="single" w:sz="6" w:space="0" w:color="000000"/>
              <w:left w:val="single" w:sz="6" w:space="0" w:color="000000"/>
              <w:bottom w:val="single" w:sz="6" w:space="0" w:color="000000"/>
              <w:right w:val="single" w:sz="6" w:space="0" w:color="000000"/>
            </w:tcBorders>
          </w:tcPr>
          <w:p w14:paraId="0C5B2ACC" w14:textId="77777777" w:rsidR="00FE291A" w:rsidRDefault="00C8738F">
            <w:pPr>
              <w:keepNext/>
              <w:rPr>
                <w:b/>
                <w:sz w:val="22"/>
                <w:szCs w:val="22"/>
                <w:lang w:val="de-DE" w:eastAsia="en-GB"/>
              </w:rPr>
            </w:pPr>
            <w:r>
              <w:rPr>
                <w:b/>
                <w:sz w:val="22"/>
                <w:szCs w:val="22"/>
                <w:lang w:val="de-DE"/>
              </w:rPr>
              <w:t>Erhaltungsdosis, beginnend in Woche 4</w:t>
            </w:r>
          </w:p>
        </w:tc>
      </w:tr>
      <w:tr w:rsidR="00FE291A" w14:paraId="5807613F" w14:textId="77777777">
        <w:trPr>
          <w:cantSplit/>
        </w:trPr>
        <w:tc>
          <w:tcPr>
            <w:tcW w:w="709" w:type="pct"/>
            <w:tcBorders>
              <w:top w:val="single" w:sz="6" w:space="0" w:color="000000"/>
              <w:left w:val="single" w:sz="6" w:space="0" w:color="000000"/>
              <w:bottom w:val="single" w:sz="6" w:space="0" w:color="000000"/>
              <w:right w:val="single" w:sz="6" w:space="0" w:color="000000"/>
            </w:tcBorders>
          </w:tcPr>
          <w:p w14:paraId="3BE08BFC" w14:textId="77777777" w:rsidR="00FE291A" w:rsidRDefault="00C8738F">
            <w:pPr>
              <w:suppressAutoHyphens/>
              <w:jc w:val="center"/>
              <w:rPr>
                <w:rFonts w:eastAsia="Times New Roman"/>
                <w:sz w:val="22"/>
                <w:szCs w:val="22"/>
                <w:lang w:val="de-DE"/>
              </w:rPr>
            </w:pPr>
            <w:r>
              <w:rPr>
                <w:rFonts w:eastAsia="Times New Roman"/>
                <w:sz w:val="22"/>
                <w:szCs w:val="22"/>
                <w:lang w:val="de-DE"/>
              </w:rPr>
              <w:t>&lt; 40 kg</w:t>
            </w:r>
          </w:p>
        </w:tc>
        <w:tc>
          <w:tcPr>
            <w:tcW w:w="3349" w:type="pct"/>
            <w:tcBorders>
              <w:top w:val="single" w:sz="6" w:space="0" w:color="000000"/>
              <w:left w:val="single" w:sz="6" w:space="0" w:color="000000"/>
              <w:bottom w:val="single" w:sz="6" w:space="0" w:color="000000"/>
              <w:right w:val="single" w:sz="6" w:space="0" w:color="000000"/>
            </w:tcBorders>
          </w:tcPr>
          <w:p w14:paraId="30672740" w14:textId="77777777" w:rsidR="00FE291A" w:rsidRDefault="00C8738F">
            <w:pPr>
              <w:keepNext/>
              <w:widowControl/>
              <w:numPr>
                <w:ilvl w:val="0"/>
                <w:numId w:val="9"/>
              </w:numPr>
              <w:tabs>
                <w:tab w:val="left" w:pos="411"/>
              </w:tabs>
              <w:suppressAutoHyphens/>
              <w:autoSpaceDE/>
              <w:autoSpaceDN/>
              <w:adjustRightInd/>
              <w:ind w:left="142" w:firstLine="0"/>
              <w:rPr>
                <w:sz w:val="22"/>
                <w:szCs w:val="22"/>
                <w:lang w:val="de-DE"/>
              </w:rPr>
            </w:pPr>
            <w:r>
              <w:rPr>
                <w:sz w:val="22"/>
                <w:szCs w:val="22"/>
                <w:lang w:val="de-DE"/>
              </w:rPr>
              <w:t>40 mg in Woche 0 und 20 mg in Woche 2</w:t>
            </w:r>
          </w:p>
          <w:p w14:paraId="0059A0E3" w14:textId="77777777" w:rsidR="00FE291A" w:rsidRDefault="00FE291A">
            <w:pPr>
              <w:keepNext/>
              <w:tabs>
                <w:tab w:val="left" w:pos="562"/>
              </w:tabs>
              <w:suppressAutoHyphens/>
              <w:ind w:left="142"/>
              <w:rPr>
                <w:sz w:val="22"/>
                <w:szCs w:val="22"/>
                <w:lang w:val="de-DE"/>
              </w:rPr>
            </w:pPr>
          </w:p>
          <w:p w14:paraId="097DE7C1" w14:textId="77777777" w:rsidR="00FE291A" w:rsidRDefault="00C8738F">
            <w:pPr>
              <w:keepNext/>
              <w:tabs>
                <w:tab w:val="left" w:pos="562"/>
              </w:tabs>
              <w:suppressAutoHyphens/>
              <w:ind w:left="142"/>
              <w:rPr>
                <w:sz w:val="22"/>
                <w:szCs w:val="22"/>
                <w:lang w:val="de-DE"/>
              </w:rPr>
            </w:pPr>
            <w:r>
              <w:rPr>
                <w:sz w:val="22"/>
                <w:szCs w:val="22"/>
                <w:lang w:val="de-DE"/>
              </w:rPr>
              <w:t>In Fällen, in denen ein schnelleres Ansprechen auf die Therapie erforderlich ist, kann – unter Berücksichtigung, dass bei einer höheren Induktionsdosis auch das Risiko für Nebenwirkungen höher sein kann – folgende Dosis angewandt werden:</w:t>
            </w:r>
          </w:p>
          <w:p w14:paraId="3E308EF0" w14:textId="77777777" w:rsidR="00FE291A" w:rsidRDefault="00C8738F">
            <w:pPr>
              <w:widowControl/>
              <w:numPr>
                <w:ilvl w:val="0"/>
                <w:numId w:val="9"/>
              </w:numPr>
              <w:tabs>
                <w:tab w:val="left" w:pos="400"/>
              </w:tabs>
              <w:suppressAutoHyphens/>
              <w:autoSpaceDE/>
              <w:autoSpaceDN/>
              <w:adjustRightInd/>
              <w:ind w:left="145" w:hanging="2"/>
              <w:rPr>
                <w:rFonts w:eastAsia="Times New Roman"/>
                <w:iCs/>
                <w:sz w:val="22"/>
                <w:szCs w:val="22"/>
                <w:lang w:val="de-DE"/>
              </w:rPr>
            </w:pPr>
            <w:r>
              <w:rPr>
                <w:sz w:val="22"/>
                <w:szCs w:val="22"/>
                <w:lang w:val="de-DE"/>
              </w:rPr>
              <w:t>80 mg in Woche 0 und 40 mg in Woche 2</w:t>
            </w:r>
          </w:p>
        </w:tc>
        <w:tc>
          <w:tcPr>
            <w:tcW w:w="942" w:type="pct"/>
            <w:tcBorders>
              <w:top w:val="single" w:sz="6" w:space="0" w:color="000000"/>
              <w:left w:val="single" w:sz="6" w:space="0" w:color="000000"/>
              <w:bottom w:val="single" w:sz="6" w:space="0" w:color="000000"/>
              <w:right w:val="single" w:sz="6" w:space="0" w:color="000000"/>
            </w:tcBorders>
          </w:tcPr>
          <w:p w14:paraId="67E85B67" w14:textId="77777777" w:rsidR="00FE291A" w:rsidRDefault="00C8738F">
            <w:pPr>
              <w:ind w:left="16"/>
              <w:jc w:val="center"/>
              <w:rPr>
                <w:rFonts w:eastAsia="Times New Roman"/>
                <w:sz w:val="22"/>
                <w:szCs w:val="22"/>
                <w:lang w:val="de-DE"/>
              </w:rPr>
            </w:pPr>
            <w:r>
              <w:rPr>
                <w:sz w:val="22"/>
                <w:szCs w:val="22"/>
                <w:lang w:val="de-DE"/>
              </w:rPr>
              <w:t>20 mg jede zweite Woche</w:t>
            </w:r>
          </w:p>
        </w:tc>
      </w:tr>
      <w:tr w:rsidR="00FE291A" w14:paraId="391FD7AB" w14:textId="77777777">
        <w:tc>
          <w:tcPr>
            <w:tcW w:w="0" w:type="auto"/>
            <w:tcBorders>
              <w:top w:val="single" w:sz="6" w:space="0" w:color="000000"/>
              <w:left w:val="single" w:sz="6" w:space="0" w:color="000000"/>
              <w:bottom w:val="single" w:sz="6" w:space="0" w:color="000000"/>
              <w:right w:val="single" w:sz="6" w:space="0" w:color="000000"/>
            </w:tcBorders>
          </w:tcPr>
          <w:p w14:paraId="2E2A9E21" w14:textId="77777777" w:rsidR="00FE291A" w:rsidRDefault="00C8738F">
            <w:pPr>
              <w:keepNext/>
              <w:suppressAutoHyphens/>
              <w:jc w:val="center"/>
              <w:rPr>
                <w:rFonts w:eastAsia="Times New Roman"/>
                <w:sz w:val="22"/>
                <w:szCs w:val="22"/>
                <w:lang w:val="de-DE"/>
              </w:rPr>
            </w:pPr>
            <w:r>
              <w:rPr>
                <w:rFonts w:eastAsia="Times New Roman"/>
                <w:sz w:val="22"/>
                <w:szCs w:val="22"/>
                <w:lang w:val="de-DE"/>
              </w:rPr>
              <w:t>≥ 40 kg</w:t>
            </w:r>
          </w:p>
        </w:tc>
        <w:tc>
          <w:tcPr>
            <w:tcW w:w="3349" w:type="pct"/>
            <w:tcBorders>
              <w:top w:val="single" w:sz="6" w:space="0" w:color="000000"/>
              <w:left w:val="single" w:sz="6" w:space="0" w:color="000000"/>
              <w:bottom w:val="single" w:sz="6" w:space="0" w:color="000000"/>
              <w:right w:val="single" w:sz="6" w:space="0" w:color="000000"/>
            </w:tcBorders>
          </w:tcPr>
          <w:p w14:paraId="34013593" w14:textId="77777777" w:rsidR="00FE291A" w:rsidRDefault="00C8738F">
            <w:pPr>
              <w:keepNext/>
              <w:widowControl/>
              <w:numPr>
                <w:ilvl w:val="0"/>
                <w:numId w:val="10"/>
              </w:numPr>
              <w:tabs>
                <w:tab w:val="left" w:pos="411"/>
              </w:tabs>
              <w:suppressAutoHyphens/>
              <w:autoSpaceDE/>
              <w:autoSpaceDN/>
              <w:adjustRightInd/>
              <w:ind w:left="145" w:hanging="2"/>
              <w:rPr>
                <w:sz w:val="22"/>
                <w:szCs w:val="22"/>
                <w:lang w:val="de-DE"/>
              </w:rPr>
            </w:pPr>
            <w:r>
              <w:rPr>
                <w:sz w:val="22"/>
                <w:szCs w:val="22"/>
                <w:lang w:val="de-DE"/>
              </w:rPr>
              <w:t>80 mg in Woche 0 und 40 mg in Woche 2</w:t>
            </w:r>
          </w:p>
          <w:p w14:paraId="2D711D39" w14:textId="77777777" w:rsidR="00FE291A" w:rsidRDefault="00FE291A">
            <w:pPr>
              <w:keepNext/>
              <w:tabs>
                <w:tab w:val="left" w:pos="562"/>
              </w:tabs>
              <w:suppressAutoHyphens/>
              <w:ind w:left="145" w:hanging="2"/>
              <w:rPr>
                <w:sz w:val="22"/>
                <w:szCs w:val="22"/>
                <w:lang w:val="de-DE"/>
              </w:rPr>
            </w:pPr>
          </w:p>
          <w:p w14:paraId="677ADEDC" w14:textId="77777777" w:rsidR="00FE291A" w:rsidRDefault="00C8738F">
            <w:pPr>
              <w:keepNext/>
              <w:tabs>
                <w:tab w:val="left" w:pos="562"/>
              </w:tabs>
              <w:suppressAutoHyphens/>
              <w:ind w:left="145" w:hanging="2"/>
              <w:rPr>
                <w:sz w:val="22"/>
                <w:szCs w:val="22"/>
                <w:lang w:val="de-DE"/>
              </w:rPr>
            </w:pPr>
            <w:r>
              <w:rPr>
                <w:sz w:val="22"/>
                <w:szCs w:val="22"/>
                <w:lang w:val="de-DE"/>
              </w:rPr>
              <w:t>In Fällen, in denen ein schnelleres Ansprechen auf die Therapie erforderlich ist, kann – unter Berücksichtigung, dass bei einer höheren Induktionsdosis auch das Risiko für Nebenwirkungen höher sein kann – folgende Dosis angewandt werden:</w:t>
            </w:r>
          </w:p>
          <w:p w14:paraId="6FC47EE0" w14:textId="77777777" w:rsidR="00FE291A" w:rsidRDefault="00C8738F">
            <w:pPr>
              <w:keepNext/>
              <w:widowControl/>
              <w:numPr>
                <w:ilvl w:val="0"/>
                <w:numId w:val="10"/>
              </w:numPr>
              <w:tabs>
                <w:tab w:val="left" w:pos="420"/>
              </w:tabs>
              <w:suppressAutoHyphens/>
              <w:autoSpaceDE/>
              <w:autoSpaceDN/>
              <w:adjustRightInd/>
              <w:ind w:left="145" w:hanging="2"/>
              <w:rPr>
                <w:rFonts w:eastAsia="Times New Roman"/>
                <w:sz w:val="22"/>
                <w:szCs w:val="22"/>
                <w:lang w:val="de-DE"/>
              </w:rPr>
            </w:pPr>
            <w:r>
              <w:rPr>
                <w:sz w:val="22"/>
                <w:szCs w:val="22"/>
                <w:lang w:val="de-DE"/>
              </w:rPr>
              <w:t>160 mg in Woche 0 und 80 mg in Woche 2</w:t>
            </w:r>
          </w:p>
        </w:tc>
        <w:tc>
          <w:tcPr>
            <w:tcW w:w="942" w:type="pct"/>
            <w:tcBorders>
              <w:top w:val="single" w:sz="6" w:space="0" w:color="000000"/>
              <w:left w:val="single" w:sz="6" w:space="0" w:color="000000"/>
              <w:bottom w:val="single" w:sz="6" w:space="0" w:color="000000"/>
              <w:right w:val="single" w:sz="6" w:space="0" w:color="000000"/>
            </w:tcBorders>
          </w:tcPr>
          <w:p w14:paraId="60445939" w14:textId="77777777" w:rsidR="00FE291A" w:rsidRDefault="00C8738F">
            <w:pPr>
              <w:keepNext/>
              <w:ind w:left="16"/>
              <w:jc w:val="center"/>
              <w:rPr>
                <w:rFonts w:eastAsia="Times New Roman"/>
                <w:sz w:val="22"/>
                <w:szCs w:val="22"/>
                <w:lang w:val="de-DE"/>
              </w:rPr>
            </w:pPr>
            <w:r>
              <w:rPr>
                <w:sz w:val="22"/>
                <w:szCs w:val="22"/>
                <w:lang w:val="de-DE"/>
              </w:rPr>
              <w:t>40 mg jede zweite Woche</w:t>
            </w:r>
          </w:p>
        </w:tc>
      </w:tr>
    </w:tbl>
    <w:p w14:paraId="15A18D8C" w14:textId="77777777" w:rsidR="00FE291A" w:rsidRDefault="00FE291A">
      <w:pPr>
        <w:keepNext/>
        <w:suppressAutoHyphens/>
        <w:rPr>
          <w:rFonts w:eastAsia="Times New Roman"/>
          <w:sz w:val="22"/>
          <w:lang w:val="de-DE"/>
        </w:rPr>
      </w:pPr>
      <w:bookmarkStart w:id="4" w:name="l35893291409284316"/>
      <w:bookmarkStart w:id="5" w:name="l604373291409284474"/>
      <w:bookmarkStart w:id="6" w:name="l409706291409284374"/>
      <w:bookmarkStart w:id="7" w:name="l409697291409284461"/>
      <w:bookmarkEnd w:id="4"/>
      <w:bookmarkEnd w:id="5"/>
      <w:bookmarkEnd w:id="6"/>
      <w:bookmarkEnd w:id="7"/>
    </w:p>
    <w:p w14:paraId="71BFDFD7" w14:textId="77777777" w:rsidR="00FE291A" w:rsidRDefault="00C8738F">
      <w:pPr>
        <w:keepNext/>
        <w:rPr>
          <w:sz w:val="22"/>
          <w:szCs w:val="22"/>
          <w:lang w:val="de-DE"/>
        </w:rPr>
      </w:pPr>
      <w:r>
        <w:rPr>
          <w:sz w:val="22"/>
          <w:szCs w:val="22"/>
          <w:lang w:val="de-DE"/>
        </w:rPr>
        <w:t>Patienten, die unzureichend ansprechen, können unter Umständen von einer Erhöhung der Dosis profitieren:</w:t>
      </w:r>
    </w:p>
    <w:p w14:paraId="68FB2CD8" w14:textId="77777777" w:rsidR="00FE291A" w:rsidRDefault="00C8738F">
      <w:pPr>
        <w:keepNext/>
        <w:widowControl/>
        <w:numPr>
          <w:ilvl w:val="0"/>
          <w:numId w:val="11"/>
        </w:numPr>
        <w:autoSpaceDE/>
        <w:autoSpaceDN/>
        <w:adjustRightInd/>
        <w:spacing w:line="276" w:lineRule="auto"/>
        <w:ind w:left="567" w:hanging="567"/>
        <w:rPr>
          <w:sz w:val="22"/>
          <w:szCs w:val="22"/>
          <w:lang w:val="de-DE"/>
        </w:rPr>
      </w:pPr>
      <w:r>
        <w:rPr>
          <w:sz w:val="22"/>
          <w:szCs w:val="22"/>
          <w:lang w:val="de-DE"/>
        </w:rPr>
        <w:t>&lt; 40 kg: 20 mg jede Woche</w:t>
      </w:r>
    </w:p>
    <w:p w14:paraId="06F4507C" w14:textId="77777777" w:rsidR="00FE291A" w:rsidRDefault="00C8738F">
      <w:pPr>
        <w:keepNext/>
        <w:widowControl/>
        <w:numPr>
          <w:ilvl w:val="0"/>
          <w:numId w:val="11"/>
        </w:numPr>
        <w:autoSpaceDE/>
        <w:autoSpaceDN/>
        <w:adjustRightInd/>
        <w:spacing w:line="276" w:lineRule="auto"/>
        <w:ind w:left="567" w:hanging="567"/>
        <w:rPr>
          <w:sz w:val="22"/>
          <w:szCs w:val="22"/>
          <w:lang w:val="de-DE"/>
        </w:rPr>
      </w:pPr>
      <w:r>
        <w:rPr>
          <w:sz w:val="22"/>
          <w:szCs w:val="22"/>
          <w:lang w:val="de-DE"/>
        </w:rPr>
        <w:t>≥ 40 kg: 40 mg jede Woche oder 80 mg jede zweite Woche</w:t>
      </w:r>
    </w:p>
    <w:p w14:paraId="65C05BBE" w14:textId="77777777" w:rsidR="00FE291A" w:rsidRDefault="00FE291A">
      <w:pPr>
        <w:widowControl/>
        <w:kinsoku w:val="0"/>
        <w:overflowPunct w:val="0"/>
        <w:rPr>
          <w:sz w:val="22"/>
          <w:szCs w:val="22"/>
          <w:lang w:val="de-DE"/>
        </w:rPr>
      </w:pPr>
    </w:p>
    <w:p w14:paraId="1F8C78CB" w14:textId="77777777" w:rsidR="00FE291A" w:rsidRDefault="00C8738F">
      <w:pPr>
        <w:pStyle w:val="BodyText"/>
        <w:widowControl/>
        <w:kinsoku w:val="0"/>
        <w:overflowPunct w:val="0"/>
        <w:ind w:left="0"/>
        <w:rPr>
          <w:lang w:val="de-DE"/>
        </w:rPr>
      </w:pPr>
      <w:r>
        <w:rPr>
          <w:lang w:val="de-DE"/>
        </w:rPr>
        <w:t>Die Fortsetzung der Therapie sollte bei einem Patienten, der bis Woche 12 nicht angesprochen hat, nochmals sorgfältig überdacht werden.</w:t>
      </w:r>
    </w:p>
    <w:p w14:paraId="6B02C562" w14:textId="77777777" w:rsidR="00FE291A" w:rsidRDefault="00FE291A">
      <w:pPr>
        <w:widowControl/>
        <w:kinsoku w:val="0"/>
        <w:overflowPunct w:val="0"/>
        <w:rPr>
          <w:sz w:val="22"/>
          <w:szCs w:val="22"/>
          <w:lang w:val="de-DE"/>
        </w:rPr>
      </w:pPr>
    </w:p>
    <w:p w14:paraId="645B1EEF" w14:textId="77777777" w:rsidR="00FE291A" w:rsidRDefault="00C8738F">
      <w:pPr>
        <w:pStyle w:val="BodyText"/>
        <w:widowControl/>
        <w:kinsoku w:val="0"/>
        <w:overflowPunct w:val="0"/>
        <w:ind w:left="0"/>
        <w:rPr>
          <w:lang w:val="de-DE"/>
        </w:rPr>
      </w:pPr>
      <w:r>
        <w:rPr>
          <w:lang w:val="de-DE"/>
        </w:rPr>
        <w:lastRenderedPageBreak/>
        <w:t>Es gibt in dieser Indikation keinen relevanten Nutzen von Adalimumab bei Kindern, die jünger als 6 Jahre sind.</w:t>
      </w:r>
    </w:p>
    <w:p w14:paraId="16BEAB0A" w14:textId="77777777" w:rsidR="00FE291A" w:rsidRDefault="00FE291A">
      <w:pPr>
        <w:pStyle w:val="BodyText"/>
        <w:widowControl/>
        <w:kinsoku w:val="0"/>
        <w:overflowPunct w:val="0"/>
        <w:ind w:left="0"/>
        <w:rPr>
          <w:lang w:val="de-DE"/>
        </w:rPr>
      </w:pPr>
    </w:p>
    <w:p w14:paraId="2BB46DE9" w14:textId="77777777" w:rsidR="00FE291A" w:rsidRDefault="00C8738F">
      <w:pPr>
        <w:widowControl/>
        <w:rPr>
          <w:i/>
          <w:iCs/>
          <w:color w:val="000000"/>
          <w:sz w:val="22"/>
          <w:szCs w:val="22"/>
          <w:lang w:val="de-DE"/>
        </w:rPr>
      </w:pPr>
      <w:r>
        <w:rPr>
          <w:i/>
          <w:iCs/>
          <w:color w:val="000000"/>
          <w:sz w:val="22"/>
          <w:szCs w:val="22"/>
          <w:lang w:val="de-DE"/>
        </w:rPr>
        <w:t xml:space="preserve">Colitis ulcerosa bei Kindern und Jugendlichen </w:t>
      </w:r>
    </w:p>
    <w:p w14:paraId="43E93DDD" w14:textId="77777777" w:rsidR="00FE291A" w:rsidRDefault="00FE291A">
      <w:pPr>
        <w:widowControl/>
        <w:rPr>
          <w:color w:val="000000"/>
          <w:sz w:val="22"/>
          <w:szCs w:val="22"/>
          <w:lang w:val="de-DE"/>
        </w:rPr>
      </w:pPr>
    </w:p>
    <w:p w14:paraId="65F7264B" w14:textId="77777777" w:rsidR="00FE291A" w:rsidRDefault="00C8738F">
      <w:pPr>
        <w:pStyle w:val="BodyText"/>
        <w:widowControl/>
        <w:kinsoku w:val="0"/>
        <w:overflowPunct w:val="0"/>
        <w:ind w:left="0"/>
        <w:rPr>
          <w:color w:val="000000"/>
          <w:lang w:val="de-DE"/>
        </w:rPr>
      </w:pPr>
      <w:r>
        <w:rPr>
          <w:color w:val="000000"/>
          <w:lang w:val="de-DE"/>
        </w:rPr>
        <w:t>Die empfohlene Dosis von AMGEVITA für Patienten im Alter von 6 bis 17 Jahren mit Colitis ulcerosa wird anhand des Körpergewichts bestimmt (Tabelle 5). AMGEVITA wird subkutan injiziert.</w:t>
      </w:r>
    </w:p>
    <w:p w14:paraId="5584F15F" w14:textId="77777777" w:rsidR="00FE291A" w:rsidRDefault="00FE291A">
      <w:pPr>
        <w:tabs>
          <w:tab w:val="left" w:pos="720"/>
        </w:tabs>
        <w:rPr>
          <w:iCs/>
          <w:sz w:val="22"/>
          <w:szCs w:val="22"/>
          <w:lang w:val="de-DE" w:eastAsia="en-GB"/>
        </w:rPr>
      </w:pPr>
    </w:p>
    <w:p w14:paraId="682CB974" w14:textId="77777777" w:rsidR="00FE291A" w:rsidRDefault="00C8738F">
      <w:pPr>
        <w:keepNext/>
        <w:suppressAutoHyphens/>
        <w:rPr>
          <w:b/>
          <w:bCs/>
          <w:sz w:val="22"/>
          <w:szCs w:val="22"/>
          <w:lang w:val="de-DE"/>
        </w:rPr>
      </w:pPr>
      <w:r>
        <w:rPr>
          <w:rFonts w:eastAsia="Times New Roman"/>
          <w:b/>
          <w:sz w:val="22"/>
          <w:szCs w:val="22"/>
          <w:lang w:val="de-DE"/>
        </w:rPr>
        <w:t>Tabelle 5: AMGEVITA</w:t>
      </w:r>
      <w:r>
        <w:rPr>
          <w:b/>
          <w:bCs/>
          <w:sz w:val="22"/>
          <w:szCs w:val="22"/>
          <w:lang w:val="de-DE"/>
        </w:rPr>
        <w:t>-Dosis für Kinder und Jugendliche mit Colitis ulcerosa</w:t>
      </w:r>
    </w:p>
    <w:p w14:paraId="16D37F38" w14:textId="77777777" w:rsidR="00FE291A" w:rsidRDefault="00FE291A">
      <w:pPr>
        <w:keepNext/>
        <w:suppressAutoHyphens/>
        <w:rPr>
          <w:iCs/>
          <w:sz w:val="22"/>
          <w:szCs w:val="22"/>
          <w:lang w:val="de-DE" w:eastAsia="en-GB"/>
        </w:rPr>
      </w:pPr>
    </w:p>
    <w:tbl>
      <w:tblPr>
        <w:tblW w:w="4974" w:type="pct"/>
        <w:tblInd w:w="108"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1272"/>
        <w:gridCol w:w="6028"/>
        <w:gridCol w:w="1708"/>
      </w:tblGrid>
      <w:tr w:rsidR="00FE291A" w14:paraId="65A860B9" w14:textId="77777777">
        <w:trPr>
          <w:cantSplit/>
          <w:tblHeader/>
        </w:trPr>
        <w:tc>
          <w:tcPr>
            <w:tcW w:w="706" w:type="pct"/>
            <w:tcBorders>
              <w:top w:val="single" w:sz="6" w:space="0" w:color="000000"/>
              <w:left w:val="single" w:sz="6" w:space="0" w:color="000000"/>
              <w:bottom w:val="single" w:sz="6" w:space="0" w:color="000000"/>
              <w:right w:val="single" w:sz="6" w:space="0" w:color="000000"/>
            </w:tcBorders>
          </w:tcPr>
          <w:p w14:paraId="4AC44648" w14:textId="77777777" w:rsidR="00FE291A" w:rsidRDefault="00C8738F">
            <w:pPr>
              <w:suppressAutoHyphens/>
              <w:rPr>
                <w:rFonts w:eastAsia="Times New Roman"/>
                <w:sz w:val="22"/>
                <w:szCs w:val="22"/>
                <w:lang w:val="de-DE"/>
              </w:rPr>
            </w:pPr>
            <w:r>
              <w:rPr>
                <w:rFonts w:eastAsia="Times New Roman"/>
                <w:b/>
                <w:sz w:val="22"/>
                <w:szCs w:val="22"/>
                <w:lang w:val="de-DE"/>
              </w:rPr>
              <w:t>Gewicht des Patienten</w:t>
            </w:r>
          </w:p>
        </w:tc>
        <w:tc>
          <w:tcPr>
            <w:tcW w:w="3346" w:type="pct"/>
            <w:tcBorders>
              <w:top w:val="single" w:sz="6" w:space="0" w:color="000000"/>
              <w:left w:val="single" w:sz="6" w:space="0" w:color="000000"/>
              <w:bottom w:val="single" w:sz="6" w:space="0" w:color="000000"/>
              <w:right w:val="single" w:sz="6" w:space="0" w:color="000000"/>
            </w:tcBorders>
          </w:tcPr>
          <w:p w14:paraId="66C9282C" w14:textId="77777777" w:rsidR="00FE291A" w:rsidRDefault="00C8738F">
            <w:pPr>
              <w:suppressAutoHyphens/>
              <w:rPr>
                <w:rFonts w:eastAsia="Times New Roman"/>
                <w:sz w:val="22"/>
                <w:szCs w:val="22"/>
                <w:lang w:val="de-DE"/>
              </w:rPr>
            </w:pPr>
            <w:r>
              <w:rPr>
                <w:rFonts w:eastAsia="Times New Roman"/>
                <w:b/>
                <w:sz w:val="22"/>
                <w:szCs w:val="22"/>
                <w:lang w:val="de-DE"/>
              </w:rPr>
              <w:t>Anfangsdosis</w:t>
            </w:r>
          </w:p>
        </w:tc>
        <w:tc>
          <w:tcPr>
            <w:tcW w:w="948" w:type="pct"/>
            <w:tcBorders>
              <w:top w:val="single" w:sz="6" w:space="0" w:color="000000"/>
              <w:left w:val="single" w:sz="6" w:space="0" w:color="000000"/>
              <w:bottom w:val="single" w:sz="6" w:space="0" w:color="000000"/>
              <w:right w:val="single" w:sz="6" w:space="0" w:color="000000"/>
            </w:tcBorders>
          </w:tcPr>
          <w:p w14:paraId="4E170F07" w14:textId="77777777" w:rsidR="00FE291A" w:rsidRDefault="00C8738F">
            <w:pPr>
              <w:keepNext/>
              <w:ind w:left="-81"/>
              <w:rPr>
                <w:b/>
                <w:sz w:val="22"/>
                <w:szCs w:val="22"/>
                <w:lang w:val="de-DE"/>
              </w:rPr>
            </w:pPr>
            <w:r>
              <w:rPr>
                <w:b/>
                <w:sz w:val="22"/>
                <w:szCs w:val="22"/>
                <w:lang w:val="de-DE"/>
              </w:rPr>
              <w:t>Erhaltungsdosis, beginnend in Woche 4*</w:t>
            </w:r>
          </w:p>
        </w:tc>
      </w:tr>
      <w:tr w:rsidR="00FE291A" w14:paraId="759C498F" w14:textId="77777777">
        <w:trPr>
          <w:cantSplit/>
        </w:trPr>
        <w:tc>
          <w:tcPr>
            <w:tcW w:w="706" w:type="pct"/>
            <w:tcBorders>
              <w:top w:val="single" w:sz="6" w:space="0" w:color="000000"/>
              <w:left w:val="single" w:sz="6" w:space="0" w:color="000000"/>
              <w:bottom w:val="single" w:sz="6" w:space="0" w:color="000000"/>
              <w:right w:val="single" w:sz="6" w:space="0" w:color="000000"/>
            </w:tcBorders>
          </w:tcPr>
          <w:p w14:paraId="0793899A" w14:textId="77777777" w:rsidR="00FE291A" w:rsidRDefault="00C8738F">
            <w:pPr>
              <w:suppressAutoHyphens/>
              <w:jc w:val="center"/>
              <w:rPr>
                <w:rFonts w:eastAsia="Times New Roman"/>
                <w:sz w:val="22"/>
                <w:szCs w:val="22"/>
                <w:lang w:val="de-DE"/>
              </w:rPr>
            </w:pPr>
            <w:r>
              <w:rPr>
                <w:rFonts w:eastAsia="Times New Roman"/>
                <w:sz w:val="22"/>
                <w:szCs w:val="22"/>
                <w:lang w:val="de-DE"/>
              </w:rPr>
              <w:t>&lt; 40 kg</w:t>
            </w:r>
          </w:p>
        </w:tc>
        <w:tc>
          <w:tcPr>
            <w:tcW w:w="3346" w:type="pct"/>
            <w:tcBorders>
              <w:top w:val="single" w:sz="6" w:space="0" w:color="000000"/>
              <w:left w:val="single" w:sz="6" w:space="0" w:color="000000"/>
              <w:bottom w:val="single" w:sz="6" w:space="0" w:color="000000"/>
              <w:right w:val="single" w:sz="6" w:space="0" w:color="000000"/>
            </w:tcBorders>
          </w:tcPr>
          <w:p w14:paraId="42129E1B" w14:textId="77777777" w:rsidR="00FE291A" w:rsidRDefault="00C8738F">
            <w:pPr>
              <w:widowControl/>
              <w:numPr>
                <w:ilvl w:val="0"/>
                <w:numId w:val="9"/>
              </w:numPr>
              <w:suppressAutoHyphens/>
              <w:autoSpaceDE/>
              <w:autoSpaceDN/>
              <w:adjustRightInd/>
              <w:ind w:left="567" w:hanging="567"/>
              <w:rPr>
                <w:rFonts w:eastAsia="Times New Roman"/>
                <w:iCs/>
                <w:sz w:val="22"/>
                <w:szCs w:val="22"/>
                <w:lang w:val="de-DE"/>
              </w:rPr>
            </w:pPr>
            <w:r>
              <w:rPr>
                <w:rFonts w:eastAsia="Times New Roman"/>
                <w:iCs/>
                <w:sz w:val="22"/>
                <w:szCs w:val="22"/>
                <w:lang w:val="de-DE"/>
              </w:rPr>
              <w:t>80</w:t>
            </w:r>
            <w:r>
              <w:rPr>
                <w:rFonts w:eastAsia="Times New Roman"/>
                <w:sz w:val="22"/>
                <w:szCs w:val="22"/>
                <w:lang w:val="de-DE"/>
              </w:rPr>
              <w:t> </w:t>
            </w:r>
            <w:r>
              <w:rPr>
                <w:rFonts w:eastAsia="Times New Roman"/>
                <w:iCs/>
                <w:sz w:val="22"/>
                <w:szCs w:val="22"/>
                <w:lang w:val="de-DE"/>
              </w:rPr>
              <w:t>mg in Woche 0 (</w:t>
            </w:r>
            <w:r>
              <w:rPr>
                <w:sz w:val="22"/>
                <w:szCs w:val="22"/>
                <w:lang w:val="de-DE"/>
              </w:rPr>
              <w:t>verabreicht als zwei Injektionen von 40 mg innerhalb eines Tages) und</w:t>
            </w:r>
          </w:p>
          <w:p w14:paraId="5F483E62" w14:textId="77777777" w:rsidR="00FE291A" w:rsidRDefault="00C8738F">
            <w:pPr>
              <w:widowControl/>
              <w:numPr>
                <w:ilvl w:val="0"/>
                <w:numId w:val="9"/>
              </w:numPr>
              <w:suppressAutoHyphens/>
              <w:autoSpaceDE/>
              <w:autoSpaceDN/>
              <w:adjustRightInd/>
              <w:ind w:left="567" w:hanging="567"/>
              <w:rPr>
                <w:rFonts w:eastAsia="Times New Roman"/>
                <w:iCs/>
                <w:sz w:val="22"/>
                <w:szCs w:val="22"/>
                <w:lang w:val="de-DE"/>
              </w:rPr>
            </w:pPr>
            <w:r>
              <w:rPr>
                <w:rFonts w:eastAsia="Times New Roman"/>
                <w:iCs/>
                <w:sz w:val="22"/>
                <w:szCs w:val="22"/>
                <w:lang w:val="de-DE"/>
              </w:rPr>
              <w:t>40</w:t>
            </w:r>
            <w:r>
              <w:rPr>
                <w:rFonts w:eastAsia="Times New Roman"/>
                <w:sz w:val="22"/>
                <w:szCs w:val="22"/>
                <w:lang w:val="de-DE"/>
              </w:rPr>
              <w:t> </w:t>
            </w:r>
            <w:r>
              <w:rPr>
                <w:rFonts w:eastAsia="Times New Roman"/>
                <w:iCs/>
                <w:sz w:val="22"/>
                <w:szCs w:val="22"/>
                <w:lang w:val="de-DE"/>
              </w:rPr>
              <w:t>mg in Woche 2 (verabreicht als eine Injektion von 40 mg)</w:t>
            </w:r>
          </w:p>
        </w:tc>
        <w:tc>
          <w:tcPr>
            <w:tcW w:w="948" w:type="pct"/>
            <w:tcBorders>
              <w:top w:val="single" w:sz="6" w:space="0" w:color="000000"/>
              <w:left w:val="single" w:sz="6" w:space="0" w:color="000000"/>
              <w:bottom w:val="single" w:sz="6" w:space="0" w:color="000000"/>
              <w:right w:val="single" w:sz="6" w:space="0" w:color="000000"/>
            </w:tcBorders>
          </w:tcPr>
          <w:p w14:paraId="718E27DD" w14:textId="77777777" w:rsidR="00FE291A" w:rsidRDefault="00C8738F">
            <w:pPr>
              <w:jc w:val="center"/>
              <w:rPr>
                <w:rFonts w:eastAsia="Times New Roman"/>
                <w:sz w:val="22"/>
                <w:szCs w:val="22"/>
                <w:lang w:val="de-DE"/>
              </w:rPr>
            </w:pPr>
            <w:r>
              <w:rPr>
                <w:rFonts w:eastAsia="Times New Roman"/>
                <w:sz w:val="22"/>
                <w:szCs w:val="22"/>
                <w:lang w:val="de-DE"/>
              </w:rPr>
              <w:t>40 mg jede zweite Woche</w:t>
            </w:r>
          </w:p>
        </w:tc>
      </w:tr>
      <w:tr w:rsidR="00FE291A" w14:paraId="00AC5CD7" w14:textId="77777777">
        <w:trPr>
          <w:cantSplit/>
        </w:trPr>
        <w:tc>
          <w:tcPr>
            <w:tcW w:w="706" w:type="pct"/>
            <w:tcBorders>
              <w:top w:val="single" w:sz="6" w:space="0" w:color="000000"/>
              <w:left w:val="single" w:sz="6" w:space="0" w:color="000000"/>
              <w:bottom w:val="single" w:sz="6" w:space="0" w:color="000000"/>
              <w:right w:val="single" w:sz="6" w:space="0" w:color="000000"/>
            </w:tcBorders>
          </w:tcPr>
          <w:p w14:paraId="07BEF1F5" w14:textId="77777777" w:rsidR="00FE291A" w:rsidRDefault="00C8738F">
            <w:pPr>
              <w:suppressAutoHyphens/>
              <w:jc w:val="center"/>
              <w:rPr>
                <w:rFonts w:eastAsia="Times New Roman"/>
                <w:sz w:val="22"/>
                <w:szCs w:val="22"/>
                <w:lang w:val="de-DE"/>
              </w:rPr>
            </w:pPr>
            <w:r>
              <w:rPr>
                <w:rFonts w:eastAsia="Times New Roman"/>
                <w:sz w:val="22"/>
                <w:szCs w:val="22"/>
                <w:lang w:val="de-DE"/>
              </w:rPr>
              <w:t>≥ 40 kg</w:t>
            </w:r>
          </w:p>
        </w:tc>
        <w:tc>
          <w:tcPr>
            <w:tcW w:w="3346" w:type="pct"/>
            <w:tcBorders>
              <w:top w:val="single" w:sz="6" w:space="0" w:color="000000"/>
              <w:left w:val="single" w:sz="6" w:space="0" w:color="000000"/>
              <w:bottom w:val="single" w:sz="6" w:space="0" w:color="000000"/>
              <w:right w:val="single" w:sz="6" w:space="0" w:color="000000"/>
            </w:tcBorders>
          </w:tcPr>
          <w:p w14:paraId="4354F2FC" w14:textId="77777777" w:rsidR="00FE291A" w:rsidRDefault="00C8738F">
            <w:pPr>
              <w:widowControl/>
              <w:numPr>
                <w:ilvl w:val="0"/>
                <w:numId w:val="10"/>
              </w:numPr>
              <w:suppressAutoHyphens/>
              <w:autoSpaceDE/>
              <w:autoSpaceDN/>
              <w:adjustRightInd/>
              <w:ind w:left="567" w:hanging="567"/>
              <w:rPr>
                <w:rFonts w:eastAsia="Times New Roman"/>
                <w:sz w:val="22"/>
                <w:szCs w:val="22"/>
                <w:lang w:val="de-DE"/>
              </w:rPr>
            </w:pPr>
            <w:r>
              <w:rPr>
                <w:rFonts w:eastAsia="Times New Roman"/>
                <w:sz w:val="22"/>
                <w:szCs w:val="22"/>
                <w:lang w:val="de-DE"/>
              </w:rPr>
              <w:t xml:space="preserve">160 mg in Woche 0 </w:t>
            </w:r>
            <w:r>
              <w:rPr>
                <w:sz w:val="22"/>
                <w:szCs w:val="22"/>
                <w:lang w:val="de-DE"/>
              </w:rPr>
              <w:t>(verabreicht als vier Injektionen von 40 mg innerhalb eines Tages oder als zwei Injektionen von 40 mg pro Tag an zwei aufeinanderfolgenden Tagen) und</w:t>
            </w:r>
          </w:p>
          <w:p w14:paraId="2CFA831E" w14:textId="77777777" w:rsidR="00FE291A" w:rsidRDefault="00C8738F">
            <w:pPr>
              <w:widowControl/>
              <w:numPr>
                <w:ilvl w:val="0"/>
                <w:numId w:val="10"/>
              </w:numPr>
              <w:suppressAutoHyphens/>
              <w:autoSpaceDE/>
              <w:autoSpaceDN/>
              <w:adjustRightInd/>
              <w:ind w:left="567" w:hanging="567"/>
              <w:rPr>
                <w:rFonts w:eastAsia="Times New Roman"/>
                <w:sz w:val="22"/>
                <w:szCs w:val="22"/>
                <w:lang w:val="de-DE"/>
              </w:rPr>
            </w:pPr>
            <w:r>
              <w:rPr>
                <w:rFonts w:eastAsia="Times New Roman"/>
                <w:sz w:val="22"/>
                <w:szCs w:val="22"/>
                <w:lang w:val="de-DE"/>
              </w:rPr>
              <w:t xml:space="preserve">80 mg in Woche 2 </w:t>
            </w:r>
            <w:r>
              <w:rPr>
                <w:sz w:val="22"/>
                <w:szCs w:val="22"/>
                <w:lang w:val="de-DE"/>
              </w:rPr>
              <w:t xml:space="preserve">(verabreicht als zwei Injektionen von 40 mg innerhalb eines Tages) </w:t>
            </w:r>
          </w:p>
        </w:tc>
        <w:tc>
          <w:tcPr>
            <w:tcW w:w="948" w:type="pct"/>
            <w:tcBorders>
              <w:top w:val="single" w:sz="6" w:space="0" w:color="000000"/>
              <w:left w:val="single" w:sz="6" w:space="0" w:color="000000"/>
              <w:bottom w:val="single" w:sz="6" w:space="0" w:color="000000"/>
              <w:right w:val="single" w:sz="6" w:space="0" w:color="000000"/>
            </w:tcBorders>
          </w:tcPr>
          <w:p w14:paraId="2184DA03" w14:textId="77777777" w:rsidR="00FE291A" w:rsidRDefault="00C8738F">
            <w:pPr>
              <w:jc w:val="center"/>
              <w:rPr>
                <w:rFonts w:eastAsia="Times New Roman"/>
                <w:sz w:val="22"/>
                <w:szCs w:val="22"/>
                <w:lang w:val="de-DE"/>
              </w:rPr>
            </w:pPr>
            <w:r>
              <w:rPr>
                <w:rFonts w:eastAsia="Times New Roman"/>
                <w:sz w:val="22"/>
                <w:szCs w:val="22"/>
                <w:lang w:val="de-DE"/>
              </w:rPr>
              <w:t>80 mg jede zweite Woche</w:t>
            </w:r>
          </w:p>
        </w:tc>
      </w:tr>
    </w:tbl>
    <w:p w14:paraId="6F725CF9" w14:textId="77777777" w:rsidR="00FE291A" w:rsidRDefault="00C8738F">
      <w:pPr>
        <w:pStyle w:val="Default"/>
        <w:rPr>
          <w:sz w:val="20"/>
          <w:szCs w:val="20"/>
          <w:lang w:val="de-DE" w:eastAsia="en-IN"/>
        </w:rPr>
      </w:pPr>
      <w:r>
        <w:rPr>
          <w:iCs/>
          <w:sz w:val="20"/>
          <w:szCs w:val="20"/>
          <w:lang w:val="de-DE" w:eastAsia="en-GB"/>
        </w:rPr>
        <w:t xml:space="preserve">* </w:t>
      </w:r>
      <w:r>
        <w:rPr>
          <w:rFonts w:eastAsia="PMingLiU"/>
          <w:sz w:val="20"/>
          <w:szCs w:val="20"/>
          <w:lang w:val="de-DE" w:eastAsia="en-IN"/>
        </w:rPr>
        <w:t xml:space="preserve">Kinder, die 18 Jahre alt werden, während sie mit AMGEVITA behandelt werden, sollten die jeweils verordnete Erhaltungsdosis beibehalten. </w:t>
      </w:r>
    </w:p>
    <w:p w14:paraId="1165B77E" w14:textId="77777777" w:rsidR="00FE291A" w:rsidRDefault="00FE291A">
      <w:pPr>
        <w:tabs>
          <w:tab w:val="left" w:pos="720"/>
        </w:tabs>
        <w:rPr>
          <w:iCs/>
          <w:sz w:val="21"/>
          <w:szCs w:val="20"/>
          <w:lang w:val="de-DE" w:eastAsia="en-GB"/>
        </w:rPr>
      </w:pPr>
    </w:p>
    <w:p w14:paraId="063D2588" w14:textId="77777777" w:rsidR="00FE291A" w:rsidRDefault="00C8738F">
      <w:pPr>
        <w:widowControl/>
        <w:rPr>
          <w:color w:val="000000"/>
          <w:sz w:val="22"/>
          <w:szCs w:val="22"/>
          <w:lang w:val="de-DE"/>
        </w:rPr>
      </w:pPr>
      <w:r>
        <w:rPr>
          <w:color w:val="000000"/>
          <w:sz w:val="22"/>
          <w:szCs w:val="22"/>
          <w:lang w:val="de-DE"/>
        </w:rPr>
        <w:t xml:space="preserve">Die Fortsetzung der Therapie länger als 8 Wochen sollte bei Patienten, die innerhalb dieser Zeitspanne keine Anzeichen eines Ansprechens aufweisen, sorgfältig abgewogen werden. </w:t>
      </w:r>
    </w:p>
    <w:p w14:paraId="72D59431" w14:textId="77777777" w:rsidR="00FE291A" w:rsidRDefault="00FE291A">
      <w:pPr>
        <w:widowControl/>
        <w:rPr>
          <w:color w:val="000000"/>
          <w:sz w:val="22"/>
          <w:szCs w:val="22"/>
          <w:lang w:val="de-DE"/>
        </w:rPr>
      </w:pPr>
    </w:p>
    <w:p w14:paraId="06A30813" w14:textId="77777777" w:rsidR="00FE291A" w:rsidRDefault="00C8738F">
      <w:pPr>
        <w:widowControl/>
        <w:rPr>
          <w:color w:val="000000"/>
          <w:sz w:val="22"/>
          <w:szCs w:val="22"/>
          <w:lang w:val="de-DE"/>
        </w:rPr>
      </w:pPr>
      <w:r>
        <w:rPr>
          <w:color w:val="000000"/>
          <w:sz w:val="22"/>
          <w:szCs w:val="22"/>
          <w:lang w:val="de-DE"/>
        </w:rPr>
        <w:t>Es gibt in dieser Indikation keinen relevanten Nutzen von AMGEVITA bei Kindern, die jünger als 6 Jahre sind.</w:t>
      </w:r>
    </w:p>
    <w:p w14:paraId="37798683" w14:textId="77777777" w:rsidR="00FE291A" w:rsidRDefault="00FE291A">
      <w:pPr>
        <w:pStyle w:val="BodyText"/>
        <w:widowControl/>
        <w:kinsoku w:val="0"/>
        <w:overflowPunct w:val="0"/>
        <w:ind w:left="0"/>
        <w:rPr>
          <w:lang w:val="de-DE"/>
        </w:rPr>
      </w:pPr>
    </w:p>
    <w:p w14:paraId="4C2A1F9D" w14:textId="77777777" w:rsidR="00FE291A" w:rsidRDefault="00C8738F">
      <w:pPr>
        <w:keepNext/>
        <w:rPr>
          <w:rFonts w:cs="Calibri"/>
          <w:i/>
          <w:sz w:val="22"/>
          <w:szCs w:val="22"/>
          <w:lang w:val="de-DE"/>
        </w:rPr>
      </w:pPr>
      <w:r>
        <w:rPr>
          <w:rFonts w:cs="Calibri"/>
          <w:i/>
          <w:sz w:val="22"/>
          <w:szCs w:val="22"/>
          <w:lang w:val="de-DE"/>
        </w:rPr>
        <w:t>Uveitis bei Kindern und Jugendlichen</w:t>
      </w:r>
    </w:p>
    <w:p w14:paraId="070BA394" w14:textId="77777777" w:rsidR="00FE291A" w:rsidRDefault="00FE291A">
      <w:pPr>
        <w:keepNext/>
        <w:rPr>
          <w:rFonts w:cs="Calibri"/>
          <w:i/>
          <w:sz w:val="22"/>
          <w:szCs w:val="22"/>
          <w:lang w:val="de-DE"/>
        </w:rPr>
      </w:pPr>
    </w:p>
    <w:p w14:paraId="648F1A90" w14:textId="77777777" w:rsidR="00FE291A" w:rsidRDefault="00C8738F">
      <w:pPr>
        <w:rPr>
          <w:sz w:val="22"/>
          <w:szCs w:val="22"/>
          <w:lang w:val="de-DE"/>
        </w:rPr>
      </w:pPr>
      <w:r>
        <w:rPr>
          <w:rFonts w:cs="Calibri"/>
          <w:sz w:val="22"/>
          <w:szCs w:val="22"/>
          <w:lang w:val="de-DE"/>
        </w:rPr>
        <w:t>Die empfohlene Dosis von AMGEVITA bei Kindern und Jugendlichen mit Uveitis ab einem Alter von 2 Jahren wird anhand des Körpergewichts bestimmt (Tabelle</w:t>
      </w:r>
      <w:r>
        <w:rPr>
          <w:sz w:val="22"/>
          <w:szCs w:val="22"/>
          <w:lang w:val="de-DE"/>
        </w:rPr>
        <w:t> </w:t>
      </w:r>
      <w:r>
        <w:rPr>
          <w:rFonts w:cs="Calibri"/>
          <w:sz w:val="22"/>
          <w:szCs w:val="22"/>
          <w:lang w:val="de-DE"/>
        </w:rPr>
        <w:t>6). AMGEVITA</w:t>
      </w:r>
      <w:r>
        <w:rPr>
          <w:sz w:val="22"/>
          <w:szCs w:val="22"/>
          <w:lang w:val="de-DE"/>
        </w:rPr>
        <w:t xml:space="preserve"> wird subkutan injiziert. </w:t>
      </w:r>
    </w:p>
    <w:p w14:paraId="60FAF02F" w14:textId="77777777" w:rsidR="00FE291A" w:rsidRDefault="00FE291A">
      <w:pPr>
        <w:rPr>
          <w:sz w:val="22"/>
          <w:szCs w:val="22"/>
          <w:lang w:val="de-DE"/>
        </w:rPr>
      </w:pPr>
    </w:p>
    <w:p w14:paraId="15DD2E2B" w14:textId="77777777" w:rsidR="00FE291A" w:rsidRDefault="00C8738F">
      <w:pPr>
        <w:rPr>
          <w:rFonts w:cs="Calibri"/>
          <w:sz w:val="22"/>
          <w:szCs w:val="22"/>
          <w:lang w:val="de-DE"/>
        </w:rPr>
      </w:pPr>
      <w:r>
        <w:rPr>
          <w:rFonts w:cs="Calibri"/>
          <w:sz w:val="22"/>
          <w:szCs w:val="22"/>
          <w:lang w:val="de-DE"/>
        </w:rPr>
        <w:t>Es gibt keine Erfahrungen für die Behandlung der Uveitis bei Kindern und Jugendlichen mit AMGEVITA ohne die gleichzeitige Behandlung mit Methotrexat.</w:t>
      </w:r>
    </w:p>
    <w:p w14:paraId="6140DB18" w14:textId="77777777" w:rsidR="00FE291A" w:rsidRDefault="00FE291A">
      <w:pPr>
        <w:rPr>
          <w:rFonts w:cs="Calibri"/>
          <w:sz w:val="22"/>
          <w:szCs w:val="22"/>
          <w:lang w:val="de-DE"/>
        </w:rPr>
      </w:pPr>
    </w:p>
    <w:p w14:paraId="10221FC2" w14:textId="77777777" w:rsidR="00FE291A" w:rsidRDefault="00C8738F">
      <w:pPr>
        <w:keepNext/>
        <w:rPr>
          <w:rFonts w:cs="Calibri"/>
          <w:b/>
          <w:sz w:val="22"/>
          <w:szCs w:val="22"/>
          <w:lang w:val="de-DE"/>
        </w:rPr>
      </w:pPr>
      <w:r>
        <w:rPr>
          <w:rFonts w:cs="Calibri"/>
          <w:b/>
          <w:sz w:val="22"/>
          <w:szCs w:val="22"/>
          <w:lang w:val="de-DE"/>
        </w:rPr>
        <w:t>Tabelle 6: AMGEVITA-Dosis für Kinder und Jugendliche mit Uveitis</w:t>
      </w:r>
    </w:p>
    <w:p w14:paraId="08290882" w14:textId="77777777" w:rsidR="00FE291A" w:rsidRDefault="00FE291A">
      <w:pPr>
        <w:keepNext/>
        <w:rPr>
          <w:rFonts w:cs="Calibri"/>
          <w:sz w:val="22"/>
          <w:szCs w:val="22"/>
          <w:lang w:val="de-DE"/>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5"/>
        <w:gridCol w:w="5105"/>
      </w:tblGrid>
      <w:tr w:rsidR="00FE291A" w14:paraId="4B4B2726" w14:textId="77777777">
        <w:trPr>
          <w:tblHeader/>
        </w:trPr>
        <w:tc>
          <w:tcPr>
            <w:tcW w:w="4253" w:type="dxa"/>
            <w:tcBorders>
              <w:top w:val="single" w:sz="4" w:space="0" w:color="auto"/>
              <w:left w:val="single" w:sz="4" w:space="0" w:color="auto"/>
              <w:bottom w:val="single" w:sz="4" w:space="0" w:color="auto"/>
              <w:right w:val="single" w:sz="4" w:space="0" w:color="auto"/>
            </w:tcBorders>
          </w:tcPr>
          <w:p w14:paraId="29380B17" w14:textId="77777777" w:rsidR="00FE291A" w:rsidRDefault="00C8738F">
            <w:pPr>
              <w:keepNext/>
              <w:tabs>
                <w:tab w:val="left" w:pos="720"/>
              </w:tabs>
              <w:rPr>
                <w:rFonts w:eastAsia="Calibri"/>
                <w:b/>
                <w:sz w:val="22"/>
                <w:szCs w:val="22"/>
                <w:lang w:val="de-DE" w:eastAsia="ja-JP"/>
              </w:rPr>
            </w:pPr>
            <w:r>
              <w:rPr>
                <w:rFonts w:eastAsia="Calibri"/>
                <w:b/>
                <w:sz w:val="22"/>
                <w:szCs w:val="22"/>
                <w:lang w:val="de-DE" w:eastAsia="ja-JP"/>
              </w:rPr>
              <w:t>Gewicht des Patienten</w:t>
            </w:r>
          </w:p>
        </w:tc>
        <w:tc>
          <w:tcPr>
            <w:tcW w:w="5103" w:type="dxa"/>
            <w:tcBorders>
              <w:top w:val="single" w:sz="4" w:space="0" w:color="auto"/>
              <w:left w:val="single" w:sz="4" w:space="0" w:color="auto"/>
              <w:bottom w:val="single" w:sz="4" w:space="0" w:color="auto"/>
              <w:right w:val="single" w:sz="4" w:space="0" w:color="auto"/>
            </w:tcBorders>
          </w:tcPr>
          <w:p w14:paraId="660E3D1B" w14:textId="77777777" w:rsidR="00FE291A" w:rsidRDefault="00C8738F">
            <w:pPr>
              <w:keepNext/>
              <w:tabs>
                <w:tab w:val="left" w:pos="720"/>
              </w:tabs>
              <w:rPr>
                <w:rFonts w:eastAsia="Calibri"/>
                <w:b/>
                <w:sz w:val="22"/>
                <w:szCs w:val="22"/>
                <w:lang w:val="de-DE" w:eastAsia="ja-JP"/>
              </w:rPr>
            </w:pPr>
            <w:r>
              <w:rPr>
                <w:rFonts w:eastAsia="Calibri"/>
                <w:b/>
                <w:sz w:val="22"/>
                <w:szCs w:val="22"/>
                <w:lang w:val="de-DE" w:eastAsia="ja-JP"/>
              </w:rPr>
              <w:t>Dosierungsschema</w:t>
            </w:r>
          </w:p>
        </w:tc>
      </w:tr>
      <w:tr w:rsidR="00FE291A" w:rsidRPr="00723069" w14:paraId="0362A727" w14:textId="77777777">
        <w:trPr>
          <w:tblHeader/>
        </w:trPr>
        <w:tc>
          <w:tcPr>
            <w:tcW w:w="4253" w:type="dxa"/>
            <w:tcBorders>
              <w:top w:val="single" w:sz="4" w:space="0" w:color="auto"/>
              <w:left w:val="single" w:sz="4" w:space="0" w:color="auto"/>
              <w:bottom w:val="single" w:sz="4" w:space="0" w:color="auto"/>
              <w:right w:val="single" w:sz="4" w:space="0" w:color="auto"/>
            </w:tcBorders>
          </w:tcPr>
          <w:p w14:paraId="1D29BDB0" w14:textId="77777777" w:rsidR="00FE291A" w:rsidRDefault="00C8738F">
            <w:pPr>
              <w:keepNext/>
              <w:tabs>
                <w:tab w:val="left" w:pos="720"/>
              </w:tabs>
              <w:rPr>
                <w:rFonts w:eastAsia="Calibri"/>
                <w:b/>
                <w:sz w:val="22"/>
                <w:szCs w:val="22"/>
                <w:lang w:val="de-DE" w:eastAsia="ja-JP"/>
              </w:rPr>
            </w:pPr>
            <w:r>
              <w:rPr>
                <w:rFonts w:eastAsia="Calibri"/>
                <w:sz w:val="22"/>
                <w:szCs w:val="22"/>
                <w:lang w:val="de-DE" w:eastAsia="ja-JP"/>
              </w:rPr>
              <w:t>&lt; 30 kg</w:t>
            </w:r>
          </w:p>
        </w:tc>
        <w:tc>
          <w:tcPr>
            <w:tcW w:w="5103" w:type="dxa"/>
            <w:tcBorders>
              <w:top w:val="single" w:sz="4" w:space="0" w:color="auto"/>
              <w:left w:val="single" w:sz="4" w:space="0" w:color="auto"/>
              <w:bottom w:val="single" w:sz="4" w:space="0" w:color="auto"/>
              <w:right w:val="single" w:sz="4" w:space="0" w:color="auto"/>
            </w:tcBorders>
          </w:tcPr>
          <w:p w14:paraId="655EDD74" w14:textId="77777777" w:rsidR="00FE291A" w:rsidRDefault="00C8738F">
            <w:pPr>
              <w:keepNext/>
              <w:tabs>
                <w:tab w:val="left" w:pos="720"/>
              </w:tabs>
              <w:rPr>
                <w:rFonts w:eastAsia="Calibri"/>
                <w:sz w:val="22"/>
                <w:szCs w:val="22"/>
                <w:lang w:val="de-DE" w:eastAsia="ja-JP"/>
              </w:rPr>
            </w:pPr>
            <w:r>
              <w:rPr>
                <w:rFonts w:eastAsia="Calibri"/>
                <w:sz w:val="22"/>
                <w:szCs w:val="22"/>
                <w:lang w:val="de-DE" w:eastAsia="ja-JP"/>
              </w:rPr>
              <w:t>20 mg jede zweite Woche in Kombination mit Methotrexat</w:t>
            </w:r>
          </w:p>
        </w:tc>
      </w:tr>
      <w:tr w:rsidR="00FE291A" w:rsidRPr="00723069" w14:paraId="1DCDC90B" w14:textId="77777777">
        <w:trPr>
          <w:tblHeader/>
        </w:trPr>
        <w:tc>
          <w:tcPr>
            <w:tcW w:w="4253" w:type="dxa"/>
            <w:tcBorders>
              <w:top w:val="single" w:sz="4" w:space="0" w:color="auto"/>
              <w:left w:val="single" w:sz="4" w:space="0" w:color="auto"/>
              <w:bottom w:val="single" w:sz="4" w:space="0" w:color="auto"/>
              <w:right w:val="single" w:sz="4" w:space="0" w:color="auto"/>
            </w:tcBorders>
          </w:tcPr>
          <w:p w14:paraId="7AB327E1" w14:textId="77777777" w:rsidR="00FE291A" w:rsidRDefault="00C8738F">
            <w:pPr>
              <w:keepNext/>
              <w:tabs>
                <w:tab w:val="left" w:pos="720"/>
              </w:tabs>
              <w:rPr>
                <w:rFonts w:eastAsia="Calibri"/>
                <w:b/>
                <w:sz w:val="22"/>
                <w:szCs w:val="22"/>
                <w:lang w:val="de-DE" w:eastAsia="ja-JP"/>
              </w:rPr>
            </w:pPr>
            <w:r>
              <w:rPr>
                <w:rFonts w:eastAsia="Calibri"/>
                <w:sz w:val="22"/>
                <w:szCs w:val="22"/>
                <w:lang w:val="de-DE" w:eastAsia="ja-JP"/>
              </w:rPr>
              <w:t>≥ 30 kg</w:t>
            </w:r>
          </w:p>
        </w:tc>
        <w:tc>
          <w:tcPr>
            <w:tcW w:w="5103" w:type="dxa"/>
            <w:tcBorders>
              <w:top w:val="single" w:sz="4" w:space="0" w:color="auto"/>
              <w:left w:val="single" w:sz="4" w:space="0" w:color="auto"/>
              <w:bottom w:val="single" w:sz="4" w:space="0" w:color="auto"/>
              <w:right w:val="single" w:sz="4" w:space="0" w:color="auto"/>
            </w:tcBorders>
          </w:tcPr>
          <w:p w14:paraId="460DE317" w14:textId="77777777" w:rsidR="00FE291A" w:rsidRDefault="00C8738F">
            <w:pPr>
              <w:suppressAutoHyphens/>
              <w:rPr>
                <w:rFonts w:eastAsia="Times New Roman"/>
                <w:sz w:val="22"/>
                <w:szCs w:val="22"/>
                <w:lang w:val="de-DE"/>
              </w:rPr>
            </w:pPr>
            <w:r>
              <w:rPr>
                <w:rFonts w:eastAsia="Times New Roman"/>
                <w:sz w:val="22"/>
                <w:szCs w:val="22"/>
                <w:lang w:val="de-DE"/>
              </w:rPr>
              <w:t xml:space="preserve">40 mg </w:t>
            </w:r>
            <w:r>
              <w:rPr>
                <w:rFonts w:eastAsia="Calibri"/>
                <w:sz w:val="22"/>
                <w:szCs w:val="22"/>
                <w:lang w:val="de-DE" w:eastAsia="ja-JP"/>
              </w:rPr>
              <w:t>jede zweite Woche in Kombination mit Methotrexat</w:t>
            </w:r>
          </w:p>
        </w:tc>
      </w:tr>
    </w:tbl>
    <w:p w14:paraId="7AA65CBF" w14:textId="77777777" w:rsidR="00FE291A" w:rsidRDefault="00FE291A">
      <w:pPr>
        <w:rPr>
          <w:rFonts w:cs="Calibri"/>
          <w:sz w:val="22"/>
          <w:szCs w:val="22"/>
          <w:lang w:val="de-DE"/>
        </w:rPr>
      </w:pPr>
    </w:p>
    <w:p w14:paraId="5B40FC9A" w14:textId="77777777" w:rsidR="00FE291A" w:rsidRDefault="00C8738F">
      <w:pPr>
        <w:pStyle w:val="BodyText"/>
        <w:widowControl/>
        <w:kinsoku w:val="0"/>
        <w:overflowPunct w:val="0"/>
        <w:ind w:left="0"/>
        <w:rPr>
          <w:rFonts w:cs="Calibri"/>
          <w:lang w:val="de-DE"/>
        </w:rPr>
      </w:pPr>
      <w:r>
        <w:rPr>
          <w:rFonts w:cs="Calibri"/>
          <w:lang w:val="de-DE"/>
        </w:rPr>
        <w:t>Wenn mit der AMGEVITA-Therapie begonnen wird, kann eine Woche vor Beginn der Erhaltungstherapie eine Induktionsdosis von 40 mg bei Patienten &lt; 30 kg bzw. 80 mg bei Patienten </w:t>
      </w:r>
      <w:r>
        <w:rPr>
          <w:lang w:val="de-DE"/>
        </w:rPr>
        <w:t>≥ </w:t>
      </w:r>
      <w:r>
        <w:rPr>
          <w:rFonts w:cs="Calibri"/>
          <w:lang w:val="de-DE"/>
        </w:rPr>
        <w:t>30 kg</w:t>
      </w:r>
      <w:r>
        <w:rPr>
          <w:rFonts w:cs="Calibri"/>
          <w:color w:val="FF0000"/>
          <w:lang w:val="de-DE"/>
        </w:rPr>
        <w:t xml:space="preserve"> </w:t>
      </w:r>
      <w:r>
        <w:rPr>
          <w:rFonts w:cs="Calibri"/>
          <w:lang w:val="de-DE"/>
        </w:rPr>
        <w:t>verabreicht werden. Zur Anwendung einer AMGEVITA-Induktionsdosis bei Kindern &lt; 6 Jahren sind keine klinischen Daten vorhanden (siehe Abschnitt 5.2).</w:t>
      </w:r>
    </w:p>
    <w:p w14:paraId="67278B77" w14:textId="77777777" w:rsidR="00FE291A" w:rsidRDefault="00FE291A">
      <w:pPr>
        <w:pStyle w:val="BodyText"/>
        <w:widowControl/>
        <w:kinsoku w:val="0"/>
        <w:overflowPunct w:val="0"/>
        <w:ind w:left="0"/>
        <w:rPr>
          <w:rFonts w:cs="Calibri"/>
          <w:lang w:val="de-DE"/>
        </w:rPr>
      </w:pPr>
    </w:p>
    <w:p w14:paraId="731E472B" w14:textId="77777777" w:rsidR="00FE291A" w:rsidRDefault="00C8738F">
      <w:pPr>
        <w:pStyle w:val="BodyText"/>
        <w:widowControl/>
        <w:kinsoku w:val="0"/>
        <w:overflowPunct w:val="0"/>
        <w:ind w:left="0"/>
        <w:rPr>
          <w:rFonts w:cs="Calibri"/>
          <w:lang w:val="de-DE"/>
        </w:rPr>
      </w:pPr>
      <w:r>
        <w:rPr>
          <w:rFonts w:cs="Calibri"/>
          <w:lang w:val="de-DE"/>
        </w:rPr>
        <w:t>Für diese Indikation gibt es bei Kindern, die jünger als 2 Jahre sind, keine relevante Anwendung von AMGEVITA.</w:t>
      </w:r>
    </w:p>
    <w:p w14:paraId="6B9D2EE2" w14:textId="77777777" w:rsidR="00FE291A" w:rsidRDefault="00FE291A">
      <w:pPr>
        <w:pStyle w:val="BodyText"/>
        <w:widowControl/>
        <w:kinsoku w:val="0"/>
        <w:overflowPunct w:val="0"/>
        <w:ind w:left="0"/>
        <w:rPr>
          <w:rFonts w:cs="Calibri"/>
          <w:lang w:val="de-DE"/>
        </w:rPr>
      </w:pPr>
    </w:p>
    <w:p w14:paraId="081C9475" w14:textId="77777777" w:rsidR="00FE291A" w:rsidRDefault="00C8738F">
      <w:pPr>
        <w:pStyle w:val="BodyText"/>
        <w:widowControl/>
        <w:kinsoku w:val="0"/>
        <w:overflowPunct w:val="0"/>
        <w:ind w:left="0"/>
        <w:rPr>
          <w:lang w:val="de-DE"/>
        </w:rPr>
      </w:pPr>
      <w:r>
        <w:rPr>
          <w:lang w:val="de-DE"/>
        </w:rPr>
        <w:t xml:space="preserve">Es wird empfohlen, Nutzen und Risiko einer Langzeitbehandlung jährlich zu beurteilen </w:t>
      </w:r>
      <w:r>
        <w:rPr>
          <w:rFonts w:cs="Calibri"/>
          <w:lang w:val="de-DE"/>
        </w:rPr>
        <w:t>(siehe Abschnitt 5.1).</w:t>
      </w:r>
    </w:p>
    <w:p w14:paraId="4B7805D3" w14:textId="77777777" w:rsidR="00FE291A" w:rsidRDefault="00FE291A">
      <w:pPr>
        <w:widowControl/>
        <w:kinsoku w:val="0"/>
        <w:overflowPunct w:val="0"/>
        <w:rPr>
          <w:sz w:val="22"/>
          <w:lang w:val="de-DE"/>
        </w:rPr>
      </w:pPr>
    </w:p>
    <w:p w14:paraId="568447C4" w14:textId="77777777" w:rsidR="00FE291A" w:rsidRDefault="00C8738F">
      <w:pPr>
        <w:pStyle w:val="BodyText"/>
        <w:keepNext/>
        <w:widowControl/>
        <w:kinsoku w:val="0"/>
        <w:overflowPunct w:val="0"/>
        <w:ind w:left="0"/>
        <w:rPr>
          <w:lang w:val="de-DE"/>
        </w:rPr>
      </w:pPr>
      <w:r>
        <w:rPr>
          <w:u w:val="single"/>
          <w:lang w:val="de-DE"/>
        </w:rPr>
        <w:t>Art der Anwendung</w:t>
      </w:r>
    </w:p>
    <w:p w14:paraId="2BC21B6C" w14:textId="77777777" w:rsidR="00FE291A" w:rsidRDefault="00FE291A">
      <w:pPr>
        <w:keepNext/>
        <w:widowControl/>
        <w:kinsoku w:val="0"/>
        <w:overflowPunct w:val="0"/>
        <w:rPr>
          <w:sz w:val="22"/>
          <w:szCs w:val="22"/>
          <w:lang w:val="de-DE"/>
        </w:rPr>
      </w:pPr>
    </w:p>
    <w:p w14:paraId="50A2C351" w14:textId="77777777" w:rsidR="00FE291A" w:rsidRDefault="00C8738F">
      <w:pPr>
        <w:pStyle w:val="BodyText"/>
        <w:widowControl/>
        <w:kinsoku w:val="0"/>
        <w:overflowPunct w:val="0"/>
        <w:ind w:left="0"/>
        <w:rPr>
          <w:lang w:val="de-DE"/>
        </w:rPr>
      </w:pPr>
      <w:r>
        <w:rPr>
          <w:lang w:val="de-DE"/>
        </w:rPr>
        <w:t>AMGEVITA wird mittels subkutaner Injektion verabreicht. Die vollständige Anweisung für die Anwendung findet sich in der Packungsbeilage.</w:t>
      </w:r>
    </w:p>
    <w:p w14:paraId="0F2BE667" w14:textId="77777777" w:rsidR="00FE291A" w:rsidRDefault="00FE291A">
      <w:pPr>
        <w:widowControl/>
        <w:kinsoku w:val="0"/>
        <w:overflowPunct w:val="0"/>
        <w:rPr>
          <w:sz w:val="22"/>
          <w:szCs w:val="22"/>
          <w:lang w:val="de-DE"/>
        </w:rPr>
      </w:pPr>
    </w:p>
    <w:p w14:paraId="2232A715" w14:textId="77777777" w:rsidR="00FE291A" w:rsidRDefault="00C8738F">
      <w:pPr>
        <w:pStyle w:val="Heading1"/>
        <w:keepNext/>
        <w:widowControl/>
        <w:numPr>
          <w:ilvl w:val="1"/>
          <w:numId w:val="7"/>
        </w:numPr>
        <w:tabs>
          <w:tab w:val="left" w:pos="567"/>
        </w:tabs>
        <w:kinsoku w:val="0"/>
        <w:overflowPunct w:val="0"/>
        <w:ind w:left="0" w:firstLine="0"/>
        <w:rPr>
          <w:b w:val="0"/>
          <w:bCs w:val="0"/>
          <w:lang w:val="de-DE"/>
        </w:rPr>
      </w:pPr>
      <w:r>
        <w:rPr>
          <w:lang w:val="de-DE"/>
        </w:rPr>
        <w:t>Gegenanzeigen</w:t>
      </w:r>
    </w:p>
    <w:p w14:paraId="0C4083CF" w14:textId="77777777" w:rsidR="00FE291A" w:rsidRDefault="00FE291A">
      <w:pPr>
        <w:keepNext/>
        <w:widowControl/>
        <w:kinsoku w:val="0"/>
        <w:overflowPunct w:val="0"/>
        <w:rPr>
          <w:sz w:val="22"/>
          <w:szCs w:val="22"/>
          <w:lang w:val="de-DE"/>
        </w:rPr>
      </w:pPr>
    </w:p>
    <w:p w14:paraId="220D5200" w14:textId="77777777" w:rsidR="00FE291A" w:rsidRDefault="00C8738F">
      <w:pPr>
        <w:pStyle w:val="BodyText"/>
        <w:keepNext/>
        <w:widowControl/>
        <w:kinsoku w:val="0"/>
        <w:overflowPunct w:val="0"/>
        <w:ind w:left="0"/>
        <w:rPr>
          <w:lang w:val="de-DE"/>
        </w:rPr>
      </w:pPr>
      <w:r>
        <w:rPr>
          <w:lang w:val="de-DE"/>
        </w:rPr>
        <w:t>Überempfindlichkeit gegen den Wirkstoff oder einen der in Abschnitt 6.1 genannten sonstigen Bestandteile.</w:t>
      </w:r>
    </w:p>
    <w:p w14:paraId="740F8D82" w14:textId="77777777" w:rsidR="00FE291A" w:rsidRDefault="00FE291A">
      <w:pPr>
        <w:widowControl/>
        <w:kinsoku w:val="0"/>
        <w:overflowPunct w:val="0"/>
        <w:rPr>
          <w:sz w:val="22"/>
          <w:lang w:val="de-DE"/>
        </w:rPr>
      </w:pPr>
    </w:p>
    <w:p w14:paraId="13B4A752" w14:textId="77777777" w:rsidR="00FE291A" w:rsidRDefault="00C8738F">
      <w:pPr>
        <w:pStyle w:val="BodyText"/>
        <w:widowControl/>
        <w:kinsoku w:val="0"/>
        <w:overflowPunct w:val="0"/>
        <w:ind w:left="0"/>
        <w:rPr>
          <w:lang w:val="de-DE"/>
        </w:rPr>
      </w:pPr>
      <w:r>
        <w:rPr>
          <w:lang w:val="de-DE"/>
        </w:rPr>
        <w:t>Aktive Tuberkulose oder andere schwere Infektionen wie Sepsis und opportunistische Infektionen (siehe Abschnitt 4.4).</w:t>
      </w:r>
    </w:p>
    <w:p w14:paraId="1483A845" w14:textId="77777777" w:rsidR="00FE291A" w:rsidRDefault="00FE291A">
      <w:pPr>
        <w:widowControl/>
        <w:kinsoku w:val="0"/>
        <w:overflowPunct w:val="0"/>
        <w:rPr>
          <w:sz w:val="22"/>
          <w:lang w:val="de-DE"/>
        </w:rPr>
      </w:pPr>
    </w:p>
    <w:p w14:paraId="19DB0A61" w14:textId="77777777" w:rsidR="00FE291A" w:rsidRDefault="00C8738F">
      <w:pPr>
        <w:pStyle w:val="BodyText"/>
        <w:widowControl/>
        <w:kinsoku w:val="0"/>
        <w:overflowPunct w:val="0"/>
        <w:ind w:left="0"/>
        <w:rPr>
          <w:lang w:val="de-DE"/>
        </w:rPr>
      </w:pPr>
      <w:r>
        <w:rPr>
          <w:lang w:val="de-DE"/>
        </w:rPr>
        <w:t>Mäßige bis schwere Herzinsuffizienz (NYHA-Klasse III/IV) (siehe Abschnitt 4.4).</w:t>
      </w:r>
    </w:p>
    <w:p w14:paraId="0329DE45" w14:textId="77777777" w:rsidR="00FE291A" w:rsidRDefault="00FE291A">
      <w:pPr>
        <w:widowControl/>
        <w:kinsoku w:val="0"/>
        <w:overflowPunct w:val="0"/>
        <w:rPr>
          <w:sz w:val="22"/>
          <w:szCs w:val="26"/>
          <w:lang w:val="de-DE"/>
        </w:rPr>
      </w:pPr>
    </w:p>
    <w:p w14:paraId="7840A4ED" w14:textId="77777777" w:rsidR="00FE291A" w:rsidRDefault="00C8738F">
      <w:pPr>
        <w:pStyle w:val="Heading1"/>
        <w:keepNext/>
        <w:widowControl/>
        <w:numPr>
          <w:ilvl w:val="1"/>
          <w:numId w:val="7"/>
        </w:numPr>
        <w:tabs>
          <w:tab w:val="left" w:pos="567"/>
        </w:tabs>
        <w:kinsoku w:val="0"/>
        <w:overflowPunct w:val="0"/>
        <w:ind w:left="0" w:firstLine="0"/>
        <w:rPr>
          <w:b w:val="0"/>
          <w:bCs w:val="0"/>
          <w:lang w:val="de-DE"/>
        </w:rPr>
      </w:pPr>
      <w:r>
        <w:rPr>
          <w:lang w:val="de-DE"/>
        </w:rPr>
        <w:t>Besondere Warnhinweise und Vorsichtsmaßnahmen für die Anwendung</w:t>
      </w:r>
    </w:p>
    <w:p w14:paraId="63040A37" w14:textId="77777777" w:rsidR="00FE291A" w:rsidRDefault="00FE291A">
      <w:pPr>
        <w:keepNext/>
        <w:widowControl/>
        <w:kinsoku w:val="0"/>
        <w:overflowPunct w:val="0"/>
        <w:rPr>
          <w:sz w:val="22"/>
          <w:szCs w:val="22"/>
          <w:lang w:val="de-DE"/>
        </w:rPr>
      </w:pPr>
    </w:p>
    <w:p w14:paraId="2D08C2F6" w14:textId="77777777" w:rsidR="00FE291A" w:rsidRDefault="00C8738F">
      <w:pPr>
        <w:keepNext/>
        <w:keepLines/>
        <w:rPr>
          <w:sz w:val="22"/>
          <w:szCs w:val="22"/>
          <w:u w:val="single"/>
          <w:lang w:val="de-DE"/>
        </w:rPr>
      </w:pPr>
      <w:r>
        <w:rPr>
          <w:sz w:val="22"/>
          <w:szCs w:val="22"/>
          <w:u w:val="single"/>
          <w:lang w:val="de-DE"/>
        </w:rPr>
        <w:t>Rückverfolgbarkeit</w:t>
      </w:r>
    </w:p>
    <w:p w14:paraId="442C2F2F" w14:textId="77777777" w:rsidR="00FE291A" w:rsidRDefault="00FE291A">
      <w:pPr>
        <w:pStyle w:val="BodyText"/>
        <w:keepNext/>
        <w:widowControl/>
        <w:kinsoku w:val="0"/>
        <w:overflowPunct w:val="0"/>
        <w:ind w:left="0"/>
        <w:rPr>
          <w:lang w:val="de-DE"/>
        </w:rPr>
      </w:pPr>
    </w:p>
    <w:p w14:paraId="6E1AF36A" w14:textId="77777777" w:rsidR="00FE291A" w:rsidRDefault="00C8738F">
      <w:pPr>
        <w:pStyle w:val="BodyText"/>
        <w:keepNext/>
        <w:widowControl/>
        <w:kinsoku w:val="0"/>
        <w:overflowPunct w:val="0"/>
        <w:ind w:left="0"/>
        <w:rPr>
          <w:lang w:val="de-DE"/>
        </w:rPr>
      </w:pPr>
      <w:r>
        <w:rPr>
          <w:lang w:val="de-DE"/>
        </w:rPr>
        <w:t>Um die Rückverfolgbarkeit biologischer Arzneimittel zu verbessern, müssen die Bezeichnung des Arzneimittels und die Chargenbezeichnung des angewendeten Arzneimittels eindeutig dokumentiert werden.</w:t>
      </w:r>
    </w:p>
    <w:p w14:paraId="1AF92571" w14:textId="77777777" w:rsidR="00FE291A" w:rsidRDefault="00FE291A">
      <w:pPr>
        <w:widowControl/>
        <w:kinsoku w:val="0"/>
        <w:overflowPunct w:val="0"/>
        <w:rPr>
          <w:sz w:val="22"/>
          <w:szCs w:val="22"/>
          <w:lang w:val="de-DE"/>
        </w:rPr>
      </w:pPr>
    </w:p>
    <w:p w14:paraId="631E244F" w14:textId="77777777" w:rsidR="00FE291A" w:rsidRDefault="00C8738F">
      <w:pPr>
        <w:pStyle w:val="BodyText"/>
        <w:keepNext/>
        <w:widowControl/>
        <w:kinsoku w:val="0"/>
        <w:overflowPunct w:val="0"/>
        <w:ind w:left="0"/>
        <w:rPr>
          <w:lang w:val="de-DE"/>
        </w:rPr>
      </w:pPr>
      <w:r>
        <w:rPr>
          <w:u w:val="single"/>
          <w:lang w:val="de-DE"/>
        </w:rPr>
        <w:t>Infektionen</w:t>
      </w:r>
    </w:p>
    <w:p w14:paraId="1663D6C0" w14:textId="77777777" w:rsidR="00FE291A" w:rsidRDefault="00FE291A">
      <w:pPr>
        <w:keepNext/>
        <w:widowControl/>
        <w:kinsoku w:val="0"/>
        <w:overflowPunct w:val="0"/>
        <w:rPr>
          <w:sz w:val="22"/>
          <w:szCs w:val="22"/>
          <w:lang w:val="de-DE"/>
        </w:rPr>
      </w:pPr>
    </w:p>
    <w:p w14:paraId="0F323462" w14:textId="77777777" w:rsidR="00FE291A" w:rsidRDefault="00C8738F">
      <w:pPr>
        <w:pStyle w:val="BodyText"/>
        <w:widowControl/>
        <w:kinsoku w:val="0"/>
        <w:overflowPunct w:val="0"/>
        <w:ind w:left="0"/>
        <w:rPr>
          <w:lang w:val="de-DE"/>
        </w:rPr>
      </w:pPr>
      <w:r>
        <w:rPr>
          <w:lang w:val="de-DE"/>
        </w:rPr>
        <w:t>Patienten, die mit TNF-Antagonisten behandelt werden, sind für schwerwiegende Infektionen empfänglicher. Eine beeinträchtigte Lungenfunktion kann das Risiko für die Entwicklung von Infektionen erhöhen. Patienten müssen daher im Hinblick auf Infektionen, einschließlich Tuberkulose, vor, während und nach der Behandlung mit AMGEVITA engmaschig überwacht werden. Da die Elimination von Adalimumab bis zu vier Monate dauern kann, sollte die Überwachung über diesen Zeitraum fortgesetzt werden.</w:t>
      </w:r>
    </w:p>
    <w:p w14:paraId="141042A9" w14:textId="77777777" w:rsidR="00FE291A" w:rsidRDefault="00FE291A">
      <w:pPr>
        <w:widowControl/>
        <w:kinsoku w:val="0"/>
        <w:overflowPunct w:val="0"/>
        <w:rPr>
          <w:sz w:val="22"/>
          <w:szCs w:val="22"/>
          <w:lang w:val="de-DE"/>
        </w:rPr>
      </w:pPr>
    </w:p>
    <w:p w14:paraId="4EDA0391" w14:textId="77777777" w:rsidR="00FE291A" w:rsidRDefault="00C8738F">
      <w:pPr>
        <w:pStyle w:val="BodyText"/>
        <w:widowControl/>
        <w:kinsoku w:val="0"/>
        <w:overflowPunct w:val="0"/>
        <w:ind w:left="0"/>
        <w:rPr>
          <w:lang w:val="de-DE"/>
        </w:rPr>
      </w:pPr>
      <w:r>
        <w:rPr>
          <w:lang w:val="de-DE"/>
        </w:rPr>
        <w:t xml:space="preserve">Eine Behandlung mit AMGEVITA sollte bei Patienten mit aktiven Infektionen, einschließlich chronischer oder lokalisierter Infektionen, erst eingeleitet werden, wenn die Infektionen unter Kontrolle sind. Bei Patienten, die Tuberkulose ausgesetzt waren und bei Patienten, die in Hochrisikogebiete von Tuberkulose oder von endemischen Mykosen wie z. B. Histoplasmose, Kokzidioidomykose oder Blastomykose gereist sind, müssen vor Beginn der Therapie Risiko und Vorteile einer Behandlung mit AMGEVITA sorgfältig überdacht werden (siehe </w:t>
      </w:r>
      <w:r>
        <w:rPr>
          <w:i/>
          <w:iCs/>
          <w:lang w:val="de-DE"/>
        </w:rPr>
        <w:t>Andere opportunistische Infektionen</w:t>
      </w:r>
      <w:r>
        <w:rPr>
          <w:lang w:val="de-DE"/>
        </w:rPr>
        <w:t>).</w:t>
      </w:r>
    </w:p>
    <w:p w14:paraId="1CC7B808" w14:textId="77777777" w:rsidR="00FE291A" w:rsidRDefault="00FE291A">
      <w:pPr>
        <w:widowControl/>
        <w:kinsoku w:val="0"/>
        <w:overflowPunct w:val="0"/>
        <w:rPr>
          <w:sz w:val="22"/>
          <w:szCs w:val="22"/>
          <w:lang w:val="de-DE"/>
        </w:rPr>
      </w:pPr>
    </w:p>
    <w:p w14:paraId="34EBC307" w14:textId="77777777" w:rsidR="00FE291A" w:rsidRDefault="00C8738F">
      <w:pPr>
        <w:pStyle w:val="BodyText"/>
        <w:widowControl/>
        <w:kinsoku w:val="0"/>
        <w:overflowPunct w:val="0"/>
        <w:ind w:left="0"/>
        <w:rPr>
          <w:lang w:val="de-DE"/>
        </w:rPr>
      </w:pPr>
      <w:r>
        <w:rPr>
          <w:lang w:val="de-DE"/>
        </w:rPr>
        <w:t>Patienten, bei denen sich unter Behandlung mit AMGEVITA eine neue Infektion entwickelt, sollten engmaschig beobachtet werden und sich einer vollständigen diagnostischen Beurteilung unterziehen. Tritt bei einem Patienten eine schwere Infektion oder Sepsis neu auf, sollte AMGEVITA so lange abgesetzt werden und eine geeignete antibakterielle oder antimykotische Therapie eingeleitet werden, bis die Infektion unter Kontrolle ist. Bei Patienten mit anamnestisch bekannten rezidivierenden Infektionen sowie mit Grunderkrankungen und Begleitmedikationen, die das Entstehen von Infektionen begünstigen, darunter auch die medikamentöse Behandlung mit Immunsuppressiva, sollte die Anwendung von AMGEVITA durch den behandelnden Arzt mit Vorsicht abgewogen werden.</w:t>
      </w:r>
    </w:p>
    <w:p w14:paraId="53A5BF41" w14:textId="77777777" w:rsidR="00FE291A" w:rsidRDefault="00FE291A">
      <w:pPr>
        <w:widowControl/>
        <w:kinsoku w:val="0"/>
        <w:overflowPunct w:val="0"/>
        <w:rPr>
          <w:sz w:val="22"/>
          <w:szCs w:val="22"/>
          <w:lang w:val="de-DE"/>
        </w:rPr>
      </w:pPr>
    </w:p>
    <w:p w14:paraId="18A7070B" w14:textId="77777777" w:rsidR="00FE291A" w:rsidRDefault="00C8738F">
      <w:pPr>
        <w:keepNext/>
        <w:widowControl/>
        <w:kinsoku w:val="0"/>
        <w:overflowPunct w:val="0"/>
        <w:rPr>
          <w:sz w:val="22"/>
          <w:szCs w:val="22"/>
          <w:lang w:val="de-DE"/>
        </w:rPr>
      </w:pPr>
      <w:r>
        <w:rPr>
          <w:i/>
          <w:iCs/>
          <w:sz w:val="22"/>
          <w:szCs w:val="22"/>
          <w:lang w:val="de-DE"/>
        </w:rPr>
        <w:t>Schwere Infektionen</w:t>
      </w:r>
    </w:p>
    <w:p w14:paraId="5AC5F016" w14:textId="77777777" w:rsidR="00FE291A" w:rsidRDefault="00FE291A">
      <w:pPr>
        <w:keepNext/>
        <w:widowControl/>
        <w:kinsoku w:val="0"/>
        <w:overflowPunct w:val="0"/>
        <w:rPr>
          <w:sz w:val="22"/>
          <w:szCs w:val="22"/>
          <w:lang w:val="de-DE"/>
        </w:rPr>
      </w:pPr>
    </w:p>
    <w:p w14:paraId="76985395" w14:textId="77777777" w:rsidR="00FE291A" w:rsidRDefault="00C8738F">
      <w:pPr>
        <w:pStyle w:val="BodyText"/>
        <w:widowControl/>
        <w:kinsoku w:val="0"/>
        <w:overflowPunct w:val="0"/>
        <w:ind w:left="0"/>
        <w:rPr>
          <w:lang w:val="de-DE"/>
        </w:rPr>
      </w:pPr>
      <w:r>
        <w:rPr>
          <w:lang w:val="de-DE"/>
        </w:rPr>
        <w:t>Schwere Infektionen, einschließlich Sepsis, aufgrund von bakteriellen, mykobakteriellen, invasiven Pilz</w:t>
      </w:r>
      <w:r>
        <w:rPr>
          <w:lang w:val="de-DE"/>
        </w:rPr>
        <w:noBreakHyphen/>
        <w:t>, Parasiten</w:t>
      </w:r>
      <w:r>
        <w:rPr>
          <w:lang w:val="de-DE"/>
        </w:rPr>
        <w:noBreakHyphen/>
        <w:t>, viralen oder anderen opportunistischen Infektionen, wie z. B. Listeriose, Legionellose und Pneumocystisinfektion, sind im Zusammenhang mit Adalimumab beschrieben worden.</w:t>
      </w:r>
    </w:p>
    <w:p w14:paraId="4CCB61EE" w14:textId="77777777" w:rsidR="00FE291A" w:rsidRDefault="00FE291A">
      <w:pPr>
        <w:widowControl/>
        <w:kinsoku w:val="0"/>
        <w:overflowPunct w:val="0"/>
        <w:rPr>
          <w:sz w:val="22"/>
          <w:szCs w:val="22"/>
          <w:lang w:val="de-DE"/>
        </w:rPr>
      </w:pPr>
    </w:p>
    <w:p w14:paraId="3178C965" w14:textId="77777777" w:rsidR="00FE291A" w:rsidRDefault="00C8738F">
      <w:pPr>
        <w:pStyle w:val="BodyText"/>
        <w:widowControl/>
        <w:kinsoku w:val="0"/>
        <w:overflowPunct w:val="0"/>
        <w:ind w:left="0"/>
        <w:rPr>
          <w:lang w:val="de-DE"/>
        </w:rPr>
      </w:pPr>
      <w:r>
        <w:rPr>
          <w:lang w:val="de-DE"/>
        </w:rPr>
        <w:lastRenderedPageBreak/>
        <w:t>Andere schwere Infektionen in klinischen Studien schließen Pneumonie, Pyelonephritis, septische Arthritis und Septikämie ein. Über Hospitalisierung oder Todesfälle in Verbindung mit Infektionen wurde berichtet.</w:t>
      </w:r>
    </w:p>
    <w:p w14:paraId="01D2EAAE" w14:textId="77777777" w:rsidR="00FE291A" w:rsidRDefault="00FE291A">
      <w:pPr>
        <w:widowControl/>
        <w:kinsoku w:val="0"/>
        <w:overflowPunct w:val="0"/>
        <w:rPr>
          <w:sz w:val="22"/>
          <w:szCs w:val="22"/>
          <w:lang w:val="de-DE"/>
        </w:rPr>
      </w:pPr>
    </w:p>
    <w:p w14:paraId="1381D787" w14:textId="77777777" w:rsidR="00FE291A" w:rsidRDefault="00C8738F">
      <w:pPr>
        <w:keepNext/>
        <w:widowControl/>
        <w:kinsoku w:val="0"/>
        <w:overflowPunct w:val="0"/>
        <w:rPr>
          <w:i/>
          <w:iCs/>
          <w:sz w:val="22"/>
          <w:szCs w:val="22"/>
          <w:lang w:val="de-DE"/>
        </w:rPr>
      </w:pPr>
      <w:r>
        <w:rPr>
          <w:i/>
          <w:iCs/>
          <w:sz w:val="22"/>
          <w:szCs w:val="22"/>
          <w:lang w:val="de-DE"/>
        </w:rPr>
        <w:t>Tuberkulose</w:t>
      </w:r>
    </w:p>
    <w:p w14:paraId="77360001" w14:textId="77777777" w:rsidR="00FE291A" w:rsidRDefault="00FE291A">
      <w:pPr>
        <w:keepNext/>
        <w:widowControl/>
        <w:kinsoku w:val="0"/>
        <w:overflowPunct w:val="0"/>
        <w:rPr>
          <w:i/>
          <w:iCs/>
          <w:sz w:val="22"/>
          <w:szCs w:val="22"/>
          <w:lang w:val="de-DE"/>
        </w:rPr>
      </w:pPr>
    </w:p>
    <w:p w14:paraId="6DAB0C6A" w14:textId="77777777" w:rsidR="00FE291A" w:rsidRDefault="00C8738F">
      <w:pPr>
        <w:pStyle w:val="BodyText"/>
        <w:widowControl/>
        <w:kinsoku w:val="0"/>
        <w:overflowPunct w:val="0"/>
        <w:ind w:left="0"/>
        <w:rPr>
          <w:lang w:val="de-DE"/>
        </w:rPr>
      </w:pPr>
      <w:r>
        <w:rPr>
          <w:lang w:val="de-DE"/>
        </w:rPr>
        <w:t>Es gab Berichte von Tuberkulose, einschließlich Reaktivierung und Tuberkuloseneuerkrankungen, bei Patienten, die Adalimumab erhielten. Die Berichte umfassten pulmonale und extrapulmonale (d. h. disseminierte) Tuberkulosefälle.</w:t>
      </w:r>
    </w:p>
    <w:p w14:paraId="560827A2" w14:textId="77777777" w:rsidR="00FE291A" w:rsidRDefault="00FE291A">
      <w:pPr>
        <w:widowControl/>
        <w:kinsoku w:val="0"/>
        <w:overflowPunct w:val="0"/>
        <w:rPr>
          <w:sz w:val="22"/>
          <w:szCs w:val="22"/>
          <w:lang w:val="de-DE"/>
        </w:rPr>
      </w:pPr>
    </w:p>
    <w:p w14:paraId="11E545B3" w14:textId="77777777" w:rsidR="00FE291A" w:rsidRDefault="00C8738F">
      <w:pPr>
        <w:pStyle w:val="BodyText"/>
        <w:widowControl/>
        <w:kinsoku w:val="0"/>
        <w:overflowPunct w:val="0"/>
        <w:ind w:left="0"/>
        <w:rPr>
          <w:lang w:val="de-DE"/>
        </w:rPr>
      </w:pPr>
      <w:r>
        <w:rPr>
          <w:lang w:val="de-DE"/>
        </w:rPr>
        <w:t>Vor Beginn der Behandlung mit AMGEVITA müssen alle Patienten sowohl auf aktive als auch auf inaktive („latente“) Tuberkuloseinfektionen untersucht werden. Zu dieser Untersuchung sollte eine eingehende medizinische Anamnese des Patienten gehören. Diese sollte eine persönliche Tuberkulosevorerkrankung, mögliche frühere Kontakte zu Personen mit aktiver Tuberkulose und eine frühere bzw. derzeitige Behandlung mit Immunsuppressiva abklären. Geeignete Screeningtests (d. h. Tuberkulinhauttest und Röntgen-Thoraxaufnahme) sollten bei allen Patienten durchgeführt werden (nationale Empfehlungen sollten befolgt werden). Es wird empfohlen, die Durchführung und Ergebnisse dieser Tests auf dem Patientenpass zu dokumentieren. Verschreibende Ärzte werden an das Risiko der falsch-negativen Ergebnisse des Tuberkulinhauttests, insbesondere bei schwer erkrankten oder immunsupprimierten Patienten, erinnert.</w:t>
      </w:r>
    </w:p>
    <w:p w14:paraId="23AFA152" w14:textId="77777777" w:rsidR="00FE291A" w:rsidRDefault="00FE291A">
      <w:pPr>
        <w:widowControl/>
        <w:kinsoku w:val="0"/>
        <w:overflowPunct w:val="0"/>
        <w:rPr>
          <w:sz w:val="22"/>
          <w:szCs w:val="22"/>
          <w:lang w:val="de-DE"/>
        </w:rPr>
      </w:pPr>
    </w:p>
    <w:p w14:paraId="23CC9098" w14:textId="77777777" w:rsidR="00FE291A" w:rsidRDefault="00C8738F">
      <w:pPr>
        <w:pStyle w:val="BodyText"/>
        <w:widowControl/>
        <w:kinsoku w:val="0"/>
        <w:overflowPunct w:val="0"/>
        <w:ind w:left="0"/>
        <w:rPr>
          <w:lang w:val="de-DE"/>
        </w:rPr>
      </w:pPr>
      <w:r>
        <w:rPr>
          <w:lang w:val="de-DE"/>
        </w:rPr>
        <w:t>Wird eine aktive Tuberkulose diagnostiziert, darf die Behandlung mit AMGEVITA nicht eingeleitet werden (siehe Abschnitt 4.3).</w:t>
      </w:r>
    </w:p>
    <w:p w14:paraId="79D3EDD5" w14:textId="77777777" w:rsidR="00FE291A" w:rsidRDefault="00FE291A">
      <w:pPr>
        <w:widowControl/>
        <w:kinsoku w:val="0"/>
        <w:overflowPunct w:val="0"/>
        <w:rPr>
          <w:sz w:val="22"/>
          <w:szCs w:val="22"/>
          <w:lang w:val="de-DE"/>
        </w:rPr>
      </w:pPr>
    </w:p>
    <w:p w14:paraId="525803AE" w14:textId="77777777" w:rsidR="00FE291A" w:rsidRDefault="00C8738F">
      <w:pPr>
        <w:pStyle w:val="BodyText"/>
        <w:widowControl/>
        <w:kinsoku w:val="0"/>
        <w:overflowPunct w:val="0"/>
        <w:ind w:left="0"/>
        <w:rPr>
          <w:lang w:val="de-DE"/>
        </w:rPr>
      </w:pPr>
      <w:r>
        <w:rPr>
          <w:lang w:val="de-DE"/>
        </w:rPr>
        <w:t>In allen nachstehend beschriebenen Situationen sollte das Nutzen-Risiko-Verhältnis einer Therapie sehr sorgfältig abgewogen werden.</w:t>
      </w:r>
    </w:p>
    <w:p w14:paraId="15921B6E" w14:textId="77777777" w:rsidR="00FE291A" w:rsidRDefault="00FE291A">
      <w:pPr>
        <w:widowControl/>
        <w:kinsoku w:val="0"/>
        <w:overflowPunct w:val="0"/>
        <w:rPr>
          <w:sz w:val="22"/>
          <w:szCs w:val="22"/>
          <w:lang w:val="de-DE"/>
        </w:rPr>
      </w:pPr>
    </w:p>
    <w:p w14:paraId="2133100C" w14:textId="77777777" w:rsidR="00FE291A" w:rsidRDefault="00C8738F">
      <w:pPr>
        <w:pStyle w:val="BodyText"/>
        <w:widowControl/>
        <w:kinsoku w:val="0"/>
        <w:overflowPunct w:val="0"/>
        <w:ind w:left="0"/>
        <w:rPr>
          <w:lang w:val="de-DE"/>
        </w:rPr>
      </w:pPr>
      <w:r>
        <w:rPr>
          <w:lang w:val="de-DE"/>
        </w:rPr>
        <w:t>Bei Verdacht auf latente Tuberkulose sollte ein in der Tuberkulosebehandlung erfahrener Arzt aufgesucht werden.</w:t>
      </w:r>
    </w:p>
    <w:p w14:paraId="3EFB61F8" w14:textId="77777777" w:rsidR="00FE291A" w:rsidRDefault="00FE291A">
      <w:pPr>
        <w:widowControl/>
        <w:kinsoku w:val="0"/>
        <w:overflowPunct w:val="0"/>
        <w:rPr>
          <w:sz w:val="22"/>
          <w:szCs w:val="22"/>
          <w:lang w:val="de-DE"/>
        </w:rPr>
      </w:pPr>
    </w:p>
    <w:p w14:paraId="4CEA371E" w14:textId="77777777" w:rsidR="00FE291A" w:rsidRDefault="00C8738F">
      <w:pPr>
        <w:pStyle w:val="BodyText"/>
        <w:widowControl/>
        <w:kinsoku w:val="0"/>
        <w:overflowPunct w:val="0"/>
        <w:ind w:left="0"/>
        <w:rPr>
          <w:lang w:val="de-DE"/>
        </w:rPr>
      </w:pPr>
      <w:r>
        <w:rPr>
          <w:lang w:val="de-DE"/>
        </w:rPr>
        <w:t>Wird eine latente Tuberkulose diagnostiziert, muss vor der ersten Gabe von AMGEVITA eine geeignete Tuberkuloseprophylaxe entsprechend den nationalen Empfehlungen begonnen werden.</w:t>
      </w:r>
    </w:p>
    <w:p w14:paraId="50515370" w14:textId="77777777" w:rsidR="00FE291A" w:rsidRDefault="00FE291A">
      <w:pPr>
        <w:widowControl/>
        <w:kinsoku w:val="0"/>
        <w:overflowPunct w:val="0"/>
        <w:rPr>
          <w:sz w:val="22"/>
          <w:szCs w:val="22"/>
          <w:lang w:val="de-DE"/>
        </w:rPr>
      </w:pPr>
    </w:p>
    <w:p w14:paraId="5AFACBD9" w14:textId="77777777" w:rsidR="00FE291A" w:rsidRDefault="00C8738F">
      <w:pPr>
        <w:pStyle w:val="BodyText"/>
        <w:widowControl/>
        <w:kinsoku w:val="0"/>
        <w:overflowPunct w:val="0"/>
        <w:ind w:left="0"/>
        <w:rPr>
          <w:lang w:val="de-DE"/>
        </w:rPr>
      </w:pPr>
      <w:r>
        <w:rPr>
          <w:lang w:val="de-DE"/>
        </w:rPr>
        <w:t>Eine Tuberkuloseprophylaxe vor Beginn der Behandlung mit AMGEVITA sollte ebenfalls bei Patienten erwogen werden, bei denen trotz negativem Tuberkulosetest mehrere oder signifikante Risikofaktoren für Tuberkulose gegeben sind, und bei Patienten mit anamnestisch bekannter latenter oder aktiver Tuberkulose, wenn unklar ist, ob eine adäquate Behandlung durchgeführt wurde.</w:t>
      </w:r>
    </w:p>
    <w:p w14:paraId="626B2DB4" w14:textId="77777777" w:rsidR="00FE291A" w:rsidRDefault="00FE291A">
      <w:pPr>
        <w:widowControl/>
        <w:kinsoku w:val="0"/>
        <w:overflowPunct w:val="0"/>
        <w:rPr>
          <w:sz w:val="22"/>
          <w:szCs w:val="22"/>
          <w:lang w:val="de-DE"/>
        </w:rPr>
      </w:pPr>
    </w:p>
    <w:p w14:paraId="44C5457B" w14:textId="77777777" w:rsidR="00FE291A" w:rsidRDefault="00C8738F">
      <w:pPr>
        <w:pStyle w:val="BodyText"/>
        <w:widowControl/>
        <w:kinsoku w:val="0"/>
        <w:overflowPunct w:val="0"/>
        <w:ind w:left="0"/>
        <w:rPr>
          <w:lang w:val="de-DE"/>
        </w:rPr>
      </w:pPr>
      <w:r>
        <w:rPr>
          <w:lang w:val="de-DE"/>
        </w:rPr>
        <w:t>Trotz Tuberkuloseprophylaxe sind Fälle von Tuberkulosereaktivierung bei Patienten, die mit Adalimumab behandelt wurden, aufgetreten. Einige Patienten, die zuvor erfolgreich gegen aktive Tuberkulose behandelt worden waren, entwickelten unter der Behandlung mit Adalimumab erneut eine Tuberkulose.</w:t>
      </w:r>
    </w:p>
    <w:p w14:paraId="5F075985" w14:textId="77777777" w:rsidR="00FE291A" w:rsidRDefault="00FE291A">
      <w:pPr>
        <w:widowControl/>
        <w:kinsoku w:val="0"/>
        <w:overflowPunct w:val="0"/>
        <w:rPr>
          <w:sz w:val="22"/>
          <w:szCs w:val="22"/>
          <w:lang w:val="de-DE"/>
        </w:rPr>
      </w:pPr>
    </w:p>
    <w:p w14:paraId="38023B5A" w14:textId="77777777" w:rsidR="00FE291A" w:rsidRDefault="00C8738F">
      <w:pPr>
        <w:pStyle w:val="BodyText"/>
        <w:widowControl/>
        <w:kinsoku w:val="0"/>
        <w:overflowPunct w:val="0"/>
        <w:ind w:left="0"/>
        <w:rPr>
          <w:lang w:val="de-DE"/>
        </w:rPr>
      </w:pPr>
      <w:r>
        <w:rPr>
          <w:lang w:val="de-DE"/>
        </w:rPr>
        <w:t>Die Patienten sind anzuweisen, ärztlichen Rat einzuholen, falls es während oder nach der Behandlung mit AMGEVITA zu klinischen Anzeichen/Symptomen kommt, die auf eine Tuberkuloseinfektion hinweisen (z. B. anhaltender Husten, Kräfteschwund/Gewichtsverlust, leicht erhöhte Körpertemperatur, Teilnahmslosigkeit).</w:t>
      </w:r>
    </w:p>
    <w:p w14:paraId="48ABC516" w14:textId="77777777" w:rsidR="00FE291A" w:rsidRDefault="00FE291A">
      <w:pPr>
        <w:widowControl/>
        <w:kinsoku w:val="0"/>
        <w:overflowPunct w:val="0"/>
        <w:rPr>
          <w:sz w:val="22"/>
          <w:szCs w:val="22"/>
          <w:lang w:val="de-DE"/>
        </w:rPr>
      </w:pPr>
    </w:p>
    <w:p w14:paraId="00B4AB39" w14:textId="77777777" w:rsidR="00FE291A" w:rsidRDefault="00C8738F">
      <w:pPr>
        <w:keepNext/>
        <w:keepLines/>
        <w:widowControl/>
        <w:kinsoku w:val="0"/>
        <w:overflowPunct w:val="0"/>
        <w:rPr>
          <w:sz w:val="22"/>
          <w:szCs w:val="22"/>
          <w:lang w:val="de-DE"/>
        </w:rPr>
      </w:pPr>
      <w:r>
        <w:rPr>
          <w:i/>
          <w:iCs/>
          <w:sz w:val="22"/>
          <w:szCs w:val="22"/>
          <w:lang w:val="de-DE"/>
        </w:rPr>
        <w:t>Andere opportunistische Infektionen</w:t>
      </w:r>
    </w:p>
    <w:p w14:paraId="2E194F19" w14:textId="77777777" w:rsidR="00FE291A" w:rsidRDefault="00FE291A">
      <w:pPr>
        <w:keepNext/>
        <w:keepLines/>
        <w:widowControl/>
        <w:kinsoku w:val="0"/>
        <w:overflowPunct w:val="0"/>
        <w:rPr>
          <w:sz w:val="22"/>
          <w:szCs w:val="22"/>
          <w:lang w:val="de-DE"/>
        </w:rPr>
      </w:pPr>
    </w:p>
    <w:p w14:paraId="1BFC3E10" w14:textId="77777777" w:rsidR="00FE291A" w:rsidRDefault="00C8738F">
      <w:pPr>
        <w:pStyle w:val="BodyText"/>
        <w:keepNext/>
        <w:keepLines/>
        <w:widowControl/>
        <w:kinsoku w:val="0"/>
        <w:overflowPunct w:val="0"/>
        <w:ind w:left="0"/>
        <w:rPr>
          <w:lang w:val="de-DE"/>
        </w:rPr>
      </w:pPr>
      <w:r>
        <w:rPr>
          <w:lang w:val="de-DE"/>
        </w:rPr>
        <w:t>Opportunistische Infektionen, einschließlich invasiver Pilzinfektionen, wurden bei Patienten beobachtet, die Adalimumab erhielten. Diese Infektionen wurden nicht lückenlos bei Patienten erkannt, die TNF</w:t>
      </w:r>
      <w:r>
        <w:rPr>
          <w:lang w:val="de-DE"/>
        </w:rPr>
        <w:noBreakHyphen/>
        <w:t>Antagonisten anwendeten. Dies führte zu Verzögerungen bei der geeigneten Therapie, manchmal mit tödlichem Ausgang.</w:t>
      </w:r>
    </w:p>
    <w:p w14:paraId="36E5B1D5" w14:textId="77777777" w:rsidR="00FE291A" w:rsidRDefault="00FE291A">
      <w:pPr>
        <w:widowControl/>
        <w:kinsoku w:val="0"/>
        <w:overflowPunct w:val="0"/>
        <w:rPr>
          <w:sz w:val="22"/>
          <w:szCs w:val="22"/>
          <w:lang w:val="de-DE"/>
        </w:rPr>
      </w:pPr>
    </w:p>
    <w:p w14:paraId="24E41B8C" w14:textId="77777777" w:rsidR="00FE291A" w:rsidRDefault="00C8738F">
      <w:pPr>
        <w:pStyle w:val="BodyText"/>
        <w:widowControl/>
        <w:kinsoku w:val="0"/>
        <w:overflowPunct w:val="0"/>
        <w:ind w:left="0"/>
        <w:rPr>
          <w:lang w:val="de-DE"/>
        </w:rPr>
      </w:pPr>
      <w:r>
        <w:rPr>
          <w:lang w:val="de-DE"/>
        </w:rPr>
        <w:t>Bei Patienten, die Anzeichen oder Symptome wie z. B. Fieber, Unwohlsein, Gewichtsverlust, Schweißausbrüche, Husten, Atemnot und/oder Lungeninfiltrate oder eine andere schwere systemische Erkrankung mit oder ohne gleichzeitigem Schock entwickeln, ist eine invasive Pilzinfektion zu befürchten. Die Verabreichung von AMGEVITA muss sofort unterbrochen werden. Bei diesen Patienten sollten die Diagnose und die Einleitung einer empirischen Antimykotikatherapie mit einem Arzt abgesprochen werden, der in der Behandlung von Patienten mit invasiven Pilzinfektionen Erfahrung hat.</w:t>
      </w:r>
    </w:p>
    <w:p w14:paraId="5E019FE0" w14:textId="77777777" w:rsidR="00FE291A" w:rsidRDefault="00FE291A">
      <w:pPr>
        <w:widowControl/>
        <w:kinsoku w:val="0"/>
        <w:overflowPunct w:val="0"/>
        <w:rPr>
          <w:sz w:val="22"/>
          <w:szCs w:val="22"/>
          <w:lang w:val="de-DE"/>
        </w:rPr>
      </w:pPr>
    </w:p>
    <w:p w14:paraId="7F5F424B" w14:textId="77777777" w:rsidR="00FE291A" w:rsidRDefault="00C8738F">
      <w:pPr>
        <w:pStyle w:val="BodyText"/>
        <w:keepNext/>
        <w:widowControl/>
        <w:kinsoku w:val="0"/>
        <w:overflowPunct w:val="0"/>
        <w:ind w:left="0"/>
        <w:rPr>
          <w:lang w:val="de-DE"/>
        </w:rPr>
      </w:pPr>
      <w:r>
        <w:rPr>
          <w:u w:val="single"/>
          <w:lang w:val="de-DE"/>
        </w:rPr>
        <w:t>Hepatitis-B-Reaktivierung</w:t>
      </w:r>
    </w:p>
    <w:p w14:paraId="047F22FF" w14:textId="77777777" w:rsidR="00FE291A" w:rsidRDefault="00FE291A">
      <w:pPr>
        <w:keepNext/>
        <w:widowControl/>
        <w:kinsoku w:val="0"/>
        <w:overflowPunct w:val="0"/>
        <w:rPr>
          <w:sz w:val="22"/>
          <w:szCs w:val="22"/>
          <w:lang w:val="de-DE"/>
        </w:rPr>
      </w:pPr>
    </w:p>
    <w:p w14:paraId="1C6E4BE8" w14:textId="77777777" w:rsidR="00FE291A" w:rsidRDefault="00C8738F">
      <w:pPr>
        <w:pStyle w:val="BodyText"/>
        <w:widowControl/>
        <w:kinsoku w:val="0"/>
        <w:overflowPunct w:val="0"/>
        <w:ind w:left="0"/>
        <w:rPr>
          <w:lang w:val="de-DE"/>
        </w:rPr>
      </w:pPr>
      <w:r>
        <w:rPr>
          <w:lang w:val="de-DE"/>
        </w:rPr>
        <w:t>Die Reaktivierung einer Hepatitis B trat bei Patienten auf, die einen TNF-Antagonisten, einschließlich Adalimumab, erhielten und chronische Träger dieses Virus waren (d. h. HBsAg-positiv). Einige Fälle nahmen einen tödlichen Ausgang. Patienten müssen vor Beginn der Therapie mit AMGEVITA auf eine HBV</w:t>
      </w:r>
      <w:r>
        <w:rPr>
          <w:lang w:val="de-DE"/>
        </w:rPr>
        <w:noBreakHyphen/>
        <w:t>Infektion untersucht werden. Patienten, die positiv auf eine Hepatitis-B-Infektion getestet wurden, sollten Rücksprache mit einem Arzt halten, der Fachkenntnisse zur Behandlung von Hepatitis B hat.</w:t>
      </w:r>
    </w:p>
    <w:p w14:paraId="4E62D0C2" w14:textId="77777777" w:rsidR="00FE291A" w:rsidRDefault="00FE291A">
      <w:pPr>
        <w:widowControl/>
        <w:kinsoku w:val="0"/>
        <w:overflowPunct w:val="0"/>
        <w:rPr>
          <w:sz w:val="22"/>
          <w:szCs w:val="22"/>
          <w:lang w:val="de-DE"/>
        </w:rPr>
      </w:pPr>
    </w:p>
    <w:p w14:paraId="3FEF7546" w14:textId="77777777" w:rsidR="00FE291A" w:rsidRDefault="00C8738F">
      <w:pPr>
        <w:pStyle w:val="BodyText"/>
        <w:widowControl/>
        <w:kinsoku w:val="0"/>
        <w:overflowPunct w:val="0"/>
        <w:ind w:left="0"/>
        <w:rPr>
          <w:lang w:val="de-DE"/>
        </w:rPr>
      </w:pPr>
      <w:r>
        <w:rPr>
          <w:lang w:val="de-DE"/>
        </w:rPr>
        <w:t>Träger von HBV, die eine Behandlung mit AMGEVITA benötigen, müssen engmaschig auf Anzeichen und Symptome einer aktiven HBV-Infektion sowohl während der gesamten Therapie als auch mehrere Monate nach Beendigung der Therapie überwacht werden. Es gibt keine ausreichenden Daten zur Vorbeugung einer HBV-Reaktivierung durch eine antivirale Therapie bei Patienten, die mit TNF</w:t>
      </w:r>
      <w:r>
        <w:rPr>
          <w:lang w:val="de-DE"/>
        </w:rPr>
        <w:noBreakHyphen/>
        <w:t>Antagonisten behandelt werden und Träger von HBV sind. Patienten, bei denen eine HBV</w:t>
      </w:r>
      <w:r>
        <w:rPr>
          <w:lang w:val="de-DE"/>
        </w:rPr>
        <w:noBreakHyphen/>
        <w:t>Reaktivierung auftritt, müssen AMGEVITA absetzen, und eine effektive antivirale Therapie mit geeigneter unterstützender Behandlung muss eingeleitet werden.</w:t>
      </w:r>
    </w:p>
    <w:p w14:paraId="6072CD41" w14:textId="77777777" w:rsidR="00FE291A" w:rsidRDefault="00FE291A">
      <w:pPr>
        <w:widowControl/>
        <w:kinsoku w:val="0"/>
        <w:overflowPunct w:val="0"/>
        <w:rPr>
          <w:sz w:val="22"/>
          <w:szCs w:val="22"/>
          <w:lang w:val="de-DE"/>
        </w:rPr>
      </w:pPr>
    </w:p>
    <w:p w14:paraId="2F3913C0" w14:textId="77777777" w:rsidR="00FE291A" w:rsidRDefault="00C8738F">
      <w:pPr>
        <w:pStyle w:val="BodyText"/>
        <w:keepNext/>
        <w:widowControl/>
        <w:kinsoku w:val="0"/>
        <w:overflowPunct w:val="0"/>
        <w:ind w:left="0"/>
        <w:rPr>
          <w:lang w:val="de-DE"/>
        </w:rPr>
      </w:pPr>
      <w:r>
        <w:rPr>
          <w:u w:val="single"/>
          <w:lang w:val="de-DE"/>
        </w:rPr>
        <w:t>Neurologische Ereignisse</w:t>
      </w:r>
    </w:p>
    <w:p w14:paraId="3BB77E1F" w14:textId="77777777" w:rsidR="00FE291A" w:rsidRDefault="00FE291A">
      <w:pPr>
        <w:widowControl/>
        <w:kinsoku w:val="0"/>
        <w:overflowPunct w:val="0"/>
        <w:rPr>
          <w:sz w:val="22"/>
          <w:szCs w:val="22"/>
          <w:lang w:val="de-DE"/>
        </w:rPr>
      </w:pPr>
    </w:p>
    <w:p w14:paraId="096E4F25" w14:textId="77777777" w:rsidR="00FE291A" w:rsidRDefault="00C8738F">
      <w:pPr>
        <w:pStyle w:val="BodyText"/>
        <w:widowControl/>
        <w:kinsoku w:val="0"/>
        <w:overflowPunct w:val="0"/>
        <w:ind w:left="0"/>
        <w:rPr>
          <w:lang w:val="de-DE"/>
        </w:rPr>
      </w:pPr>
      <w:r>
        <w:rPr>
          <w:lang w:val="de-DE"/>
        </w:rPr>
        <w:t>TNF-Antagonisten, einschließlich Adalimumab, wurden in seltenen Fällen mit dem neuen Auftreten oder der Verstärkung der klinischen Symptomatik und/oder dem radiologischen Nachweis von demyelinisierenden Erkrankungen im zentralen Nervensystem, einschließlich multipler Sklerose und Optikusneuritis, und demyelinisierenden Erkrankungen im peripheren Nervensystem, einschließlich Guillain-Barré-Syndrom, in Verbindung gebracht. Die Verordnung von AMGEVITA sollte bei Patienten mit vorbestehenden oder beginnenden demyelinisierenden Erkrankungen des ZNS oder des peripheren Nervensystems vom verschreibenden Arzt sorgfältig abgewogen werden. Tritt eine dieser Erkrankungen auf, sollte in Betracht gezogen werden, AMGEVITA abzusetzen. Es besteht ein bekannter Zusammenhang zwischen einer Uveitis intermedia und demyelinisierenden Erkrankungen des ZNS. Patienten mit nicht infektiöser Uveitis intermedia sollten vor der Einleitung einer AMGEVITA-Therapie und regelmäßig während der Behandlung neurologisch untersucht werden, um vorbestehende oder beginnende demyelinisierende Erkrankungen des ZNS zu erfassen.</w:t>
      </w:r>
    </w:p>
    <w:p w14:paraId="67DEF6C9" w14:textId="77777777" w:rsidR="00FE291A" w:rsidRDefault="00FE291A">
      <w:pPr>
        <w:widowControl/>
        <w:kinsoku w:val="0"/>
        <w:overflowPunct w:val="0"/>
        <w:rPr>
          <w:sz w:val="22"/>
          <w:szCs w:val="22"/>
          <w:lang w:val="de-DE"/>
        </w:rPr>
      </w:pPr>
    </w:p>
    <w:p w14:paraId="6FAE6DA2" w14:textId="77777777" w:rsidR="00FE291A" w:rsidRDefault="00C8738F">
      <w:pPr>
        <w:pStyle w:val="BodyText"/>
        <w:keepNext/>
        <w:widowControl/>
        <w:kinsoku w:val="0"/>
        <w:overflowPunct w:val="0"/>
        <w:ind w:left="0"/>
        <w:rPr>
          <w:lang w:val="de-DE"/>
        </w:rPr>
      </w:pPr>
      <w:r>
        <w:rPr>
          <w:u w:val="single"/>
          <w:lang w:val="de-DE"/>
        </w:rPr>
        <w:t>Allergische Reaktionen</w:t>
      </w:r>
    </w:p>
    <w:p w14:paraId="11B0E048" w14:textId="77777777" w:rsidR="00FE291A" w:rsidRDefault="00FE291A">
      <w:pPr>
        <w:keepNext/>
        <w:widowControl/>
        <w:kinsoku w:val="0"/>
        <w:overflowPunct w:val="0"/>
        <w:rPr>
          <w:sz w:val="22"/>
          <w:szCs w:val="22"/>
          <w:lang w:val="de-DE"/>
        </w:rPr>
      </w:pPr>
    </w:p>
    <w:p w14:paraId="4998EA85" w14:textId="77777777" w:rsidR="00FE291A" w:rsidRDefault="00C8738F">
      <w:pPr>
        <w:pStyle w:val="BodyText"/>
        <w:widowControl/>
        <w:kinsoku w:val="0"/>
        <w:overflowPunct w:val="0"/>
        <w:ind w:left="0"/>
        <w:rPr>
          <w:lang w:val="de-DE"/>
        </w:rPr>
      </w:pPr>
      <w:r>
        <w:rPr>
          <w:lang w:val="de-DE"/>
        </w:rPr>
        <w:t>In klinischen Studien waren schwerwiegende allergische Reaktionen in Verbindung mit Adalimumab selten. Nicht schwerwiegende allergische Reaktionen im Zusammenhang mit Adalimumab wurden in klinischen Studien gelegentlich beobachtet. Es gibt Berichte zum Auftreten von schwerwiegenden allergischen Reaktionen, einschließlich anaphylaktischer Reaktionen, nach Verabreichung von Adalimumab. Falls eine anaphylaktische Reaktion oder andere schwerwiegende allergische Reaktionen auftreten, sollte AMGEVITA sofort abgesetzt und eine geeignete Behandlung eingeleitet werden.</w:t>
      </w:r>
    </w:p>
    <w:p w14:paraId="0A69CB48" w14:textId="77777777" w:rsidR="00FE291A" w:rsidRDefault="00FE291A">
      <w:pPr>
        <w:widowControl/>
        <w:kinsoku w:val="0"/>
        <w:overflowPunct w:val="0"/>
        <w:rPr>
          <w:sz w:val="22"/>
          <w:szCs w:val="22"/>
          <w:lang w:val="de-DE"/>
        </w:rPr>
      </w:pPr>
    </w:p>
    <w:p w14:paraId="17A85044" w14:textId="77777777" w:rsidR="00FE291A" w:rsidRDefault="00C8738F">
      <w:pPr>
        <w:pStyle w:val="BodyText"/>
        <w:keepNext/>
        <w:keepLines/>
        <w:widowControl/>
        <w:kinsoku w:val="0"/>
        <w:overflowPunct w:val="0"/>
        <w:ind w:left="0"/>
        <w:rPr>
          <w:lang w:val="de-DE"/>
        </w:rPr>
      </w:pPr>
      <w:r>
        <w:rPr>
          <w:u w:val="single"/>
          <w:lang w:val="de-DE"/>
        </w:rPr>
        <w:t>Immunsuppression</w:t>
      </w:r>
    </w:p>
    <w:p w14:paraId="2F1C02A4" w14:textId="77777777" w:rsidR="00FE291A" w:rsidRDefault="00FE291A">
      <w:pPr>
        <w:keepNext/>
        <w:keepLines/>
        <w:widowControl/>
        <w:kinsoku w:val="0"/>
        <w:overflowPunct w:val="0"/>
        <w:rPr>
          <w:sz w:val="22"/>
          <w:szCs w:val="22"/>
          <w:lang w:val="de-DE"/>
        </w:rPr>
      </w:pPr>
    </w:p>
    <w:p w14:paraId="609E216C" w14:textId="77777777" w:rsidR="00FE291A" w:rsidRDefault="00C8738F">
      <w:pPr>
        <w:pStyle w:val="BodyText"/>
        <w:keepNext/>
        <w:keepLines/>
        <w:widowControl/>
        <w:kinsoku w:val="0"/>
        <w:overflowPunct w:val="0"/>
        <w:ind w:left="0"/>
        <w:rPr>
          <w:lang w:val="de-DE"/>
        </w:rPr>
      </w:pPr>
      <w:r>
        <w:rPr>
          <w:lang w:val="de-DE"/>
        </w:rPr>
        <w:t>In einer Studie mit 64 Patienten mit rheumatoider Arthritis, die mit Adalimumab behandelt wurden, ergab sich kein Beleg für eine Abschwächung der Überempfindlichkeitsreaktion vom verzögerten Typ, für eine Abnahme der Immunglobulinkonzentration oder für Veränderungen der Zahl von Effektor-T-, B-, NK-Zellen, Monozyten/Makrophagen und neutrophilen Granulozyten.</w:t>
      </w:r>
    </w:p>
    <w:p w14:paraId="2D750FE4" w14:textId="77777777" w:rsidR="00FE291A" w:rsidRDefault="00FE291A">
      <w:pPr>
        <w:widowControl/>
        <w:kinsoku w:val="0"/>
        <w:overflowPunct w:val="0"/>
        <w:rPr>
          <w:sz w:val="22"/>
          <w:szCs w:val="22"/>
          <w:lang w:val="de-DE"/>
        </w:rPr>
      </w:pPr>
    </w:p>
    <w:p w14:paraId="7EEF67A1" w14:textId="77777777" w:rsidR="00FE291A" w:rsidRDefault="00C8738F">
      <w:pPr>
        <w:pStyle w:val="BodyText"/>
        <w:keepNext/>
        <w:widowControl/>
        <w:kinsoku w:val="0"/>
        <w:overflowPunct w:val="0"/>
        <w:ind w:left="0"/>
        <w:rPr>
          <w:lang w:val="de-DE"/>
        </w:rPr>
      </w:pPr>
      <w:r>
        <w:rPr>
          <w:u w:val="single"/>
          <w:lang w:val="de-DE"/>
        </w:rPr>
        <w:t>Maligne und lymphoproliferative Erkrankungen</w:t>
      </w:r>
    </w:p>
    <w:p w14:paraId="41678878" w14:textId="77777777" w:rsidR="00FE291A" w:rsidRDefault="00FE291A">
      <w:pPr>
        <w:keepNext/>
        <w:widowControl/>
        <w:kinsoku w:val="0"/>
        <w:overflowPunct w:val="0"/>
        <w:rPr>
          <w:sz w:val="22"/>
          <w:szCs w:val="22"/>
          <w:lang w:val="de-DE"/>
        </w:rPr>
      </w:pPr>
    </w:p>
    <w:p w14:paraId="3BEB3C89" w14:textId="77777777" w:rsidR="00FE291A" w:rsidRDefault="00C8738F">
      <w:pPr>
        <w:pStyle w:val="BodyText"/>
        <w:widowControl/>
        <w:kinsoku w:val="0"/>
        <w:overflowPunct w:val="0"/>
        <w:ind w:left="0"/>
        <w:rPr>
          <w:lang w:val="de-DE"/>
        </w:rPr>
      </w:pPr>
      <w:r>
        <w:rPr>
          <w:lang w:val="de-DE"/>
        </w:rPr>
        <w:t>Innerhalb kontrollierter Phasen von klinischen Studien mit TNF-Antagonisten wurden mehr Fälle von malignen Erkrankungen, einschließlich Lymphome, bei Patienten unter TNF-Antagonisten im Vergleich zu Kontrollpatienten beobachtet. Allerdings war das Auftreten selten. In der Phase nach Markteinführung wurden Fälle von Leukämie bei Patienten, die mit einem TNF-Antagonisten behandelt wurden, berichtet. Die Risikoeinschätzung wird dadurch erschwert, dass bei Patienten mit langjährig bestehender rheumatoider Arthritis und hoch aktiver, entzündlicher Erkrankung ein erhöhtes Grundrisiko für Lymphome und Leukämie besteht. Nach dem derzeitigen Kenntnisstand kann ein mögliches Risiko für die Entwicklung von Lymphomen, Leukämie und anderen malignen Erkrankungen bei Patienten, die mit TNF</w:t>
      </w:r>
      <w:r>
        <w:rPr>
          <w:lang w:val="de-DE"/>
        </w:rPr>
        <w:noBreakHyphen/>
        <w:t>Antagonisten behandelt werden, nicht ausgeschlossen werden.</w:t>
      </w:r>
    </w:p>
    <w:p w14:paraId="4A7E1E8C" w14:textId="77777777" w:rsidR="00FE291A" w:rsidRDefault="00FE291A">
      <w:pPr>
        <w:widowControl/>
        <w:kinsoku w:val="0"/>
        <w:overflowPunct w:val="0"/>
        <w:rPr>
          <w:sz w:val="22"/>
          <w:szCs w:val="22"/>
          <w:lang w:val="de-DE"/>
        </w:rPr>
      </w:pPr>
    </w:p>
    <w:p w14:paraId="6366C556" w14:textId="77777777" w:rsidR="00FE291A" w:rsidRDefault="00C8738F">
      <w:pPr>
        <w:pStyle w:val="BodyText"/>
        <w:widowControl/>
        <w:kinsoku w:val="0"/>
        <w:overflowPunct w:val="0"/>
        <w:ind w:left="0"/>
        <w:rPr>
          <w:lang w:val="de-DE"/>
        </w:rPr>
      </w:pPr>
      <w:r>
        <w:rPr>
          <w:lang w:val="de-DE"/>
        </w:rPr>
        <w:t>Bei Kindern, Jugendlichen und jungen Erwachsenen (bis 22 Jahre), die mit TNF-Antagonisten (einschließlich Adalimumab in der Phase nach der Markteinführung) behandelt wurden (Therapieeinleitung ≤ 18 Jahre), wurden maligne Erkrankungen, von denen einige tödlich waren, berichtet. Annähernd die Hälfte der Fälle waren Lymphome. Die anderen Fälle stellten eine Vielfalt verschiedener maligner Erkrankungen dar und umfassten auch seltene maligne Erkrankungen, die üblicherweise mit Immunsuppression in Verbindung gebracht werden. Bei Kindern und Jugendlichen kann unter der Behandlung mit TNF-Antagonisten ein Risiko für die Entwicklung maligner Erkrankungen nicht ausgeschlossen werden.</w:t>
      </w:r>
    </w:p>
    <w:p w14:paraId="78AD6455" w14:textId="77777777" w:rsidR="00FE291A" w:rsidRDefault="00FE291A">
      <w:pPr>
        <w:widowControl/>
        <w:kinsoku w:val="0"/>
        <w:overflowPunct w:val="0"/>
        <w:rPr>
          <w:sz w:val="22"/>
          <w:szCs w:val="22"/>
          <w:lang w:val="de-DE"/>
        </w:rPr>
      </w:pPr>
    </w:p>
    <w:p w14:paraId="2EEF06E4" w14:textId="77777777" w:rsidR="00FE291A" w:rsidRDefault="00C8738F">
      <w:pPr>
        <w:pStyle w:val="BodyText"/>
        <w:widowControl/>
        <w:kinsoku w:val="0"/>
        <w:overflowPunct w:val="0"/>
        <w:ind w:left="0"/>
        <w:rPr>
          <w:lang w:val="de-DE"/>
        </w:rPr>
      </w:pPr>
      <w:r>
        <w:rPr>
          <w:lang w:val="de-DE"/>
        </w:rPr>
        <w:t>Nach Markteinführung wurden bei Patienten, die mit Adalimumab behandelt wurden, seltene Fälle von hepatosplenalen T-Zell-Lymphomen beobachtet. Diese seltene Form eines T-Zell-Lymphoms hat einen sehr aggressiven Krankheitsverlauf und führt in der Regel zum Tode. Einige der hepatosplenalen T</w:t>
      </w:r>
      <w:r>
        <w:rPr>
          <w:lang w:val="de-DE"/>
        </w:rPr>
        <w:noBreakHyphen/>
        <w:t>Zell</w:t>
      </w:r>
      <w:r>
        <w:rPr>
          <w:lang w:val="de-DE"/>
        </w:rPr>
        <w:noBreakHyphen/>
        <w:t>Lymphome sind bei jungen Erwachsenen aufgetreten, die Adalimumab in Kombination mit Azathioprin oder 6-Mercaptopurin zur Behandlung einer chronisch entzündlichen Darmerkrankung erhielten. Ein mögliches Risiko von AMGEVITA in Kombination mit Azathioprin oder 6</w:t>
      </w:r>
      <w:r>
        <w:rPr>
          <w:lang w:val="de-DE"/>
        </w:rPr>
        <w:noBreakHyphen/>
        <w:t>Mercaptopurin sollte sorgfältig geprüft werden. Es kann nicht ausgeschlossen werden, dass bei Patienten, die mit AMGEVITA behandelt werden, ein Risiko für die Entwicklung eines hepatosplenalen T</w:t>
      </w:r>
      <w:r>
        <w:rPr>
          <w:lang w:val="de-DE"/>
        </w:rPr>
        <w:noBreakHyphen/>
        <w:t>Zell</w:t>
      </w:r>
      <w:r>
        <w:rPr>
          <w:lang w:val="de-DE"/>
        </w:rPr>
        <w:noBreakHyphen/>
        <w:t>Lymphoms besteht (siehe Abschnitt 4.8).</w:t>
      </w:r>
    </w:p>
    <w:p w14:paraId="22E835F7" w14:textId="77777777" w:rsidR="00FE291A" w:rsidRDefault="00FE291A">
      <w:pPr>
        <w:widowControl/>
        <w:kinsoku w:val="0"/>
        <w:overflowPunct w:val="0"/>
        <w:rPr>
          <w:sz w:val="22"/>
          <w:szCs w:val="22"/>
          <w:lang w:val="de-DE"/>
        </w:rPr>
      </w:pPr>
    </w:p>
    <w:p w14:paraId="416B161A" w14:textId="77777777" w:rsidR="00FE291A" w:rsidRDefault="00C8738F">
      <w:pPr>
        <w:pStyle w:val="BodyText"/>
        <w:widowControl/>
        <w:kinsoku w:val="0"/>
        <w:overflowPunct w:val="0"/>
        <w:ind w:left="0"/>
        <w:rPr>
          <w:lang w:val="de-DE"/>
        </w:rPr>
      </w:pPr>
      <w:r>
        <w:rPr>
          <w:lang w:val="de-DE"/>
        </w:rPr>
        <w:t>Es wurden keine Studien durchgeführt, in die Patienten mit einer malignen Erkrankung in der Vorgeschichte eingeschlossen wurden oder in denen die Behandlung mit Adalimumab bei Patienten fortgesetzt wurde, nachdem sich eine maligne Erkrankung entwickelte. Daher sollte zusätzliche Vorsicht bei der Behandlung dieser Patienten mit AMGEVITA angewandt werden (siehe Abschnitt 4.8).</w:t>
      </w:r>
    </w:p>
    <w:p w14:paraId="443BC753" w14:textId="77777777" w:rsidR="00FE291A" w:rsidRDefault="00FE291A">
      <w:pPr>
        <w:widowControl/>
        <w:kinsoku w:val="0"/>
        <w:overflowPunct w:val="0"/>
        <w:rPr>
          <w:sz w:val="22"/>
          <w:szCs w:val="22"/>
          <w:lang w:val="de-DE"/>
        </w:rPr>
      </w:pPr>
    </w:p>
    <w:p w14:paraId="445A99DD" w14:textId="77777777" w:rsidR="00FE291A" w:rsidRDefault="00C8738F">
      <w:pPr>
        <w:pStyle w:val="BodyText"/>
        <w:widowControl/>
        <w:kinsoku w:val="0"/>
        <w:overflowPunct w:val="0"/>
        <w:ind w:left="0"/>
        <w:rPr>
          <w:lang w:val="de-DE"/>
        </w:rPr>
      </w:pPr>
      <w:r>
        <w:rPr>
          <w:lang w:val="de-DE"/>
        </w:rPr>
        <w:t>Alle Patienten, insbesondere Patienten mit einer intensiven immunsuppressiven Therapie in der Vorgeschichte oder Psoriasispatienten, die zuvor eine PUVA-Therapie erhalten haben, sollten vor und während der Behandlung mit AMGEVITA auf das Vorliegen von nicht melanomartigen Hauttumoren untersucht werden. Ebenso wurde das Auftreten von Melanomen und Merkelzellkarzinomen bei Patienten, die mit TNF-Antagonisten, einschließlich Adalimumab, behandelt wurden, berichtet (siehe Abschnitt 4.8).</w:t>
      </w:r>
    </w:p>
    <w:p w14:paraId="62CD7D8A" w14:textId="77777777" w:rsidR="00FE291A" w:rsidRDefault="00FE291A">
      <w:pPr>
        <w:widowControl/>
        <w:kinsoku w:val="0"/>
        <w:overflowPunct w:val="0"/>
        <w:rPr>
          <w:sz w:val="22"/>
          <w:szCs w:val="22"/>
          <w:lang w:val="de-DE"/>
        </w:rPr>
      </w:pPr>
    </w:p>
    <w:p w14:paraId="0055F133" w14:textId="77777777" w:rsidR="00FE291A" w:rsidRDefault="00C8738F">
      <w:pPr>
        <w:pStyle w:val="BodyText"/>
        <w:widowControl/>
        <w:kinsoku w:val="0"/>
        <w:overflowPunct w:val="0"/>
        <w:ind w:left="0"/>
        <w:rPr>
          <w:lang w:val="de-DE"/>
        </w:rPr>
      </w:pPr>
      <w:r>
        <w:rPr>
          <w:lang w:val="de-DE"/>
        </w:rPr>
        <w:t>In einer exploratorischen klinischen Studie zur Evaluierung der Anwendung eines anderen TNF</w:t>
      </w:r>
      <w:r>
        <w:rPr>
          <w:lang w:val="de-DE"/>
        </w:rPr>
        <w:noBreakHyphen/>
        <w:t>Antagonisten, Infliximab, bei Patienten mit mäßiger bis schwerer chronischer obstruktiver Lungenerkrankung (COPD) wurden bei mit Infliximab behandelten Patienten im Vergleich zu Kontrollpatienten mehr maligne Erkrankungen, meistens der Lunge oder des Kopfes und Halses, berichtet. Alle Patienten waren in der Vorgeschichte starke Raucher. Daher müssen TNF-Antagonisten bei COPD-Patienten mit Vorsicht angewendet werden, ebenso bei Patienten mit erhöhtem Risiko für maligne Erkrankungen als Folge starken Rauchens.</w:t>
      </w:r>
    </w:p>
    <w:p w14:paraId="7C12F1BD" w14:textId="77777777" w:rsidR="00FE291A" w:rsidRDefault="00FE291A">
      <w:pPr>
        <w:widowControl/>
        <w:kinsoku w:val="0"/>
        <w:overflowPunct w:val="0"/>
        <w:rPr>
          <w:sz w:val="22"/>
          <w:szCs w:val="22"/>
          <w:lang w:val="de-DE"/>
        </w:rPr>
      </w:pPr>
    </w:p>
    <w:p w14:paraId="7DD0D30C" w14:textId="77777777" w:rsidR="00FE291A" w:rsidRDefault="00C8738F">
      <w:pPr>
        <w:pStyle w:val="BodyText"/>
        <w:widowControl/>
        <w:kinsoku w:val="0"/>
        <w:overflowPunct w:val="0"/>
        <w:ind w:left="0"/>
        <w:rPr>
          <w:lang w:val="de-DE"/>
        </w:rPr>
      </w:pPr>
      <w:r>
        <w:rPr>
          <w:lang w:val="de-DE"/>
        </w:rPr>
        <w:t>Nach der aktuellen Datenlage ist nicht bekannt, ob eine Adalimumab-Behandlung das Risiko für die Entwicklung von Dysplasien oder kolorektalen Karzinomen beeinflusst. Alle Patienten mit Colitis ulcerosa, die ein erhöhtes Risiko für Dysplasien oder kolorektales Karzinom haben (z. B. Patienten mit lange bestehender Colitis ulcerosa oder primär sklerosierender Cholangitis), oder die eine Vorgeschichte für Dysplasie oder kolorektales Karzinom hatten, sollten vor der Therapie und während des Krankheitsverlaufs in regelmäßigen Intervallen auf Dysplasien untersucht werden. Die Untersuchung sollte Koloskopie und Biopsien entsprechend der nationalen Empfehlungen umfassen.</w:t>
      </w:r>
    </w:p>
    <w:p w14:paraId="4F3D7775" w14:textId="77777777" w:rsidR="00FE291A" w:rsidRDefault="00FE291A">
      <w:pPr>
        <w:widowControl/>
        <w:kinsoku w:val="0"/>
        <w:overflowPunct w:val="0"/>
        <w:rPr>
          <w:sz w:val="22"/>
          <w:szCs w:val="22"/>
          <w:lang w:val="de-DE"/>
        </w:rPr>
      </w:pPr>
    </w:p>
    <w:p w14:paraId="041CA657" w14:textId="77777777" w:rsidR="00FE291A" w:rsidRDefault="00C8738F">
      <w:pPr>
        <w:pStyle w:val="BodyText"/>
        <w:keepNext/>
        <w:widowControl/>
        <w:kinsoku w:val="0"/>
        <w:overflowPunct w:val="0"/>
        <w:ind w:left="0"/>
        <w:rPr>
          <w:lang w:val="de-DE"/>
        </w:rPr>
      </w:pPr>
      <w:r>
        <w:rPr>
          <w:u w:val="single"/>
          <w:lang w:val="de-DE"/>
        </w:rPr>
        <w:t>Hämatologische Reaktionen</w:t>
      </w:r>
    </w:p>
    <w:p w14:paraId="5A25FB1F" w14:textId="77777777" w:rsidR="00FE291A" w:rsidRDefault="00FE291A">
      <w:pPr>
        <w:keepNext/>
        <w:widowControl/>
        <w:kinsoku w:val="0"/>
        <w:overflowPunct w:val="0"/>
        <w:rPr>
          <w:sz w:val="22"/>
          <w:szCs w:val="22"/>
          <w:lang w:val="de-DE"/>
        </w:rPr>
      </w:pPr>
    </w:p>
    <w:p w14:paraId="7E1FB1D8" w14:textId="77777777" w:rsidR="00FE291A" w:rsidRDefault="00C8738F">
      <w:pPr>
        <w:pStyle w:val="BodyText"/>
        <w:widowControl/>
        <w:kinsoku w:val="0"/>
        <w:overflowPunct w:val="0"/>
        <w:ind w:left="0"/>
        <w:rPr>
          <w:lang w:val="de-DE"/>
        </w:rPr>
      </w:pPr>
      <w:r>
        <w:rPr>
          <w:lang w:val="de-DE"/>
        </w:rPr>
        <w:t>Im Zusammenhang mit TNF-Antagonisten wurde in seltenen Fällen über das Auftreten von Panzytopenie, einschließlich aplastischer Anämie, berichtet. Unerwünschte Ereignisse des blutbildenden Systems, einschließlich medizinisch signifikanter Zytopenie (z. B. Thrombozytopenie, Leukopenie), wurden unter Adalimumab berichtet. Alle Patienten sollten darauf hingewiesen werden, dass sie sofort einen Arzt aufsuchen sollten, wenn sie unter der AMGEVITA-Therapie Anzeichen und Symptome entwickeln, die auf eine Blutdyskrasie hindeuten (z. B. anhaltendes Fieber, Blutergüsse, Blutung, Blässe). Bei Patienten mit bestätigten signifikanten hämatologischen Abnormalitäten sollte eine Unterbrechung der AMGEVITA-Therapie in Betracht gezogen werden.</w:t>
      </w:r>
    </w:p>
    <w:p w14:paraId="20F6A6A7" w14:textId="77777777" w:rsidR="00FE291A" w:rsidRDefault="00FE291A">
      <w:pPr>
        <w:widowControl/>
        <w:kinsoku w:val="0"/>
        <w:overflowPunct w:val="0"/>
        <w:rPr>
          <w:sz w:val="22"/>
          <w:szCs w:val="22"/>
          <w:lang w:val="de-DE"/>
        </w:rPr>
      </w:pPr>
    </w:p>
    <w:p w14:paraId="31641FD2" w14:textId="77777777" w:rsidR="00FE291A" w:rsidRDefault="00C8738F">
      <w:pPr>
        <w:pStyle w:val="BodyText"/>
        <w:keepNext/>
        <w:widowControl/>
        <w:kinsoku w:val="0"/>
        <w:overflowPunct w:val="0"/>
        <w:ind w:left="0"/>
        <w:rPr>
          <w:lang w:val="de-DE"/>
        </w:rPr>
      </w:pPr>
      <w:r>
        <w:rPr>
          <w:u w:val="single"/>
          <w:lang w:val="de-DE"/>
        </w:rPr>
        <w:t>Impfungen</w:t>
      </w:r>
    </w:p>
    <w:p w14:paraId="69259C3E" w14:textId="77777777" w:rsidR="00FE291A" w:rsidRDefault="00FE291A">
      <w:pPr>
        <w:keepNext/>
        <w:widowControl/>
        <w:kinsoku w:val="0"/>
        <w:overflowPunct w:val="0"/>
        <w:rPr>
          <w:sz w:val="22"/>
          <w:szCs w:val="22"/>
          <w:lang w:val="de-DE"/>
        </w:rPr>
      </w:pPr>
    </w:p>
    <w:p w14:paraId="62E7F85F" w14:textId="77777777" w:rsidR="00FE291A" w:rsidRDefault="00C8738F">
      <w:pPr>
        <w:pStyle w:val="BodyText"/>
        <w:widowControl/>
        <w:kinsoku w:val="0"/>
        <w:overflowPunct w:val="0"/>
        <w:ind w:left="0"/>
        <w:rPr>
          <w:lang w:val="de-DE"/>
        </w:rPr>
      </w:pPr>
      <w:r>
        <w:rPr>
          <w:lang w:val="de-DE"/>
        </w:rPr>
        <w:t>Vergleichbare Antikörperantworten auf einen 23-valenten Standardpneumokokkenimpfstoff und einen trivalenten Influenzaimpfstoff wurden in einer Studie bei 226 Erwachsenen mit rheumatoider Arthritis, die mit Adalimumab oder Placebo behandelt wurden, beobachtet. Es liegen keine Daten vor über eine sekundäre Infektionsübertragung durch Lebendimpfstoffe bei Patienten, die Adalimumab erhielten.</w:t>
      </w:r>
    </w:p>
    <w:p w14:paraId="78304C65" w14:textId="77777777" w:rsidR="00FE291A" w:rsidRDefault="00FE291A">
      <w:pPr>
        <w:widowControl/>
        <w:kinsoku w:val="0"/>
        <w:overflowPunct w:val="0"/>
        <w:rPr>
          <w:sz w:val="22"/>
          <w:szCs w:val="22"/>
          <w:lang w:val="de-DE"/>
        </w:rPr>
      </w:pPr>
    </w:p>
    <w:p w14:paraId="6FEFB081" w14:textId="77777777" w:rsidR="00FE291A" w:rsidRDefault="00C8738F">
      <w:pPr>
        <w:pStyle w:val="BodyText"/>
        <w:widowControl/>
        <w:kinsoku w:val="0"/>
        <w:overflowPunct w:val="0"/>
        <w:ind w:left="0"/>
        <w:rPr>
          <w:lang w:val="de-DE"/>
        </w:rPr>
      </w:pPr>
      <w:r>
        <w:rPr>
          <w:lang w:val="de-DE"/>
        </w:rPr>
        <w:t>Bei Kindern und Jugendlichen wird empfohlen, nach Möglichkeit vor Therapiebeginn mit AMGEVITA alle Immunisierungen in Übereinstimmung mit den gegenwärtigen Richtlinien auf den aktuellen Stand zu bringen.</w:t>
      </w:r>
    </w:p>
    <w:p w14:paraId="595341C4" w14:textId="77777777" w:rsidR="00FE291A" w:rsidRDefault="00FE291A">
      <w:pPr>
        <w:widowControl/>
        <w:kinsoku w:val="0"/>
        <w:overflowPunct w:val="0"/>
        <w:rPr>
          <w:sz w:val="22"/>
          <w:szCs w:val="22"/>
          <w:lang w:val="de-DE"/>
        </w:rPr>
      </w:pPr>
    </w:p>
    <w:p w14:paraId="6A0EF49C" w14:textId="77777777" w:rsidR="00FE291A" w:rsidRDefault="00C8738F">
      <w:pPr>
        <w:pStyle w:val="BodyText"/>
        <w:widowControl/>
        <w:kinsoku w:val="0"/>
        <w:overflowPunct w:val="0"/>
        <w:ind w:left="0"/>
        <w:rPr>
          <w:lang w:val="de-DE"/>
        </w:rPr>
      </w:pPr>
      <w:r>
        <w:rPr>
          <w:lang w:val="de-DE"/>
        </w:rPr>
        <w:t xml:space="preserve">Patienten können gleichzeitig zur AMGEVITA-Therapie Impfungen erhalten, mit Ausnahme von Lebendimpfstoffen. Es wird empfohlen, Säuglinge, die </w:t>
      </w:r>
      <w:r>
        <w:rPr>
          <w:i/>
          <w:iCs/>
          <w:lang w:val="de-DE"/>
        </w:rPr>
        <w:t xml:space="preserve">in utero </w:t>
      </w:r>
      <w:r>
        <w:rPr>
          <w:lang w:val="de-DE"/>
        </w:rPr>
        <w:t>AMGEVITA ausgesetzt waren, nicht vor Ablauf von 5 Monaten nach der letzten Gabe von AMGEVITA bei der Mutter während der Schwangerschaft mit Lebendimpfstoffen (z. B. BCG-Vakzine) zu impfen.</w:t>
      </w:r>
    </w:p>
    <w:p w14:paraId="5ACB00E7" w14:textId="77777777" w:rsidR="00FE291A" w:rsidRDefault="00FE291A">
      <w:pPr>
        <w:keepNext/>
        <w:widowControl/>
        <w:kinsoku w:val="0"/>
        <w:overflowPunct w:val="0"/>
        <w:rPr>
          <w:sz w:val="22"/>
          <w:szCs w:val="22"/>
          <w:lang w:val="de-DE"/>
        </w:rPr>
      </w:pPr>
    </w:p>
    <w:p w14:paraId="38EE7DE7" w14:textId="77777777" w:rsidR="00FE291A" w:rsidRDefault="00C8738F">
      <w:pPr>
        <w:pStyle w:val="BodyText"/>
        <w:keepNext/>
        <w:widowControl/>
        <w:kinsoku w:val="0"/>
        <w:overflowPunct w:val="0"/>
        <w:ind w:left="0"/>
        <w:rPr>
          <w:lang w:val="de-DE"/>
        </w:rPr>
      </w:pPr>
      <w:r>
        <w:rPr>
          <w:u w:val="single"/>
          <w:lang w:val="de-DE"/>
        </w:rPr>
        <w:t>Dekompensierte Herzinsuffizienz</w:t>
      </w:r>
    </w:p>
    <w:p w14:paraId="3060D48C" w14:textId="77777777" w:rsidR="00FE291A" w:rsidRDefault="00FE291A">
      <w:pPr>
        <w:keepNext/>
        <w:widowControl/>
        <w:kinsoku w:val="0"/>
        <w:overflowPunct w:val="0"/>
        <w:rPr>
          <w:sz w:val="22"/>
          <w:szCs w:val="22"/>
          <w:lang w:val="de-DE"/>
        </w:rPr>
      </w:pPr>
    </w:p>
    <w:p w14:paraId="0DC6B93B" w14:textId="77777777" w:rsidR="00FE291A" w:rsidRDefault="00C8738F">
      <w:pPr>
        <w:pStyle w:val="BodyText"/>
        <w:widowControl/>
        <w:kinsoku w:val="0"/>
        <w:overflowPunct w:val="0"/>
        <w:ind w:left="0"/>
        <w:rPr>
          <w:lang w:val="de-DE"/>
        </w:rPr>
      </w:pPr>
      <w:r>
        <w:rPr>
          <w:lang w:val="de-DE"/>
        </w:rPr>
        <w:t>In einer klinischen Studie mit einem anderen TNF-Antagonisten wurden eine Verschlechterung einer dekompensierten Herzinsuffizienz sowie eine Erhöhung der damit einhergehenden Mortalität beobachtet. Bei mit Adalimumab behandelten Patienten wurden ebenfalls Fälle einer Verschlechterung einer dekompensierten Herzinsuffizienz berichtet. AMGEVITA sollte bei Patienten mit leichter Herzinsuffizienz (NYHA-Klasse I/II) mit Vorsicht eingesetzt werden. AMGEVITA darf nicht bei mäßiger bis schwerer Herzinsuffizienz angewendet werden (siehe Abschnitt 4.3). Die Behandlung mit AMGEVITA muss bei Patienten, die neue oder sich verschlechternde Symptome einer dekompensierten Herzinsuffizienz entwickeln, abgesetzt werden.</w:t>
      </w:r>
    </w:p>
    <w:p w14:paraId="1BBCD305" w14:textId="77777777" w:rsidR="00FE291A" w:rsidRDefault="00FE291A">
      <w:pPr>
        <w:widowControl/>
        <w:kinsoku w:val="0"/>
        <w:overflowPunct w:val="0"/>
        <w:rPr>
          <w:sz w:val="22"/>
          <w:szCs w:val="22"/>
          <w:lang w:val="de-DE"/>
        </w:rPr>
      </w:pPr>
    </w:p>
    <w:p w14:paraId="35F81E57" w14:textId="77777777" w:rsidR="00FE291A" w:rsidRDefault="00C8738F">
      <w:pPr>
        <w:pStyle w:val="BodyText"/>
        <w:keepNext/>
        <w:widowControl/>
        <w:kinsoku w:val="0"/>
        <w:overflowPunct w:val="0"/>
        <w:ind w:left="0"/>
        <w:rPr>
          <w:lang w:val="de-DE"/>
        </w:rPr>
      </w:pPr>
      <w:r>
        <w:rPr>
          <w:u w:val="single"/>
          <w:lang w:val="de-DE"/>
        </w:rPr>
        <w:t>Autoimmunprozesse</w:t>
      </w:r>
    </w:p>
    <w:p w14:paraId="0AB0B9F0" w14:textId="77777777" w:rsidR="00FE291A" w:rsidRDefault="00FE291A">
      <w:pPr>
        <w:keepNext/>
        <w:widowControl/>
        <w:kinsoku w:val="0"/>
        <w:overflowPunct w:val="0"/>
        <w:rPr>
          <w:sz w:val="22"/>
          <w:szCs w:val="22"/>
          <w:lang w:val="de-DE"/>
        </w:rPr>
      </w:pPr>
    </w:p>
    <w:p w14:paraId="38D9E6DB" w14:textId="77777777" w:rsidR="00FE291A" w:rsidRDefault="00C8738F">
      <w:pPr>
        <w:pStyle w:val="BodyText"/>
        <w:widowControl/>
        <w:kinsoku w:val="0"/>
        <w:overflowPunct w:val="0"/>
        <w:ind w:left="0"/>
        <w:rPr>
          <w:lang w:val="de-DE"/>
        </w:rPr>
      </w:pPr>
      <w:r>
        <w:rPr>
          <w:lang w:val="de-DE"/>
        </w:rPr>
        <w:t>Die Behandlung mit AMGEVITA kann zur Bildung von Autoantikörpern führen. Der Einfluss einer Langzeitbehandlung mit AMGEVITA auf die Entwicklung von Autoimmunerkrankungen ist nicht bekannt. Entwickelt ein Patient nach der Behandlung mit AMGEVITA Symptome, die auf ein lupusähnliches Syndrom hindeuten und wird positiv auf Antikörper gegen doppelsträngige DNA getestet, darf die Behandlung mit AMGEVITA nicht weitergeführt werden (siehe Abschnitt 4.8).</w:t>
      </w:r>
    </w:p>
    <w:p w14:paraId="1A7A4204" w14:textId="77777777" w:rsidR="00FE291A" w:rsidRDefault="00FE291A">
      <w:pPr>
        <w:widowControl/>
        <w:kinsoku w:val="0"/>
        <w:overflowPunct w:val="0"/>
        <w:rPr>
          <w:sz w:val="22"/>
          <w:szCs w:val="22"/>
          <w:lang w:val="de-DE"/>
        </w:rPr>
      </w:pPr>
    </w:p>
    <w:p w14:paraId="5F4360DA" w14:textId="77777777" w:rsidR="00FE291A" w:rsidRDefault="00C8738F">
      <w:pPr>
        <w:pStyle w:val="BodyText"/>
        <w:keepNext/>
        <w:keepLines/>
        <w:widowControl/>
        <w:kinsoku w:val="0"/>
        <w:overflowPunct w:val="0"/>
        <w:ind w:left="0"/>
        <w:rPr>
          <w:lang w:val="de-DE"/>
        </w:rPr>
      </w:pPr>
      <w:r>
        <w:rPr>
          <w:u w:val="single"/>
          <w:lang w:val="de-DE"/>
        </w:rPr>
        <w:t>Gleichzeitige Anwendung von biologischen DMARDs oder TNF-Antagonisten</w:t>
      </w:r>
    </w:p>
    <w:p w14:paraId="36E77D63" w14:textId="77777777" w:rsidR="00FE291A" w:rsidRDefault="00FE291A">
      <w:pPr>
        <w:keepNext/>
        <w:keepLines/>
        <w:widowControl/>
        <w:kinsoku w:val="0"/>
        <w:overflowPunct w:val="0"/>
        <w:rPr>
          <w:sz w:val="22"/>
          <w:szCs w:val="22"/>
          <w:lang w:val="de-DE"/>
        </w:rPr>
      </w:pPr>
    </w:p>
    <w:p w14:paraId="69C211E9" w14:textId="77777777" w:rsidR="00FE291A" w:rsidRDefault="00C8738F">
      <w:pPr>
        <w:pStyle w:val="BodyText"/>
        <w:widowControl/>
        <w:kinsoku w:val="0"/>
        <w:overflowPunct w:val="0"/>
        <w:ind w:left="0"/>
        <w:rPr>
          <w:lang w:val="de-DE"/>
        </w:rPr>
      </w:pPr>
      <w:r>
        <w:rPr>
          <w:lang w:val="de-DE"/>
        </w:rPr>
        <w:t>In klinischen Studien wurden bei gleichzeitiger Anwendung von Anakinra und einem anderen TNF</w:t>
      </w:r>
      <w:r>
        <w:rPr>
          <w:lang w:val="de-DE"/>
        </w:rPr>
        <w:noBreakHyphen/>
        <w:t>Antagonisten, Etanercept, schwere Infektionen beobachtet, während die Kombinationstherapie im Vergleich zur Etanercept-Monotherapie keinen zusätzlichen klinischen Nutzen aufwies. Aufgrund der Art der unerwünschten Ereignisse, die unter der Kombinationstherapie mit Etanercept und Anakinra beobachtet wurden, könnten ähnliche Toxizitäten auch aus der Kombination von Anakinra und anderen TNF-Antagonisten resultieren. Daher wird die Kombination von AMGEVITA und Anakinra nicht empfohlen (siehe Abschnitt 4.5).</w:t>
      </w:r>
    </w:p>
    <w:p w14:paraId="5535F468" w14:textId="77777777" w:rsidR="00FE291A" w:rsidRDefault="00FE291A">
      <w:pPr>
        <w:widowControl/>
        <w:kinsoku w:val="0"/>
        <w:overflowPunct w:val="0"/>
        <w:rPr>
          <w:sz w:val="22"/>
          <w:szCs w:val="22"/>
          <w:lang w:val="de-DE"/>
        </w:rPr>
      </w:pPr>
    </w:p>
    <w:p w14:paraId="11EE0EAE" w14:textId="77777777" w:rsidR="00FE291A" w:rsidRDefault="00C8738F">
      <w:pPr>
        <w:pStyle w:val="BodyText"/>
        <w:widowControl/>
        <w:kinsoku w:val="0"/>
        <w:overflowPunct w:val="0"/>
        <w:ind w:left="0"/>
        <w:rPr>
          <w:lang w:val="de-DE"/>
        </w:rPr>
      </w:pPr>
      <w:r>
        <w:rPr>
          <w:lang w:val="de-DE"/>
        </w:rPr>
        <w:t>Die gleichzeitige Anwendung von AMGEVITA mit anderen biologischen DMARDs (z. B. Anakinra und Abatacept) oder anderen TNF-Antagonisten wird aufgrund des möglichen erhöhten Infektionsrisikos, einschließlich schwerwiegender Infektionen und anderer möglicher pharmakologischer Interaktionen, nicht empfohlen (siehe Abschnitt 4.5).</w:t>
      </w:r>
    </w:p>
    <w:p w14:paraId="74B5D4F7" w14:textId="77777777" w:rsidR="00FE291A" w:rsidRDefault="00FE291A">
      <w:pPr>
        <w:widowControl/>
        <w:kinsoku w:val="0"/>
        <w:overflowPunct w:val="0"/>
        <w:rPr>
          <w:sz w:val="22"/>
          <w:szCs w:val="22"/>
          <w:lang w:val="de-DE"/>
        </w:rPr>
      </w:pPr>
    </w:p>
    <w:p w14:paraId="7EB80AED" w14:textId="77777777" w:rsidR="00FE291A" w:rsidRDefault="00C8738F">
      <w:pPr>
        <w:pStyle w:val="BodyText"/>
        <w:keepNext/>
        <w:widowControl/>
        <w:kinsoku w:val="0"/>
        <w:overflowPunct w:val="0"/>
        <w:ind w:left="0"/>
        <w:rPr>
          <w:lang w:val="de-DE"/>
        </w:rPr>
      </w:pPr>
      <w:r>
        <w:rPr>
          <w:u w:val="single"/>
          <w:lang w:val="de-DE"/>
        </w:rPr>
        <w:t>Operationen</w:t>
      </w:r>
    </w:p>
    <w:p w14:paraId="75882865" w14:textId="77777777" w:rsidR="00FE291A" w:rsidRDefault="00FE291A">
      <w:pPr>
        <w:keepNext/>
        <w:widowControl/>
        <w:kinsoku w:val="0"/>
        <w:overflowPunct w:val="0"/>
        <w:rPr>
          <w:sz w:val="22"/>
          <w:szCs w:val="22"/>
          <w:lang w:val="de-DE"/>
        </w:rPr>
      </w:pPr>
    </w:p>
    <w:p w14:paraId="0382A61A" w14:textId="77777777" w:rsidR="00FE291A" w:rsidRDefault="00C8738F">
      <w:pPr>
        <w:pStyle w:val="BodyText"/>
        <w:widowControl/>
        <w:kinsoku w:val="0"/>
        <w:overflowPunct w:val="0"/>
        <w:ind w:left="0"/>
        <w:rPr>
          <w:lang w:val="de-DE"/>
        </w:rPr>
      </w:pPr>
      <w:r>
        <w:rPr>
          <w:lang w:val="de-DE"/>
        </w:rPr>
        <w:t>Es liegen begrenzte Erfahrungen hinsichtlich der Sicherheit von Adalimumab im Rahmen von operativen Eingriffen vor. Bei der Planung von operativen Eingriffen sollte die lange Halbwertszeit von Adalimumab berücksichtigt werden. Patienten, die während der Therapie mit AMGEVITA operiert werden, sollten im Hinblick auf Infektionen engmaschig überwacht und geeignete Maßnahmen ergriffen werden. Es liegen begrenzte Erfahrungen hinsichtlich der Sicherheit von Adalimumab im Rahmen von Gelenkersatzoperationen vor.</w:t>
      </w:r>
    </w:p>
    <w:p w14:paraId="462AED37" w14:textId="77777777" w:rsidR="00FE291A" w:rsidRDefault="00FE291A">
      <w:pPr>
        <w:widowControl/>
        <w:kinsoku w:val="0"/>
        <w:overflowPunct w:val="0"/>
        <w:rPr>
          <w:sz w:val="22"/>
          <w:szCs w:val="22"/>
          <w:lang w:val="de-DE"/>
        </w:rPr>
      </w:pPr>
    </w:p>
    <w:p w14:paraId="77DB328A" w14:textId="77777777" w:rsidR="00FE291A" w:rsidRDefault="00C8738F">
      <w:pPr>
        <w:pStyle w:val="BodyText"/>
        <w:keepNext/>
        <w:widowControl/>
        <w:kinsoku w:val="0"/>
        <w:overflowPunct w:val="0"/>
        <w:ind w:left="0"/>
        <w:rPr>
          <w:lang w:val="de-DE"/>
        </w:rPr>
      </w:pPr>
      <w:r>
        <w:rPr>
          <w:u w:val="single"/>
          <w:lang w:val="de-DE"/>
        </w:rPr>
        <w:t>Dünndarmstenose</w:t>
      </w:r>
    </w:p>
    <w:p w14:paraId="2F2ED6FD" w14:textId="77777777" w:rsidR="00FE291A" w:rsidRDefault="00FE291A">
      <w:pPr>
        <w:keepNext/>
        <w:widowControl/>
        <w:kinsoku w:val="0"/>
        <w:overflowPunct w:val="0"/>
        <w:rPr>
          <w:sz w:val="22"/>
          <w:szCs w:val="22"/>
          <w:lang w:val="de-DE"/>
        </w:rPr>
      </w:pPr>
    </w:p>
    <w:p w14:paraId="32FA6F51" w14:textId="77777777" w:rsidR="00FE291A" w:rsidRDefault="00C8738F">
      <w:pPr>
        <w:pStyle w:val="BodyText"/>
        <w:widowControl/>
        <w:kinsoku w:val="0"/>
        <w:overflowPunct w:val="0"/>
        <w:ind w:left="0"/>
        <w:rPr>
          <w:lang w:val="de-DE"/>
        </w:rPr>
      </w:pPr>
      <w:r>
        <w:rPr>
          <w:lang w:val="de-DE"/>
        </w:rPr>
        <w:t>Ein unzureichendes Ansprechen auf die Behandlung bei Morbus Crohn kann ein Hinweis für eine fibrotische Stenose sein, die gegebenenfalls chirurgisch behandelt werden sollte. Nach den verfügbaren Daten scheint Adalimumab eine Stenose weder zu verschlimmern noch zu verursachen.</w:t>
      </w:r>
    </w:p>
    <w:p w14:paraId="4C8D543C" w14:textId="77777777" w:rsidR="00FE291A" w:rsidRDefault="00FE291A">
      <w:pPr>
        <w:widowControl/>
        <w:kinsoku w:val="0"/>
        <w:overflowPunct w:val="0"/>
        <w:rPr>
          <w:sz w:val="22"/>
          <w:szCs w:val="22"/>
          <w:lang w:val="de-DE"/>
        </w:rPr>
      </w:pPr>
    </w:p>
    <w:p w14:paraId="64E56B85" w14:textId="77777777" w:rsidR="00FE291A" w:rsidRDefault="00C8738F">
      <w:pPr>
        <w:pStyle w:val="BodyText"/>
        <w:keepNext/>
        <w:widowControl/>
        <w:kinsoku w:val="0"/>
        <w:overflowPunct w:val="0"/>
        <w:ind w:left="0"/>
        <w:rPr>
          <w:lang w:val="de-DE"/>
        </w:rPr>
      </w:pPr>
      <w:r>
        <w:rPr>
          <w:u w:val="single"/>
          <w:lang w:val="de-DE"/>
        </w:rPr>
        <w:t>Ältere Patienten</w:t>
      </w:r>
    </w:p>
    <w:p w14:paraId="505AB278" w14:textId="77777777" w:rsidR="00FE291A" w:rsidRDefault="00FE291A">
      <w:pPr>
        <w:keepNext/>
        <w:widowControl/>
        <w:kinsoku w:val="0"/>
        <w:overflowPunct w:val="0"/>
        <w:rPr>
          <w:sz w:val="22"/>
          <w:szCs w:val="22"/>
          <w:lang w:val="de-DE"/>
        </w:rPr>
      </w:pPr>
    </w:p>
    <w:p w14:paraId="427D87AD" w14:textId="77777777" w:rsidR="00FE291A" w:rsidRDefault="00C8738F">
      <w:pPr>
        <w:pStyle w:val="BodyText"/>
        <w:widowControl/>
        <w:kinsoku w:val="0"/>
        <w:overflowPunct w:val="0"/>
        <w:ind w:left="0"/>
        <w:rPr>
          <w:lang w:val="de-DE"/>
        </w:rPr>
      </w:pPr>
      <w:r>
        <w:rPr>
          <w:lang w:val="de-DE"/>
        </w:rPr>
        <w:t>Die Häufigkeit von schweren Infektionen war bei mit Adalimumab behandelten Patienten über 65 Jahren höher (3,7 %) als bei solchen unter 65 Jahren (1,5 %). Einige nahmen einen tödlichen Verlauf. Bei der Behandlung älterer Patienten sollte auf das Risiko von Infektionen besonders geachtet werden.</w:t>
      </w:r>
    </w:p>
    <w:p w14:paraId="64CAC8C5" w14:textId="77777777" w:rsidR="00FE291A" w:rsidRDefault="00FE291A">
      <w:pPr>
        <w:widowControl/>
        <w:kinsoku w:val="0"/>
        <w:overflowPunct w:val="0"/>
        <w:rPr>
          <w:sz w:val="22"/>
          <w:szCs w:val="22"/>
          <w:lang w:val="de-DE"/>
        </w:rPr>
      </w:pPr>
    </w:p>
    <w:p w14:paraId="52850E00" w14:textId="77777777" w:rsidR="00FE291A" w:rsidRDefault="00C8738F">
      <w:pPr>
        <w:pStyle w:val="BodyText"/>
        <w:keepNext/>
        <w:widowControl/>
        <w:kinsoku w:val="0"/>
        <w:overflowPunct w:val="0"/>
        <w:ind w:left="0"/>
        <w:rPr>
          <w:lang w:val="de-DE"/>
        </w:rPr>
      </w:pPr>
      <w:r>
        <w:rPr>
          <w:u w:val="single"/>
          <w:lang w:val="de-DE"/>
        </w:rPr>
        <w:t>Kinder und Jugendliche</w:t>
      </w:r>
    </w:p>
    <w:p w14:paraId="5576E712" w14:textId="77777777" w:rsidR="00FE291A" w:rsidRDefault="00FE291A">
      <w:pPr>
        <w:widowControl/>
        <w:kinsoku w:val="0"/>
        <w:overflowPunct w:val="0"/>
        <w:rPr>
          <w:sz w:val="22"/>
          <w:szCs w:val="22"/>
          <w:lang w:val="de-DE"/>
        </w:rPr>
      </w:pPr>
    </w:p>
    <w:p w14:paraId="4D8B8BE8" w14:textId="77777777" w:rsidR="00FE291A" w:rsidRDefault="00C8738F">
      <w:pPr>
        <w:pStyle w:val="BodyText"/>
        <w:widowControl/>
        <w:kinsoku w:val="0"/>
        <w:overflowPunct w:val="0"/>
        <w:ind w:left="0"/>
        <w:rPr>
          <w:lang w:val="de-DE"/>
        </w:rPr>
      </w:pPr>
      <w:r>
        <w:rPr>
          <w:lang w:val="de-DE"/>
        </w:rPr>
        <w:t>Zu Impfungen siehe oben.</w:t>
      </w:r>
    </w:p>
    <w:p w14:paraId="7D833279" w14:textId="77777777" w:rsidR="00FE291A" w:rsidRDefault="00FE291A">
      <w:pPr>
        <w:pStyle w:val="BodyText"/>
        <w:widowControl/>
        <w:kinsoku w:val="0"/>
        <w:overflowPunct w:val="0"/>
        <w:ind w:left="0"/>
        <w:rPr>
          <w:lang w:val="de-DE"/>
        </w:rPr>
      </w:pPr>
    </w:p>
    <w:p w14:paraId="2D343B14" w14:textId="77777777" w:rsidR="00FE291A" w:rsidRDefault="00C8738F">
      <w:pPr>
        <w:pStyle w:val="BodyText"/>
        <w:keepNext/>
        <w:widowControl/>
        <w:kinsoku w:val="0"/>
        <w:overflowPunct w:val="0"/>
        <w:ind w:left="0"/>
        <w:rPr>
          <w:u w:val="single"/>
          <w:lang w:val="de-DE"/>
        </w:rPr>
      </w:pPr>
      <w:r>
        <w:rPr>
          <w:u w:val="single"/>
          <w:lang w:val="de-DE"/>
        </w:rPr>
        <w:t>Natriumgehalt</w:t>
      </w:r>
    </w:p>
    <w:p w14:paraId="47CB3021" w14:textId="77777777" w:rsidR="00FE291A" w:rsidRDefault="00FE291A">
      <w:pPr>
        <w:pStyle w:val="BodyText"/>
        <w:keepNext/>
        <w:widowControl/>
        <w:kinsoku w:val="0"/>
        <w:overflowPunct w:val="0"/>
        <w:ind w:left="0"/>
        <w:rPr>
          <w:lang w:val="de-DE"/>
        </w:rPr>
      </w:pPr>
    </w:p>
    <w:p w14:paraId="59022EDD" w14:textId="77777777" w:rsidR="00FE291A" w:rsidRDefault="00C8738F">
      <w:pPr>
        <w:pStyle w:val="BodyText"/>
        <w:widowControl/>
        <w:kinsoku w:val="0"/>
        <w:overflowPunct w:val="0"/>
        <w:ind w:left="0"/>
        <w:rPr>
          <w:lang w:val="de-DE"/>
        </w:rPr>
      </w:pPr>
      <w:r>
        <w:rPr>
          <w:lang w:val="de-DE"/>
        </w:rPr>
        <w:t>Dieses Arzneimittel enthält weniger als 1 mmol Natrium (23 mg) pro 0,8 ml Dosis, d. h. es ist nahezu „natriumfrei“.</w:t>
      </w:r>
    </w:p>
    <w:p w14:paraId="43CCBC10" w14:textId="77777777" w:rsidR="00FE291A" w:rsidRDefault="00FE291A">
      <w:pPr>
        <w:pStyle w:val="BodyText"/>
        <w:widowControl/>
        <w:kinsoku w:val="0"/>
        <w:overflowPunct w:val="0"/>
        <w:ind w:left="0"/>
        <w:rPr>
          <w:lang w:val="de-DE"/>
        </w:rPr>
      </w:pPr>
    </w:p>
    <w:p w14:paraId="20577B3F" w14:textId="77777777" w:rsidR="00FE291A" w:rsidRDefault="00C8738F">
      <w:pPr>
        <w:pStyle w:val="Heading1"/>
        <w:keepNext/>
        <w:widowControl/>
        <w:numPr>
          <w:ilvl w:val="1"/>
          <w:numId w:val="7"/>
        </w:numPr>
        <w:tabs>
          <w:tab w:val="left" w:pos="567"/>
        </w:tabs>
        <w:kinsoku w:val="0"/>
        <w:overflowPunct w:val="0"/>
        <w:ind w:left="0" w:firstLine="0"/>
        <w:rPr>
          <w:b w:val="0"/>
          <w:bCs w:val="0"/>
          <w:lang w:val="de-DE"/>
        </w:rPr>
      </w:pPr>
      <w:r>
        <w:rPr>
          <w:lang w:val="de-DE"/>
        </w:rPr>
        <w:t>Wechselwirkungen mit anderen Arzneimitteln und sonstige Wechselwirkungen</w:t>
      </w:r>
    </w:p>
    <w:p w14:paraId="571FD3A9" w14:textId="77777777" w:rsidR="00FE291A" w:rsidRDefault="00FE291A">
      <w:pPr>
        <w:keepNext/>
        <w:widowControl/>
        <w:kinsoku w:val="0"/>
        <w:overflowPunct w:val="0"/>
        <w:rPr>
          <w:sz w:val="22"/>
          <w:szCs w:val="22"/>
          <w:lang w:val="de-DE"/>
        </w:rPr>
      </w:pPr>
    </w:p>
    <w:p w14:paraId="7B07E7F0" w14:textId="77777777" w:rsidR="00FE291A" w:rsidRDefault="00C8738F">
      <w:pPr>
        <w:pStyle w:val="BodyText"/>
        <w:keepNext/>
        <w:widowControl/>
        <w:kinsoku w:val="0"/>
        <w:overflowPunct w:val="0"/>
        <w:ind w:left="0"/>
        <w:rPr>
          <w:lang w:val="de-DE"/>
        </w:rPr>
      </w:pPr>
      <w:r>
        <w:rPr>
          <w:lang w:val="de-DE"/>
        </w:rPr>
        <w:t xml:space="preserve">Adalimumab wurde bei Patienten mit rheumatoider Arthritis, polyartikulärer juveniler idiopathischer Arthritis und Psoriasis-Arthritis sowohl als Monotherapie als auch in der Kombination mit Methotrexat untersucht. Die Bildung von Antikörpern war bei gleichzeitiger Anwendung von Adalimumab und Methotrexat niedriger als unter Monotherapie. Die Anwendung von Adalimumab ohne Methotrexat führte zu einer gesteigerten Bildung von Antikörpern, einer erhöhten </w:t>
      </w:r>
      <w:r>
        <w:rPr>
          <w:i/>
          <w:iCs/>
          <w:lang w:val="de-DE"/>
        </w:rPr>
        <w:t xml:space="preserve">Clearance </w:t>
      </w:r>
      <w:r>
        <w:rPr>
          <w:lang w:val="de-DE"/>
        </w:rPr>
        <w:t>und einer verminderten Wirksamkeit von Adalimumab (siehe Abschnitt 5.1).</w:t>
      </w:r>
    </w:p>
    <w:p w14:paraId="7959D174" w14:textId="77777777" w:rsidR="00FE291A" w:rsidRDefault="00FE291A">
      <w:pPr>
        <w:widowControl/>
        <w:kinsoku w:val="0"/>
        <w:overflowPunct w:val="0"/>
        <w:rPr>
          <w:sz w:val="22"/>
          <w:lang w:val="de-DE"/>
        </w:rPr>
      </w:pPr>
    </w:p>
    <w:p w14:paraId="05C5454E" w14:textId="77777777" w:rsidR="00FE291A" w:rsidRDefault="00C8738F">
      <w:pPr>
        <w:pStyle w:val="BodyText"/>
        <w:widowControl/>
        <w:kinsoku w:val="0"/>
        <w:overflowPunct w:val="0"/>
        <w:ind w:left="0"/>
        <w:rPr>
          <w:lang w:val="de-DE"/>
        </w:rPr>
      </w:pPr>
      <w:r>
        <w:rPr>
          <w:lang w:val="de-DE"/>
        </w:rPr>
        <w:t>Die Kombination von AMGEVITA und Anakinra wird nicht empfohlen (siehe Abschnitt 4.4 „Gleichzeitige Anwendung von biologischen DMARDs oder TNF-Antagonisten“).</w:t>
      </w:r>
    </w:p>
    <w:p w14:paraId="7C00860B" w14:textId="77777777" w:rsidR="00FE291A" w:rsidRDefault="00FE291A">
      <w:pPr>
        <w:widowControl/>
        <w:kinsoku w:val="0"/>
        <w:overflowPunct w:val="0"/>
        <w:rPr>
          <w:sz w:val="22"/>
          <w:szCs w:val="26"/>
          <w:lang w:val="de-DE"/>
        </w:rPr>
      </w:pPr>
    </w:p>
    <w:p w14:paraId="3B23437D" w14:textId="77777777" w:rsidR="00FE291A" w:rsidRDefault="00C8738F">
      <w:pPr>
        <w:pStyle w:val="BodyText"/>
        <w:widowControl/>
        <w:kinsoku w:val="0"/>
        <w:overflowPunct w:val="0"/>
        <w:ind w:left="0"/>
        <w:rPr>
          <w:lang w:val="de-DE"/>
        </w:rPr>
      </w:pPr>
      <w:r>
        <w:rPr>
          <w:lang w:val="de-DE"/>
        </w:rPr>
        <w:t>Die Kombination von AMGEVITA und Abatacept wird nicht empfohlen (siehe Abschnitt 4.4 „Gleichzeitige Anwendung von biologischen DMARDs oder TNF-Antagonisten“).</w:t>
      </w:r>
    </w:p>
    <w:p w14:paraId="52E0F70A" w14:textId="77777777" w:rsidR="00FE291A" w:rsidRDefault="00FE291A">
      <w:pPr>
        <w:widowControl/>
        <w:kinsoku w:val="0"/>
        <w:overflowPunct w:val="0"/>
        <w:rPr>
          <w:sz w:val="22"/>
          <w:szCs w:val="26"/>
          <w:lang w:val="de-DE"/>
        </w:rPr>
      </w:pPr>
    </w:p>
    <w:p w14:paraId="1B72124D" w14:textId="77777777" w:rsidR="00FE291A" w:rsidRDefault="00C8738F">
      <w:pPr>
        <w:pStyle w:val="Heading1"/>
        <w:keepNext/>
        <w:keepLines/>
        <w:widowControl/>
        <w:numPr>
          <w:ilvl w:val="1"/>
          <w:numId w:val="12"/>
        </w:numPr>
        <w:kinsoku w:val="0"/>
        <w:overflowPunct w:val="0"/>
        <w:ind w:left="567"/>
        <w:rPr>
          <w:b w:val="0"/>
          <w:bCs w:val="0"/>
          <w:lang w:val="de-DE"/>
        </w:rPr>
      </w:pPr>
      <w:r>
        <w:rPr>
          <w:lang w:val="de-DE"/>
        </w:rPr>
        <w:t>Fertilität, Schwangerschaft und Stillzeit</w:t>
      </w:r>
    </w:p>
    <w:p w14:paraId="0234DB62" w14:textId="77777777" w:rsidR="00FE291A" w:rsidRDefault="00FE291A">
      <w:pPr>
        <w:keepNext/>
        <w:keepLines/>
        <w:widowControl/>
        <w:kinsoku w:val="0"/>
        <w:overflowPunct w:val="0"/>
        <w:rPr>
          <w:sz w:val="22"/>
          <w:szCs w:val="22"/>
          <w:lang w:val="de-DE"/>
        </w:rPr>
      </w:pPr>
    </w:p>
    <w:p w14:paraId="40D0F60C" w14:textId="77777777" w:rsidR="00FE291A" w:rsidRDefault="00C8738F">
      <w:pPr>
        <w:pStyle w:val="BodyText"/>
        <w:keepNext/>
        <w:widowControl/>
        <w:kinsoku w:val="0"/>
        <w:overflowPunct w:val="0"/>
        <w:ind w:left="0"/>
        <w:rPr>
          <w:lang w:val="de-DE"/>
        </w:rPr>
      </w:pPr>
      <w:r>
        <w:rPr>
          <w:u w:val="single"/>
          <w:lang w:val="de-DE"/>
        </w:rPr>
        <w:t>Frauen im gebärfähigen Alter</w:t>
      </w:r>
    </w:p>
    <w:p w14:paraId="2B7C1416" w14:textId="77777777" w:rsidR="00FE291A" w:rsidRDefault="00FE291A">
      <w:pPr>
        <w:keepNext/>
        <w:widowControl/>
        <w:kinsoku w:val="0"/>
        <w:overflowPunct w:val="0"/>
        <w:rPr>
          <w:sz w:val="22"/>
          <w:szCs w:val="22"/>
          <w:lang w:val="de-DE"/>
        </w:rPr>
      </w:pPr>
    </w:p>
    <w:p w14:paraId="521B65C9" w14:textId="77777777" w:rsidR="00FE291A" w:rsidRDefault="00C8738F">
      <w:pPr>
        <w:pStyle w:val="BodyText"/>
        <w:widowControl/>
        <w:kinsoku w:val="0"/>
        <w:overflowPunct w:val="0"/>
        <w:ind w:left="0"/>
        <w:rPr>
          <w:lang w:val="de-DE"/>
        </w:rPr>
      </w:pPr>
      <w:r>
        <w:rPr>
          <w:lang w:val="de-DE"/>
        </w:rPr>
        <w:t>Frauen im gebärfähigen Alter sollten zur Vermeidung einer Schwangerschaft geeignete Empfängnisverhütungsmethoden in Erwägung ziehen und diese für mindestens fünf Monate nach der letzten Gabe von AMGEVITA fortführen.</w:t>
      </w:r>
    </w:p>
    <w:p w14:paraId="001CA90A" w14:textId="77777777" w:rsidR="00FE291A" w:rsidRDefault="00FE291A">
      <w:pPr>
        <w:widowControl/>
        <w:kinsoku w:val="0"/>
        <w:overflowPunct w:val="0"/>
        <w:rPr>
          <w:sz w:val="22"/>
          <w:szCs w:val="22"/>
          <w:lang w:val="de-DE"/>
        </w:rPr>
      </w:pPr>
    </w:p>
    <w:p w14:paraId="668D9004" w14:textId="77777777" w:rsidR="00FE291A" w:rsidRDefault="00C8738F">
      <w:pPr>
        <w:pStyle w:val="BodyText"/>
        <w:keepNext/>
        <w:keepLines/>
        <w:widowControl/>
        <w:kinsoku w:val="0"/>
        <w:overflowPunct w:val="0"/>
        <w:ind w:left="0"/>
        <w:rPr>
          <w:lang w:val="de-DE"/>
        </w:rPr>
      </w:pPr>
      <w:r>
        <w:rPr>
          <w:u w:val="single"/>
          <w:lang w:val="de-DE"/>
        </w:rPr>
        <w:t>Schwangerschaft</w:t>
      </w:r>
    </w:p>
    <w:p w14:paraId="5FDAC9D0" w14:textId="77777777" w:rsidR="00FE291A" w:rsidRDefault="00FE291A">
      <w:pPr>
        <w:keepNext/>
        <w:keepLines/>
        <w:widowControl/>
        <w:kinsoku w:val="0"/>
        <w:overflowPunct w:val="0"/>
        <w:rPr>
          <w:sz w:val="22"/>
          <w:szCs w:val="22"/>
          <w:lang w:val="de-DE"/>
        </w:rPr>
      </w:pPr>
    </w:p>
    <w:p w14:paraId="677D090D" w14:textId="77777777" w:rsidR="00FE291A" w:rsidRDefault="00C8738F">
      <w:pPr>
        <w:pStyle w:val="BodyText"/>
        <w:widowControl/>
        <w:kinsoku w:val="0"/>
        <w:overflowPunct w:val="0"/>
        <w:ind w:left="0"/>
        <w:rPr>
          <w:lang w:val="de-DE"/>
        </w:rPr>
      </w:pPr>
      <w:r>
        <w:rPr>
          <w:lang w:val="de-DE"/>
        </w:rPr>
        <w:t>Die Auswertung einer großen Anzahl (etwa 2 100) prospektiv erfasster Schwangerschaften mit Exposition gegenüber Adalimumab und mit Lebendgeburten mit bekanntem Ausgang deutete nicht auf eine erhöhte Rate von Missbildungen bei Neugeborenen hin. Bei über 1 500 dieser Schwangerschaften fand die Exposition während des ersten Trimesters statt.</w:t>
      </w:r>
    </w:p>
    <w:p w14:paraId="42D1256B" w14:textId="77777777" w:rsidR="00FE291A" w:rsidRDefault="00FE291A">
      <w:pPr>
        <w:pStyle w:val="BodyText"/>
        <w:widowControl/>
        <w:kinsoku w:val="0"/>
        <w:overflowPunct w:val="0"/>
        <w:rPr>
          <w:lang w:val="de-DE"/>
        </w:rPr>
      </w:pPr>
    </w:p>
    <w:p w14:paraId="6C9550B6" w14:textId="77777777" w:rsidR="00FE291A" w:rsidRDefault="00C8738F">
      <w:pPr>
        <w:pStyle w:val="BodyText"/>
        <w:widowControl/>
        <w:kinsoku w:val="0"/>
        <w:overflowPunct w:val="0"/>
        <w:ind w:left="0"/>
        <w:rPr>
          <w:lang w:val="de-DE"/>
        </w:rPr>
      </w:pPr>
      <w:r>
        <w:rPr>
          <w:lang w:val="de-DE"/>
        </w:rPr>
        <w:t xml:space="preserve">Folgende Probanden wurden in eine prospektive Kohortenstudie eingeschlossen: 257 Frauen mit rheumatoider Arthritis (RA) oder Morbus Crohn (MC), die mindestens während des ersten Trimesters mit Adalimumab behandelt wurden, sowie 120 Frauen mit RA oder MC, die nicht mit Adalimumab behandelt wurden. Der primäre Endpunkt war die Prävalenz schwerwiegender Geburtsfehler. Der Anteil an Schwangerschaften mit mindestens einem lebend geborenen Kind, das einen schwerwiegenden Geburtsfehler hatte, betrug 6/69 (8,7 %) bei mit Adalimumab behandelten Patientinnen mit RA, 5/74 (6,8 %) bei unbehandelten Frauen mit RA (nicht bereinigte OR 1,31; 95 % KI 0,38 - 4,52); 16/152 (10,5 %) bei mit Adalimumab behandelten Patientinnen mit MC und 3/32 (9,4 %) bei unbehandelten Frauen mit MC (nicht bereinigte OR 1,14; 95 % KI 0,31 - 4,16). Die bereinigte OR (die Unterschiede bei </w:t>
      </w:r>
      <w:r>
        <w:rPr>
          <w:i/>
          <w:iCs/>
          <w:lang w:val="de-DE"/>
        </w:rPr>
        <w:t>Baseline</w:t>
      </w:r>
      <w:r>
        <w:rPr>
          <w:lang w:val="de-DE"/>
        </w:rPr>
        <w:t xml:space="preserve"> miteinbezieht) betrug für RA und MC zusammen insgesamt 1,10 (95 % KI 0,45 – 2,73). Es gab keine eindeutigen Unterschiede zwischen den mit Adalimumab behandelten und den nicht mit Adalimumab behandelten Frauen im Hinblick auf die sekundären Endpunkte Spontanaborte, geringfügige Geburtsfehler, Frühgeburten, Geburtsgröße und schwerwiegende oder opportunistische Infektionen. Es wurden keine Totgeburten oder maligne Erkrankungen berichtet. Die Auswertung der Daten kann durch die methodologischen Einschränkungen der Registerstudie beeinflusst sein, darunter eine kleine Fallzahl und ein nicht randomisiertes Design.</w:t>
      </w:r>
    </w:p>
    <w:p w14:paraId="374643F7" w14:textId="77777777" w:rsidR="00FE291A" w:rsidRDefault="00FE291A">
      <w:pPr>
        <w:widowControl/>
        <w:kinsoku w:val="0"/>
        <w:overflowPunct w:val="0"/>
        <w:rPr>
          <w:sz w:val="22"/>
          <w:szCs w:val="22"/>
          <w:lang w:val="de-DE"/>
        </w:rPr>
      </w:pPr>
    </w:p>
    <w:p w14:paraId="1DAA194C" w14:textId="77777777" w:rsidR="00FE291A" w:rsidRDefault="00C8738F">
      <w:pPr>
        <w:pStyle w:val="BodyText"/>
        <w:widowControl/>
        <w:kinsoku w:val="0"/>
        <w:overflowPunct w:val="0"/>
        <w:ind w:left="0"/>
        <w:rPr>
          <w:lang w:val="de-DE"/>
        </w:rPr>
      </w:pPr>
      <w:r>
        <w:rPr>
          <w:lang w:val="de-DE"/>
        </w:rPr>
        <w:t>Eine Studie zur Entwicklungstoxizität an Affen ergab keine Hinweise auf eine maternale Toxizität, Embryotoxizität oder Teratogenität. Präklinische Daten zur postnatalen Toxizität von Adalimumab liegen nicht vor (siehe Abschnitt 5.3).</w:t>
      </w:r>
    </w:p>
    <w:p w14:paraId="219945CA" w14:textId="77777777" w:rsidR="00FE291A" w:rsidRDefault="00FE291A">
      <w:pPr>
        <w:widowControl/>
        <w:kinsoku w:val="0"/>
        <w:overflowPunct w:val="0"/>
        <w:rPr>
          <w:sz w:val="22"/>
          <w:szCs w:val="22"/>
          <w:lang w:val="de-DE"/>
        </w:rPr>
      </w:pPr>
    </w:p>
    <w:p w14:paraId="10170D4F" w14:textId="77777777" w:rsidR="00FE291A" w:rsidRDefault="00C8738F">
      <w:pPr>
        <w:pStyle w:val="BodyText"/>
        <w:widowControl/>
        <w:kinsoku w:val="0"/>
        <w:overflowPunct w:val="0"/>
        <w:ind w:left="0"/>
        <w:rPr>
          <w:lang w:val="de-DE"/>
        </w:rPr>
      </w:pPr>
      <w:r>
        <w:rPr>
          <w:lang w:val="de-DE"/>
        </w:rPr>
        <w:t>Bei Anwendung von Adalimumab während der Schwangerschaft könnten wegen der TNF-α-Hemmung die normalen Immunreaktionen des Neugeborenen beeinflusst werden. AMGEVITA sollte während einer Schwangerschaft nur angewendet werden, wenn dies eindeutig erforderlich ist.</w:t>
      </w:r>
    </w:p>
    <w:p w14:paraId="5F6648A5" w14:textId="77777777" w:rsidR="00FE291A" w:rsidRDefault="00FE291A">
      <w:pPr>
        <w:widowControl/>
        <w:kinsoku w:val="0"/>
        <w:overflowPunct w:val="0"/>
        <w:rPr>
          <w:sz w:val="22"/>
          <w:szCs w:val="22"/>
          <w:lang w:val="de-DE"/>
        </w:rPr>
      </w:pPr>
    </w:p>
    <w:p w14:paraId="71FDBD93" w14:textId="77777777" w:rsidR="00FE291A" w:rsidRDefault="00C8738F">
      <w:pPr>
        <w:pStyle w:val="BodyText"/>
        <w:widowControl/>
        <w:kinsoku w:val="0"/>
        <w:overflowPunct w:val="0"/>
        <w:ind w:left="0"/>
        <w:rPr>
          <w:lang w:val="de-DE"/>
        </w:rPr>
      </w:pPr>
      <w:r>
        <w:rPr>
          <w:lang w:val="de-DE"/>
        </w:rPr>
        <w:t xml:space="preserve">Wenn Mütter während der Schwangerschaft mit Adalimumab behandelt wurden, gelangt Adalimumab möglicherweise über die Plazenta in das Serum von Säuglingen. Infolgedessen haben diese Säuglinge eventuell ein erhöhtes Risiko für Infektionen. Die Verabreichung von Lebendimpfstoffen (z. B. BCG-Vakzine) an Säuglinge, die </w:t>
      </w:r>
      <w:r>
        <w:rPr>
          <w:i/>
          <w:iCs/>
          <w:lang w:val="de-DE"/>
        </w:rPr>
        <w:t xml:space="preserve">in utero </w:t>
      </w:r>
      <w:r>
        <w:rPr>
          <w:lang w:val="de-DE"/>
        </w:rPr>
        <w:t>Adalimumab ausgesetzt waren, ist für 5 Monate nach der letzten Gabe von Adalimumab bei der Mutter während der Schwangerschaft nicht empfohlen.</w:t>
      </w:r>
    </w:p>
    <w:p w14:paraId="2E5EB63A" w14:textId="77777777" w:rsidR="00FE291A" w:rsidRDefault="00FE291A">
      <w:pPr>
        <w:widowControl/>
        <w:kinsoku w:val="0"/>
        <w:overflowPunct w:val="0"/>
        <w:rPr>
          <w:sz w:val="22"/>
          <w:szCs w:val="22"/>
          <w:lang w:val="de-DE"/>
        </w:rPr>
      </w:pPr>
    </w:p>
    <w:p w14:paraId="0281926F" w14:textId="77777777" w:rsidR="00FE291A" w:rsidRDefault="00C8738F">
      <w:pPr>
        <w:pStyle w:val="BodyText"/>
        <w:keepNext/>
        <w:widowControl/>
        <w:kinsoku w:val="0"/>
        <w:overflowPunct w:val="0"/>
        <w:ind w:left="0"/>
        <w:rPr>
          <w:lang w:val="de-DE"/>
        </w:rPr>
      </w:pPr>
      <w:r>
        <w:rPr>
          <w:u w:val="single"/>
          <w:lang w:val="de-DE"/>
        </w:rPr>
        <w:t>Stillzeit</w:t>
      </w:r>
    </w:p>
    <w:p w14:paraId="3FDB6B1D" w14:textId="77777777" w:rsidR="00FE291A" w:rsidRDefault="00FE291A">
      <w:pPr>
        <w:keepNext/>
        <w:widowControl/>
        <w:kinsoku w:val="0"/>
        <w:overflowPunct w:val="0"/>
        <w:rPr>
          <w:sz w:val="22"/>
          <w:szCs w:val="22"/>
          <w:lang w:val="de-DE"/>
        </w:rPr>
      </w:pPr>
    </w:p>
    <w:p w14:paraId="5FA9199E" w14:textId="77777777" w:rsidR="00FE291A" w:rsidRDefault="00C8738F">
      <w:pPr>
        <w:pStyle w:val="BodyText"/>
        <w:widowControl/>
        <w:kinsoku w:val="0"/>
        <w:overflowPunct w:val="0"/>
        <w:ind w:left="0"/>
        <w:rPr>
          <w:lang w:val="de-DE"/>
        </w:rPr>
      </w:pPr>
      <w:r>
        <w:rPr>
          <w:lang w:val="de-DE"/>
        </w:rPr>
        <w:t>Eingeschränkte Informationen aus der veröffentlichten Literatur lassen darauf schließen, dass Adalimumab in sehr geringer Konzentration (zwischen 0,1 – 1 % des Serumspiegels der Mutter) in die Muttermilch übergeht. Bei oraler Anwendung durchlaufen Proteine des Typs Immunglobulin G eine intestinale Proteolyse und weisen eine schlechte Bioverfügbarkeit auf. Es werden keine Auswirkungen auf die gestillten Neugeborenen/Säuglinge erwartet. Folglich kann AMGEVITA während der Stillzeit angewendet werden.</w:t>
      </w:r>
    </w:p>
    <w:p w14:paraId="7548AA52" w14:textId="77777777" w:rsidR="00FE291A" w:rsidRDefault="00FE291A">
      <w:pPr>
        <w:widowControl/>
        <w:kinsoku w:val="0"/>
        <w:overflowPunct w:val="0"/>
        <w:rPr>
          <w:sz w:val="22"/>
          <w:szCs w:val="22"/>
          <w:lang w:val="de-DE"/>
        </w:rPr>
      </w:pPr>
    </w:p>
    <w:p w14:paraId="7FBB0984" w14:textId="77777777" w:rsidR="00FE291A" w:rsidRDefault="00C8738F">
      <w:pPr>
        <w:pStyle w:val="BodyText"/>
        <w:keepNext/>
        <w:widowControl/>
        <w:kinsoku w:val="0"/>
        <w:overflowPunct w:val="0"/>
        <w:ind w:left="0"/>
        <w:rPr>
          <w:lang w:val="de-DE"/>
        </w:rPr>
      </w:pPr>
      <w:r>
        <w:rPr>
          <w:u w:val="single"/>
          <w:lang w:val="de-DE"/>
        </w:rPr>
        <w:t>Fertilität</w:t>
      </w:r>
    </w:p>
    <w:p w14:paraId="4569055D" w14:textId="77777777" w:rsidR="00FE291A" w:rsidRDefault="00FE291A">
      <w:pPr>
        <w:keepNext/>
        <w:widowControl/>
        <w:kinsoku w:val="0"/>
        <w:overflowPunct w:val="0"/>
        <w:rPr>
          <w:sz w:val="22"/>
          <w:szCs w:val="22"/>
          <w:lang w:val="de-DE"/>
        </w:rPr>
      </w:pPr>
    </w:p>
    <w:p w14:paraId="68FF96BA" w14:textId="77777777" w:rsidR="00FE291A" w:rsidRDefault="00C8738F">
      <w:pPr>
        <w:pStyle w:val="BodyText"/>
        <w:widowControl/>
        <w:kinsoku w:val="0"/>
        <w:overflowPunct w:val="0"/>
        <w:ind w:left="0"/>
        <w:rPr>
          <w:lang w:val="de-DE"/>
        </w:rPr>
      </w:pPr>
      <w:r>
        <w:rPr>
          <w:lang w:val="de-DE"/>
        </w:rPr>
        <w:t>Präklinische Daten zu Auswirkungen von Adalimumab auf die Fertilität liegen nicht vor.</w:t>
      </w:r>
    </w:p>
    <w:p w14:paraId="30464486" w14:textId="77777777" w:rsidR="00FE291A" w:rsidRDefault="00FE291A">
      <w:pPr>
        <w:widowControl/>
        <w:kinsoku w:val="0"/>
        <w:overflowPunct w:val="0"/>
        <w:rPr>
          <w:sz w:val="22"/>
          <w:szCs w:val="22"/>
          <w:lang w:val="de-DE"/>
        </w:rPr>
      </w:pPr>
    </w:p>
    <w:p w14:paraId="12BF9230" w14:textId="77777777" w:rsidR="00FE291A" w:rsidRDefault="00C8738F">
      <w:pPr>
        <w:pStyle w:val="Heading1"/>
        <w:widowControl/>
        <w:numPr>
          <w:ilvl w:val="1"/>
          <w:numId w:val="12"/>
        </w:numPr>
        <w:tabs>
          <w:tab w:val="left" w:pos="567"/>
        </w:tabs>
        <w:kinsoku w:val="0"/>
        <w:overflowPunct w:val="0"/>
        <w:ind w:left="0" w:firstLine="0"/>
        <w:rPr>
          <w:b w:val="0"/>
          <w:bCs w:val="0"/>
          <w:lang w:val="de-DE"/>
        </w:rPr>
      </w:pPr>
      <w:r>
        <w:rPr>
          <w:lang w:val="de-DE"/>
        </w:rPr>
        <w:t>Auswirkungen auf die Verkehrstüchtigkeit und die Fähigkeit zum Bedienen von Maschinen</w:t>
      </w:r>
    </w:p>
    <w:p w14:paraId="5A57F62E" w14:textId="77777777" w:rsidR="00FE291A" w:rsidRDefault="00FE291A">
      <w:pPr>
        <w:widowControl/>
        <w:kinsoku w:val="0"/>
        <w:overflowPunct w:val="0"/>
        <w:rPr>
          <w:sz w:val="22"/>
          <w:lang w:val="de-DE"/>
        </w:rPr>
      </w:pPr>
    </w:p>
    <w:p w14:paraId="7B8C2C22" w14:textId="77777777" w:rsidR="00FE291A" w:rsidRDefault="00C8738F">
      <w:pPr>
        <w:pStyle w:val="BodyText"/>
        <w:widowControl/>
        <w:kinsoku w:val="0"/>
        <w:overflowPunct w:val="0"/>
        <w:ind w:left="0"/>
        <w:rPr>
          <w:lang w:val="de-DE"/>
        </w:rPr>
      </w:pPr>
      <w:r>
        <w:rPr>
          <w:lang w:val="de-DE"/>
        </w:rPr>
        <w:t>AMGEVITA kann einen geringen Einfluss auf die Verkehrstüchtigkeit und die Fähigkeit zum Bedienen von Maschinen haben. Es können nach Verabreichung von AMGEVITA Schwindel und eine Beeinträchtigung des Sehvermögens auftreten (siehe Abschnitt 4.8).</w:t>
      </w:r>
    </w:p>
    <w:p w14:paraId="4B8603FF" w14:textId="77777777" w:rsidR="00FE291A" w:rsidRDefault="00FE291A">
      <w:pPr>
        <w:widowControl/>
        <w:kinsoku w:val="0"/>
        <w:overflowPunct w:val="0"/>
        <w:rPr>
          <w:sz w:val="22"/>
          <w:szCs w:val="26"/>
          <w:lang w:val="de-DE"/>
        </w:rPr>
      </w:pPr>
    </w:p>
    <w:p w14:paraId="6F5419FC" w14:textId="77777777" w:rsidR="00FE291A" w:rsidRDefault="00C8738F">
      <w:pPr>
        <w:pStyle w:val="Heading1"/>
        <w:keepNext/>
        <w:keepLines/>
        <w:widowControl/>
        <w:numPr>
          <w:ilvl w:val="1"/>
          <w:numId w:val="12"/>
        </w:numPr>
        <w:tabs>
          <w:tab w:val="left" w:pos="567"/>
        </w:tabs>
        <w:kinsoku w:val="0"/>
        <w:overflowPunct w:val="0"/>
        <w:ind w:left="0" w:firstLine="0"/>
        <w:rPr>
          <w:b w:val="0"/>
          <w:bCs w:val="0"/>
          <w:lang w:val="de-DE"/>
        </w:rPr>
      </w:pPr>
      <w:r>
        <w:rPr>
          <w:lang w:val="de-DE"/>
        </w:rPr>
        <w:t>Nebenwirkungen</w:t>
      </w:r>
    </w:p>
    <w:p w14:paraId="0875DC46" w14:textId="77777777" w:rsidR="00FE291A" w:rsidRDefault="00FE291A">
      <w:pPr>
        <w:keepNext/>
        <w:keepLines/>
        <w:widowControl/>
        <w:kinsoku w:val="0"/>
        <w:overflowPunct w:val="0"/>
        <w:rPr>
          <w:sz w:val="22"/>
          <w:szCs w:val="22"/>
          <w:lang w:val="de-DE"/>
        </w:rPr>
      </w:pPr>
    </w:p>
    <w:p w14:paraId="2C90297F" w14:textId="77777777" w:rsidR="00FE291A" w:rsidRDefault="00C8738F">
      <w:pPr>
        <w:pStyle w:val="BodyText"/>
        <w:keepNext/>
        <w:keepLines/>
        <w:widowControl/>
        <w:kinsoku w:val="0"/>
        <w:overflowPunct w:val="0"/>
        <w:ind w:left="0"/>
        <w:rPr>
          <w:lang w:val="de-DE"/>
        </w:rPr>
      </w:pPr>
      <w:r>
        <w:rPr>
          <w:u w:val="single"/>
          <w:lang w:val="de-DE"/>
        </w:rPr>
        <w:t>Zusammenfassung des Sicherheitsprofils</w:t>
      </w:r>
    </w:p>
    <w:p w14:paraId="3194AC3A" w14:textId="77777777" w:rsidR="00FE291A" w:rsidRDefault="00FE291A">
      <w:pPr>
        <w:keepNext/>
        <w:keepLines/>
        <w:widowControl/>
        <w:kinsoku w:val="0"/>
        <w:overflowPunct w:val="0"/>
        <w:rPr>
          <w:sz w:val="22"/>
          <w:szCs w:val="22"/>
          <w:lang w:val="de-DE"/>
        </w:rPr>
      </w:pPr>
    </w:p>
    <w:p w14:paraId="2FA004AA" w14:textId="77777777" w:rsidR="00FE291A" w:rsidRDefault="00C8738F">
      <w:pPr>
        <w:pStyle w:val="BodyText"/>
        <w:widowControl/>
        <w:kinsoku w:val="0"/>
        <w:overflowPunct w:val="0"/>
        <w:ind w:left="0"/>
        <w:rPr>
          <w:lang w:val="de-DE"/>
        </w:rPr>
      </w:pPr>
      <w:r>
        <w:rPr>
          <w:lang w:val="de-DE"/>
        </w:rPr>
        <w:t>Adalimumab wurde bei 9 506 Patienten in kontrollierten Zulassungsstudien und offenen Erweiterungsstudien über einen Zeitraum von bis zu 60 Monaten oder länger untersucht. Diese Studien umfassten Patienten mit kurz und langjährig bestehender rheumatoider Arthritis, mit juveniler idiopathischer Arthritis (polyartikulärer juveniler idiopathischer Arthritis und Enthesitis-assoziierter Arthritis) sowie Patienten mit axialer Spondyloarthritis (ankylosierender Spondylitis und axialer Spondyloarthritis ohne Röntgennachweis einer AS), mit Psoriasis-Arthritis, Morbus Crohn, Colitis ulcerosa, Psoriasis, Hidradenitis suppurativa und Uveitis. Die pivotalen kontrollierten Studien umfassten 6 089 mit Adalimumab behandelte Patienten und 3 801 Patienten, die während der kontrollierten Studienphase Placebo oder eine aktive Vergleichssubstanz erhielten.</w:t>
      </w:r>
    </w:p>
    <w:p w14:paraId="28DFAE33" w14:textId="77777777" w:rsidR="00FE291A" w:rsidRDefault="00FE291A">
      <w:pPr>
        <w:widowControl/>
        <w:kinsoku w:val="0"/>
        <w:overflowPunct w:val="0"/>
        <w:rPr>
          <w:sz w:val="22"/>
          <w:szCs w:val="22"/>
          <w:lang w:val="de-DE"/>
        </w:rPr>
      </w:pPr>
    </w:p>
    <w:p w14:paraId="282A9619" w14:textId="77777777" w:rsidR="00FE291A" w:rsidRDefault="00C8738F">
      <w:pPr>
        <w:pStyle w:val="BodyText"/>
        <w:widowControl/>
        <w:kinsoku w:val="0"/>
        <w:overflowPunct w:val="0"/>
        <w:ind w:left="0"/>
        <w:rPr>
          <w:lang w:val="de-DE"/>
        </w:rPr>
      </w:pPr>
      <w:r>
        <w:rPr>
          <w:lang w:val="de-DE"/>
        </w:rPr>
        <w:t>Der Anteil der Patienten, die die Behandlung während der doppelblinden, kontrollierten Phase der pivotalen Studien aufgrund unerwünschter Ereignisse abbrachen, betrug 5,9 % in der Adalimumab</w:t>
      </w:r>
      <w:r>
        <w:rPr>
          <w:lang w:val="de-DE"/>
        </w:rPr>
        <w:noBreakHyphen/>
        <w:t>Gruppe und 5,4 % in der Kontrollgruppe.</w:t>
      </w:r>
    </w:p>
    <w:p w14:paraId="04CD0012" w14:textId="77777777" w:rsidR="00FE291A" w:rsidRDefault="00FE291A">
      <w:pPr>
        <w:widowControl/>
        <w:kinsoku w:val="0"/>
        <w:overflowPunct w:val="0"/>
        <w:rPr>
          <w:sz w:val="22"/>
          <w:szCs w:val="22"/>
          <w:lang w:val="de-DE"/>
        </w:rPr>
      </w:pPr>
    </w:p>
    <w:p w14:paraId="478874DA" w14:textId="77777777" w:rsidR="00FE291A" w:rsidRDefault="00C8738F">
      <w:pPr>
        <w:pStyle w:val="BodyText"/>
        <w:widowControl/>
        <w:kinsoku w:val="0"/>
        <w:overflowPunct w:val="0"/>
        <w:ind w:left="0"/>
        <w:rPr>
          <w:lang w:val="de-DE"/>
        </w:rPr>
      </w:pPr>
      <w:r>
        <w:rPr>
          <w:lang w:val="de-DE"/>
        </w:rPr>
        <w:t>Die am häufigsten berichteten Nebenwirkungen sind Infektionen (wie z. B. Nasopharyngitis, Infektion im oberen Respirationstrakt und Sinusitis), Reaktionen an der Injektionsstelle (Erytheme, Juckreiz, Hämorrhagien, Schmerzen oder Schwellungen), Kopfschmerzen und muskuloskelettale Schmerzen.</w:t>
      </w:r>
    </w:p>
    <w:p w14:paraId="58F79F84" w14:textId="77777777" w:rsidR="00FE291A" w:rsidRDefault="00FE291A">
      <w:pPr>
        <w:widowControl/>
        <w:kinsoku w:val="0"/>
        <w:overflowPunct w:val="0"/>
        <w:rPr>
          <w:sz w:val="22"/>
          <w:szCs w:val="22"/>
          <w:lang w:val="de-DE"/>
        </w:rPr>
      </w:pPr>
    </w:p>
    <w:p w14:paraId="2EAF805E" w14:textId="77777777" w:rsidR="00FE291A" w:rsidRDefault="00C8738F">
      <w:pPr>
        <w:pStyle w:val="BodyText"/>
        <w:widowControl/>
        <w:kinsoku w:val="0"/>
        <w:overflowPunct w:val="0"/>
        <w:ind w:left="0"/>
        <w:rPr>
          <w:lang w:val="de-DE"/>
        </w:rPr>
      </w:pPr>
      <w:r>
        <w:rPr>
          <w:lang w:val="de-DE"/>
        </w:rPr>
        <w:t>Es wurden für Adalimumab schwerwiegende Nebenwirkungen berichtet. TNF-Antagonisten, wie z. B. AMGEVITA, beeinflussen das Immunsystem, und ihre Anwendung kann die körpereigene Abwehr gegen Infektionen und Krebs beeinflussen.</w:t>
      </w:r>
    </w:p>
    <w:p w14:paraId="1DDC61D4" w14:textId="77777777" w:rsidR="00FE291A" w:rsidRDefault="00FE291A">
      <w:pPr>
        <w:widowControl/>
        <w:kinsoku w:val="0"/>
        <w:overflowPunct w:val="0"/>
        <w:rPr>
          <w:sz w:val="22"/>
          <w:szCs w:val="22"/>
          <w:lang w:val="de-DE"/>
        </w:rPr>
      </w:pPr>
    </w:p>
    <w:p w14:paraId="2AA1C707" w14:textId="77777777" w:rsidR="00FE291A" w:rsidRDefault="00C8738F">
      <w:pPr>
        <w:pStyle w:val="BodyText"/>
        <w:widowControl/>
        <w:kinsoku w:val="0"/>
        <w:overflowPunct w:val="0"/>
        <w:ind w:left="0"/>
        <w:rPr>
          <w:lang w:val="de-DE"/>
        </w:rPr>
      </w:pPr>
      <w:r>
        <w:rPr>
          <w:lang w:val="de-DE"/>
        </w:rPr>
        <w:t>Tödlich verlaufende und lebensbedrohende Infektionen (einschließlich Sepsis, opportunistischer Infektionen und TB), HBV-Reaktivierung und verschiedene maligne Erkrankungen (einschließlich Leukämie, Lymphome und HSTCL) sind auch unter der Anwendung von Adalimumab berichtet worden.</w:t>
      </w:r>
    </w:p>
    <w:p w14:paraId="1B5D1630" w14:textId="77777777" w:rsidR="00FE291A" w:rsidRDefault="00FE291A">
      <w:pPr>
        <w:widowControl/>
        <w:kinsoku w:val="0"/>
        <w:overflowPunct w:val="0"/>
        <w:rPr>
          <w:sz w:val="22"/>
          <w:szCs w:val="22"/>
          <w:lang w:val="de-DE"/>
        </w:rPr>
      </w:pPr>
    </w:p>
    <w:p w14:paraId="5D28DD38" w14:textId="77777777" w:rsidR="00FE291A" w:rsidRDefault="00C8738F">
      <w:pPr>
        <w:pStyle w:val="BodyText"/>
        <w:widowControl/>
        <w:kinsoku w:val="0"/>
        <w:overflowPunct w:val="0"/>
        <w:ind w:left="0"/>
        <w:rPr>
          <w:lang w:val="de-DE"/>
        </w:rPr>
      </w:pPr>
      <w:r>
        <w:rPr>
          <w:lang w:val="de-DE"/>
        </w:rPr>
        <w:t>Schwerwiegende hämatologische, neurologische und Autoimmunreaktionen sind ebenfalls berichtet worden. Diese umfassen seltene Berichte zu Panzytopenie, aplastischer Anämie, zentralen und peripheren Demyelinisierungen und Berichte zu Lupus, lupusähnlichen Zuständen und Stevens- Johnson-Syndrom.</w:t>
      </w:r>
    </w:p>
    <w:p w14:paraId="03BB8683" w14:textId="77777777" w:rsidR="00FE291A" w:rsidRDefault="00FE291A">
      <w:pPr>
        <w:widowControl/>
        <w:kinsoku w:val="0"/>
        <w:overflowPunct w:val="0"/>
        <w:rPr>
          <w:sz w:val="22"/>
          <w:szCs w:val="22"/>
          <w:lang w:val="de-DE"/>
        </w:rPr>
      </w:pPr>
    </w:p>
    <w:p w14:paraId="4C2408E9" w14:textId="77777777" w:rsidR="00FE291A" w:rsidRDefault="00C8738F">
      <w:pPr>
        <w:pStyle w:val="BodyText"/>
        <w:keepNext/>
        <w:widowControl/>
        <w:kinsoku w:val="0"/>
        <w:overflowPunct w:val="0"/>
        <w:ind w:left="0"/>
        <w:rPr>
          <w:lang w:val="de-DE"/>
        </w:rPr>
      </w:pPr>
      <w:r>
        <w:rPr>
          <w:u w:val="single"/>
          <w:lang w:val="de-DE"/>
        </w:rPr>
        <w:t>Kinder und Jugendliche</w:t>
      </w:r>
    </w:p>
    <w:p w14:paraId="1D76AAC3" w14:textId="77777777" w:rsidR="00FE291A" w:rsidRDefault="00FE291A">
      <w:pPr>
        <w:keepNext/>
        <w:widowControl/>
        <w:kinsoku w:val="0"/>
        <w:overflowPunct w:val="0"/>
        <w:rPr>
          <w:sz w:val="22"/>
          <w:szCs w:val="22"/>
          <w:lang w:val="de-DE"/>
        </w:rPr>
      </w:pPr>
    </w:p>
    <w:p w14:paraId="6C81C5B1" w14:textId="77777777" w:rsidR="00FE291A" w:rsidRDefault="00C8738F">
      <w:pPr>
        <w:pStyle w:val="BodyText"/>
        <w:widowControl/>
        <w:kinsoku w:val="0"/>
        <w:overflowPunct w:val="0"/>
        <w:ind w:left="0"/>
        <w:rPr>
          <w:lang w:val="de-DE"/>
        </w:rPr>
      </w:pPr>
      <w:r>
        <w:rPr>
          <w:lang w:val="de-DE"/>
        </w:rPr>
        <w:t>Im Allgemeinen waren die bei Kindern und Jugendlichen beobachteten unerwünschten Ereignisse bezüglich Häufigkeit und Art ähnlich denjenigen, die bei erwachsenen Patienten beobachtet wurden.</w:t>
      </w:r>
    </w:p>
    <w:p w14:paraId="498A02BF" w14:textId="77777777" w:rsidR="00FE291A" w:rsidRDefault="00FE291A">
      <w:pPr>
        <w:widowControl/>
        <w:kinsoku w:val="0"/>
        <w:overflowPunct w:val="0"/>
        <w:rPr>
          <w:sz w:val="22"/>
          <w:szCs w:val="22"/>
          <w:lang w:val="de-DE"/>
        </w:rPr>
      </w:pPr>
    </w:p>
    <w:p w14:paraId="4E984582" w14:textId="77777777" w:rsidR="00FE291A" w:rsidRDefault="00C8738F">
      <w:pPr>
        <w:pStyle w:val="BodyText"/>
        <w:keepNext/>
        <w:widowControl/>
        <w:kinsoku w:val="0"/>
        <w:overflowPunct w:val="0"/>
        <w:ind w:left="0"/>
        <w:rPr>
          <w:lang w:val="de-DE"/>
        </w:rPr>
      </w:pPr>
      <w:r>
        <w:rPr>
          <w:u w:val="single"/>
          <w:lang w:val="de-DE"/>
        </w:rPr>
        <w:t>Tabellarische Auflistung der Nebenwirkungen</w:t>
      </w:r>
    </w:p>
    <w:p w14:paraId="42AF6A30" w14:textId="77777777" w:rsidR="00FE291A" w:rsidRDefault="00FE291A">
      <w:pPr>
        <w:keepNext/>
        <w:widowControl/>
        <w:kinsoku w:val="0"/>
        <w:overflowPunct w:val="0"/>
        <w:rPr>
          <w:sz w:val="22"/>
          <w:szCs w:val="22"/>
          <w:lang w:val="de-DE"/>
        </w:rPr>
      </w:pPr>
    </w:p>
    <w:p w14:paraId="5E8984BC" w14:textId="77777777" w:rsidR="00FE291A" w:rsidRDefault="00C8738F">
      <w:pPr>
        <w:pStyle w:val="BodyText"/>
        <w:widowControl/>
        <w:kinsoku w:val="0"/>
        <w:overflowPunct w:val="0"/>
        <w:ind w:left="0"/>
        <w:rPr>
          <w:lang w:val="de-DE"/>
        </w:rPr>
      </w:pPr>
      <w:r>
        <w:rPr>
          <w:lang w:val="de-DE"/>
        </w:rPr>
        <w:t>Die folgende Auflistung von Nebenwirkungen basiert auf der Erfahrung aus klinischen Studien und auf der Erfahrung nach der Markteinführung und ist in der untenstehenden Tabelle 7 nach Systemorganklasse und Häufigkeit dargestellt: sehr häufig (≥ 1/10); häufig (≥ 1/100 bis &lt; 1/10); gelegentlich (≥ 1/1 000 bis &lt; 1/100); selten (≥ 1/10 000 bis &lt; 1/1 000) und nicht bekannt (Häufigkeit auf Grundlage der verfügbaren Daten nicht abschätzbar). Innerhalb jeder Häufigkeitsgruppe werden die Nebenwirkungen nach abnehmendem Schweregrad angegeben. Es wurde die größte bei den verschiedenen Indikationen beobachtete Häufigkeit berücksichtigt. Ein Asterisk (*) weist in der Spalte „Systemorganklasse“ darauf hin, ob in anderen Abschnitten (4.3, 4.4 und 4.8) weitere Informationen zu finden sind.</w:t>
      </w:r>
    </w:p>
    <w:p w14:paraId="5CB5FD35" w14:textId="77777777" w:rsidR="00FE291A" w:rsidRDefault="00FE291A">
      <w:pPr>
        <w:widowControl/>
        <w:kinsoku w:val="0"/>
        <w:overflowPunct w:val="0"/>
        <w:rPr>
          <w:sz w:val="22"/>
          <w:szCs w:val="22"/>
          <w:lang w:val="de-DE"/>
        </w:rPr>
      </w:pPr>
    </w:p>
    <w:p w14:paraId="4CBFBD15" w14:textId="77777777" w:rsidR="00FE291A" w:rsidRDefault="00C8738F">
      <w:pPr>
        <w:pStyle w:val="Heading1"/>
        <w:keepNext/>
        <w:widowControl/>
        <w:kinsoku w:val="0"/>
        <w:overflowPunct w:val="0"/>
        <w:ind w:left="0"/>
        <w:rPr>
          <w:lang w:val="de-DE"/>
        </w:rPr>
      </w:pPr>
      <w:r>
        <w:rPr>
          <w:lang w:val="de-DE"/>
        </w:rPr>
        <w:t>Tabelle 7: Unerwünschte Wirkungen</w:t>
      </w:r>
    </w:p>
    <w:p w14:paraId="72C5BEDE" w14:textId="77777777" w:rsidR="00FE291A" w:rsidRDefault="00FE291A">
      <w:pPr>
        <w:keepNext/>
        <w:widowControl/>
        <w:rPr>
          <w:sz w:val="22"/>
          <w:lang w:val="de-DE"/>
        </w:rPr>
      </w:pPr>
    </w:p>
    <w:tbl>
      <w:tblPr>
        <w:tblW w:w="90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1920"/>
        <w:gridCol w:w="4598"/>
      </w:tblGrid>
      <w:tr w:rsidR="00FE291A" w14:paraId="119D15E4" w14:textId="77777777">
        <w:trPr>
          <w:trHeight w:val="336"/>
          <w:tblHeader/>
        </w:trPr>
        <w:tc>
          <w:tcPr>
            <w:tcW w:w="2517" w:type="dxa"/>
            <w:vAlign w:val="center"/>
          </w:tcPr>
          <w:p w14:paraId="27384E99" w14:textId="77777777" w:rsidR="00FE291A" w:rsidRDefault="00C8738F">
            <w:pPr>
              <w:pStyle w:val="TableParagraph"/>
              <w:keepNext/>
              <w:widowControl/>
              <w:kinsoku w:val="0"/>
              <w:overflowPunct w:val="0"/>
              <w:rPr>
                <w:sz w:val="22"/>
                <w:szCs w:val="22"/>
                <w:lang w:val="de-DE"/>
              </w:rPr>
            </w:pPr>
            <w:r>
              <w:rPr>
                <w:b/>
                <w:bCs/>
                <w:sz w:val="22"/>
                <w:szCs w:val="22"/>
                <w:lang w:val="de-DE" w:eastAsia="en-US"/>
              </w:rPr>
              <w:t>Systemorganklasse</w:t>
            </w:r>
          </w:p>
        </w:tc>
        <w:tc>
          <w:tcPr>
            <w:tcW w:w="1920" w:type="dxa"/>
            <w:vAlign w:val="center"/>
          </w:tcPr>
          <w:p w14:paraId="362C187A" w14:textId="77777777" w:rsidR="00FE291A" w:rsidRDefault="00C8738F">
            <w:pPr>
              <w:pStyle w:val="TableParagraph"/>
              <w:keepNext/>
              <w:widowControl/>
              <w:kinsoku w:val="0"/>
              <w:overflowPunct w:val="0"/>
              <w:rPr>
                <w:sz w:val="22"/>
                <w:szCs w:val="22"/>
                <w:lang w:val="de-DE"/>
              </w:rPr>
            </w:pPr>
            <w:r>
              <w:rPr>
                <w:b/>
                <w:bCs/>
                <w:sz w:val="22"/>
                <w:szCs w:val="22"/>
                <w:lang w:val="de-DE" w:eastAsia="en-US"/>
              </w:rPr>
              <w:t>Häufigkeit</w:t>
            </w:r>
          </w:p>
        </w:tc>
        <w:tc>
          <w:tcPr>
            <w:tcW w:w="4598" w:type="dxa"/>
            <w:vAlign w:val="center"/>
          </w:tcPr>
          <w:p w14:paraId="54B3D271" w14:textId="77777777" w:rsidR="00FE291A" w:rsidRDefault="00C8738F">
            <w:pPr>
              <w:pStyle w:val="TableParagraph"/>
              <w:keepNext/>
              <w:widowControl/>
              <w:kinsoku w:val="0"/>
              <w:overflowPunct w:val="0"/>
              <w:rPr>
                <w:sz w:val="22"/>
                <w:szCs w:val="22"/>
                <w:lang w:val="de-DE"/>
              </w:rPr>
            </w:pPr>
            <w:r>
              <w:rPr>
                <w:b/>
                <w:bCs/>
                <w:sz w:val="22"/>
                <w:szCs w:val="22"/>
                <w:lang w:val="de-DE" w:eastAsia="en-US"/>
              </w:rPr>
              <w:t>Nebenwirkung</w:t>
            </w:r>
          </w:p>
        </w:tc>
      </w:tr>
      <w:tr w:rsidR="00FE291A" w:rsidRPr="00723069" w14:paraId="10985658" w14:textId="77777777">
        <w:trPr>
          <w:trHeight w:val="1292"/>
        </w:trPr>
        <w:tc>
          <w:tcPr>
            <w:tcW w:w="2517" w:type="dxa"/>
            <w:vMerge w:val="restart"/>
          </w:tcPr>
          <w:p w14:paraId="525D8153" w14:textId="77777777" w:rsidR="00FE291A" w:rsidRDefault="00C8738F">
            <w:pPr>
              <w:keepNext/>
              <w:widowControl/>
              <w:rPr>
                <w:sz w:val="22"/>
                <w:szCs w:val="22"/>
                <w:lang w:val="de-DE" w:eastAsia="en-US"/>
              </w:rPr>
            </w:pPr>
            <w:r>
              <w:rPr>
                <w:sz w:val="22"/>
                <w:szCs w:val="22"/>
                <w:lang w:val="de-DE" w:eastAsia="en-US"/>
              </w:rPr>
              <w:t>Infektionen und parasitäre Erkrankungen*</w:t>
            </w:r>
          </w:p>
        </w:tc>
        <w:tc>
          <w:tcPr>
            <w:tcW w:w="1920" w:type="dxa"/>
          </w:tcPr>
          <w:p w14:paraId="68374184" w14:textId="77777777" w:rsidR="00FE291A" w:rsidRDefault="00C8738F">
            <w:pPr>
              <w:keepNext/>
              <w:widowControl/>
              <w:kinsoku w:val="0"/>
              <w:overflowPunct w:val="0"/>
              <w:rPr>
                <w:sz w:val="22"/>
                <w:szCs w:val="22"/>
                <w:lang w:val="de-DE" w:eastAsia="en-US"/>
              </w:rPr>
            </w:pPr>
            <w:r>
              <w:rPr>
                <w:sz w:val="22"/>
                <w:szCs w:val="22"/>
                <w:lang w:val="de-DE" w:eastAsia="en-US"/>
              </w:rPr>
              <w:t>Sehr häufig</w:t>
            </w:r>
          </w:p>
          <w:p w14:paraId="2AD9422A" w14:textId="77777777" w:rsidR="00FE291A" w:rsidRDefault="00FE291A">
            <w:pPr>
              <w:keepNext/>
              <w:widowControl/>
              <w:kinsoku w:val="0"/>
              <w:overflowPunct w:val="0"/>
              <w:rPr>
                <w:sz w:val="22"/>
                <w:szCs w:val="22"/>
                <w:lang w:val="de-DE"/>
              </w:rPr>
            </w:pPr>
          </w:p>
        </w:tc>
        <w:tc>
          <w:tcPr>
            <w:tcW w:w="4598" w:type="dxa"/>
          </w:tcPr>
          <w:p w14:paraId="6BCC1D99" w14:textId="77777777" w:rsidR="00FE291A" w:rsidRDefault="00C8738F">
            <w:pPr>
              <w:keepNext/>
              <w:widowControl/>
              <w:rPr>
                <w:sz w:val="22"/>
                <w:szCs w:val="22"/>
                <w:lang w:val="de-DE"/>
              </w:rPr>
            </w:pPr>
            <w:r>
              <w:rPr>
                <w:sz w:val="22"/>
                <w:szCs w:val="22"/>
                <w:lang w:val="de-DE" w:eastAsia="en-US"/>
              </w:rPr>
              <w:t>Infektionen des Respirationstraktes (einschließlich des unteren und oberen Respirationstraktes, Pneumonie, Sinusitis, Pharyngitis, Nasopharyngitis und virale Herpespneumonie)</w:t>
            </w:r>
          </w:p>
        </w:tc>
      </w:tr>
      <w:tr w:rsidR="00FE291A" w14:paraId="0B1DA8EA" w14:textId="77777777">
        <w:trPr>
          <w:trHeight w:val="3865"/>
        </w:trPr>
        <w:tc>
          <w:tcPr>
            <w:tcW w:w="2517" w:type="dxa"/>
            <w:vMerge/>
          </w:tcPr>
          <w:p w14:paraId="3F3526D7" w14:textId="77777777" w:rsidR="00FE291A" w:rsidRDefault="00FE291A">
            <w:pPr>
              <w:widowControl/>
              <w:rPr>
                <w:sz w:val="22"/>
                <w:szCs w:val="22"/>
                <w:lang w:val="de-DE" w:eastAsia="en-US"/>
              </w:rPr>
            </w:pPr>
          </w:p>
        </w:tc>
        <w:tc>
          <w:tcPr>
            <w:tcW w:w="1920" w:type="dxa"/>
          </w:tcPr>
          <w:p w14:paraId="751FDAC6" w14:textId="77777777" w:rsidR="00FE291A" w:rsidRDefault="00C8738F">
            <w:pPr>
              <w:widowControl/>
              <w:kinsoku w:val="0"/>
              <w:overflowPunct w:val="0"/>
              <w:rPr>
                <w:sz w:val="22"/>
                <w:szCs w:val="22"/>
                <w:lang w:val="de-DE" w:eastAsia="en-US"/>
              </w:rPr>
            </w:pPr>
            <w:r>
              <w:rPr>
                <w:sz w:val="22"/>
                <w:szCs w:val="22"/>
                <w:lang w:val="de-DE" w:eastAsia="en-US"/>
              </w:rPr>
              <w:t>Häufig</w:t>
            </w:r>
          </w:p>
          <w:p w14:paraId="6218C182" w14:textId="77777777" w:rsidR="00FE291A" w:rsidRDefault="00FE291A">
            <w:pPr>
              <w:widowControl/>
              <w:kinsoku w:val="0"/>
              <w:overflowPunct w:val="0"/>
              <w:rPr>
                <w:sz w:val="22"/>
                <w:szCs w:val="22"/>
                <w:lang w:val="de-DE" w:eastAsia="en-US"/>
              </w:rPr>
            </w:pPr>
          </w:p>
        </w:tc>
        <w:tc>
          <w:tcPr>
            <w:tcW w:w="4598" w:type="dxa"/>
          </w:tcPr>
          <w:p w14:paraId="6AC48180" w14:textId="77777777" w:rsidR="00FE291A" w:rsidRDefault="00C8738F">
            <w:pPr>
              <w:widowControl/>
              <w:rPr>
                <w:sz w:val="22"/>
                <w:szCs w:val="22"/>
                <w:lang w:val="de-DE" w:eastAsia="en-US"/>
              </w:rPr>
            </w:pPr>
            <w:r>
              <w:rPr>
                <w:sz w:val="22"/>
                <w:szCs w:val="22"/>
                <w:lang w:val="de-DE" w:eastAsia="en-US"/>
              </w:rPr>
              <w:t xml:space="preserve">systemische Infektionen (einschließlich Sepsis, Candidiasis und Influenza), </w:t>
            </w:r>
          </w:p>
          <w:p w14:paraId="0FA8ED36" w14:textId="77777777" w:rsidR="00FE291A" w:rsidRDefault="00C8738F">
            <w:pPr>
              <w:widowControl/>
              <w:rPr>
                <w:sz w:val="22"/>
                <w:szCs w:val="22"/>
                <w:lang w:val="de-DE" w:eastAsia="en-US"/>
              </w:rPr>
            </w:pPr>
            <w:r>
              <w:rPr>
                <w:sz w:val="22"/>
                <w:szCs w:val="22"/>
                <w:lang w:val="de-DE" w:eastAsia="en-US"/>
              </w:rPr>
              <w:t xml:space="preserve">intestinale Infektionen (einschließlich viraler Gastroenteritis), </w:t>
            </w:r>
          </w:p>
          <w:p w14:paraId="5EA0DEB2" w14:textId="77777777" w:rsidR="00FE291A" w:rsidRDefault="00C8738F">
            <w:pPr>
              <w:widowControl/>
              <w:rPr>
                <w:sz w:val="22"/>
                <w:szCs w:val="22"/>
                <w:lang w:val="de-DE" w:eastAsia="en-US"/>
              </w:rPr>
            </w:pPr>
            <w:r>
              <w:rPr>
                <w:sz w:val="22"/>
                <w:szCs w:val="22"/>
                <w:lang w:val="de-DE" w:eastAsia="en-US"/>
              </w:rPr>
              <w:t>Haut- und Weichteilinfektionen (einschließlich Paronychie, Zellgewebsentzündung, Impetigo, nekrotisierender Fasciitis und Herpes zoster),</w:t>
            </w:r>
          </w:p>
          <w:p w14:paraId="5C8C47B3" w14:textId="77777777" w:rsidR="00FE291A" w:rsidRDefault="00C8738F">
            <w:pPr>
              <w:widowControl/>
              <w:rPr>
                <w:sz w:val="22"/>
                <w:szCs w:val="22"/>
                <w:lang w:val="de-DE" w:eastAsia="en-US"/>
              </w:rPr>
            </w:pPr>
            <w:r>
              <w:rPr>
                <w:sz w:val="22"/>
                <w:szCs w:val="22"/>
                <w:lang w:val="de-DE" w:eastAsia="en-US"/>
              </w:rPr>
              <w:t xml:space="preserve">Ohrinfektionen, </w:t>
            </w:r>
          </w:p>
          <w:p w14:paraId="0CA79398" w14:textId="77777777" w:rsidR="00FE291A" w:rsidRDefault="00C8738F">
            <w:pPr>
              <w:widowControl/>
              <w:rPr>
                <w:sz w:val="22"/>
                <w:szCs w:val="22"/>
                <w:lang w:val="de-DE" w:eastAsia="en-US"/>
              </w:rPr>
            </w:pPr>
            <w:r>
              <w:rPr>
                <w:sz w:val="22"/>
                <w:szCs w:val="22"/>
                <w:lang w:val="de-DE" w:eastAsia="en-US"/>
              </w:rPr>
              <w:t>Mundinfektionen (einschließlich Herpes simplex, Mundherpes und Zahninfektionen),</w:t>
            </w:r>
          </w:p>
          <w:p w14:paraId="13D5E179" w14:textId="77777777" w:rsidR="00FE291A" w:rsidRDefault="00C8738F">
            <w:pPr>
              <w:widowControl/>
              <w:rPr>
                <w:sz w:val="22"/>
                <w:szCs w:val="22"/>
                <w:lang w:val="de-DE" w:eastAsia="en-US"/>
              </w:rPr>
            </w:pPr>
            <w:r>
              <w:rPr>
                <w:sz w:val="22"/>
                <w:szCs w:val="22"/>
                <w:lang w:val="de-DE" w:eastAsia="en-US"/>
              </w:rPr>
              <w:t>Genitaltraktinfektionen (einschließlich vulvovaginaler Pilzinfektion),</w:t>
            </w:r>
          </w:p>
          <w:p w14:paraId="0F379BBA" w14:textId="77777777" w:rsidR="00FE291A" w:rsidRDefault="00C8738F">
            <w:pPr>
              <w:widowControl/>
              <w:rPr>
                <w:sz w:val="22"/>
                <w:szCs w:val="22"/>
                <w:lang w:val="de-DE" w:eastAsia="en-US"/>
              </w:rPr>
            </w:pPr>
            <w:r>
              <w:rPr>
                <w:sz w:val="22"/>
                <w:szCs w:val="22"/>
                <w:lang w:val="de-DE" w:eastAsia="en-US"/>
              </w:rPr>
              <w:t xml:space="preserve">Harnwegsinfektionen (einschließlich Pyelonephritis), </w:t>
            </w:r>
          </w:p>
          <w:p w14:paraId="635DEDF5" w14:textId="77777777" w:rsidR="00FE291A" w:rsidRDefault="00C8738F">
            <w:pPr>
              <w:widowControl/>
              <w:rPr>
                <w:sz w:val="22"/>
                <w:szCs w:val="22"/>
                <w:lang w:val="de-DE" w:eastAsia="en-US"/>
              </w:rPr>
            </w:pPr>
            <w:r>
              <w:rPr>
                <w:sz w:val="22"/>
                <w:szCs w:val="22"/>
                <w:lang w:val="de-DE" w:eastAsia="en-US"/>
              </w:rPr>
              <w:t>Pilzinfektionen,</w:t>
            </w:r>
          </w:p>
          <w:p w14:paraId="257EC378" w14:textId="77777777" w:rsidR="00FE291A" w:rsidRDefault="00C8738F">
            <w:pPr>
              <w:widowControl/>
              <w:rPr>
                <w:sz w:val="22"/>
                <w:szCs w:val="22"/>
                <w:lang w:val="de-DE" w:eastAsia="en-US"/>
              </w:rPr>
            </w:pPr>
            <w:r>
              <w:rPr>
                <w:sz w:val="22"/>
                <w:szCs w:val="22"/>
                <w:lang w:val="de-DE" w:eastAsia="en-US"/>
              </w:rPr>
              <w:t>Gelenkinfektionen</w:t>
            </w:r>
          </w:p>
        </w:tc>
      </w:tr>
      <w:tr w:rsidR="00FE291A" w14:paraId="5FBAADBC" w14:textId="77777777">
        <w:trPr>
          <w:trHeight w:val="1856"/>
        </w:trPr>
        <w:tc>
          <w:tcPr>
            <w:tcW w:w="2517" w:type="dxa"/>
            <w:vMerge/>
          </w:tcPr>
          <w:p w14:paraId="0BE5D614" w14:textId="77777777" w:rsidR="00FE291A" w:rsidRDefault="00FE291A">
            <w:pPr>
              <w:widowControl/>
              <w:rPr>
                <w:sz w:val="22"/>
                <w:szCs w:val="22"/>
                <w:lang w:val="de-DE" w:eastAsia="en-US"/>
              </w:rPr>
            </w:pPr>
          </w:p>
        </w:tc>
        <w:tc>
          <w:tcPr>
            <w:tcW w:w="1920" w:type="dxa"/>
          </w:tcPr>
          <w:p w14:paraId="0B52722B" w14:textId="77777777" w:rsidR="00FE291A" w:rsidRDefault="00C8738F">
            <w:pPr>
              <w:widowControl/>
              <w:kinsoku w:val="0"/>
              <w:overflowPunct w:val="0"/>
              <w:rPr>
                <w:sz w:val="22"/>
                <w:szCs w:val="22"/>
                <w:lang w:val="de-DE" w:eastAsia="en-US"/>
              </w:rPr>
            </w:pPr>
            <w:r>
              <w:rPr>
                <w:sz w:val="22"/>
                <w:szCs w:val="22"/>
                <w:lang w:val="de-DE" w:eastAsia="en-US"/>
              </w:rPr>
              <w:t>Gelegentlich</w:t>
            </w:r>
          </w:p>
        </w:tc>
        <w:tc>
          <w:tcPr>
            <w:tcW w:w="4598" w:type="dxa"/>
          </w:tcPr>
          <w:p w14:paraId="74F2983C" w14:textId="77777777" w:rsidR="00FE291A" w:rsidRDefault="00C8738F">
            <w:pPr>
              <w:widowControl/>
              <w:rPr>
                <w:sz w:val="22"/>
                <w:szCs w:val="22"/>
                <w:lang w:val="de-DE" w:eastAsia="en-US"/>
              </w:rPr>
            </w:pPr>
            <w:r>
              <w:rPr>
                <w:sz w:val="22"/>
                <w:szCs w:val="22"/>
                <w:lang w:val="de-DE" w:eastAsia="en-US"/>
              </w:rPr>
              <w:t>neurologische Infektionen (einschließlich viraler Meningitis),</w:t>
            </w:r>
          </w:p>
          <w:p w14:paraId="19C733FB" w14:textId="77777777" w:rsidR="00FE291A" w:rsidRDefault="00C8738F">
            <w:pPr>
              <w:widowControl/>
              <w:rPr>
                <w:sz w:val="22"/>
                <w:szCs w:val="22"/>
                <w:lang w:val="de-DE" w:eastAsia="en-US"/>
              </w:rPr>
            </w:pPr>
            <w:r>
              <w:rPr>
                <w:sz w:val="22"/>
                <w:szCs w:val="22"/>
                <w:lang w:val="de-DE" w:eastAsia="en-US"/>
              </w:rPr>
              <w:t>opportunistische Infektionen und Tuberkulose (einschließlich Kokzidioidomykose, Histoplasmose und komplexe Infektion durch Mycobacterium avium),</w:t>
            </w:r>
          </w:p>
          <w:p w14:paraId="0A21D32B" w14:textId="77777777" w:rsidR="00FE291A" w:rsidRDefault="00C8738F">
            <w:pPr>
              <w:widowControl/>
              <w:rPr>
                <w:sz w:val="22"/>
                <w:szCs w:val="22"/>
                <w:lang w:val="de-DE" w:eastAsia="en-US"/>
              </w:rPr>
            </w:pPr>
            <w:r>
              <w:rPr>
                <w:sz w:val="22"/>
                <w:szCs w:val="22"/>
                <w:lang w:val="de-DE" w:eastAsia="en-US"/>
              </w:rPr>
              <w:t>bakterielle Infektionen,</w:t>
            </w:r>
          </w:p>
          <w:p w14:paraId="4EAEC7D3" w14:textId="77777777" w:rsidR="00FE291A" w:rsidRDefault="00C8738F">
            <w:pPr>
              <w:widowControl/>
              <w:rPr>
                <w:sz w:val="22"/>
                <w:szCs w:val="22"/>
                <w:lang w:val="de-DE" w:eastAsia="en-US"/>
              </w:rPr>
            </w:pPr>
            <w:r>
              <w:rPr>
                <w:sz w:val="22"/>
                <w:szCs w:val="22"/>
                <w:lang w:val="de-DE" w:eastAsia="en-US"/>
              </w:rPr>
              <w:t>Augeninfektionen,</w:t>
            </w:r>
          </w:p>
          <w:p w14:paraId="2234D421" w14:textId="77777777" w:rsidR="00FE291A" w:rsidRDefault="00C8738F">
            <w:pPr>
              <w:widowControl/>
              <w:rPr>
                <w:sz w:val="22"/>
                <w:szCs w:val="22"/>
                <w:lang w:val="de-DE" w:eastAsia="en-US"/>
              </w:rPr>
            </w:pPr>
            <w:r>
              <w:rPr>
                <w:sz w:val="22"/>
                <w:szCs w:val="22"/>
                <w:lang w:val="de-DE" w:eastAsia="en-US"/>
              </w:rPr>
              <w:t>Divertikulitis</w:t>
            </w:r>
            <w:r>
              <w:rPr>
                <w:sz w:val="22"/>
                <w:szCs w:val="22"/>
                <w:vertAlign w:val="superscript"/>
                <w:lang w:val="de-DE" w:eastAsia="en-US"/>
              </w:rPr>
              <w:t>1)</w:t>
            </w:r>
          </w:p>
        </w:tc>
      </w:tr>
      <w:tr w:rsidR="00FE291A" w14:paraId="164521D8" w14:textId="77777777">
        <w:trPr>
          <w:trHeight w:val="590"/>
        </w:trPr>
        <w:tc>
          <w:tcPr>
            <w:tcW w:w="2517" w:type="dxa"/>
            <w:vMerge w:val="restart"/>
          </w:tcPr>
          <w:p w14:paraId="17A7E489" w14:textId="77777777" w:rsidR="00FE291A" w:rsidRDefault="00C8738F">
            <w:pPr>
              <w:widowControl/>
              <w:rPr>
                <w:sz w:val="22"/>
                <w:szCs w:val="22"/>
                <w:lang w:val="de-DE" w:eastAsia="en-US"/>
              </w:rPr>
            </w:pPr>
            <w:r>
              <w:rPr>
                <w:sz w:val="22"/>
                <w:szCs w:val="22"/>
                <w:lang w:val="de-DE" w:eastAsia="en-US"/>
              </w:rPr>
              <w:t>Gutartige, bösartige und unspezifische Neubildungen (einschließlich Zysten und Polypen)*</w:t>
            </w:r>
          </w:p>
        </w:tc>
        <w:tc>
          <w:tcPr>
            <w:tcW w:w="1920" w:type="dxa"/>
          </w:tcPr>
          <w:p w14:paraId="1EF70A14" w14:textId="77777777" w:rsidR="00FE291A" w:rsidRDefault="00C8738F">
            <w:pPr>
              <w:widowControl/>
              <w:kinsoku w:val="0"/>
              <w:overflowPunct w:val="0"/>
              <w:rPr>
                <w:sz w:val="22"/>
                <w:szCs w:val="22"/>
                <w:lang w:val="de-DE"/>
              </w:rPr>
            </w:pPr>
            <w:r>
              <w:rPr>
                <w:sz w:val="22"/>
                <w:szCs w:val="22"/>
                <w:lang w:val="de-DE" w:eastAsia="en-US"/>
              </w:rPr>
              <w:t>Häufig</w:t>
            </w:r>
          </w:p>
        </w:tc>
        <w:tc>
          <w:tcPr>
            <w:tcW w:w="4598" w:type="dxa"/>
          </w:tcPr>
          <w:p w14:paraId="064A5E7C" w14:textId="77777777" w:rsidR="00FE291A" w:rsidRDefault="00C8738F">
            <w:pPr>
              <w:widowControl/>
              <w:rPr>
                <w:sz w:val="22"/>
                <w:szCs w:val="22"/>
                <w:lang w:val="de-DE" w:eastAsia="en-US"/>
              </w:rPr>
            </w:pPr>
            <w:r>
              <w:rPr>
                <w:sz w:val="22"/>
                <w:szCs w:val="22"/>
                <w:lang w:val="de-DE" w:eastAsia="en-US"/>
              </w:rPr>
              <w:t>Hautkrebs außer Melanom (einschließlich Basalzellkarzinom und Plattenepithelkarzinom),</w:t>
            </w:r>
          </w:p>
          <w:p w14:paraId="6E177DE1" w14:textId="77777777" w:rsidR="00FE291A" w:rsidRDefault="00C8738F">
            <w:pPr>
              <w:widowControl/>
              <w:rPr>
                <w:sz w:val="22"/>
                <w:szCs w:val="22"/>
                <w:lang w:val="de-DE"/>
              </w:rPr>
            </w:pPr>
            <w:r>
              <w:rPr>
                <w:sz w:val="22"/>
                <w:szCs w:val="22"/>
                <w:lang w:val="de-DE" w:eastAsia="en-US"/>
              </w:rPr>
              <w:t>gutartiges Neoplasma</w:t>
            </w:r>
          </w:p>
        </w:tc>
      </w:tr>
      <w:tr w:rsidR="00FE291A" w:rsidRPr="002E6CD3" w14:paraId="4083F4F2" w14:textId="77777777">
        <w:trPr>
          <w:trHeight w:val="590"/>
        </w:trPr>
        <w:tc>
          <w:tcPr>
            <w:tcW w:w="2517" w:type="dxa"/>
            <w:vMerge/>
          </w:tcPr>
          <w:p w14:paraId="75300DBE" w14:textId="77777777" w:rsidR="00FE291A" w:rsidRDefault="00FE291A">
            <w:pPr>
              <w:widowControl/>
              <w:rPr>
                <w:sz w:val="22"/>
                <w:szCs w:val="22"/>
                <w:lang w:val="de-DE" w:eastAsia="en-US"/>
              </w:rPr>
            </w:pPr>
          </w:p>
        </w:tc>
        <w:tc>
          <w:tcPr>
            <w:tcW w:w="1920" w:type="dxa"/>
          </w:tcPr>
          <w:p w14:paraId="4F8C2DA8" w14:textId="77777777" w:rsidR="00FE291A" w:rsidRDefault="00C8738F">
            <w:pPr>
              <w:widowControl/>
              <w:kinsoku w:val="0"/>
              <w:overflowPunct w:val="0"/>
              <w:rPr>
                <w:sz w:val="22"/>
                <w:szCs w:val="22"/>
                <w:lang w:val="de-DE" w:eastAsia="en-US"/>
              </w:rPr>
            </w:pPr>
            <w:r>
              <w:rPr>
                <w:sz w:val="22"/>
                <w:szCs w:val="22"/>
                <w:lang w:val="de-DE" w:eastAsia="en-US"/>
              </w:rPr>
              <w:t>Gelegentlich</w:t>
            </w:r>
          </w:p>
          <w:p w14:paraId="4FC054C8" w14:textId="77777777" w:rsidR="00FE291A" w:rsidRDefault="00FE291A">
            <w:pPr>
              <w:widowControl/>
              <w:kinsoku w:val="0"/>
              <w:overflowPunct w:val="0"/>
              <w:rPr>
                <w:sz w:val="22"/>
                <w:szCs w:val="22"/>
                <w:lang w:val="de-DE" w:eastAsia="en-US"/>
              </w:rPr>
            </w:pPr>
          </w:p>
        </w:tc>
        <w:tc>
          <w:tcPr>
            <w:tcW w:w="4598" w:type="dxa"/>
          </w:tcPr>
          <w:p w14:paraId="208152D3" w14:textId="77777777" w:rsidR="00FE291A" w:rsidRDefault="00C8738F">
            <w:pPr>
              <w:widowControl/>
              <w:rPr>
                <w:sz w:val="22"/>
                <w:szCs w:val="22"/>
                <w:lang w:val="de-DE" w:eastAsia="en-US"/>
              </w:rPr>
            </w:pPr>
            <w:r>
              <w:rPr>
                <w:sz w:val="22"/>
                <w:szCs w:val="22"/>
                <w:lang w:val="de-DE" w:eastAsia="en-US"/>
              </w:rPr>
              <w:t>Lymphom**,</w:t>
            </w:r>
          </w:p>
          <w:p w14:paraId="1C533E26" w14:textId="77777777" w:rsidR="00FE291A" w:rsidRDefault="00C8738F">
            <w:pPr>
              <w:widowControl/>
              <w:rPr>
                <w:sz w:val="22"/>
                <w:szCs w:val="22"/>
                <w:lang w:val="de-DE" w:eastAsia="en-US"/>
              </w:rPr>
            </w:pPr>
            <w:r>
              <w:rPr>
                <w:sz w:val="22"/>
                <w:szCs w:val="22"/>
                <w:lang w:val="de-DE" w:eastAsia="en-US"/>
              </w:rPr>
              <w:t>solide Organtumoren (einschließlich Brustkrebs, Lungentumor und Schilddrüsentumor), Melanom**</w:t>
            </w:r>
          </w:p>
        </w:tc>
      </w:tr>
      <w:tr w:rsidR="00FE291A" w14:paraId="03BDE315" w14:textId="77777777">
        <w:trPr>
          <w:trHeight w:val="289"/>
        </w:trPr>
        <w:tc>
          <w:tcPr>
            <w:tcW w:w="2517" w:type="dxa"/>
            <w:vMerge/>
          </w:tcPr>
          <w:p w14:paraId="2158CA26" w14:textId="77777777" w:rsidR="00FE291A" w:rsidRDefault="00FE291A">
            <w:pPr>
              <w:widowControl/>
              <w:rPr>
                <w:sz w:val="22"/>
                <w:szCs w:val="22"/>
                <w:lang w:val="de-DE" w:eastAsia="en-US"/>
              </w:rPr>
            </w:pPr>
          </w:p>
        </w:tc>
        <w:tc>
          <w:tcPr>
            <w:tcW w:w="1920" w:type="dxa"/>
          </w:tcPr>
          <w:p w14:paraId="664FCC4C" w14:textId="77777777" w:rsidR="00FE291A" w:rsidRDefault="00C8738F">
            <w:pPr>
              <w:widowControl/>
              <w:kinsoku w:val="0"/>
              <w:overflowPunct w:val="0"/>
              <w:rPr>
                <w:sz w:val="22"/>
                <w:szCs w:val="22"/>
                <w:lang w:val="de-DE" w:eastAsia="en-US"/>
              </w:rPr>
            </w:pPr>
            <w:r>
              <w:rPr>
                <w:sz w:val="22"/>
                <w:szCs w:val="22"/>
                <w:lang w:val="de-DE" w:eastAsia="en-US"/>
              </w:rPr>
              <w:t>Selten</w:t>
            </w:r>
          </w:p>
        </w:tc>
        <w:tc>
          <w:tcPr>
            <w:tcW w:w="4598" w:type="dxa"/>
          </w:tcPr>
          <w:p w14:paraId="1E5D7E2A" w14:textId="77777777" w:rsidR="00FE291A" w:rsidRDefault="00C8738F">
            <w:pPr>
              <w:widowControl/>
              <w:kinsoku w:val="0"/>
              <w:overflowPunct w:val="0"/>
              <w:rPr>
                <w:sz w:val="22"/>
                <w:szCs w:val="22"/>
                <w:lang w:val="de-DE" w:eastAsia="en-US"/>
              </w:rPr>
            </w:pPr>
            <w:r>
              <w:rPr>
                <w:sz w:val="22"/>
                <w:szCs w:val="22"/>
                <w:lang w:val="de-DE" w:eastAsia="en-US"/>
              </w:rPr>
              <w:t>Leukämie</w:t>
            </w:r>
            <w:r>
              <w:rPr>
                <w:sz w:val="22"/>
                <w:szCs w:val="22"/>
                <w:vertAlign w:val="superscript"/>
                <w:lang w:val="de-DE" w:eastAsia="en-US"/>
              </w:rPr>
              <w:t>1)</w:t>
            </w:r>
          </w:p>
        </w:tc>
      </w:tr>
      <w:tr w:rsidR="00FE291A" w14:paraId="76B3FD28" w14:textId="77777777">
        <w:trPr>
          <w:trHeight w:val="590"/>
        </w:trPr>
        <w:tc>
          <w:tcPr>
            <w:tcW w:w="2517" w:type="dxa"/>
            <w:vMerge/>
          </w:tcPr>
          <w:p w14:paraId="26BD5D98" w14:textId="77777777" w:rsidR="00FE291A" w:rsidRDefault="00FE291A">
            <w:pPr>
              <w:widowControl/>
              <w:rPr>
                <w:sz w:val="22"/>
                <w:szCs w:val="22"/>
                <w:lang w:val="de-DE" w:eastAsia="en-US"/>
              </w:rPr>
            </w:pPr>
          </w:p>
        </w:tc>
        <w:tc>
          <w:tcPr>
            <w:tcW w:w="1920" w:type="dxa"/>
          </w:tcPr>
          <w:p w14:paraId="49BC5634" w14:textId="77777777" w:rsidR="00FE291A" w:rsidRDefault="00C8738F">
            <w:pPr>
              <w:widowControl/>
              <w:kinsoku w:val="0"/>
              <w:overflowPunct w:val="0"/>
              <w:rPr>
                <w:sz w:val="22"/>
                <w:szCs w:val="22"/>
                <w:lang w:val="de-DE" w:eastAsia="en-US"/>
              </w:rPr>
            </w:pPr>
            <w:r>
              <w:rPr>
                <w:sz w:val="22"/>
                <w:szCs w:val="22"/>
                <w:lang w:val="de-DE" w:eastAsia="en-US"/>
              </w:rPr>
              <w:t>Nicht bekannt</w:t>
            </w:r>
          </w:p>
        </w:tc>
        <w:tc>
          <w:tcPr>
            <w:tcW w:w="4598" w:type="dxa"/>
          </w:tcPr>
          <w:p w14:paraId="5943D564" w14:textId="77777777" w:rsidR="00FE291A" w:rsidRDefault="00C8738F">
            <w:pPr>
              <w:widowControl/>
              <w:rPr>
                <w:sz w:val="22"/>
                <w:szCs w:val="22"/>
                <w:lang w:val="de-DE" w:eastAsia="en-US"/>
              </w:rPr>
            </w:pPr>
            <w:r>
              <w:rPr>
                <w:sz w:val="22"/>
                <w:szCs w:val="22"/>
                <w:lang w:val="de-DE" w:eastAsia="en-US"/>
              </w:rPr>
              <w:t>hepatosplenales T-Zell-Lymphom</w:t>
            </w:r>
            <w:r>
              <w:rPr>
                <w:sz w:val="22"/>
                <w:szCs w:val="22"/>
                <w:vertAlign w:val="superscript"/>
                <w:lang w:val="de-DE" w:eastAsia="en-US"/>
              </w:rPr>
              <w:t>1)</w:t>
            </w:r>
            <w:r>
              <w:rPr>
                <w:sz w:val="22"/>
                <w:szCs w:val="22"/>
                <w:lang w:val="de-DE" w:eastAsia="en-US"/>
              </w:rPr>
              <w:t>,</w:t>
            </w:r>
          </w:p>
          <w:p w14:paraId="1A5E48A1" w14:textId="77777777" w:rsidR="00FE291A" w:rsidRDefault="00C8738F">
            <w:pPr>
              <w:widowControl/>
              <w:rPr>
                <w:sz w:val="22"/>
                <w:szCs w:val="22"/>
                <w:lang w:val="de-DE" w:eastAsia="en-US"/>
              </w:rPr>
            </w:pPr>
            <w:r>
              <w:rPr>
                <w:sz w:val="22"/>
                <w:szCs w:val="22"/>
                <w:lang w:val="de-DE" w:eastAsia="en-US"/>
              </w:rPr>
              <w:t>Merkelzellkarzinom (neuroendokrines Karzinom der Haut)</w:t>
            </w:r>
            <w:r>
              <w:rPr>
                <w:sz w:val="22"/>
                <w:szCs w:val="22"/>
                <w:vertAlign w:val="superscript"/>
                <w:lang w:val="de-DE" w:eastAsia="en-US"/>
              </w:rPr>
              <w:t>1)</w:t>
            </w:r>
            <w:r>
              <w:rPr>
                <w:sz w:val="22"/>
                <w:szCs w:val="22"/>
                <w:lang w:val="de-DE" w:eastAsia="en-US"/>
              </w:rPr>
              <w:t>,</w:t>
            </w:r>
          </w:p>
          <w:p w14:paraId="2E150029" w14:textId="77777777" w:rsidR="00FE291A" w:rsidRDefault="00C8738F">
            <w:pPr>
              <w:widowControl/>
              <w:rPr>
                <w:sz w:val="22"/>
                <w:szCs w:val="22"/>
                <w:lang w:val="de-DE" w:eastAsia="en-US"/>
              </w:rPr>
            </w:pPr>
            <w:r>
              <w:rPr>
                <w:sz w:val="22"/>
                <w:szCs w:val="22"/>
                <w:lang w:val="de-DE" w:eastAsia="en-US"/>
              </w:rPr>
              <w:t>Kaposi-Sarkom</w:t>
            </w:r>
          </w:p>
        </w:tc>
      </w:tr>
      <w:tr w:rsidR="00FE291A" w14:paraId="5208161C" w14:textId="77777777">
        <w:trPr>
          <w:trHeight w:val="465"/>
        </w:trPr>
        <w:tc>
          <w:tcPr>
            <w:tcW w:w="2517" w:type="dxa"/>
            <w:vMerge w:val="restart"/>
          </w:tcPr>
          <w:p w14:paraId="7203E6AF" w14:textId="77777777" w:rsidR="00FE291A" w:rsidRDefault="00C8738F">
            <w:pPr>
              <w:keepNext/>
              <w:keepLines/>
              <w:widowControl/>
              <w:rPr>
                <w:sz w:val="22"/>
                <w:szCs w:val="22"/>
                <w:lang w:val="de-DE" w:eastAsia="en-US"/>
              </w:rPr>
            </w:pPr>
            <w:r>
              <w:rPr>
                <w:sz w:val="22"/>
                <w:szCs w:val="22"/>
                <w:lang w:val="de-DE" w:eastAsia="en-US"/>
              </w:rPr>
              <w:t>Erkrankungen des Blutes und des Lymphsystems*</w:t>
            </w:r>
          </w:p>
        </w:tc>
        <w:tc>
          <w:tcPr>
            <w:tcW w:w="1920" w:type="dxa"/>
          </w:tcPr>
          <w:p w14:paraId="1AB5AADB" w14:textId="77777777" w:rsidR="00FE291A" w:rsidRDefault="00C8738F">
            <w:pPr>
              <w:keepNext/>
              <w:keepLines/>
              <w:widowControl/>
              <w:kinsoku w:val="0"/>
              <w:overflowPunct w:val="0"/>
              <w:rPr>
                <w:sz w:val="22"/>
                <w:szCs w:val="22"/>
                <w:lang w:val="de-DE"/>
              </w:rPr>
            </w:pPr>
            <w:r>
              <w:rPr>
                <w:sz w:val="22"/>
                <w:szCs w:val="22"/>
                <w:lang w:val="de-DE" w:eastAsia="en-US"/>
              </w:rPr>
              <w:t>Sehr häufig</w:t>
            </w:r>
          </w:p>
        </w:tc>
        <w:tc>
          <w:tcPr>
            <w:tcW w:w="4598" w:type="dxa"/>
          </w:tcPr>
          <w:p w14:paraId="466860F6" w14:textId="77777777" w:rsidR="00FE291A" w:rsidRDefault="00C8738F">
            <w:pPr>
              <w:keepNext/>
              <w:keepLines/>
              <w:widowControl/>
              <w:rPr>
                <w:sz w:val="22"/>
                <w:szCs w:val="22"/>
                <w:lang w:val="de-DE" w:eastAsia="en-US"/>
              </w:rPr>
            </w:pPr>
            <w:r>
              <w:rPr>
                <w:sz w:val="22"/>
                <w:szCs w:val="22"/>
                <w:lang w:val="de-DE" w:eastAsia="en-US"/>
              </w:rPr>
              <w:t>Leukopenie (einschließlich Neutropenie und Agranulozytose),</w:t>
            </w:r>
          </w:p>
          <w:p w14:paraId="2D5C8932" w14:textId="77777777" w:rsidR="00FE291A" w:rsidRDefault="00C8738F">
            <w:pPr>
              <w:keepNext/>
              <w:keepLines/>
              <w:widowControl/>
              <w:kinsoku w:val="0"/>
              <w:overflowPunct w:val="0"/>
              <w:rPr>
                <w:sz w:val="22"/>
                <w:szCs w:val="22"/>
                <w:lang w:val="de-DE"/>
              </w:rPr>
            </w:pPr>
            <w:r>
              <w:rPr>
                <w:sz w:val="22"/>
                <w:szCs w:val="22"/>
                <w:lang w:val="de-DE" w:eastAsia="en-US"/>
              </w:rPr>
              <w:t>Anämie</w:t>
            </w:r>
          </w:p>
        </w:tc>
      </w:tr>
      <w:tr w:rsidR="00FE291A" w14:paraId="37197F8A" w14:textId="77777777">
        <w:trPr>
          <w:trHeight w:val="465"/>
        </w:trPr>
        <w:tc>
          <w:tcPr>
            <w:tcW w:w="2517" w:type="dxa"/>
            <w:vMerge/>
          </w:tcPr>
          <w:p w14:paraId="1B450CF0" w14:textId="77777777" w:rsidR="00FE291A" w:rsidRDefault="00FE291A">
            <w:pPr>
              <w:widowControl/>
              <w:rPr>
                <w:sz w:val="22"/>
                <w:szCs w:val="22"/>
                <w:lang w:val="de-DE" w:eastAsia="en-US"/>
              </w:rPr>
            </w:pPr>
          </w:p>
        </w:tc>
        <w:tc>
          <w:tcPr>
            <w:tcW w:w="1920" w:type="dxa"/>
          </w:tcPr>
          <w:p w14:paraId="430E01B8" w14:textId="77777777" w:rsidR="00FE291A" w:rsidRDefault="00C8738F">
            <w:pPr>
              <w:widowControl/>
              <w:kinsoku w:val="0"/>
              <w:overflowPunct w:val="0"/>
              <w:rPr>
                <w:sz w:val="22"/>
                <w:szCs w:val="22"/>
                <w:lang w:val="de-DE" w:eastAsia="en-US"/>
              </w:rPr>
            </w:pPr>
            <w:r>
              <w:rPr>
                <w:sz w:val="22"/>
                <w:szCs w:val="22"/>
                <w:lang w:val="de-DE" w:eastAsia="en-US"/>
              </w:rPr>
              <w:t>Häufig</w:t>
            </w:r>
          </w:p>
        </w:tc>
        <w:tc>
          <w:tcPr>
            <w:tcW w:w="4598" w:type="dxa"/>
          </w:tcPr>
          <w:p w14:paraId="0B64C1F8" w14:textId="77777777" w:rsidR="00FE291A" w:rsidRDefault="00C8738F">
            <w:pPr>
              <w:widowControl/>
              <w:rPr>
                <w:sz w:val="22"/>
                <w:szCs w:val="22"/>
                <w:lang w:val="de-DE" w:eastAsia="en-US"/>
              </w:rPr>
            </w:pPr>
            <w:r>
              <w:rPr>
                <w:sz w:val="22"/>
                <w:szCs w:val="22"/>
                <w:lang w:val="de-DE" w:eastAsia="en-US"/>
              </w:rPr>
              <w:t>Leukozytose,</w:t>
            </w:r>
          </w:p>
          <w:p w14:paraId="3371FD91" w14:textId="77777777" w:rsidR="00FE291A" w:rsidRDefault="00C8738F">
            <w:pPr>
              <w:widowControl/>
              <w:kinsoku w:val="0"/>
              <w:overflowPunct w:val="0"/>
              <w:rPr>
                <w:sz w:val="22"/>
                <w:szCs w:val="22"/>
                <w:lang w:val="de-DE" w:eastAsia="en-US"/>
              </w:rPr>
            </w:pPr>
            <w:r>
              <w:rPr>
                <w:sz w:val="22"/>
                <w:szCs w:val="22"/>
                <w:lang w:val="de-DE" w:eastAsia="en-US"/>
              </w:rPr>
              <w:t>Thrombozytopenie</w:t>
            </w:r>
          </w:p>
        </w:tc>
      </w:tr>
      <w:tr w:rsidR="00FE291A" w14:paraId="631A9A6D" w14:textId="77777777">
        <w:trPr>
          <w:trHeight w:val="352"/>
        </w:trPr>
        <w:tc>
          <w:tcPr>
            <w:tcW w:w="2517" w:type="dxa"/>
            <w:vMerge/>
          </w:tcPr>
          <w:p w14:paraId="683E9F22" w14:textId="77777777" w:rsidR="00FE291A" w:rsidRDefault="00FE291A">
            <w:pPr>
              <w:widowControl/>
              <w:rPr>
                <w:sz w:val="22"/>
                <w:szCs w:val="22"/>
                <w:lang w:val="de-DE" w:eastAsia="en-US"/>
              </w:rPr>
            </w:pPr>
          </w:p>
        </w:tc>
        <w:tc>
          <w:tcPr>
            <w:tcW w:w="1920" w:type="dxa"/>
          </w:tcPr>
          <w:p w14:paraId="456BB890" w14:textId="77777777" w:rsidR="00FE291A" w:rsidRDefault="00C8738F">
            <w:pPr>
              <w:widowControl/>
              <w:kinsoku w:val="0"/>
              <w:overflowPunct w:val="0"/>
              <w:rPr>
                <w:sz w:val="22"/>
                <w:szCs w:val="22"/>
                <w:lang w:val="de-DE" w:eastAsia="en-US"/>
              </w:rPr>
            </w:pPr>
            <w:r>
              <w:rPr>
                <w:sz w:val="22"/>
                <w:szCs w:val="22"/>
                <w:lang w:val="de-DE" w:eastAsia="en-US"/>
              </w:rPr>
              <w:t>Gelegentlich</w:t>
            </w:r>
          </w:p>
        </w:tc>
        <w:tc>
          <w:tcPr>
            <w:tcW w:w="4598" w:type="dxa"/>
          </w:tcPr>
          <w:p w14:paraId="509444A7" w14:textId="77777777" w:rsidR="00FE291A" w:rsidRDefault="00C8738F">
            <w:pPr>
              <w:widowControl/>
              <w:kinsoku w:val="0"/>
              <w:overflowPunct w:val="0"/>
              <w:rPr>
                <w:sz w:val="22"/>
                <w:szCs w:val="22"/>
                <w:lang w:val="de-DE" w:eastAsia="en-US"/>
              </w:rPr>
            </w:pPr>
            <w:r>
              <w:rPr>
                <w:sz w:val="22"/>
                <w:szCs w:val="22"/>
                <w:lang w:val="de-DE" w:eastAsia="en-US"/>
              </w:rPr>
              <w:t>idiopathische thrombozytopenische Purpura</w:t>
            </w:r>
          </w:p>
        </w:tc>
      </w:tr>
      <w:tr w:rsidR="00FE291A" w14:paraId="47AA50FB" w14:textId="77777777">
        <w:trPr>
          <w:trHeight w:val="260"/>
        </w:trPr>
        <w:tc>
          <w:tcPr>
            <w:tcW w:w="2517" w:type="dxa"/>
            <w:vMerge/>
          </w:tcPr>
          <w:p w14:paraId="0EA326AF" w14:textId="77777777" w:rsidR="00FE291A" w:rsidRDefault="00FE291A">
            <w:pPr>
              <w:widowControl/>
              <w:rPr>
                <w:sz w:val="22"/>
                <w:szCs w:val="22"/>
                <w:lang w:val="de-DE" w:eastAsia="en-US"/>
              </w:rPr>
            </w:pPr>
          </w:p>
        </w:tc>
        <w:tc>
          <w:tcPr>
            <w:tcW w:w="1920" w:type="dxa"/>
          </w:tcPr>
          <w:p w14:paraId="240FCE4F" w14:textId="77777777" w:rsidR="00FE291A" w:rsidRDefault="00C8738F">
            <w:pPr>
              <w:widowControl/>
              <w:kinsoku w:val="0"/>
              <w:overflowPunct w:val="0"/>
              <w:rPr>
                <w:sz w:val="22"/>
                <w:szCs w:val="22"/>
                <w:lang w:val="de-DE" w:eastAsia="en-US"/>
              </w:rPr>
            </w:pPr>
            <w:r>
              <w:rPr>
                <w:sz w:val="22"/>
                <w:szCs w:val="22"/>
                <w:lang w:val="de-DE" w:eastAsia="en-US"/>
              </w:rPr>
              <w:t>Selten</w:t>
            </w:r>
          </w:p>
        </w:tc>
        <w:tc>
          <w:tcPr>
            <w:tcW w:w="4598" w:type="dxa"/>
          </w:tcPr>
          <w:p w14:paraId="0D6A7229" w14:textId="77777777" w:rsidR="00FE291A" w:rsidRDefault="00C8738F">
            <w:pPr>
              <w:widowControl/>
              <w:kinsoku w:val="0"/>
              <w:overflowPunct w:val="0"/>
              <w:rPr>
                <w:sz w:val="22"/>
                <w:szCs w:val="22"/>
                <w:lang w:val="de-DE" w:eastAsia="en-US"/>
              </w:rPr>
            </w:pPr>
            <w:r>
              <w:rPr>
                <w:sz w:val="22"/>
                <w:szCs w:val="22"/>
                <w:lang w:val="de-DE" w:eastAsia="en-US"/>
              </w:rPr>
              <w:t>Panzytopenie</w:t>
            </w:r>
          </w:p>
        </w:tc>
      </w:tr>
      <w:tr w:rsidR="00FE291A" w:rsidRPr="002E6CD3" w14:paraId="203021DD" w14:textId="77777777">
        <w:trPr>
          <w:trHeight w:val="564"/>
        </w:trPr>
        <w:tc>
          <w:tcPr>
            <w:tcW w:w="2517" w:type="dxa"/>
            <w:vMerge w:val="restart"/>
          </w:tcPr>
          <w:p w14:paraId="6BF18EF6" w14:textId="77777777" w:rsidR="00FE291A" w:rsidRDefault="00C8738F">
            <w:pPr>
              <w:keepNext/>
              <w:widowControl/>
              <w:rPr>
                <w:sz w:val="22"/>
                <w:szCs w:val="22"/>
                <w:lang w:val="de-DE" w:eastAsia="en-US"/>
              </w:rPr>
            </w:pPr>
            <w:r>
              <w:rPr>
                <w:sz w:val="22"/>
                <w:szCs w:val="22"/>
                <w:lang w:val="de-DE" w:eastAsia="en-US"/>
              </w:rPr>
              <w:t>Erkrankungen des Immunsystems*</w:t>
            </w:r>
          </w:p>
        </w:tc>
        <w:tc>
          <w:tcPr>
            <w:tcW w:w="1920" w:type="dxa"/>
          </w:tcPr>
          <w:p w14:paraId="2D067525" w14:textId="77777777" w:rsidR="00FE291A" w:rsidRDefault="00C8738F">
            <w:pPr>
              <w:keepNext/>
              <w:widowControl/>
              <w:kinsoku w:val="0"/>
              <w:overflowPunct w:val="0"/>
              <w:rPr>
                <w:sz w:val="22"/>
                <w:szCs w:val="22"/>
                <w:lang w:val="de-DE"/>
              </w:rPr>
            </w:pPr>
            <w:r>
              <w:rPr>
                <w:sz w:val="22"/>
                <w:szCs w:val="22"/>
                <w:lang w:val="de-DE" w:eastAsia="en-US"/>
              </w:rPr>
              <w:t>Häufig</w:t>
            </w:r>
          </w:p>
        </w:tc>
        <w:tc>
          <w:tcPr>
            <w:tcW w:w="4598" w:type="dxa"/>
          </w:tcPr>
          <w:p w14:paraId="6BC8D6FE" w14:textId="77777777" w:rsidR="00FE291A" w:rsidRDefault="00C8738F">
            <w:pPr>
              <w:keepNext/>
              <w:widowControl/>
              <w:rPr>
                <w:sz w:val="22"/>
                <w:szCs w:val="22"/>
                <w:lang w:val="de-DE" w:eastAsia="en-US"/>
              </w:rPr>
            </w:pPr>
            <w:r>
              <w:rPr>
                <w:sz w:val="22"/>
                <w:szCs w:val="22"/>
                <w:lang w:val="de-DE" w:eastAsia="en-US"/>
              </w:rPr>
              <w:t>Überempfindlichkeit,</w:t>
            </w:r>
          </w:p>
          <w:p w14:paraId="12ECC437" w14:textId="77777777" w:rsidR="00FE291A" w:rsidRDefault="00C8738F">
            <w:pPr>
              <w:keepNext/>
              <w:widowControl/>
              <w:kinsoku w:val="0"/>
              <w:overflowPunct w:val="0"/>
              <w:rPr>
                <w:sz w:val="22"/>
                <w:szCs w:val="22"/>
                <w:lang w:val="de-DE"/>
              </w:rPr>
            </w:pPr>
            <w:r>
              <w:rPr>
                <w:sz w:val="22"/>
                <w:szCs w:val="22"/>
                <w:lang w:val="de-DE" w:eastAsia="en-US"/>
              </w:rPr>
              <w:t>Allergien (einschließlich durch Jahreszeiten bedingte Allergie)</w:t>
            </w:r>
          </w:p>
        </w:tc>
      </w:tr>
      <w:tr w:rsidR="00FE291A" w14:paraId="0B106CB5" w14:textId="77777777">
        <w:trPr>
          <w:trHeight w:val="563"/>
        </w:trPr>
        <w:tc>
          <w:tcPr>
            <w:tcW w:w="2517" w:type="dxa"/>
            <w:vMerge/>
          </w:tcPr>
          <w:p w14:paraId="718FD161" w14:textId="77777777" w:rsidR="00FE291A" w:rsidRDefault="00FE291A">
            <w:pPr>
              <w:keepNext/>
              <w:widowControl/>
              <w:rPr>
                <w:sz w:val="22"/>
                <w:szCs w:val="22"/>
                <w:lang w:val="de-DE" w:eastAsia="en-US"/>
              </w:rPr>
            </w:pPr>
          </w:p>
        </w:tc>
        <w:tc>
          <w:tcPr>
            <w:tcW w:w="1920" w:type="dxa"/>
          </w:tcPr>
          <w:p w14:paraId="35607BFC" w14:textId="77777777" w:rsidR="00FE291A" w:rsidRDefault="00C8738F">
            <w:pPr>
              <w:keepNext/>
              <w:widowControl/>
              <w:kinsoku w:val="0"/>
              <w:overflowPunct w:val="0"/>
              <w:rPr>
                <w:sz w:val="22"/>
                <w:szCs w:val="22"/>
                <w:lang w:val="de-DE" w:eastAsia="en-US"/>
              </w:rPr>
            </w:pPr>
            <w:r>
              <w:rPr>
                <w:sz w:val="22"/>
                <w:szCs w:val="22"/>
                <w:lang w:val="de-DE" w:eastAsia="en-US"/>
              </w:rPr>
              <w:t>Gelegentlich</w:t>
            </w:r>
          </w:p>
        </w:tc>
        <w:tc>
          <w:tcPr>
            <w:tcW w:w="4598" w:type="dxa"/>
          </w:tcPr>
          <w:p w14:paraId="5181553A" w14:textId="77777777" w:rsidR="00FE291A" w:rsidRDefault="00C8738F">
            <w:pPr>
              <w:keepNext/>
              <w:widowControl/>
              <w:rPr>
                <w:sz w:val="22"/>
                <w:szCs w:val="22"/>
                <w:lang w:val="de-DE" w:eastAsia="en-US"/>
              </w:rPr>
            </w:pPr>
            <w:r>
              <w:rPr>
                <w:sz w:val="22"/>
                <w:szCs w:val="22"/>
                <w:lang w:val="de-DE" w:eastAsia="en-US"/>
              </w:rPr>
              <w:t>Sarkoidose</w:t>
            </w:r>
            <w:r>
              <w:rPr>
                <w:sz w:val="22"/>
                <w:szCs w:val="22"/>
                <w:vertAlign w:val="superscript"/>
                <w:lang w:val="de-DE" w:eastAsia="en-US"/>
              </w:rPr>
              <w:t>1)</w:t>
            </w:r>
            <w:r>
              <w:rPr>
                <w:sz w:val="22"/>
                <w:szCs w:val="22"/>
                <w:lang w:val="de-DE" w:eastAsia="en-US"/>
              </w:rPr>
              <w:t>,</w:t>
            </w:r>
          </w:p>
          <w:p w14:paraId="69AF7460" w14:textId="77777777" w:rsidR="00FE291A" w:rsidRDefault="00C8738F">
            <w:pPr>
              <w:keepNext/>
              <w:widowControl/>
              <w:kinsoku w:val="0"/>
              <w:overflowPunct w:val="0"/>
              <w:rPr>
                <w:sz w:val="22"/>
                <w:szCs w:val="22"/>
                <w:lang w:val="de-DE" w:eastAsia="en-US"/>
              </w:rPr>
            </w:pPr>
            <w:r>
              <w:rPr>
                <w:sz w:val="22"/>
                <w:szCs w:val="22"/>
                <w:lang w:val="de-DE" w:eastAsia="en-US"/>
              </w:rPr>
              <w:t>Vaskulitis</w:t>
            </w:r>
          </w:p>
        </w:tc>
      </w:tr>
      <w:tr w:rsidR="00FE291A" w14:paraId="7E838023" w14:textId="77777777">
        <w:trPr>
          <w:trHeight w:val="353"/>
        </w:trPr>
        <w:tc>
          <w:tcPr>
            <w:tcW w:w="2517" w:type="dxa"/>
            <w:vMerge/>
          </w:tcPr>
          <w:p w14:paraId="10270977" w14:textId="77777777" w:rsidR="00FE291A" w:rsidRDefault="00FE291A">
            <w:pPr>
              <w:widowControl/>
              <w:rPr>
                <w:sz w:val="22"/>
                <w:szCs w:val="22"/>
                <w:lang w:val="de-DE" w:eastAsia="en-US"/>
              </w:rPr>
            </w:pPr>
          </w:p>
        </w:tc>
        <w:tc>
          <w:tcPr>
            <w:tcW w:w="1920" w:type="dxa"/>
          </w:tcPr>
          <w:p w14:paraId="44A2C610" w14:textId="77777777" w:rsidR="00FE291A" w:rsidRDefault="00C8738F">
            <w:pPr>
              <w:widowControl/>
              <w:kinsoku w:val="0"/>
              <w:overflowPunct w:val="0"/>
              <w:rPr>
                <w:sz w:val="22"/>
                <w:szCs w:val="22"/>
                <w:lang w:val="de-DE" w:eastAsia="en-US"/>
              </w:rPr>
            </w:pPr>
            <w:r>
              <w:rPr>
                <w:sz w:val="22"/>
                <w:szCs w:val="22"/>
                <w:lang w:val="de-DE" w:eastAsia="en-US"/>
              </w:rPr>
              <w:t>Selten</w:t>
            </w:r>
          </w:p>
        </w:tc>
        <w:tc>
          <w:tcPr>
            <w:tcW w:w="4598" w:type="dxa"/>
          </w:tcPr>
          <w:p w14:paraId="3395379E" w14:textId="77777777" w:rsidR="00FE291A" w:rsidRDefault="00C8738F">
            <w:pPr>
              <w:widowControl/>
              <w:kinsoku w:val="0"/>
              <w:overflowPunct w:val="0"/>
              <w:rPr>
                <w:sz w:val="22"/>
                <w:szCs w:val="22"/>
                <w:vertAlign w:val="superscript"/>
                <w:lang w:val="de-DE" w:eastAsia="en-US"/>
              </w:rPr>
            </w:pPr>
            <w:r>
              <w:rPr>
                <w:sz w:val="22"/>
                <w:szCs w:val="22"/>
                <w:lang w:val="de-DE" w:eastAsia="en-US"/>
              </w:rPr>
              <w:t>Anaphylaxie</w:t>
            </w:r>
            <w:r>
              <w:rPr>
                <w:sz w:val="22"/>
                <w:szCs w:val="22"/>
                <w:vertAlign w:val="superscript"/>
                <w:lang w:val="de-DE" w:eastAsia="en-US"/>
              </w:rPr>
              <w:t>1)</w:t>
            </w:r>
          </w:p>
        </w:tc>
      </w:tr>
      <w:tr w:rsidR="00FE291A" w14:paraId="142D72F3" w14:textId="77777777">
        <w:trPr>
          <w:trHeight w:val="401"/>
        </w:trPr>
        <w:tc>
          <w:tcPr>
            <w:tcW w:w="2517" w:type="dxa"/>
            <w:vMerge w:val="restart"/>
          </w:tcPr>
          <w:p w14:paraId="15D7B375" w14:textId="77777777" w:rsidR="00FE291A" w:rsidRDefault="00C8738F">
            <w:pPr>
              <w:widowControl/>
              <w:rPr>
                <w:sz w:val="22"/>
                <w:szCs w:val="22"/>
                <w:lang w:val="de-DE" w:eastAsia="en-US"/>
              </w:rPr>
            </w:pPr>
            <w:r>
              <w:rPr>
                <w:sz w:val="22"/>
                <w:szCs w:val="22"/>
                <w:lang w:val="de-DE" w:eastAsia="en-US"/>
              </w:rPr>
              <w:t>Stoffwechsel- und Ernährungsstörungen</w:t>
            </w:r>
          </w:p>
        </w:tc>
        <w:tc>
          <w:tcPr>
            <w:tcW w:w="1920" w:type="dxa"/>
          </w:tcPr>
          <w:p w14:paraId="0F0C42FC" w14:textId="77777777" w:rsidR="00FE291A" w:rsidRDefault="00C8738F">
            <w:pPr>
              <w:widowControl/>
              <w:kinsoku w:val="0"/>
              <w:overflowPunct w:val="0"/>
              <w:rPr>
                <w:sz w:val="22"/>
                <w:szCs w:val="22"/>
                <w:lang w:val="de-DE"/>
              </w:rPr>
            </w:pPr>
            <w:r>
              <w:rPr>
                <w:sz w:val="22"/>
                <w:szCs w:val="22"/>
                <w:lang w:val="de-DE" w:eastAsia="en-US"/>
              </w:rPr>
              <w:t>Sehr häufig</w:t>
            </w:r>
          </w:p>
        </w:tc>
        <w:tc>
          <w:tcPr>
            <w:tcW w:w="4598" w:type="dxa"/>
          </w:tcPr>
          <w:p w14:paraId="647268DB" w14:textId="77777777" w:rsidR="00FE291A" w:rsidRDefault="00C8738F">
            <w:pPr>
              <w:widowControl/>
              <w:kinsoku w:val="0"/>
              <w:overflowPunct w:val="0"/>
              <w:rPr>
                <w:sz w:val="22"/>
                <w:szCs w:val="22"/>
                <w:lang w:val="de-DE"/>
              </w:rPr>
            </w:pPr>
            <w:r>
              <w:rPr>
                <w:sz w:val="22"/>
                <w:szCs w:val="22"/>
                <w:lang w:val="de-DE" w:eastAsia="en-US"/>
              </w:rPr>
              <w:t>erhöhte Blutfettwerte</w:t>
            </w:r>
          </w:p>
        </w:tc>
      </w:tr>
      <w:tr w:rsidR="00FE291A" w14:paraId="27BA2F6B" w14:textId="77777777">
        <w:trPr>
          <w:trHeight w:val="760"/>
        </w:trPr>
        <w:tc>
          <w:tcPr>
            <w:tcW w:w="2517" w:type="dxa"/>
            <w:vMerge/>
          </w:tcPr>
          <w:p w14:paraId="2E9FA281" w14:textId="77777777" w:rsidR="00FE291A" w:rsidRDefault="00FE291A">
            <w:pPr>
              <w:widowControl/>
              <w:rPr>
                <w:sz w:val="22"/>
                <w:szCs w:val="22"/>
                <w:lang w:val="de-DE" w:eastAsia="en-US"/>
              </w:rPr>
            </w:pPr>
          </w:p>
        </w:tc>
        <w:tc>
          <w:tcPr>
            <w:tcW w:w="1920" w:type="dxa"/>
          </w:tcPr>
          <w:p w14:paraId="3D29FA9E" w14:textId="77777777" w:rsidR="00FE291A" w:rsidRDefault="00C8738F">
            <w:pPr>
              <w:widowControl/>
              <w:kinsoku w:val="0"/>
              <w:overflowPunct w:val="0"/>
              <w:rPr>
                <w:sz w:val="22"/>
                <w:szCs w:val="22"/>
                <w:lang w:val="de-DE" w:eastAsia="en-US"/>
              </w:rPr>
            </w:pPr>
            <w:r>
              <w:rPr>
                <w:sz w:val="22"/>
                <w:szCs w:val="22"/>
                <w:lang w:val="de-DE" w:eastAsia="en-US"/>
              </w:rPr>
              <w:t>Häufig</w:t>
            </w:r>
          </w:p>
        </w:tc>
        <w:tc>
          <w:tcPr>
            <w:tcW w:w="4598" w:type="dxa"/>
          </w:tcPr>
          <w:p w14:paraId="0E804B61" w14:textId="77777777" w:rsidR="00FE291A" w:rsidRDefault="00C8738F">
            <w:pPr>
              <w:widowControl/>
              <w:rPr>
                <w:sz w:val="22"/>
                <w:szCs w:val="22"/>
                <w:lang w:val="de-DE" w:eastAsia="en-US"/>
              </w:rPr>
            </w:pPr>
            <w:r>
              <w:rPr>
                <w:sz w:val="22"/>
                <w:szCs w:val="22"/>
                <w:lang w:val="de-DE" w:eastAsia="en-US"/>
              </w:rPr>
              <w:t>Hypokaliämie,</w:t>
            </w:r>
          </w:p>
          <w:p w14:paraId="6AD882C1" w14:textId="77777777" w:rsidR="00FE291A" w:rsidRDefault="00C8738F">
            <w:pPr>
              <w:widowControl/>
              <w:rPr>
                <w:sz w:val="22"/>
                <w:szCs w:val="22"/>
                <w:lang w:val="de-DE" w:eastAsia="en-US"/>
              </w:rPr>
            </w:pPr>
            <w:r>
              <w:rPr>
                <w:sz w:val="22"/>
                <w:szCs w:val="22"/>
                <w:lang w:val="de-DE" w:eastAsia="en-US"/>
              </w:rPr>
              <w:t>erhöhte Harnsäurewerte,</w:t>
            </w:r>
          </w:p>
          <w:p w14:paraId="0F1D2100" w14:textId="77777777" w:rsidR="00FE291A" w:rsidRDefault="00C8738F">
            <w:pPr>
              <w:widowControl/>
              <w:rPr>
                <w:sz w:val="22"/>
                <w:szCs w:val="22"/>
                <w:lang w:val="de-DE" w:eastAsia="en-US"/>
              </w:rPr>
            </w:pPr>
            <w:r>
              <w:rPr>
                <w:sz w:val="22"/>
                <w:szCs w:val="22"/>
                <w:lang w:val="de-DE" w:eastAsia="en-US"/>
              </w:rPr>
              <w:t>abweichende Natriumwerte im Blut,</w:t>
            </w:r>
          </w:p>
          <w:p w14:paraId="6B87AC47" w14:textId="77777777" w:rsidR="00FE291A" w:rsidRDefault="00C8738F">
            <w:pPr>
              <w:widowControl/>
              <w:rPr>
                <w:sz w:val="22"/>
                <w:szCs w:val="22"/>
                <w:lang w:val="de-DE" w:eastAsia="en-US"/>
              </w:rPr>
            </w:pPr>
            <w:r>
              <w:rPr>
                <w:sz w:val="22"/>
                <w:szCs w:val="22"/>
                <w:lang w:val="de-DE" w:eastAsia="en-US"/>
              </w:rPr>
              <w:t>Hypokalzämie,</w:t>
            </w:r>
          </w:p>
          <w:p w14:paraId="4EE9113C" w14:textId="77777777" w:rsidR="00FE291A" w:rsidRDefault="00C8738F">
            <w:pPr>
              <w:widowControl/>
              <w:rPr>
                <w:sz w:val="22"/>
                <w:szCs w:val="22"/>
                <w:lang w:val="de-DE" w:eastAsia="en-US"/>
              </w:rPr>
            </w:pPr>
            <w:r>
              <w:rPr>
                <w:sz w:val="22"/>
                <w:szCs w:val="22"/>
                <w:lang w:val="de-DE" w:eastAsia="en-US"/>
              </w:rPr>
              <w:t>Hyperglykämie,</w:t>
            </w:r>
          </w:p>
          <w:p w14:paraId="5E4704EF" w14:textId="77777777" w:rsidR="00FE291A" w:rsidRDefault="00C8738F">
            <w:pPr>
              <w:widowControl/>
              <w:rPr>
                <w:sz w:val="22"/>
                <w:szCs w:val="22"/>
                <w:lang w:val="de-DE" w:eastAsia="en-US"/>
              </w:rPr>
            </w:pPr>
            <w:r>
              <w:rPr>
                <w:sz w:val="22"/>
                <w:szCs w:val="22"/>
                <w:lang w:val="de-DE" w:eastAsia="en-US"/>
              </w:rPr>
              <w:t>Hypophosphatämie,</w:t>
            </w:r>
          </w:p>
          <w:p w14:paraId="6595325E" w14:textId="77777777" w:rsidR="00FE291A" w:rsidRDefault="00C8738F">
            <w:pPr>
              <w:widowControl/>
              <w:kinsoku w:val="0"/>
              <w:overflowPunct w:val="0"/>
              <w:rPr>
                <w:sz w:val="22"/>
                <w:szCs w:val="22"/>
                <w:lang w:val="de-DE" w:eastAsia="en-US"/>
              </w:rPr>
            </w:pPr>
            <w:r>
              <w:rPr>
                <w:sz w:val="22"/>
                <w:szCs w:val="22"/>
                <w:lang w:val="de-DE" w:eastAsia="en-US"/>
              </w:rPr>
              <w:t>Dehydratation</w:t>
            </w:r>
          </w:p>
        </w:tc>
      </w:tr>
      <w:tr w:rsidR="00FE291A" w:rsidRPr="002E6CD3" w14:paraId="3C4C81C8" w14:textId="77777777">
        <w:tc>
          <w:tcPr>
            <w:tcW w:w="2517" w:type="dxa"/>
          </w:tcPr>
          <w:p w14:paraId="2CB9EB99" w14:textId="77777777" w:rsidR="00FE291A" w:rsidRDefault="00C8738F">
            <w:pPr>
              <w:widowControl/>
              <w:rPr>
                <w:sz w:val="22"/>
                <w:szCs w:val="22"/>
                <w:lang w:val="de-DE" w:eastAsia="en-US"/>
              </w:rPr>
            </w:pPr>
            <w:r>
              <w:rPr>
                <w:sz w:val="22"/>
                <w:szCs w:val="22"/>
                <w:lang w:val="de-DE" w:eastAsia="en-US"/>
              </w:rPr>
              <w:t>Psychiatrische Erkrankungen</w:t>
            </w:r>
          </w:p>
        </w:tc>
        <w:tc>
          <w:tcPr>
            <w:tcW w:w="1920" w:type="dxa"/>
          </w:tcPr>
          <w:p w14:paraId="73900A3F" w14:textId="77777777" w:rsidR="00FE291A" w:rsidRDefault="00C8738F">
            <w:pPr>
              <w:widowControl/>
              <w:kinsoku w:val="0"/>
              <w:overflowPunct w:val="0"/>
              <w:rPr>
                <w:sz w:val="22"/>
                <w:szCs w:val="22"/>
                <w:lang w:val="de-DE"/>
              </w:rPr>
            </w:pPr>
            <w:r>
              <w:rPr>
                <w:sz w:val="22"/>
                <w:szCs w:val="22"/>
                <w:lang w:val="de-DE" w:eastAsia="en-US"/>
              </w:rPr>
              <w:t>Häufig</w:t>
            </w:r>
          </w:p>
        </w:tc>
        <w:tc>
          <w:tcPr>
            <w:tcW w:w="4598" w:type="dxa"/>
          </w:tcPr>
          <w:p w14:paraId="77E5FF88" w14:textId="77777777" w:rsidR="00FE291A" w:rsidRDefault="00C8738F">
            <w:pPr>
              <w:widowControl/>
              <w:rPr>
                <w:sz w:val="22"/>
                <w:szCs w:val="22"/>
                <w:lang w:val="de-DE" w:eastAsia="en-US"/>
              </w:rPr>
            </w:pPr>
            <w:r>
              <w:rPr>
                <w:sz w:val="22"/>
                <w:szCs w:val="22"/>
                <w:lang w:val="de-DE" w:eastAsia="en-US"/>
              </w:rPr>
              <w:t>Stimmungsschwankungen (einschließlich Depression),</w:t>
            </w:r>
          </w:p>
          <w:p w14:paraId="4D88ECEE" w14:textId="77777777" w:rsidR="00FE291A" w:rsidRDefault="00C8738F">
            <w:pPr>
              <w:widowControl/>
              <w:rPr>
                <w:sz w:val="22"/>
                <w:szCs w:val="22"/>
                <w:lang w:val="de-DE" w:eastAsia="en-US"/>
              </w:rPr>
            </w:pPr>
            <w:r>
              <w:rPr>
                <w:sz w:val="22"/>
                <w:szCs w:val="22"/>
                <w:lang w:val="de-DE" w:eastAsia="en-US"/>
              </w:rPr>
              <w:t>Ängstlichkeit,</w:t>
            </w:r>
          </w:p>
          <w:p w14:paraId="18F64F4A" w14:textId="77777777" w:rsidR="00FE291A" w:rsidRDefault="00C8738F">
            <w:pPr>
              <w:widowControl/>
              <w:kinsoku w:val="0"/>
              <w:overflowPunct w:val="0"/>
              <w:rPr>
                <w:sz w:val="22"/>
                <w:szCs w:val="22"/>
                <w:lang w:val="de-DE"/>
              </w:rPr>
            </w:pPr>
            <w:r>
              <w:rPr>
                <w:sz w:val="22"/>
                <w:szCs w:val="22"/>
                <w:lang w:val="de-DE" w:eastAsia="en-US"/>
              </w:rPr>
              <w:t>Schlaflosigkeit</w:t>
            </w:r>
          </w:p>
        </w:tc>
      </w:tr>
      <w:tr w:rsidR="00FE291A" w14:paraId="21C84D95" w14:textId="77777777">
        <w:trPr>
          <w:trHeight w:val="320"/>
        </w:trPr>
        <w:tc>
          <w:tcPr>
            <w:tcW w:w="2517" w:type="dxa"/>
            <w:vMerge w:val="restart"/>
          </w:tcPr>
          <w:p w14:paraId="5E1B9C76" w14:textId="77777777" w:rsidR="00FE291A" w:rsidRDefault="00C8738F">
            <w:pPr>
              <w:widowControl/>
              <w:rPr>
                <w:sz w:val="22"/>
                <w:szCs w:val="22"/>
                <w:lang w:val="de-DE" w:eastAsia="en-US"/>
              </w:rPr>
            </w:pPr>
            <w:r>
              <w:rPr>
                <w:sz w:val="22"/>
                <w:szCs w:val="22"/>
                <w:lang w:val="de-DE" w:eastAsia="en-US"/>
              </w:rPr>
              <w:t>Erkrankungen des Nervensystems*</w:t>
            </w:r>
          </w:p>
        </w:tc>
        <w:tc>
          <w:tcPr>
            <w:tcW w:w="1920" w:type="dxa"/>
          </w:tcPr>
          <w:p w14:paraId="644E4DA8" w14:textId="77777777" w:rsidR="00FE291A" w:rsidRDefault="00C8738F">
            <w:pPr>
              <w:widowControl/>
              <w:kinsoku w:val="0"/>
              <w:overflowPunct w:val="0"/>
              <w:rPr>
                <w:sz w:val="22"/>
                <w:szCs w:val="22"/>
                <w:lang w:val="de-DE"/>
              </w:rPr>
            </w:pPr>
            <w:r>
              <w:rPr>
                <w:sz w:val="22"/>
                <w:szCs w:val="22"/>
                <w:lang w:val="de-DE" w:eastAsia="en-US"/>
              </w:rPr>
              <w:t>Sehr häufig</w:t>
            </w:r>
          </w:p>
        </w:tc>
        <w:tc>
          <w:tcPr>
            <w:tcW w:w="4598" w:type="dxa"/>
          </w:tcPr>
          <w:p w14:paraId="2B060A5D" w14:textId="77777777" w:rsidR="00FE291A" w:rsidRDefault="00C8738F">
            <w:pPr>
              <w:widowControl/>
              <w:rPr>
                <w:sz w:val="22"/>
                <w:szCs w:val="22"/>
                <w:lang w:val="de-DE"/>
              </w:rPr>
            </w:pPr>
            <w:r>
              <w:rPr>
                <w:sz w:val="22"/>
                <w:szCs w:val="22"/>
                <w:lang w:val="de-DE" w:eastAsia="en-US"/>
              </w:rPr>
              <w:t>Kopfschmerzen</w:t>
            </w:r>
          </w:p>
        </w:tc>
      </w:tr>
      <w:tr w:rsidR="00FE291A" w:rsidRPr="002E6CD3" w14:paraId="6E768CEE" w14:textId="77777777">
        <w:trPr>
          <w:trHeight w:val="547"/>
        </w:trPr>
        <w:tc>
          <w:tcPr>
            <w:tcW w:w="2517" w:type="dxa"/>
            <w:vMerge/>
          </w:tcPr>
          <w:p w14:paraId="1C54FEA9" w14:textId="77777777" w:rsidR="00FE291A" w:rsidRDefault="00FE291A">
            <w:pPr>
              <w:widowControl/>
              <w:rPr>
                <w:sz w:val="22"/>
                <w:szCs w:val="22"/>
                <w:lang w:val="de-DE" w:eastAsia="en-US"/>
              </w:rPr>
            </w:pPr>
          </w:p>
        </w:tc>
        <w:tc>
          <w:tcPr>
            <w:tcW w:w="1920" w:type="dxa"/>
          </w:tcPr>
          <w:p w14:paraId="03BA4F59" w14:textId="77777777" w:rsidR="00FE291A" w:rsidRDefault="00C8738F">
            <w:pPr>
              <w:widowControl/>
              <w:kinsoku w:val="0"/>
              <w:overflowPunct w:val="0"/>
              <w:rPr>
                <w:sz w:val="22"/>
                <w:szCs w:val="22"/>
                <w:lang w:val="de-DE" w:eastAsia="en-US"/>
              </w:rPr>
            </w:pPr>
            <w:r>
              <w:rPr>
                <w:sz w:val="22"/>
                <w:szCs w:val="22"/>
                <w:lang w:val="de-DE" w:eastAsia="en-US"/>
              </w:rPr>
              <w:t>Häufig</w:t>
            </w:r>
          </w:p>
        </w:tc>
        <w:tc>
          <w:tcPr>
            <w:tcW w:w="4598" w:type="dxa"/>
          </w:tcPr>
          <w:p w14:paraId="1D82B46B" w14:textId="77777777" w:rsidR="00FE291A" w:rsidRDefault="00C8738F">
            <w:pPr>
              <w:widowControl/>
              <w:rPr>
                <w:sz w:val="22"/>
                <w:szCs w:val="22"/>
                <w:lang w:val="de-DE" w:eastAsia="en-US"/>
              </w:rPr>
            </w:pPr>
            <w:r>
              <w:rPr>
                <w:sz w:val="22"/>
                <w:szCs w:val="22"/>
                <w:lang w:val="de-DE" w:eastAsia="en-US"/>
              </w:rPr>
              <w:t>Parästhesie (einschließlich Hypästhesie),</w:t>
            </w:r>
          </w:p>
          <w:p w14:paraId="3A50315B" w14:textId="77777777" w:rsidR="00FE291A" w:rsidRDefault="00C8738F">
            <w:pPr>
              <w:widowControl/>
              <w:rPr>
                <w:sz w:val="22"/>
                <w:szCs w:val="22"/>
                <w:lang w:val="de-DE" w:eastAsia="en-US"/>
              </w:rPr>
            </w:pPr>
            <w:r>
              <w:rPr>
                <w:sz w:val="22"/>
                <w:szCs w:val="22"/>
                <w:lang w:val="de-DE" w:eastAsia="en-US"/>
              </w:rPr>
              <w:t>Migräne,</w:t>
            </w:r>
          </w:p>
          <w:p w14:paraId="31824AA6" w14:textId="77777777" w:rsidR="00FE291A" w:rsidRDefault="00C8738F">
            <w:pPr>
              <w:widowControl/>
              <w:kinsoku w:val="0"/>
              <w:overflowPunct w:val="0"/>
              <w:rPr>
                <w:sz w:val="22"/>
                <w:szCs w:val="22"/>
                <w:lang w:val="de-DE" w:eastAsia="en-US"/>
              </w:rPr>
            </w:pPr>
            <w:r>
              <w:rPr>
                <w:sz w:val="22"/>
                <w:szCs w:val="22"/>
                <w:lang w:val="de-DE" w:eastAsia="en-US"/>
              </w:rPr>
              <w:t>Nervenwurzelkompression</w:t>
            </w:r>
          </w:p>
        </w:tc>
      </w:tr>
      <w:tr w:rsidR="00FE291A" w14:paraId="5CAEAFBE" w14:textId="77777777">
        <w:trPr>
          <w:trHeight w:val="547"/>
        </w:trPr>
        <w:tc>
          <w:tcPr>
            <w:tcW w:w="2517" w:type="dxa"/>
            <w:vMerge/>
          </w:tcPr>
          <w:p w14:paraId="5509835E" w14:textId="77777777" w:rsidR="00FE291A" w:rsidRDefault="00FE291A">
            <w:pPr>
              <w:widowControl/>
              <w:rPr>
                <w:sz w:val="22"/>
                <w:szCs w:val="22"/>
                <w:lang w:val="de-DE" w:eastAsia="en-US"/>
              </w:rPr>
            </w:pPr>
          </w:p>
        </w:tc>
        <w:tc>
          <w:tcPr>
            <w:tcW w:w="1920" w:type="dxa"/>
          </w:tcPr>
          <w:p w14:paraId="69017F31" w14:textId="77777777" w:rsidR="00FE291A" w:rsidRDefault="00C8738F">
            <w:pPr>
              <w:widowControl/>
              <w:kinsoku w:val="0"/>
              <w:overflowPunct w:val="0"/>
              <w:rPr>
                <w:sz w:val="22"/>
                <w:szCs w:val="22"/>
                <w:lang w:val="de-DE" w:eastAsia="en-US"/>
              </w:rPr>
            </w:pPr>
            <w:r>
              <w:rPr>
                <w:sz w:val="22"/>
                <w:szCs w:val="22"/>
                <w:lang w:val="de-DE" w:eastAsia="en-US"/>
              </w:rPr>
              <w:t>Gelegentlich</w:t>
            </w:r>
          </w:p>
        </w:tc>
        <w:tc>
          <w:tcPr>
            <w:tcW w:w="4598" w:type="dxa"/>
          </w:tcPr>
          <w:p w14:paraId="79797707" w14:textId="77777777" w:rsidR="00FE291A" w:rsidRDefault="00C8738F">
            <w:pPr>
              <w:widowControl/>
              <w:rPr>
                <w:sz w:val="22"/>
                <w:szCs w:val="22"/>
                <w:lang w:val="de-DE" w:eastAsia="en-US"/>
              </w:rPr>
            </w:pPr>
            <w:r>
              <w:rPr>
                <w:sz w:val="22"/>
                <w:szCs w:val="22"/>
                <w:lang w:val="de-DE" w:eastAsia="en-US"/>
              </w:rPr>
              <w:t>zerebrovaskuläre Zwischenfälle</w:t>
            </w:r>
            <w:r>
              <w:rPr>
                <w:sz w:val="22"/>
                <w:szCs w:val="22"/>
                <w:vertAlign w:val="superscript"/>
                <w:lang w:val="de-DE" w:eastAsia="en-US"/>
              </w:rPr>
              <w:t>1)</w:t>
            </w:r>
            <w:r>
              <w:rPr>
                <w:sz w:val="22"/>
                <w:szCs w:val="22"/>
                <w:lang w:val="de-DE" w:eastAsia="en-US"/>
              </w:rPr>
              <w:t>,</w:t>
            </w:r>
          </w:p>
          <w:p w14:paraId="43D84DE4" w14:textId="77777777" w:rsidR="00FE291A" w:rsidRDefault="00C8738F">
            <w:pPr>
              <w:widowControl/>
              <w:rPr>
                <w:sz w:val="22"/>
                <w:szCs w:val="22"/>
                <w:lang w:val="de-DE" w:eastAsia="en-US"/>
              </w:rPr>
            </w:pPr>
            <w:r>
              <w:rPr>
                <w:sz w:val="22"/>
                <w:szCs w:val="22"/>
                <w:lang w:val="de-DE" w:eastAsia="en-US"/>
              </w:rPr>
              <w:t>Tremor,</w:t>
            </w:r>
          </w:p>
          <w:p w14:paraId="5C30F187" w14:textId="77777777" w:rsidR="00FE291A" w:rsidRDefault="00C8738F">
            <w:pPr>
              <w:widowControl/>
              <w:kinsoku w:val="0"/>
              <w:overflowPunct w:val="0"/>
              <w:rPr>
                <w:sz w:val="22"/>
                <w:szCs w:val="22"/>
                <w:lang w:val="de-DE" w:eastAsia="en-US"/>
              </w:rPr>
            </w:pPr>
            <w:r>
              <w:rPr>
                <w:sz w:val="22"/>
                <w:szCs w:val="22"/>
                <w:lang w:val="de-DE" w:eastAsia="en-US"/>
              </w:rPr>
              <w:t>Neuropathie</w:t>
            </w:r>
          </w:p>
        </w:tc>
      </w:tr>
      <w:tr w:rsidR="00FE291A" w:rsidRPr="002E6CD3" w14:paraId="256F04DF" w14:textId="77777777">
        <w:trPr>
          <w:trHeight w:val="547"/>
        </w:trPr>
        <w:tc>
          <w:tcPr>
            <w:tcW w:w="2517" w:type="dxa"/>
            <w:vMerge/>
          </w:tcPr>
          <w:p w14:paraId="3498F4D9" w14:textId="77777777" w:rsidR="00FE291A" w:rsidRDefault="00FE291A">
            <w:pPr>
              <w:widowControl/>
              <w:rPr>
                <w:sz w:val="22"/>
                <w:szCs w:val="22"/>
                <w:lang w:val="de-DE" w:eastAsia="en-US"/>
              </w:rPr>
            </w:pPr>
          </w:p>
        </w:tc>
        <w:tc>
          <w:tcPr>
            <w:tcW w:w="1920" w:type="dxa"/>
          </w:tcPr>
          <w:p w14:paraId="6AF60717" w14:textId="77777777" w:rsidR="00FE291A" w:rsidRDefault="00C8738F">
            <w:pPr>
              <w:widowControl/>
              <w:kinsoku w:val="0"/>
              <w:overflowPunct w:val="0"/>
              <w:rPr>
                <w:sz w:val="22"/>
                <w:szCs w:val="22"/>
                <w:lang w:val="de-DE" w:eastAsia="en-US"/>
              </w:rPr>
            </w:pPr>
            <w:r>
              <w:rPr>
                <w:sz w:val="22"/>
                <w:szCs w:val="22"/>
                <w:lang w:val="de-DE" w:eastAsia="en-US"/>
              </w:rPr>
              <w:t>Selten</w:t>
            </w:r>
          </w:p>
        </w:tc>
        <w:tc>
          <w:tcPr>
            <w:tcW w:w="4598" w:type="dxa"/>
          </w:tcPr>
          <w:p w14:paraId="7B7AEA86" w14:textId="77777777" w:rsidR="00FE291A" w:rsidRDefault="00C8738F">
            <w:pPr>
              <w:widowControl/>
              <w:rPr>
                <w:sz w:val="22"/>
                <w:szCs w:val="22"/>
                <w:lang w:val="de-DE" w:eastAsia="en-US"/>
              </w:rPr>
            </w:pPr>
            <w:r>
              <w:rPr>
                <w:sz w:val="22"/>
                <w:szCs w:val="22"/>
                <w:lang w:val="de-DE" w:eastAsia="en-US"/>
              </w:rPr>
              <w:t>multiple Sklerose,</w:t>
            </w:r>
          </w:p>
          <w:p w14:paraId="3584098C" w14:textId="77777777" w:rsidR="00FE291A" w:rsidRDefault="00C8738F">
            <w:pPr>
              <w:widowControl/>
              <w:kinsoku w:val="0"/>
              <w:overflowPunct w:val="0"/>
              <w:rPr>
                <w:sz w:val="22"/>
                <w:szCs w:val="22"/>
                <w:lang w:val="de-DE" w:eastAsia="en-US"/>
              </w:rPr>
            </w:pPr>
            <w:r>
              <w:rPr>
                <w:sz w:val="22"/>
                <w:szCs w:val="22"/>
                <w:lang w:val="de-DE" w:eastAsia="en-US"/>
              </w:rPr>
              <w:t>demyelinisierende Erkrankungen (z. B. Optikusneuritis, Guillain-Barré-Syndrom)</w:t>
            </w:r>
            <w:r>
              <w:rPr>
                <w:sz w:val="22"/>
                <w:szCs w:val="22"/>
                <w:vertAlign w:val="superscript"/>
                <w:lang w:val="de-DE" w:eastAsia="en-US"/>
              </w:rPr>
              <w:t>1)</w:t>
            </w:r>
          </w:p>
        </w:tc>
      </w:tr>
      <w:tr w:rsidR="00FE291A" w:rsidRPr="002E6CD3" w14:paraId="3675BD78" w14:textId="77777777">
        <w:trPr>
          <w:trHeight w:val="590"/>
        </w:trPr>
        <w:tc>
          <w:tcPr>
            <w:tcW w:w="2517" w:type="dxa"/>
            <w:vMerge w:val="restart"/>
          </w:tcPr>
          <w:p w14:paraId="2F1A9DA7" w14:textId="77777777" w:rsidR="00FE291A" w:rsidRDefault="00C8738F">
            <w:pPr>
              <w:widowControl/>
              <w:kinsoku w:val="0"/>
              <w:overflowPunct w:val="0"/>
              <w:rPr>
                <w:sz w:val="22"/>
                <w:szCs w:val="22"/>
                <w:lang w:val="de-DE"/>
              </w:rPr>
            </w:pPr>
            <w:r>
              <w:rPr>
                <w:sz w:val="22"/>
                <w:szCs w:val="22"/>
                <w:lang w:val="de-DE" w:eastAsia="en-US"/>
              </w:rPr>
              <w:t>Augenerkrankungen</w:t>
            </w:r>
          </w:p>
        </w:tc>
        <w:tc>
          <w:tcPr>
            <w:tcW w:w="1920" w:type="dxa"/>
          </w:tcPr>
          <w:p w14:paraId="2B1EE3D0" w14:textId="77777777" w:rsidR="00FE291A" w:rsidRDefault="00C8738F">
            <w:pPr>
              <w:widowControl/>
              <w:kinsoku w:val="0"/>
              <w:overflowPunct w:val="0"/>
              <w:rPr>
                <w:sz w:val="22"/>
                <w:szCs w:val="22"/>
                <w:lang w:val="de-DE"/>
              </w:rPr>
            </w:pPr>
            <w:r>
              <w:rPr>
                <w:sz w:val="22"/>
                <w:szCs w:val="22"/>
                <w:lang w:val="de-DE" w:eastAsia="en-US"/>
              </w:rPr>
              <w:t>Häufig</w:t>
            </w:r>
          </w:p>
        </w:tc>
        <w:tc>
          <w:tcPr>
            <w:tcW w:w="4598" w:type="dxa"/>
          </w:tcPr>
          <w:p w14:paraId="5B167BBA" w14:textId="77777777" w:rsidR="00FE291A" w:rsidRDefault="00C8738F">
            <w:pPr>
              <w:widowControl/>
              <w:rPr>
                <w:sz w:val="22"/>
                <w:szCs w:val="22"/>
                <w:lang w:val="de-DE" w:eastAsia="en-US"/>
              </w:rPr>
            </w:pPr>
            <w:r>
              <w:rPr>
                <w:sz w:val="22"/>
                <w:szCs w:val="22"/>
                <w:lang w:val="de-DE" w:eastAsia="en-US"/>
              </w:rPr>
              <w:t>eingeschränktes Sehvermögen,</w:t>
            </w:r>
          </w:p>
          <w:p w14:paraId="08956E42" w14:textId="77777777" w:rsidR="00FE291A" w:rsidRDefault="00C8738F">
            <w:pPr>
              <w:widowControl/>
              <w:rPr>
                <w:sz w:val="22"/>
                <w:szCs w:val="22"/>
                <w:lang w:val="de-DE" w:eastAsia="en-US"/>
              </w:rPr>
            </w:pPr>
            <w:r>
              <w:rPr>
                <w:sz w:val="22"/>
                <w:szCs w:val="22"/>
                <w:lang w:val="de-DE" w:eastAsia="en-US"/>
              </w:rPr>
              <w:t>Konjunktivitis,</w:t>
            </w:r>
          </w:p>
          <w:p w14:paraId="67B38BBA" w14:textId="77777777" w:rsidR="00FE291A" w:rsidRDefault="00C8738F">
            <w:pPr>
              <w:widowControl/>
              <w:rPr>
                <w:sz w:val="22"/>
                <w:szCs w:val="22"/>
                <w:lang w:val="de-DE" w:eastAsia="en-US"/>
              </w:rPr>
            </w:pPr>
            <w:r>
              <w:rPr>
                <w:sz w:val="22"/>
                <w:szCs w:val="22"/>
                <w:lang w:val="de-DE" w:eastAsia="en-US"/>
              </w:rPr>
              <w:t>Blepharitis,</w:t>
            </w:r>
          </w:p>
          <w:p w14:paraId="6E044FC9" w14:textId="77777777" w:rsidR="00FE291A" w:rsidRDefault="00C8738F">
            <w:pPr>
              <w:widowControl/>
              <w:kinsoku w:val="0"/>
              <w:overflowPunct w:val="0"/>
              <w:rPr>
                <w:sz w:val="22"/>
                <w:szCs w:val="22"/>
                <w:lang w:val="de-DE"/>
              </w:rPr>
            </w:pPr>
            <w:r>
              <w:rPr>
                <w:sz w:val="22"/>
                <w:szCs w:val="22"/>
                <w:lang w:val="de-DE" w:eastAsia="en-US"/>
              </w:rPr>
              <w:t>Anschwellen des Auges</w:t>
            </w:r>
          </w:p>
        </w:tc>
      </w:tr>
      <w:tr w:rsidR="00FE291A" w14:paraId="1449756E" w14:textId="77777777">
        <w:trPr>
          <w:trHeight w:val="343"/>
        </w:trPr>
        <w:tc>
          <w:tcPr>
            <w:tcW w:w="2517" w:type="dxa"/>
            <w:vMerge/>
          </w:tcPr>
          <w:p w14:paraId="5DF26A5A" w14:textId="77777777" w:rsidR="00FE291A" w:rsidRDefault="00FE291A">
            <w:pPr>
              <w:widowControl/>
              <w:kinsoku w:val="0"/>
              <w:overflowPunct w:val="0"/>
              <w:rPr>
                <w:sz w:val="22"/>
                <w:szCs w:val="22"/>
                <w:lang w:val="de-DE" w:eastAsia="en-US"/>
              </w:rPr>
            </w:pPr>
          </w:p>
        </w:tc>
        <w:tc>
          <w:tcPr>
            <w:tcW w:w="1920" w:type="dxa"/>
          </w:tcPr>
          <w:p w14:paraId="37E6DCA8" w14:textId="77777777" w:rsidR="00FE291A" w:rsidRDefault="00C8738F">
            <w:pPr>
              <w:widowControl/>
              <w:kinsoku w:val="0"/>
              <w:overflowPunct w:val="0"/>
              <w:rPr>
                <w:sz w:val="22"/>
                <w:szCs w:val="22"/>
                <w:lang w:val="de-DE" w:eastAsia="en-US"/>
              </w:rPr>
            </w:pPr>
            <w:r>
              <w:rPr>
                <w:sz w:val="22"/>
                <w:szCs w:val="22"/>
                <w:lang w:val="de-DE" w:eastAsia="en-US"/>
              </w:rPr>
              <w:t>Gelegentlich</w:t>
            </w:r>
          </w:p>
        </w:tc>
        <w:tc>
          <w:tcPr>
            <w:tcW w:w="4598" w:type="dxa"/>
          </w:tcPr>
          <w:p w14:paraId="2EABEA54" w14:textId="77777777" w:rsidR="00FE291A" w:rsidRDefault="00C8738F">
            <w:pPr>
              <w:widowControl/>
              <w:rPr>
                <w:sz w:val="22"/>
                <w:szCs w:val="22"/>
                <w:lang w:val="de-DE" w:eastAsia="en-US"/>
              </w:rPr>
            </w:pPr>
            <w:r>
              <w:rPr>
                <w:sz w:val="22"/>
                <w:szCs w:val="22"/>
                <w:lang w:val="de-DE" w:eastAsia="en-US"/>
              </w:rPr>
              <w:t>Doppeltsehen</w:t>
            </w:r>
          </w:p>
        </w:tc>
      </w:tr>
      <w:tr w:rsidR="00FE291A" w14:paraId="4DEFC61E" w14:textId="77777777">
        <w:trPr>
          <w:trHeight w:val="335"/>
        </w:trPr>
        <w:tc>
          <w:tcPr>
            <w:tcW w:w="2517" w:type="dxa"/>
            <w:vMerge w:val="restart"/>
          </w:tcPr>
          <w:p w14:paraId="612AB96D" w14:textId="77777777" w:rsidR="00FE291A" w:rsidRDefault="00C8738F">
            <w:pPr>
              <w:keepNext/>
              <w:widowControl/>
              <w:rPr>
                <w:sz w:val="22"/>
                <w:szCs w:val="22"/>
                <w:lang w:val="de-DE" w:eastAsia="en-US"/>
              </w:rPr>
            </w:pPr>
            <w:r>
              <w:rPr>
                <w:sz w:val="22"/>
                <w:szCs w:val="22"/>
                <w:lang w:val="de-DE" w:eastAsia="en-US"/>
              </w:rPr>
              <w:t>Erkrankungen des Ohres und des Labyrinths</w:t>
            </w:r>
          </w:p>
        </w:tc>
        <w:tc>
          <w:tcPr>
            <w:tcW w:w="1920" w:type="dxa"/>
          </w:tcPr>
          <w:p w14:paraId="3F187AD7" w14:textId="77777777" w:rsidR="00FE291A" w:rsidRDefault="00C8738F">
            <w:pPr>
              <w:widowControl/>
              <w:kinsoku w:val="0"/>
              <w:overflowPunct w:val="0"/>
              <w:rPr>
                <w:sz w:val="22"/>
                <w:szCs w:val="22"/>
                <w:lang w:val="de-DE"/>
              </w:rPr>
            </w:pPr>
            <w:r>
              <w:rPr>
                <w:sz w:val="22"/>
                <w:szCs w:val="22"/>
                <w:lang w:val="de-DE" w:eastAsia="en-US"/>
              </w:rPr>
              <w:t>Häufig</w:t>
            </w:r>
          </w:p>
        </w:tc>
        <w:tc>
          <w:tcPr>
            <w:tcW w:w="4598" w:type="dxa"/>
          </w:tcPr>
          <w:p w14:paraId="292D67B1" w14:textId="77777777" w:rsidR="00FE291A" w:rsidRDefault="00C8738F">
            <w:pPr>
              <w:widowControl/>
              <w:kinsoku w:val="0"/>
              <w:overflowPunct w:val="0"/>
              <w:rPr>
                <w:sz w:val="22"/>
                <w:szCs w:val="22"/>
                <w:lang w:val="de-DE"/>
              </w:rPr>
            </w:pPr>
            <w:r>
              <w:rPr>
                <w:sz w:val="22"/>
                <w:szCs w:val="22"/>
                <w:lang w:val="de-DE" w:eastAsia="en-US"/>
              </w:rPr>
              <w:t>Schwindel</w:t>
            </w:r>
          </w:p>
        </w:tc>
      </w:tr>
      <w:tr w:rsidR="00FE291A" w14:paraId="64B06AF9" w14:textId="77777777">
        <w:trPr>
          <w:trHeight w:val="335"/>
        </w:trPr>
        <w:tc>
          <w:tcPr>
            <w:tcW w:w="2517" w:type="dxa"/>
            <w:vMerge/>
          </w:tcPr>
          <w:p w14:paraId="02905E6B" w14:textId="77777777" w:rsidR="00FE291A" w:rsidRDefault="00FE291A">
            <w:pPr>
              <w:widowControl/>
              <w:rPr>
                <w:sz w:val="22"/>
                <w:szCs w:val="22"/>
                <w:lang w:val="de-DE" w:eastAsia="en-US"/>
              </w:rPr>
            </w:pPr>
          </w:p>
        </w:tc>
        <w:tc>
          <w:tcPr>
            <w:tcW w:w="1920" w:type="dxa"/>
          </w:tcPr>
          <w:p w14:paraId="7782E976" w14:textId="77777777" w:rsidR="00FE291A" w:rsidRDefault="00C8738F">
            <w:pPr>
              <w:widowControl/>
              <w:kinsoku w:val="0"/>
              <w:overflowPunct w:val="0"/>
              <w:rPr>
                <w:sz w:val="22"/>
                <w:szCs w:val="22"/>
                <w:lang w:val="de-DE" w:eastAsia="en-US"/>
              </w:rPr>
            </w:pPr>
            <w:r>
              <w:rPr>
                <w:sz w:val="22"/>
                <w:szCs w:val="22"/>
                <w:lang w:val="de-DE" w:eastAsia="en-US"/>
              </w:rPr>
              <w:t>Gelegentlich</w:t>
            </w:r>
          </w:p>
        </w:tc>
        <w:tc>
          <w:tcPr>
            <w:tcW w:w="4598" w:type="dxa"/>
          </w:tcPr>
          <w:p w14:paraId="744355B8" w14:textId="77777777" w:rsidR="00FE291A" w:rsidRDefault="00C8738F">
            <w:pPr>
              <w:widowControl/>
              <w:rPr>
                <w:sz w:val="22"/>
                <w:szCs w:val="22"/>
                <w:lang w:val="de-DE" w:eastAsia="en-US"/>
              </w:rPr>
            </w:pPr>
            <w:r>
              <w:rPr>
                <w:sz w:val="22"/>
                <w:szCs w:val="22"/>
                <w:lang w:val="de-DE" w:eastAsia="en-US"/>
              </w:rPr>
              <w:t>Taubheit,</w:t>
            </w:r>
          </w:p>
          <w:p w14:paraId="563C5C5E" w14:textId="77777777" w:rsidR="00FE291A" w:rsidRDefault="00C8738F">
            <w:pPr>
              <w:widowControl/>
              <w:kinsoku w:val="0"/>
              <w:overflowPunct w:val="0"/>
              <w:rPr>
                <w:sz w:val="22"/>
                <w:szCs w:val="22"/>
                <w:lang w:val="de-DE" w:eastAsia="en-US"/>
              </w:rPr>
            </w:pPr>
            <w:r>
              <w:rPr>
                <w:sz w:val="22"/>
                <w:szCs w:val="22"/>
                <w:lang w:val="de-DE" w:eastAsia="en-US"/>
              </w:rPr>
              <w:t>Tinnitus</w:t>
            </w:r>
          </w:p>
        </w:tc>
      </w:tr>
      <w:tr w:rsidR="00FE291A" w14:paraId="2D1A750D" w14:textId="77777777">
        <w:trPr>
          <w:trHeight w:val="394"/>
        </w:trPr>
        <w:tc>
          <w:tcPr>
            <w:tcW w:w="2517" w:type="dxa"/>
            <w:vMerge w:val="restart"/>
          </w:tcPr>
          <w:p w14:paraId="5F04B0B7" w14:textId="77777777" w:rsidR="00FE291A" w:rsidRDefault="00C8738F">
            <w:pPr>
              <w:widowControl/>
              <w:kinsoku w:val="0"/>
              <w:overflowPunct w:val="0"/>
              <w:rPr>
                <w:sz w:val="22"/>
                <w:szCs w:val="22"/>
                <w:lang w:val="de-DE"/>
              </w:rPr>
            </w:pPr>
            <w:r>
              <w:rPr>
                <w:sz w:val="22"/>
                <w:szCs w:val="22"/>
                <w:lang w:val="de-DE" w:eastAsia="en-US"/>
              </w:rPr>
              <w:t>Herzerkrankungen*</w:t>
            </w:r>
          </w:p>
        </w:tc>
        <w:tc>
          <w:tcPr>
            <w:tcW w:w="1920" w:type="dxa"/>
          </w:tcPr>
          <w:p w14:paraId="51FC49A6" w14:textId="77777777" w:rsidR="00FE291A" w:rsidRDefault="00C8738F">
            <w:pPr>
              <w:widowControl/>
              <w:kinsoku w:val="0"/>
              <w:overflowPunct w:val="0"/>
              <w:rPr>
                <w:sz w:val="22"/>
                <w:szCs w:val="22"/>
                <w:lang w:val="de-DE"/>
              </w:rPr>
            </w:pPr>
            <w:r>
              <w:rPr>
                <w:sz w:val="22"/>
                <w:szCs w:val="22"/>
                <w:lang w:val="de-DE" w:eastAsia="en-US"/>
              </w:rPr>
              <w:t>Häufig</w:t>
            </w:r>
          </w:p>
        </w:tc>
        <w:tc>
          <w:tcPr>
            <w:tcW w:w="4598" w:type="dxa"/>
          </w:tcPr>
          <w:p w14:paraId="56A25818" w14:textId="77777777" w:rsidR="00FE291A" w:rsidRDefault="00C8738F">
            <w:pPr>
              <w:widowControl/>
              <w:kinsoku w:val="0"/>
              <w:overflowPunct w:val="0"/>
              <w:rPr>
                <w:sz w:val="22"/>
                <w:szCs w:val="22"/>
                <w:lang w:val="de-DE"/>
              </w:rPr>
            </w:pPr>
            <w:r>
              <w:rPr>
                <w:sz w:val="22"/>
                <w:szCs w:val="22"/>
                <w:lang w:val="de-DE" w:eastAsia="en-US"/>
              </w:rPr>
              <w:t>Tachykardie</w:t>
            </w:r>
          </w:p>
        </w:tc>
      </w:tr>
      <w:tr w:rsidR="00FE291A" w14:paraId="2CEC060A" w14:textId="77777777">
        <w:trPr>
          <w:trHeight w:val="393"/>
        </w:trPr>
        <w:tc>
          <w:tcPr>
            <w:tcW w:w="2517" w:type="dxa"/>
            <w:vMerge/>
          </w:tcPr>
          <w:p w14:paraId="6B092F83" w14:textId="77777777" w:rsidR="00FE291A" w:rsidRDefault="00FE291A">
            <w:pPr>
              <w:widowControl/>
              <w:kinsoku w:val="0"/>
              <w:overflowPunct w:val="0"/>
              <w:rPr>
                <w:sz w:val="22"/>
                <w:szCs w:val="22"/>
                <w:lang w:val="de-DE" w:eastAsia="en-US"/>
              </w:rPr>
            </w:pPr>
          </w:p>
        </w:tc>
        <w:tc>
          <w:tcPr>
            <w:tcW w:w="1920" w:type="dxa"/>
          </w:tcPr>
          <w:p w14:paraId="5A70B2D8" w14:textId="77777777" w:rsidR="00FE291A" w:rsidRDefault="00C8738F">
            <w:pPr>
              <w:widowControl/>
              <w:kinsoku w:val="0"/>
              <w:overflowPunct w:val="0"/>
              <w:rPr>
                <w:sz w:val="22"/>
                <w:szCs w:val="22"/>
                <w:lang w:val="de-DE" w:eastAsia="en-US"/>
              </w:rPr>
            </w:pPr>
            <w:r>
              <w:rPr>
                <w:sz w:val="22"/>
                <w:szCs w:val="22"/>
                <w:lang w:val="de-DE" w:eastAsia="en-US"/>
              </w:rPr>
              <w:t>Gelegentlich</w:t>
            </w:r>
          </w:p>
        </w:tc>
        <w:tc>
          <w:tcPr>
            <w:tcW w:w="4598" w:type="dxa"/>
          </w:tcPr>
          <w:p w14:paraId="3089E4DB" w14:textId="77777777" w:rsidR="00FE291A" w:rsidRDefault="00C8738F">
            <w:pPr>
              <w:widowControl/>
              <w:rPr>
                <w:sz w:val="22"/>
                <w:szCs w:val="22"/>
                <w:lang w:val="de-DE" w:eastAsia="en-US"/>
              </w:rPr>
            </w:pPr>
            <w:r>
              <w:rPr>
                <w:sz w:val="22"/>
                <w:szCs w:val="22"/>
                <w:lang w:val="de-DE" w:eastAsia="en-US"/>
              </w:rPr>
              <w:t>Myokardinfarkt</w:t>
            </w:r>
            <w:r>
              <w:rPr>
                <w:sz w:val="22"/>
                <w:szCs w:val="22"/>
                <w:vertAlign w:val="superscript"/>
                <w:lang w:val="de-DE" w:eastAsia="en-US"/>
              </w:rPr>
              <w:t>1)</w:t>
            </w:r>
            <w:r>
              <w:rPr>
                <w:sz w:val="22"/>
                <w:szCs w:val="22"/>
                <w:lang w:val="de-DE" w:eastAsia="en-US"/>
              </w:rPr>
              <w:t>,</w:t>
            </w:r>
          </w:p>
          <w:p w14:paraId="351D7DFA" w14:textId="77777777" w:rsidR="00FE291A" w:rsidRDefault="00C8738F">
            <w:pPr>
              <w:widowControl/>
              <w:rPr>
                <w:sz w:val="22"/>
                <w:szCs w:val="22"/>
                <w:lang w:val="de-DE" w:eastAsia="en-US"/>
              </w:rPr>
            </w:pPr>
            <w:r>
              <w:rPr>
                <w:sz w:val="22"/>
                <w:szCs w:val="22"/>
                <w:lang w:val="de-DE" w:eastAsia="en-US"/>
              </w:rPr>
              <w:t>Arrhythmie,</w:t>
            </w:r>
          </w:p>
          <w:p w14:paraId="4776A02F" w14:textId="77777777" w:rsidR="00FE291A" w:rsidRDefault="00C8738F">
            <w:pPr>
              <w:widowControl/>
              <w:kinsoku w:val="0"/>
              <w:overflowPunct w:val="0"/>
              <w:rPr>
                <w:sz w:val="22"/>
                <w:szCs w:val="22"/>
                <w:lang w:val="de-DE" w:eastAsia="en-US"/>
              </w:rPr>
            </w:pPr>
            <w:r>
              <w:rPr>
                <w:sz w:val="22"/>
                <w:szCs w:val="22"/>
                <w:lang w:val="de-DE" w:eastAsia="en-US"/>
              </w:rPr>
              <w:t>dekompensierte Herzinsuffizienz</w:t>
            </w:r>
          </w:p>
        </w:tc>
      </w:tr>
      <w:tr w:rsidR="00FE291A" w14:paraId="28AB1646" w14:textId="77777777">
        <w:trPr>
          <w:trHeight w:val="393"/>
        </w:trPr>
        <w:tc>
          <w:tcPr>
            <w:tcW w:w="2517" w:type="dxa"/>
            <w:vMerge/>
          </w:tcPr>
          <w:p w14:paraId="75B074BD" w14:textId="77777777" w:rsidR="00FE291A" w:rsidRDefault="00FE291A">
            <w:pPr>
              <w:widowControl/>
              <w:kinsoku w:val="0"/>
              <w:overflowPunct w:val="0"/>
              <w:rPr>
                <w:sz w:val="22"/>
                <w:szCs w:val="22"/>
                <w:lang w:val="de-DE" w:eastAsia="en-US"/>
              </w:rPr>
            </w:pPr>
          </w:p>
        </w:tc>
        <w:tc>
          <w:tcPr>
            <w:tcW w:w="1920" w:type="dxa"/>
          </w:tcPr>
          <w:p w14:paraId="0D7B5EF7" w14:textId="77777777" w:rsidR="00FE291A" w:rsidRDefault="00C8738F">
            <w:pPr>
              <w:widowControl/>
              <w:kinsoku w:val="0"/>
              <w:overflowPunct w:val="0"/>
              <w:rPr>
                <w:sz w:val="22"/>
                <w:szCs w:val="22"/>
                <w:lang w:val="de-DE" w:eastAsia="en-US"/>
              </w:rPr>
            </w:pPr>
            <w:r>
              <w:rPr>
                <w:sz w:val="22"/>
                <w:szCs w:val="22"/>
                <w:lang w:val="de-DE" w:eastAsia="en-US"/>
              </w:rPr>
              <w:t>Selten</w:t>
            </w:r>
          </w:p>
        </w:tc>
        <w:tc>
          <w:tcPr>
            <w:tcW w:w="4598" w:type="dxa"/>
          </w:tcPr>
          <w:p w14:paraId="50F6D736" w14:textId="77777777" w:rsidR="00FE291A" w:rsidRDefault="00C8738F">
            <w:pPr>
              <w:widowControl/>
              <w:kinsoku w:val="0"/>
              <w:overflowPunct w:val="0"/>
              <w:rPr>
                <w:sz w:val="22"/>
                <w:szCs w:val="22"/>
                <w:lang w:val="de-DE" w:eastAsia="en-US"/>
              </w:rPr>
            </w:pPr>
            <w:r>
              <w:rPr>
                <w:sz w:val="22"/>
                <w:szCs w:val="22"/>
                <w:lang w:val="de-DE" w:eastAsia="en-US"/>
              </w:rPr>
              <w:t>Herzstillstand</w:t>
            </w:r>
          </w:p>
        </w:tc>
      </w:tr>
      <w:tr w:rsidR="00FE291A" w14:paraId="4F0DA3E8" w14:textId="77777777">
        <w:trPr>
          <w:trHeight w:val="590"/>
        </w:trPr>
        <w:tc>
          <w:tcPr>
            <w:tcW w:w="2517" w:type="dxa"/>
            <w:vMerge w:val="restart"/>
          </w:tcPr>
          <w:p w14:paraId="4682453C" w14:textId="77777777" w:rsidR="00FE291A" w:rsidRDefault="00C8738F">
            <w:pPr>
              <w:keepNext/>
              <w:keepLines/>
              <w:widowControl/>
              <w:kinsoku w:val="0"/>
              <w:overflowPunct w:val="0"/>
              <w:rPr>
                <w:sz w:val="22"/>
                <w:szCs w:val="22"/>
                <w:lang w:val="de-DE"/>
              </w:rPr>
            </w:pPr>
            <w:r>
              <w:rPr>
                <w:sz w:val="22"/>
                <w:szCs w:val="22"/>
                <w:lang w:val="de-DE" w:eastAsia="en-US"/>
              </w:rPr>
              <w:t>Gefäßerkrankungen</w:t>
            </w:r>
          </w:p>
        </w:tc>
        <w:tc>
          <w:tcPr>
            <w:tcW w:w="1920" w:type="dxa"/>
          </w:tcPr>
          <w:p w14:paraId="0EA6E56B" w14:textId="77777777" w:rsidR="00FE291A" w:rsidRDefault="00C8738F">
            <w:pPr>
              <w:keepNext/>
              <w:keepLines/>
              <w:widowControl/>
              <w:kinsoku w:val="0"/>
              <w:overflowPunct w:val="0"/>
              <w:rPr>
                <w:sz w:val="22"/>
                <w:szCs w:val="22"/>
                <w:lang w:val="de-DE"/>
              </w:rPr>
            </w:pPr>
            <w:r>
              <w:rPr>
                <w:sz w:val="22"/>
                <w:szCs w:val="22"/>
                <w:lang w:val="de-DE" w:eastAsia="en-US"/>
              </w:rPr>
              <w:t>Häufig</w:t>
            </w:r>
          </w:p>
        </w:tc>
        <w:tc>
          <w:tcPr>
            <w:tcW w:w="4598" w:type="dxa"/>
          </w:tcPr>
          <w:p w14:paraId="33BBEC73" w14:textId="77777777" w:rsidR="00FE291A" w:rsidRDefault="00C8738F">
            <w:pPr>
              <w:keepNext/>
              <w:keepLines/>
              <w:widowControl/>
              <w:rPr>
                <w:sz w:val="22"/>
                <w:szCs w:val="22"/>
                <w:lang w:val="de-DE" w:eastAsia="en-US"/>
              </w:rPr>
            </w:pPr>
            <w:r>
              <w:rPr>
                <w:sz w:val="22"/>
                <w:szCs w:val="22"/>
                <w:lang w:val="de-DE" w:eastAsia="en-US"/>
              </w:rPr>
              <w:t>Hypertonie,</w:t>
            </w:r>
          </w:p>
          <w:p w14:paraId="4B6AC28E" w14:textId="77777777" w:rsidR="00FE291A" w:rsidRDefault="00C8738F">
            <w:pPr>
              <w:keepNext/>
              <w:keepLines/>
              <w:widowControl/>
              <w:rPr>
                <w:sz w:val="22"/>
                <w:szCs w:val="22"/>
                <w:lang w:val="de-DE" w:eastAsia="en-US"/>
              </w:rPr>
            </w:pPr>
            <w:r>
              <w:rPr>
                <w:sz w:val="22"/>
                <w:szCs w:val="22"/>
                <w:lang w:val="de-DE" w:eastAsia="en-US"/>
              </w:rPr>
              <w:t>Hitzegefühl,</w:t>
            </w:r>
          </w:p>
          <w:p w14:paraId="59B6A610" w14:textId="77777777" w:rsidR="00FE291A" w:rsidRDefault="00C8738F">
            <w:pPr>
              <w:keepNext/>
              <w:keepLines/>
              <w:widowControl/>
              <w:kinsoku w:val="0"/>
              <w:overflowPunct w:val="0"/>
              <w:rPr>
                <w:sz w:val="22"/>
                <w:szCs w:val="22"/>
                <w:lang w:val="de-DE"/>
              </w:rPr>
            </w:pPr>
            <w:r>
              <w:rPr>
                <w:sz w:val="22"/>
                <w:szCs w:val="22"/>
                <w:lang w:val="de-DE" w:eastAsia="en-US"/>
              </w:rPr>
              <w:t>Hämatome</w:t>
            </w:r>
          </w:p>
        </w:tc>
      </w:tr>
      <w:tr w:rsidR="00FE291A" w14:paraId="5E137B80" w14:textId="77777777">
        <w:trPr>
          <w:trHeight w:val="590"/>
        </w:trPr>
        <w:tc>
          <w:tcPr>
            <w:tcW w:w="2517" w:type="dxa"/>
            <w:vMerge/>
          </w:tcPr>
          <w:p w14:paraId="5955CAEE" w14:textId="77777777" w:rsidR="00FE291A" w:rsidRDefault="00FE291A">
            <w:pPr>
              <w:widowControl/>
              <w:kinsoku w:val="0"/>
              <w:overflowPunct w:val="0"/>
              <w:rPr>
                <w:sz w:val="22"/>
                <w:szCs w:val="22"/>
                <w:lang w:val="de-DE" w:eastAsia="en-US"/>
              </w:rPr>
            </w:pPr>
          </w:p>
        </w:tc>
        <w:tc>
          <w:tcPr>
            <w:tcW w:w="1920" w:type="dxa"/>
          </w:tcPr>
          <w:p w14:paraId="4B56E986" w14:textId="77777777" w:rsidR="00FE291A" w:rsidRDefault="00C8738F">
            <w:pPr>
              <w:widowControl/>
              <w:kinsoku w:val="0"/>
              <w:overflowPunct w:val="0"/>
              <w:rPr>
                <w:sz w:val="22"/>
                <w:szCs w:val="22"/>
                <w:lang w:val="de-DE" w:eastAsia="en-US"/>
              </w:rPr>
            </w:pPr>
            <w:r>
              <w:rPr>
                <w:sz w:val="22"/>
                <w:szCs w:val="22"/>
                <w:lang w:val="de-DE" w:eastAsia="en-US"/>
              </w:rPr>
              <w:t>Gelegentlich</w:t>
            </w:r>
          </w:p>
        </w:tc>
        <w:tc>
          <w:tcPr>
            <w:tcW w:w="4598" w:type="dxa"/>
          </w:tcPr>
          <w:p w14:paraId="60498415" w14:textId="77777777" w:rsidR="00FE291A" w:rsidRDefault="00C8738F">
            <w:pPr>
              <w:widowControl/>
              <w:rPr>
                <w:sz w:val="22"/>
                <w:szCs w:val="22"/>
                <w:lang w:val="de-DE" w:eastAsia="en-US"/>
              </w:rPr>
            </w:pPr>
            <w:r>
              <w:rPr>
                <w:sz w:val="22"/>
                <w:szCs w:val="22"/>
                <w:lang w:val="de-DE" w:eastAsia="en-US"/>
              </w:rPr>
              <w:t>Aortenaneurysma,</w:t>
            </w:r>
          </w:p>
          <w:p w14:paraId="7F5D01A0" w14:textId="77777777" w:rsidR="00FE291A" w:rsidRDefault="00C8738F">
            <w:pPr>
              <w:widowControl/>
              <w:rPr>
                <w:sz w:val="22"/>
                <w:szCs w:val="22"/>
                <w:lang w:val="de-DE" w:eastAsia="en-US"/>
              </w:rPr>
            </w:pPr>
            <w:r>
              <w:rPr>
                <w:sz w:val="22"/>
                <w:szCs w:val="22"/>
                <w:lang w:val="de-DE" w:eastAsia="en-US"/>
              </w:rPr>
              <w:t>arterieller Gefäßverschluss,</w:t>
            </w:r>
          </w:p>
          <w:p w14:paraId="2E145BD3" w14:textId="77777777" w:rsidR="00FE291A" w:rsidRDefault="00C8738F">
            <w:pPr>
              <w:widowControl/>
              <w:rPr>
                <w:sz w:val="22"/>
                <w:szCs w:val="22"/>
                <w:lang w:val="de-DE" w:eastAsia="en-US"/>
              </w:rPr>
            </w:pPr>
            <w:r>
              <w:rPr>
                <w:sz w:val="22"/>
                <w:szCs w:val="22"/>
                <w:lang w:val="de-DE" w:eastAsia="en-US"/>
              </w:rPr>
              <w:t>Thrombophlebitis</w:t>
            </w:r>
          </w:p>
        </w:tc>
      </w:tr>
      <w:tr w:rsidR="00FE291A" w14:paraId="19526AB6" w14:textId="77777777">
        <w:trPr>
          <w:trHeight w:val="620"/>
        </w:trPr>
        <w:tc>
          <w:tcPr>
            <w:tcW w:w="2517" w:type="dxa"/>
            <w:vMerge w:val="restart"/>
          </w:tcPr>
          <w:p w14:paraId="2C75D324" w14:textId="77777777" w:rsidR="00FE291A" w:rsidRDefault="00C8738F">
            <w:pPr>
              <w:keepNext/>
              <w:widowControl/>
              <w:rPr>
                <w:sz w:val="22"/>
                <w:szCs w:val="22"/>
                <w:lang w:val="de-DE" w:eastAsia="en-US"/>
              </w:rPr>
            </w:pPr>
            <w:r>
              <w:rPr>
                <w:sz w:val="22"/>
                <w:szCs w:val="22"/>
                <w:lang w:val="de-DE" w:eastAsia="en-US"/>
              </w:rPr>
              <w:t>Erkrankungen der Atemwege, des Brustraumes und Mediastinums*</w:t>
            </w:r>
          </w:p>
        </w:tc>
        <w:tc>
          <w:tcPr>
            <w:tcW w:w="1920" w:type="dxa"/>
          </w:tcPr>
          <w:p w14:paraId="3F31C64C" w14:textId="77777777" w:rsidR="00FE291A" w:rsidRDefault="00C8738F">
            <w:pPr>
              <w:keepNext/>
              <w:widowControl/>
              <w:kinsoku w:val="0"/>
              <w:overflowPunct w:val="0"/>
              <w:rPr>
                <w:sz w:val="22"/>
                <w:szCs w:val="22"/>
                <w:lang w:val="de-DE"/>
              </w:rPr>
            </w:pPr>
            <w:r>
              <w:rPr>
                <w:sz w:val="22"/>
                <w:szCs w:val="22"/>
                <w:lang w:val="de-DE" w:eastAsia="en-US"/>
              </w:rPr>
              <w:t>Häufig</w:t>
            </w:r>
          </w:p>
        </w:tc>
        <w:tc>
          <w:tcPr>
            <w:tcW w:w="4598" w:type="dxa"/>
          </w:tcPr>
          <w:p w14:paraId="7391309E" w14:textId="77777777" w:rsidR="00FE291A" w:rsidRDefault="00C8738F">
            <w:pPr>
              <w:keepNext/>
              <w:widowControl/>
              <w:rPr>
                <w:sz w:val="22"/>
                <w:szCs w:val="22"/>
                <w:lang w:val="de-DE" w:eastAsia="en-US"/>
              </w:rPr>
            </w:pPr>
            <w:r>
              <w:rPr>
                <w:sz w:val="22"/>
                <w:szCs w:val="22"/>
                <w:lang w:val="de-DE" w:eastAsia="en-US"/>
              </w:rPr>
              <w:t>Asthma,</w:t>
            </w:r>
          </w:p>
          <w:p w14:paraId="24030387" w14:textId="77777777" w:rsidR="00FE291A" w:rsidRDefault="00C8738F">
            <w:pPr>
              <w:keepNext/>
              <w:widowControl/>
              <w:rPr>
                <w:sz w:val="22"/>
                <w:szCs w:val="22"/>
                <w:lang w:val="de-DE" w:eastAsia="en-US"/>
              </w:rPr>
            </w:pPr>
            <w:r>
              <w:rPr>
                <w:sz w:val="22"/>
                <w:szCs w:val="22"/>
                <w:lang w:val="de-DE" w:eastAsia="en-US"/>
              </w:rPr>
              <w:t>Dyspnoe,</w:t>
            </w:r>
          </w:p>
          <w:p w14:paraId="22AB1BB3" w14:textId="77777777" w:rsidR="00FE291A" w:rsidRDefault="00C8738F">
            <w:pPr>
              <w:keepNext/>
              <w:widowControl/>
              <w:kinsoku w:val="0"/>
              <w:overflowPunct w:val="0"/>
              <w:rPr>
                <w:sz w:val="22"/>
                <w:szCs w:val="22"/>
                <w:lang w:val="de-DE"/>
              </w:rPr>
            </w:pPr>
            <w:r>
              <w:rPr>
                <w:sz w:val="22"/>
                <w:szCs w:val="22"/>
                <w:lang w:val="de-DE" w:eastAsia="en-US"/>
              </w:rPr>
              <w:t>Husten</w:t>
            </w:r>
          </w:p>
        </w:tc>
      </w:tr>
      <w:tr w:rsidR="00FE291A" w14:paraId="185CB735" w14:textId="77777777">
        <w:trPr>
          <w:trHeight w:val="620"/>
        </w:trPr>
        <w:tc>
          <w:tcPr>
            <w:tcW w:w="2517" w:type="dxa"/>
            <w:vMerge/>
          </w:tcPr>
          <w:p w14:paraId="09D482F1" w14:textId="77777777" w:rsidR="00FE291A" w:rsidRDefault="00FE291A">
            <w:pPr>
              <w:widowControl/>
              <w:rPr>
                <w:sz w:val="22"/>
                <w:szCs w:val="22"/>
                <w:lang w:val="de-DE" w:eastAsia="en-US"/>
              </w:rPr>
            </w:pPr>
          </w:p>
        </w:tc>
        <w:tc>
          <w:tcPr>
            <w:tcW w:w="1920" w:type="dxa"/>
          </w:tcPr>
          <w:p w14:paraId="38AFFB38" w14:textId="77777777" w:rsidR="00FE291A" w:rsidRDefault="00C8738F">
            <w:pPr>
              <w:widowControl/>
              <w:kinsoku w:val="0"/>
              <w:overflowPunct w:val="0"/>
              <w:rPr>
                <w:sz w:val="22"/>
                <w:szCs w:val="22"/>
                <w:lang w:val="de-DE" w:eastAsia="en-US"/>
              </w:rPr>
            </w:pPr>
            <w:r>
              <w:rPr>
                <w:sz w:val="22"/>
                <w:szCs w:val="22"/>
                <w:lang w:val="de-DE" w:eastAsia="en-US"/>
              </w:rPr>
              <w:t>Gelegentlich</w:t>
            </w:r>
          </w:p>
          <w:p w14:paraId="52455880" w14:textId="77777777" w:rsidR="00FE291A" w:rsidRDefault="00FE291A">
            <w:pPr>
              <w:widowControl/>
              <w:kinsoku w:val="0"/>
              <w:overflowPunct w:val="0"/>
              <w:rPr>
                <w:sz w:val="22"/>
                <w:szCs w:val="22"/>
                <w:lang w:val="de-DE" w:eastAsia="en-US"/>
              </w:rPr>
            </w:pPr>
          </w:p>
        </w:tc>
        <w:tc>
          <w:tcPr>
            <w:tcW w:w="4598" w:type="dxa"/>
          </w:tcPr>
          <w:p w14:paraId="49611971" w14:textId="77777777" w:rsidR="00FE291A" w:rsidRDefault="00C8738F">
            <w:pPr>
              <w:widowControl/>
              <w:rPr>
                <w:sz w:val="22"/>
                <w:szCs w:val="22"/>
                <w:lang w:val="de-DE" w:eastAsia="en-US"/>
              </w:rPr>
            </w:pPr>
            <w:r>
              <w:rPr>
                <w:sz w:val="22"/>
                <w:szCs w:val="22"/>
                <w:lang w:val="de-DE" w:eastAsia="en-US"/>
              </w:rPr>
              <w:t>Lungenembolie</w:t>
            </w:r>
            <w:r>
              <w:rPr>
                <w:sz w:val="22"/>
                <w:szCs w:val="22"/>
                <w:vertAlign w:val="superscript"/>
                <w:lang w:val="de-DE" w:eastAsia="en-US"/>
              </w:rPr>
              <w:t>1)</w:t>
            </w:r>
            <w:r>
              <w:rPr>
                <w:sz w:val="22"/>
                <w:szCs w:val="22"/>
                <w:lang w:val="de-DE" w:eastAsia="en-US"/>
              </w:rPr>
              <w:t>,</w:t>
            </w:r>
          </w:p>
          <w:p w14:paraId="2D19CFF4" w14:textId="77777777" w:rsidR="00FE291A" w:rsidRDefault="00C8738F">
            <w:pPr>
              <w:widowControl/>
              <w:rPr>
                <w:sz w:val="22"/>
                <w:szCs w:val="22"/>
                <w:lang w:val="de-DE" w:eastAsia="en-US"/>
              </w:rPr>
            </w:pPr>
            <w:r>
              <w:rPr>
                <w:sz w:val="22"/>
                <w:szCs w:val="22"/>
                <w:lang w:val="de-DE" w:eastAsia="en-US"/>
              </w:rPr>
              <w:t>interstitielle Lungenerkrankung,</w:t>
            </w:r>
          </w:p>
          <w:p w14:paraId="524B9D8E" w14:textId="77777777" w:rsidR="00FE291A" w:rsidRDefault="00C8738F">
            <w:pPr>
              <w:widowControl/>
              <w:rPr>
                <w:sz w:val="22"/>
                <w:szCs w:val="22"/>
                <w:lang w:val="de-DE" w:eastAsia="en-US"/>
              </w:rPr>
            </w:pPr>
            <w:r>
              <w:rPr>
                <w:sz w:val="22"/>
                <w:szCs w:val="22"/>
                <w:lang w:val="de-DE" w:eastAsia="en-US"/>
              </w:rPr>
              <w:t>chronisch-obstruktive Lungenerkrankung,</w:t>
            </w:r>
          </w:p>
          <w:p w14:paraId="39E8293A" w14:textId="77777777" w:rsidR="00FE291A" w:rsidRDefault="00C8738F">
            <w:pPr>
              <w:widowControl/>
              <w:rPr>
                <w:sz w:val="22"/>
                <w:szCs w:val="22"/>
                <w:lang w:val="de-DE" w:eastAsia="en-US"/>
              </w:rPr>
            </w:pPr>
            <w:r>
              <w:rPr>
                <w:sz w:val="22"/>
                <w:szCs w:val="22"/>
                <w:lang w:val="de-DE" w:eastAsia="en-US"/>
              </w:rPr>
              <w:t>Pneumonitis,</w:t>
            </w:r>
          </w:p>
          <w:p w14:paraId="1A826B57" w14:textId="77777777" w:rsidR="00FE291A" w:rsidRDefault="00C8738F">
            <w:pPr>
              <w:widowControl/>
              <w:kinsoku w:val="0"/>
              <w:overflowPunct w:val="0"/>
              <w:rPr>
                <w:sz w:val="22"/>
                <w:szCs w:val="22"/>
                <w:lang w:val="de-DE" w:eastAsia="en-US"/>
              </w:rPr>
            </w:pPr>
            <w:r>
              <w:rPr>
                <w:sz w:val="22"/>
                <w:szCs w:val="22"/>
                <w:lang w:val="de-DE" w:eastAsia="en-US"/>
              </w:rPr>
              <w:t>Pleuraerguss</w:t>
            </w:r>
            <w:r>
              <w:rPr>
                <w:sz w:val="22"/>
                <w:szCs w:val="22"/>
                <w:vertAlign w:val="superscript"/>
                <w:lang w:val="de-DE" w:eastAsia="en-US"/>
              </w:rPr>
              <w:t>1)</w:t>
            </w:r>
          </w:p>
        </w:tc>
      </w:tr>
      <w:tr w:rsidR="00FE291A" w14:paraId="2B4CBA6C" w14:textId="77777777">
        <w:trPr>
          <w:trHeight w:val="321"/>
        </w:trPr>
        <w:tc>
          <w:tcPr>
            <w:tcW w:w="2517" w:type="dxa"/>
            <w:vMerge/>
          </w:tcPr>
          <w:p w14:paraId="37ED347C" w14:textId="77777777" w:rsidR="00FE291A" w:rsidRDefault="00FE291A">
            <w:pPr>
              <w:widowControl/>
              <w:rPr>
                <w:sz w:val="22"/>
                <w:szCs w:val="22"/>
                <w:lang w:val="de-DE" w:eastAsia="en-US"/>
              </w:rPr>
            </w:pPr>
          </w:p>
        </w:tc>
        <w:tc>
          <w:tcPr>
            <w:tcW w:w="1920" w:type="dxa"/>
          </w:tcPr>
          <w:p w14:paraId="220356C9" w14:textId="77777777" w:rsidR="00FE291A" w:rsidRDefault="00C8738F">
            <w:pPr>
              <w:widowControl/>
              <w:kinsoku w:val="0"/>
              <w:overflowPunct w:val="0"/>
              <w:rPr>
                <w:sz w:val="22"/>
                <w:szCs w:val="22"/>
                <w:lang w:val="de-DE" w:eastAsia="en-US"/>
              </w:rPr>
            </w:pPr>
            <w:r>
              <w:rPr>
                <w:sz w:val="22"/>
                <w:szCs w:val="22"/>
                <w:lang w:val="de-DE" w:eastAsia="en-US"/>
              </w:rPr>
              <w:t>Selten</w:t>
            </w:r>
          </w:p>
        </w:tc>
        <w:tc>
          <w:tcPr>
            <w:tcW w:w="4598" w:type="dxa"/>
          </w:tcPr>
          <w:p w14:paraId="75251969" w14:textId="77777777" w:rsidR="00FE291A" w:rsidRDefault="00C8738F">
            <w:pPr>
              <w:widowControl/>
              <w:rPr>
                <w:sz w:val="22"/>
                <w:szCs w:val="22"/>
                <w:lang w:val="de-DE" w:eastAsia="en-US"/>
              </w:rPr>
            </w:pPr>
            <w:r>
              <w:rPr>
                <w:sz w:val="22"/>
                <w:szCs w:val="22"/>
                <w:lang w:val="de-DE" w:eastAsia="en-US"/>
              </w:rPr>
              <w:t>Lungenfibrose</w:t>
            </w:r>
            <w:r>
              <w:rPr>
                <w:sz w:val="22"/>
                <w:szCs w:val="22"/>
                <w:vertAlign w:val="superscript"/>
                <w:lang w:val="de-DE" w:eastAsia="en-US"/>
              </w:rPr>
              <w:t>1)</w:t>
            </w:r>
          </w:p>
        </w:tc>
      </w:tr>
      <w:tr w:rsidR="00FE291A" w14:paraId="3D19FE66" w14:textId="77777777">
        <w:trPr>
          <w:trHeight w:val="549"/>
        </w:trPr>
        <w:tc>
          <w:tcPr>
            <w:tcW w:w="2517" w:type="dxa"/>
            <w:vMerge w:val="restart"/>
          </w:tcPr>
          <w:p w14:paraId="39987CA7" w14:textId="77777777" w:rsidR="00FE291A" w:rsidRDefault="00C8738F">
            <w:pPr>
              <w:widowControl/>
              <w:rPr>
                <w:sz w:val="22"/>
                <w:szCs w:val="22"/>
                <w:lang w:val="de-DE" w:eastAsia="en-US"/>
              </w:rPr>
            </w:pPr>
            <w:r>
              <w:rPr>
                <w:sz w:val="22"/>
                <w:szCs w:val="22"/>
                <w:lang w:val="de-DE" w:eastAsia="en-US"/>
              </w:rPr>
              <w:t>Erkrankungen des Gastrointestinaltraktes</w:t>
            </w:r>
          </w:p>
        </w:tc>
        <w:tc>
          <w:tcPr>
            <w:tcW w:w="1920" w:type="dxa"/>
          </w:tcPr>
          <w:p w14:paraId="29F2EE15" w14:textId="77777777" w:rsidR="00FE291A" w:rsidRDefault="00C8738F">
            <w:pPr>
              <w:widowControl/>
              <w:kinsoku w:val="0"/>
              <w:overflowPunct w:val="0"/>
              <w:rPr>
                <w:sz w:val="22"/>
                <w:szCs w:val="22"/>
                <w:lang w:val="de-DE"/>
              </w:rPr>
            </w:pPr>
            <w:r>
              <w:rPr>
                <w:sz w:val="22"/>
                <w:szCs w:val="22"/>
                <w:lang w:val="de-DE" w:eastAsia="en-US"/>
              </w:rPr>
              <w:t>Sehr häufig</w:t>
            </w:r>
          </w:p>
        </w:tc>
        <w:tc>
          <w:tcPr>
            <w:tcW w:w="4598" w:type="dxa"/>
          </w:tcPr>
          <w:p w14:paraId="67A4662E" w14:textId="77777777" w:rsidR="00FE291A" w:rsidRDefault="00C8738F">
            <w:pPr>
              <w:widowControl/>
              <w:rPr>
                <w:sz w:val="22"/>
                <w:szCs w:val="22"/>
                <w:lang w:val="de-DE" w:eastAsia="en-US"/>
              </w:rPr>
            </w:pPr>
            <w:r>
              <w:rPr>
                <w:sz w:val="22"/>
                <w:szCs w:val="22"/>
                <w:lang w:val="de-DE" w:eastAsia="en-US"/>
              </w:rPr>
              <w:t>Abdominalschmerzen,</w:t>
            </w:r>
          </w:p>
          <w:p w14:paraId="28F0E8A6" w14:textId="77777777" w:rsidR="00FE291A" w:rsidRDefault="00C8738F">
            <w:pPr>
              <w:widowControl/>
              <w:kinsoku w:val="0"/>
              <w:overflowPunct w:val="0"/>
              <w:rPr>
                <w:sz w:val="22"/>
                <w:szCs w:val="22"/>
                <w:lang w:val="de-DE"/>
              </w:rPr>
            </w:pPr>
            <w:r>
              <w:rPr>
                <w:sz w:val="22"/>
                <w:szCs w:val="22"/>
                <w:lang w:val="de-DE" w:eastAsia="en-US"/>
              </w:rPr>
              <w:t>Übelkeit und Erbrechen</w:t>
            </w:r>
          </w:p>
        </w:tc>
      </w:tr>
      <w:tr w:rsidR="00FE291A" w14:paraId="3A2BFF49" w14:textId="77777777">
        <w:trPr>
          <w:trHeight w:val="547"/>
        </w:trPr>
        <w:tc>
          <w:tcPr>
            <w:tcW w:w="2517" w:type="dxa"/>
            <w:vMerge/>
          </w:tcPr>
          <w:p w14:paraId="29415D95" w14:textId="77777777" w:rsidR="00FE291A" w:rsidRDefault="00FE291A">
            <w:pPr>
              <w:widowControl/>
              <w:rPr>
                <w:sz w:val="22"/>
                <w:szCs w:val="22"/>
                <w:lang w:val="de-DE" w:eastAsia="en-US"/>
              </w:rPr>
            </w:pPr>
          </w:p>
        </w:tc>
        <w:tc>
          <w:tcPr>
            <w:tcW w:w="1920" w:type="dxa"/>
          </w:tcPr>
          <w:p w14:paraId="4BAFDE64" w14:textId="77777777" w:rsidR="00FE291A" w:rsidRDefault="00C8738F">
            <w:pPr>
              <w:widowControl/>
              <w:kinsoku w:val="0"/>
              <w:overflowPunct w:val="0"/>
              <w:rPr>
                <w:sz w:val="22"/>
                <w:szCs w:val="22"/>
                <w:lang w:val="de-DE" w:eastAsia="en-US"/>
              </w:rPr>
            </w:pPr>
            <w:r>
              <w:rPr>
                <w:sz w:val="22"/>
                <w:szCs w:val="22"/>
                <w:lang w:val="de-DE" w:eastAsia="en-US"/>
              </w:rPr>
              <w:t>Häufig</w:t>
            </w:r>
          </w:p>
        </w:tc>
        <w:tc>
          <w:tcPr>
            <w:tcW w:w="4598" w:type="dxa"/>
          </w:tcPr>
          <w:p w14:paraId="34F3842F" w14:textId="77777777" w:rsidR="00FE291A" w:rsidRDefault="00C8738F">
            <w:pPr>
              <w:widowControl/>
              <w:rPr>
                <w:sz w:val="22"/>
                <w:szCs w:val="22"/>
                <w:lang w:val="de-DE" w:eastAsia="en-US"/>
              </w:rPr>
            </w:pPr>
            <w:r>
              <w:rPr>
                <w:sz w:val="22"/>
                <w:szCs w:val="22"/>
                <w:lang w:val="de-DE" w:eastAsia="en-US"/>
              </w:rPr>
              <w:t>Blutungen im Gastrointestinaltrakt,</w:t>
            </w:r>
          </w:p>
          <w:p w14:paraId="7D22E174" w14:textId="77777777" w:rsidR="00FE291A" w:rsidRDefault="00C8738F">
            <w:pPr>
              <w:widowControl/>
              <w:rPr>
                <w:sz w:val="22"/>
                <w:szCs w:val="22"/>
                <w:lang w:val="de-DE" w:eastAsia="en-US"/>
              </w:rPr>
            </w:pPr>
            <w:r>
              <w:rPr>
                <w:sz w:val="22"/>
                <w:szCs w:val="22"/>
                <w:lang w:val="de-DE" w:eastAsia="en-US"/>
              </w:rPr>
              <w:t>Dyspepsie,</w:t>
            </w:r>
          </w:p>
          <w:p w14:paraId="3E300BF0" w14:textId="77777777" w:rsidR="00FE291A" w:rsidRDefault="00C8738F">
            <w:pPr>
              <w:widowControl/>
              <w:rPr>
                <w:sz w:val="22"/>
                <w:szCs w:val="22"/>
                <w:lang w:val="de-DE" w:eastAsia="en-US"/>
              </w:rPr>
            </w:pPr>
            <w:r>
              <w:rPr>
                <w:sz w:val="22"/>
                <w:szCs w:val="22"/>
                <w:lang w:val="de-DE" w:eastAsia="en-US"/>
              </w:rPr>
              <w:t>gastroösophageale Refluxkrankheit,</w:t>
            </w:r>
          </w:p>
          <w:p w14:paraId="5446C623" w14:textId="77777777" w:rsidR="00FE291A" w:rsidRDefault="00C8738F">
            <w:pPr>
              <w:widowControl/>
              <w:rPr>
                <w:sz w:val="22"/>
                <w:szCs w:val="22"/>
                <w:lang w:val="de-DE" w:eastAsia="en-US"/>
              </w:rPr>
            </w:pPr>
            <w:r>
              <w:rPr>
                <w:sz w:val="22"/>
                <w:szCs w:val="22"/>
                <w:lang w:val="de-DE" w:eastAsia="en-US"/>
              </w:rPr>
              <w:t>Sicca-Syndrom</w:t>
            </w:r>
          </w:p>
        </w:tc>
      </w:tr>
      <w:tr w:rsidR="00FE291A" w14:paraId="0C5C3D22" w14:textId="77777777">
        <w:trPr>
          <w:trHeight w:val="547"/>
        </w:trPr>
        <w:tc>
          <w:tcPr>
            <w:tcW w:w="2517" w:type="dxa"/>
            <w:vMerge/>
          </w:tcPr>
          <w:p w14:paraId="44ED73CD" w14:textId="77777777" w:rsidR="00FE291A" w:rsidRDefault="00FE291A">
            <w:pPr>
              <w:widowControl/>
              <w:rPr>
                <w:sz w:val="22"/>
                <w:szCs w:val="22"/>
                <w:lang w:val="de-DE" w:eastAsia="en-US"/>
              </w:rPr>
            </w:pPr>
          </w:p>
        </w:tc>
        <w:tc>
          <w:tcPr>
            <w:tcW w:w="1920" w:type="dxa"/>
          </w:tcPr>
          <w:p w14:paraId="648068F8" w14:textId="77777777" w:rsidR="00FE291A" w:rsidRDefault="00C8738F">
            <w:pPr>
              <w:widowControl/>
              <w:kinsoku w:val="0"/>
              <w:overflowPunct w:val="0"/>
              <w:rPr>
                <w:sz w:val="22"/>
                <w:szCs w:val="22"/>
                <w:lang w:val="de-DE" w:eastAsia="en-US"/>
              </w:rPr>
            </w:pPr>
            <w:r>
              <w:rPr>
                <w:sz w:val="22"/>
                <w:szCs w:val="22"/>
                <w:lang w:val="de-DE" w:eastAsia="en-US"/>
              </w:rPr>
              <w:t>Gelegentlich</w:t>
            </w:r>
          </w:p>
        </w:tc>
        <w:tc>
          <w:tcPr>
            <w:tcW w:w="4598" w:type="dxa"/>
          </w:tcPr>
          <w:p w14:paraId="2D47E8B5" w14:textId="77777777" w:rsidR="00FE291A" w:rsidRDefault="00C8738F">
            <w:pPr>
              <w:widowControl/>
              <w:rPr>
                <w:sz w:val="22"/>
                <w:szCs w:val="22"/>
                <w:lang w:val="de-DE" w:eastAsia="en-US"/>
              </w:rPr>
            </w:pPr>
            <w:r>
              <w:rPr>
                <w:sz w:val="22"/>
                <w:szCs w:val="22"/>
                <w:lang w:val="de-DE" w:eastAsia="en-US"/>
              </w:rPr>
              <w:t>Pankreatitis,</w:t>
            </w:r>
          </w:p>
          <w:p w14:paraId="3AB72FD6" w14:textId="77777777" w:rsidR="00FE291A" w:rsidRDefault="00C8738F">
            <w:pPr>
              <w:widowControl/>
              <w:rPr>
                <w:sz w:val="22"/>
                <w:szCs w:val="22"/>
                <w:lang w:val="de-DE" w:eastAsia="en-US"/>
              </w:rPr>
            </w:pPr>
            <w:r>
              <w:rPr>
                <w:sz w:val="22"/>
                <w:szCs w:val="22"/>
                <w:lang w:val="de-DE" w:eastAsia="en-US"/>
              </w:rPr>
              <w:t>Dysphagie,</w:t>
            </w:r>
          </w:p>
          <w:p w14:paraId="20B2F48B" w14:textId="77777777" w:rsidR="00FE291A" w:rsidRDefault="00C8738F">
            <w:pPr>
              <w:widowControl/>
              <w:rPr>
                <w:sz w:val="22"/>
                <w:szCs w:val="22"/>
                <w:lang w:val="de-DE" w:eastAsia="en-US"/>
              </w:rPr>
            </w:pPr>
            <w:r>
              <w:rPr>
                <w:sz w:val="22"/>
                <w:szCs w:val="22"/>
                <w:lang w:val="de-DE" w:eastAsia="en-US"/>
              </w:rPr>
              <w:t>Gesichtsödeme</w:t>
            </w:r>
          </w:p>
        </w:tc>
      </w:tr>
      <w:tr w:rsidR="00FE291A" w14:paraId="0EC60B7C" w14:textId="77777777">
        <w:trPr>
          <w:trHeight w:val="332"/>
        </w:trPr>
        <w:tc>
          <w:tcPr>
            <w:tcW w:w="2517" w:type="dxa"/>
            <w:vMerge/>
          </w:tcPr>
          <w:p w14:paraId="49A20383" w14:textId="77777777" w:rsidR="00FE291A" w:rsidRDefault="00FE291A">
            <w:pPr>
              <w:widowControl/>
              <w:rPr>
                <w:sz w:val="22"/>
                <w:szCs w:val="22"/>
                <w:lang w:val="de-DE" w:eastAsia="en-US"/>
              </w:rPr>
            </w:pPr>
          </w:p>
        </w:tc>
        <w:tc>
          <w:tcPr>
            <w:tcW w:w="1920" w:type="dxa"/>
          </w:tcPr>
          <w:p w14:paraId="676DA156" w14:textId="77777777" w:rsidR="00FE291A" w:rsidRDefault="00C8738F">
            <w:pPr>
              <w:widowControl/>
              <w:kinsoku w:val="0"/>
              <w:overflowPunct w:val="0"/>
              <w:rPr>
                <w:sz w:val="22"/>
                <w:szCs w:val="22"/>
                <w:lang w:val="de-DE" w:eastAsia="en-US"/>
              </w:rPr>
            </w:pPr>
            <w:r>
              <w:rPr>
                <w:sz w:val="22"/>
                <w:szCs w:val="22"/>
                <w:lang w:val="de-DE" w:eastAsia="en-US"/>
              </w:rPr>
              <w:t>Selten</w:t>
            </w:r>
          </w:p>
        </w:tc>
        <w:tc>
          <w:tcPr>
            <w:tcW w:w="4598" w:type="dxa"/>
          </w:tcPr>
          <w:p w14:paraId="73D35DE5" w14:textId="77777777" w:rsidR="00FE291A" w:rsidRDefault="00C8738F">
            <w:pPr>
              <w:widowControl/>
              <w:rPr>
                <w:sz w:val="22"/>
                <w:szCs w:val="22"/>
                <w:lang w:val="de-DE" w:eastAsia="en-US"/>
              </w:rPr>
            </w:pPr>
            <w:r>
              <w:rPr>
                <w:sz w:val="22"/>
                <w:szCs w:val="22"/>
                <w:lang w:val="de-DE" w:eastAsia="en-US"/>
              </w:rPr>
              <w:t>Darmwandperforation</w:t>
            </w:r>
            <w:r>
              <w:rPr>
                <w:sz w:val="22"/>
                <w:szCs w:val="22"/>
                <w:vertAlign w:val="superscript"/>
                <w:lang w:val="de-DE" w:eastAsia="en-US"/>
              </w:rPr>
              <w:t>1)</w:t>
            </w:r>
          </w:p>
        </w:tc>
      </w:tr>
      <w:tr w:rsidR="00FE291A" w14:paraId="34C713BA" w14:textId="77777777">
        <w:trPr>
          <w:trHeight w:val="421"/>
        </w:trPr>
        <w:tc>
          <w:tcPr>
            <w:tcW w:w="2517" w:type="dxa"/>
            <w:vMerge w:val="restart"/>
          </w:tcPr>
          <w:p w14:paraId="5EB36019" w14:textId="77777777" w:rsidR="00FE291A" w:rsidRDefault="00C8738F">
            <w:pPr>
              <w:widowControl/>
              <w:rPr>
                <w:sz w:val="22"/>
                <w:szCs w:val="22"/>
                <w:lang w:val="de-DE" w:eastAsia="en-US"/>
              </w:rPr>
            </w:pPr>
            <w:r>
              <w:rPr>
                <w:sz w:val="22"/>
                <w:szCs w:val="22"/>
                <w:lang w:val="de-DE" w:eastAsia="en-US"/>
              </w:rPr>
              <w:t>Leber- und Gallenerkrankungen*</w:t>
            </w:r>
          </w:p>
        </w:tc>
        <w:tc>
          <w:tcPr>
            <w:tcW w:w="1920" w:type="dxa"/>
          </w:tcPr>
          <w:p w14:paraId="227A86EF" w14:textId="77777777" w:rsidR="00FE291A" w:rsidRDefault="00C8738F">
            <w:pPr>
              <w:widowControl/>
              <w:kinsoku w:val="0"/>
              <w:overflowPunct w:val="0"/>
              <w:rPr>
                <w:sz w:val="22"/>
                <w:szCs w:val="22"/>
                <w:lang w:val="de-DE"/>
              </w:rPr>
            </w:pPr>
            <w:r>
              <w:rPr>
                <w:sz w:val="22"/>
                <w:szCs w:val="22"/>
                <w:lang w:val="de-DE" w:eastAsia="en-US"/>
              </w:rPr>
              <w:t>Sehr häufig</w:t>
            </w:r>
          </w:p>
        </w:tc>
        <w:tc>
          <w:tcPr>
            <w:tcW w:w="4598" w:type="dxa"/>
          </w:tcPr>
          <w:p w14:paraId="51974F39" w14:textId="77777777" w:rsidR="00FE291A" w:rsidRDefault="00C8738F">
            <w:pPr>
              <w:widowControl/>
              <w:kinsoku w:val="0"/>
              <w:overflowPunct w:val="0"/>
              <w:rPr>
                <w:sz w:val="22"/>
                <w:szCs w:val="22"/>
                <w:lang w:val="de-DE"/>
              </w:rPr>
            </w:pPr>
            <w:r>
              <w:rPr>
                <w:sz w:val="22"/>
                <w:szCs w:val="22"/>
                <w:lang w:val="de-DE" w:eastAsia="en-US"/>
              </w:rPr>
              <w:t>Erhöhung der Leberenzyme</w:t>
            </w:r>
          </w:p>
        </w:tc>
      </w:tr>
      <w:tr w:rsidR="00FE291A" w:rsidRPr="002E6CD3" w14:paraId="5CFFCD0A" w14:textId="77777777">
        <w:trPr>
          <w:trHeight w:val="506"/>
        </w:trPr>
        <w:tc>
          <w:tcPr>
            <w:tcW w:w="2517" w:type="dxa"/>
            <w:vMerge/>
          </w:tcPr>
          <w:p w14:paraId="544C8E20" w14:textId="77777777" w:rsidR="00FE291A" w:rsidRDefault="00FE291A">
            <w:pPr>
              <w:widowControl/>
              <w:rPr>
                <w:sz w:val="22"/>
                <w:szCs w:val="22"/>
                <w:lang w:val="de-DE" w:eastAsia="en-US"/>
              </w:rPr>
            </w:pPr>
          </w:p>
        </w:tc>
        <w:tc>
          <w:tcPr>
            <w:tcW w:w="1920" w:type="dxa"/>
          </w:tcPr>
          <w:p w14:paraId="17F54D60" w14:textId="77777777" w:rsidR="00FE291A" w:rsidRDefault="00C8738F">
            <w:pPr>
              <w:widowControl/>
              <w:kinsoku w:val="0"/>
              <w:overflowPunct w:val="0"/>
              <w:rPr>
                <w:sz w:val="22"/>
                <w:szCs w:val="22"/>
                <w:lang w:val="de-DE" w:eastAsia="en-US"/>
              </w:rPr>
            </w:pPr>
            <w:r>
              <w:rPr>
                <w:sz w:val="22"/>
                <w:szCs w:val="22"/>
                <w:lang w:val="de-DE" w:eastAsia="en-US"/>
              </w:rPr>
              <w:t>Gelegentlich</w:t>
            </w:r>
          </w:p>
        </w:tc>
        <w:tc>
          <w:tcPr>
            <w:tcW w:w="4598" w:type="dxa"/>
          </w:tcPr>
          <w:p w14:paraId="38A616FF" w14:textId="77777777" w:rsidR="00FE291A" w:rsidRDefault="00C8738F">
            <w:pPr>
              <w:widowControl/>
              <w:rPr>
                <w:sz w:val="22"/>
                <w:szCs w:val="22"/>
                <w:lang w:val="de-DE" w:eastAsia="en-US"/>
              </w:rPr>
            </w:pPr>
            <w:r>
              <w:rPr>
                <w:sz w:val="22"/>
                <w:szCs w:val="22"/>
                <w:lang w:val="de-DE" w:eastAsia="en-US"/>
              </w:rPr>
              <w:t>Cholecystitis und Cholelithiasis,</w:t>
            </w:r>
          </w:p>
          <w:p w14:paraId="56CCF42D" w14:textId="77777777" w:rsidR="00FE291A" w:rsidRDefault="00C8738F">
            <w:pPr>
              <w:widowControl/>
              <w:rPr>
                <w:sz w:val="22"/>
                <w:szCs w:val="22"/>
                <w:lang w:val="de-DE" w:eastAsia="en-US"/>
              </w:rPr>
            </w:pPr>
            <w:r>
              <w:rPr>
                <w:sz w:val="22"/>
                <w:szCs w:val="22"/>
                <w:lang w:val="de-DE" w:eastAsia="en-US"/>
              </w:rPr>
              <w:t>Fettleber,</w:t>
            </w:r>
          </w:p>
          <w:p w14:paraId="0FC03D64" w14:textId="77777777" w:rsidR="00FE291A" w:rsidRDefault="00C8738F">
            <w:pPr>
              <w:widowControl/>
              <w:kinsoku w:val="0"/>
              <w:overflowPunct w:val="0"/>
              <w:rPr>
                <w:sz w:val="22"/>
                <w:szCs w:val="22"/>
                <w:lang w:val="de-DE" w:eastAsia="en-US"/>
              </w:rPr>
            </w:pPr>
            <w:r>
              <w:rPr>
                <w:sz w:val="22"/>
                <w:szCs w:val="22"/>
                <w:lang w:val="de-DE" w:eastAsia="en-US"/>
              </w:rPr>
              <w:t>erhöhte Bilirubinwerte</w:t>
            </w:r>
          </w:p>
        </w:tc>
      </w:tr>
      <w:tr w:rsidR="00FE291A" w:rsidRPr="002E6CD3" w14:paraId="7042BC1C" w14:textId="77777777">
        <w:trPr>
          <w:trHeight w:val="506"/>
        </w:trPr>
        <w:tc>
          <w:tcPr>
            <w:tcW w:w="2517" w:type="dxa"/>
            <w:vMerge/>
          </w:tcPr>
          <w:p w14:paraId="5C69DCCF" w14:textId="77777777" w:rsidR="00FE291A" w:rsidRDefault="00FE291A">
            <w:pPr>
              <w:widowControl/>
              <w:rPr>
                <w:sz w:val="22"/>
                <w:szCs w:val="22"/>
                <w:lang w:val="de-DE" w:eastAsia="en-US"/>
              </w:rPr>
            </w:pPr>
          </w:p>
        </w:tc>
        <w:tc>
          <w:tcPr>
            <w:tcW w:w="1920" w:type="dxa"/>
          </w:tcPr>
          <w:p w14:paraId="6448EBC8" w14:textId="77777777" w:rsidR="00FE291A" w:rsidRDefault="00C8738F">
            <w:pPr>
              <w:widowControl/>
              <w:kinsoku w:val="0"/>
              <w:overflowPunct w:val="0"/>
              <w:rPr>
                <w:sz w:val="22"/>
                <w:szCs w:val="22"/>
                <w:lang w:val="de-DE" w:eastAsia="en-US"/>
              </w:rPr>
            </w:pPr>
            <w:r>
              <w:rPr>
                <w:sz w:val="22"/>
                <w:szCs w:val="22"/>
                <w:lang w:val="de-DE" w:eastAsia="en-US"/>
              </w:rPr>
              <w:t>Selten</w:t>
            </w:r>
          </w:p>
        </w:tc>
        <w:tc>
          <w:tcPr>
            <w:tcW w:w="4598" w:type="dxa"/>
          </w:tcPr>
          <w:p w14:paraId="5C8A37CA" w14:textId="77777777" w:rsidR="00FE291A" w:rsidRDefault="00C8738F">
            <w:pPr>
              <w:widowControl/>
              <w:rPr>
                <w:sz w:val="22"/>
                <w:szCs w:val="22"/>
                <w:lang w:val="de-DE" w:eastAsia="en-US"/>
              </w:rPr>
            </w:pPr>
            <w:r>
              <w:rPr>
                <w:sz w:val="22"/>
                <w:szCs w:val="22"/>
                <w:lang w:val="de-DE" w:eastAsia="en-US"/>
              </w:rPr>
              <w:t>Hepatitis,</w:t>
            </w:r>
          </w:p>
          <w:p w14:paraId="3D8B1BF2" w14:textId="77777777" w:rsidR="00FE291A" w:rsidRDefault="00C8738F">
            <w:pPr>
              <w:widowControl/>
              <w:rPr>
                <w:sz w:val="22"/>
                <w:szCs w:val="22"/>
                <w:lang w:val="de-DE" w:eastAsia="en-US"/>
              </w:rPr>
            </w:pPr>
            <w:r>
              <w:rPr>
                <w:sz w:val="22"/>
                <w:szCs w:val="22"/>
                <w:lang w:val="de-DE" w:eastAsia="en-US"/>
              </w:rPr>
              <w:t>Reaktivierung einer Hepatitis B</w:t>
            </w:r>
            <w:r>
              <w:rPr>
                <w:sz w:val="22"/>
                <w:szCs w:val="22"/>
                <w:vertAlign w:val="superscript"/>
                <w:lang w:val="de-DE" w:eastAsia="en-US"/>
              </w:rPr>
              <w:t>1)</w:t>
            </w:r>
            <w:r>
              <w:rPr>
                <w:sz w:val="22"/>
                <w:szCs w:val="22"/>
                <w:lang w:val="de-DE" w:eastAsia="en-US"/>
              </w:rPr>
              <w:t>,</w:t>
            </w:r>
          </w:p>
          <w:p w14:paraId="1CBBEB68" w14:textId="77777777" w:rsidR="00FE291A" w:rsidRDefault="00C8738F">
            <w:pPr>
              <w:widowControl/>
              <w:kinsoku w:val="0"/>
              <w:overflowPunct w:val="0"/>
              <w:rPr>
                <w:sz w:val="22"/>
                <w:szCs w:val="22"/>
                <w:lang w:val="de-DE" w:eastAsia="en-US"/>
              </w:rPr>
            </w:pPr>
            <w:r>
              <w:rPr>
                <w:sz w:val="22"/>
                <w:szCs w:val="22"/>
                <w:lang w:val="de-DE" w:eastAsia="en-US"/>
              </w:rPr>
              <w:t>Autoimmunhepatitis</w:t>
            </w:r>
            <w:r>
              <w:rPr>
                <w:sz w:val="22"/>
                <w:szCs w:val="22"/>
                <w:vertAlign w:val="superscript"/>
                <w:lang w:val="de-DE" w:eastAsia="en-US"/>
              </w:rPr>
              <w:t>1)</w:t>
            </w:r>
          </w:p>
        </w:tc>
      </w:tr>
      <w:tr w:rsidR="00FE291A" w14:paraId="3C779541" w14:textId="77777777">
        <w:tc>
          <w:tcPr>
            <w:tcW w:w="2517" w:type="dxa"/>
            <w:vMerge/>
          </w:tcPr>
          <w:p w14:paraId="4B377B60" w14:textId="77777777" w:rsidR="00FE291A" w:rsidRDefault="00FE291A">
            <w:pPr>
              <w:widowControl/>
              <w:rPr>
                <w:sz w:val="22"/>
                <w:szCs w:val="22"/>
                <w:lang w:val="de-DE" w:eastAsia="en-US"/>
              </w:rPr>
            </w:pPr>
          </w:p>
        </w:tc>
        <w:tc>
          <w:tcPr>
            <w:tcW w:w="1920" w:type="dxa"/>
          </w:tcPr>
          <w:p w14:paraId="2A84FFCC" w14:textId="77777777" w:rsidR="00FE291A" w:rsidRDefault="00C8738F">
            <w:pPr>
              <w:widowControl/>
              <w:kinsoku w:val="0"/>
              <w:overflowPunct w:val="0"/>
              <w:rPr>
                <w:sz w:val="22"/>
                <w:szCs w:val="22"/>
                <w:lang w:val="de-DE" w:eastAsia="en-US"/>
              </w:rPr>
            </w:pPr>
            <w:r>
              <w:rPr>
                <w:sz w:val="22"/>
                <w:szCs w:val="22"/>
                <w:lang w:val="de-DE" w:eastAsia="en-US"/>
              </w:rPr>
              <w:t>Nicht bekannt</w:t>
            </w:r>
          </w:p>
        </w:tc>
        <w:tc>
          <w:tcPr>
            <w:tcW w:w="4598" w:type="dxa"/>
          </w:tcPr>
          <w:p w14:paraId="4B55FA7E" w14:textId="77777777" w:rsidR="00FE291A" w:rsidRDefault="00C8738F">
            <w:pPr>
              <w:widowControl/>
              <w:kinsoku w:val="0"/>
              <w:overflowPunct w:val="0"/>
              <w:rPr>
                <w:sz w:val="22"/>
                <w:szCs w:val="22"/>
                <w:lang w:val="de-DE" w:eastAsia="en-US"/>
              </w:rPr>
            </w:pPr>
            <w:r>
              <w:rPr>
                <w:sz w:val="22"/>
                <w:szCs w:val="22"/>
                <w:lang w:val="de-DE" w:eastAsia="en-US"/>
              </w:rPr>
              <w:t>Leberversagen</w:t>
            </w:r>
            <w:r>
              <w:rPr>
                <w:sz w:val="22"/>
                <w:szCs w:val="22"/>
                <w:vertAlign w:val="superscript"/>
                <w:lang w:val="de-DE" w:eastAsia="en-US"/>
              </w:rPr>
              <w:t>1)</w:t>
            </w:r>
          </w:p>
        </w:tc>
      </w:tr>
      <w:tr w:rsidR="00FE291A" w14:paraId="761EE682" w14:textId="77777777">
        <w:trPr>
          <w:trHeight w:val="679"/>
        </w:trPr>
        <w:tc>
          <w:tcPr>
            <w:tcW w:w="2517" w:type="dxa"/>
            <w:vMerge w:val="restart"/>
          </w:tcPr>
          <w:p w14:paraId="52A5C484" w14:textId="77777777" w:rsidR="00FE291A" w:rsidRDefault="00C8738F">
            <w:pPr>
              <w:keepNext/>
              <w:keepLines/>
              <w:widowControl/>
              <w:rPr>
                <w:sz w:val="22"/>
                <w:szCs w:val="22"/>
                <w:lang w:val="de-DE" w:eastAsia="en-US"/>
              </w:rPr>
            </w:pPr>
            <w:r>
              <w:rPr>
                <w:sz w:val="22"/>
                <w:szCs w:val="22"/>
                <w:lang w:val="de-DE" w:eastAsia="en-US"/>
              </w:rPr>
              <w:t>Erkrankungen der Haut und des Unterhautzellgewebes</w:t>
            </w:r>
          </w:p>
        </w:tc>
        <w:tc>
          <w:tcPr>
            <w:tcW w:w="1920" w:type="dxa"/>
          </w:tcPr>
          <w:p w14:paraId="3C70D6FE" w14:textId="77777777" w:rsidR="00FE291A" w:rsidRDefault="00C8738F">
            <w:pPr>
              <w:keepNext/>
              <w:keepLines/>
              <w:widowControl/>
              <w:kinsoku w:val="0"/>
              <w:overflowPunct w:val="0"/>
              <w:rPr>
                <w:sz w:val="22"/>
                <w:szCs w:val="22"/>
                <w:lang w:val="de-DE"/>
              </w:rPr>
            </w:pPr>
            <w:r>
              <w:rPr>
                <w:sz w:val="22"/>
                <w:szCs w:val="22"/>
                <w:lang w:val="de-DE" w:eastAsia="en-US"/>
              </w:rPr>
              <w:t>Sehr häufig</w:t>
            </w:r>
          </w:p>
        </w:tc>
        <w:tc>
          <w:tcPr>
            <w:tcW w:w="4598" w:type="dxa"/>
          </w:tcPr>
          <w:p w14:paraId="4FF49C59" w14:textId="77777777" w:rsidR="00FE291A" w:rsidRDefault="00C8738F">
            <w:pPr>
              <w:keepNext/>
              <w:keepLines/>
              <w:widowControl/>
              <w:kinsoku w:val="0"/>
              <w:overflowPunct w:val="0"/>
              <w:rPr>
                <w:sz w:val="22"/>
                <w:szCs w:val="22"/>
                <w:lang w:val="de-DE"/>
              </w:rPr>
            </w:pPr>
            <w:r>
              <w:rPr>
                <w:sz w:val="22"/>
                <w:szCs w:val="22"/>
                <w:lang w:val="de-DE" w:eastAsia="en-US"/>
              </w:rPr>
              <w:t>Hautausschlag (einschließlich schuppender Hautausschlag)</w:t>
            </w:r>
          </w:p>
        </w:tc>
      </w:tr>
      <w:tr w:rsidR="00FE291A" w14:paraId="32ACD96A" w14:textId="77777777">
        <w:trPr>
          <w:trHeight w:val="236"/>
        </w:trPr>
        <w:tc>
          <w:tcPr>
            <w:tcW w:w="2517" w:type="dxa"/>
            <w:vMerge/>
          </w:tcPr>
          <w:p w14:paraId="1A7E03D0" w14:textId="77777777" w:rsidR="00FE291A" w:rsidRDefault="00FE291A">
            <w:pPr>
              <w:keepNext/>
              <w:keepLines/>
              <w:widowControl/>
              <w:rPr>
                <w:sz w:val="22"/>
                <w:szCs w:val="22"/>
                <w:lang w:val="de-DE" w:eastAsia="en-US"/>
              </w:rPr>
            </w:pPr>
          </w:p>
        </w:tc>
        <w:tc>
          <w:tcPr>
            <w:tcW w:w="1920" w:type="dxa"/>
          </w:tcPr>
          <w:p w14:paraId="6F64FC54" w14:textId="77777777" w:rsidR="00FE291A" w:rsidRDefault="00C8738F">
            <w:pPr>
              <w:keepNext/>
              <w:keepLines/>
              <w:widowControl/>
              <w:kinsoku w:val="0"/>
              <w:overflowPunct w:val="0"/>
              <w:rPr>
                <w:sz w:val="22"/>
                <w:szCs w:val="22"/>
                <w:lang w:val="de-DE" w:eastAsia="en-US"/>
              </w:rPr>
            </w:pPr>
            <w:r>
              <w:rPr>
                <w:sz w:val="22"/>
                <w:szCs w:val="22"/>
                <w:lang w:val="de-DE" w:eastAsia="en-US"/>
              </w:rPr>
              <w:t>Häufig</w:t>
            </w:r>
          </w:p>
        </w:tc>
        <w:tc>
          <w:tcPr>
            <w:tcW w:w="4598" w:type="dxa"/>
          </w:tcPr>
          <w:p w14:paraId="10312472" w14:textId="77777777" w:rsidR="00FE291A" w:rsidRDefault="00C8738F">
            <w:pPr>
              <w:keepNext/>
              <w:keepLines/>
              <w:widowControl/>
              <w:rPr>
                <w:sz w:val="22"/>
                <w:szCs w:val="22"/>
                <w:lang w:val="de-DE" w:eastAsia="en-US"/>
              </w:rPr>
            </w:pPr>
            <w:r>
              <w:rPr>
                <w:sz w:val="22"/>
                <w:szCs w:val="22"/>
                <w:lang w:val="de-DE" w:eastAsia="en-US"/>
              </w:rPr>
              <w:t>Verschlechterung oder neuer Ausbruch von Psoriasis (einschließlich palmoplantarer pustulöser Psoriasis)</w:t>
            </w:r>
            <w:r>
              <w:rPr>
                <w:sz w:val="22"/>
                <w:szCs w:val="22"/>
                <w:vertAlign w:val="superscript"/>
                <w:lang w:val="de-DE" w:eastAsia="en-US"/>
              </w:rPr>
              <w:t>1)</w:t>
            </w:r>
            <w:r>
              <w:rPr>
                <w:sz w:val="22"/>
                <w:szCs w:val="22"/>
                <w:lang w:val="de-DE" w:eastAsia="en-US"/>
              </w:rPr>
              <w:t>,</w:t>
            </w:r>
          </w:p>
          <w:p w14:paraId="484FDBB1" w14:textId="77777777" w:rsidR="00FE291A" w:rsidRDefault="00C8738F">
            <w:pPr>
              <w:keepNext/>
              <w:keepLines/>
              <w:widowControl/>
              <w:rPr>
                <w:sz w:val="22"/>
                <w:szCs w:val="22"/>
                <w:lang w:val="de-DE" w:eastAsia="en-US"/>
              </w:rPr>
            </w:pPr>
            <w:r>
              <w:rPr>
                <w:sz w:val="22"/>
                <w:szCs w:val="22"/>
                <w:lang w:val="de-DE" w:eastAsia="en-US"/>
              </w:rPr>
              <w:t>Urtikaria,</w:t>
            </w:r>
          </w:p>
          <w:p w14:paraId="3AABEA92" w14:textId="77777777" w:rsidR="00FE291A" w:rsidRDefault="00C8738F">
            <w:pPr>
              <w:keepNext/>
              <w:keepLines/>
              <w:widowControl/>
              <w:rPr>
                <w:sz w:val="22"/>
                <w:szCs w:val="22"/>
                <w:lang w:val="de-DE" w:eastAsia="en-US"/>
              </w:rPr>
            </w:pPr>
            <w:r>
              <w:rPr>
                <w:sz w:val="22"/>
                <w:szCs w:val="22"/>
                <w:lang w:val="de-DE" w:eastAsia="en-US"/>
              </w:rPr>
              <w:t>Blutergüsse (einschließlich Purpura),</w:t>
            </w:r>
          </w:p>
          <w:p w14:paraId="7052B1A3" w14:textId="77777777" w:rsidR="00FE291A" w:rsidRDefault="00C8738F">
            <w:pPr>
              <w:keepNext/>
              <w:keepLines/>
              <w:widowControl/>
              <w:rPr>
                <w:sz w:val="22"/>
                <w:szCs w:val="22"/>
                <w:lang w:val="de-DE" w:eastAsia="en-US"/>
              </w:rPr>
            </w:pPr>
            <w:r>
              <w:rPr>
                <w:sz w:val="22"/>
                <w:szCs w:val="22"/>
                <w:lang w:val="de-DE" w:eastAsia="en-US"/>
              </w:rPr>
              <w:t>Dermatitis (einschließlich Ekzem),</w:t>
            </w:r>
          </w:p>
          <w:p w14:paraId="2F75A8CF" w14:textId="77777777" w:rsidR="00FE291A" w:rsidRDefault="00C8738F">
            <w:pPr>
              <w:keepNext/>
              <w:keepLines/>
              <w:widowControl/>
              <w:rPr>
                <w:sz w:val="22"/>
                <w:szCs w:val="22"/>
                <w:lang w:val="de-DE" w:eastAsia="en-US"/>
              </w:rPr>
            </w:pPr>
            <w:r>
              <w:rPr>
                <w:sz w:val="22"/>
                <w:szCs w:val="22"/>
                <w:lang w:val="de-DE" w:eastAsia="en-US"/>
              </w:rPr>
              <w:t>Onychoclasis (Brechen der Nägel),</w:t>
            </w:r>
          </w:p>
          <w:p w14:paraId="4FD9EAEF" w14:textId="77777777" w:rsidR="00FE291A" w:rsidRDefault="00C8738F">
            <w:pPr>
              <w:keepNext/>
              <w:keepLines/>
              <w:widowControl/>
              <w:rPr>
                <w:sz w:val="22"/>
                <w:szCs w:val="22"/>
                <w:lang w:val="de-DE" w:eastAsia="en-US"/>
              </w:rPr>
            </w:pPr>
            <w:r>
              <w:rPr>
                <w:sz w:val="22"/>
                <w:szCs w:val="22"/>
                <w:lang w:val="de-DE" w:eastAsia="en-US"/>
              </w:rPr>
              <w:t>Hyperhidrose,</w:t>
            </w:r>
          </w:p>
          <w:p w14:paraId="7616B594" w14:textId="77777777" w:rsidR="00FE291A" w:rsidRDefault="00C8738F">
            <w:pPr>
              <w:keepNext/>
              <w:keepLines/>
              <w:widowControl/>
              <w:rPr>
                <w:sz w:val="22"/>
                <w:szCs w:val="22"/>
                <w:lang w:val="de-DE" w:eastAsia="en-US"/>
              </w:rPr>
            </w:pPr>
            <w:r>
              <w:rPr>
                <w:sz w:val="22"/>
                <w:szCs w:val="22"/>
                <w:lang w:val="de-DE" w:eastAsia="en-US"/>
              </w:rPr>
              <w:t>Alopezie</w:t>
            </w:r>
            <w:r>
              <w:rPr>
                <w:sz w:val="22"/>
                <w:szCs w:val="22"/>
                <w:vertAlign w:val="superscript"/>
                <w:lang w:val="de-DE" w:eastAsia="en-US"/>
              </w:rPr>
              <w:t>1)</w:t>
            </w:r>
            <w:r>
              <w:rPr>
                <w:sz w:val="22"/>
                <w:szCs w:val="22"/>
                <w:lang w:val="de-DE" w:eastAsia="en-US"/>
              </w:rPr>
              <w:t>,</w:t>
            </w:r>
          </w:p>
          <w:p w14:paraId="6040D80A" w14:textId="77777777" w:rsidR="00FE291A" w:rsidRDefault="00C8738F">
            <w:pPr>
              <w:keepNext/>
              <w:keepLines/>
              <w:widowControl/>
              <w:kinsoku w:val="0"/>
              <w:overflowPunct w:val="0"/>
              <w:rPr>
                <w:sz w:val="22"/>
                <w:szCs w:val="22"/>
                <w:lang w:val="de-DE" w:eastAsia="en-US"/>
              </w:rPr>
            </w:pPr>
            <w:r>
              <w:rPr>
                <w:sz w:val="22"/>
                <w:szCs w:val="22"/>
                <w:lang w:val="de-DE" w:eastAsia="en-US"/>
              </w:rPr>
              <w:t>Pruritus</w:t>
            </w:r>
          </w:p>
        </w:tc>
      </w:tr>
      <w:tr w:rsidR="00FE291A" w14:paraId="44C4721B" w14:textId="77777777">
        <w:trPr>
          <w:trHeight w:val="569"/>
        </w:trPr>
        <w:tc>
          <w:tcPr>
            <w:tcW w:w="2517" w:type="dxa"/>
            <w:vMerge/>
          </w:tcPr>
          <w:p w14:paraId="2C1D92EC" w14:textId="77777777" w:rsidR="00FE291A" w:rsidRDefault="00FE291A">
            <w:pPr>
              <w:keepNext/>
              <w:keepLines/>
              <w:widowControl/>
              <w:rPr>
                <w:sz w:val="22"/>
                <w:szCs w:val="22"/>
                <w:lang w:val="de-DE" w:eastAsia="en-US"/>
              </w:rPr>
            </w:pPr>
          </w:p>
        </w:tc>
        <w:tc>
          <w:tcPr>
            <w:tcW w:w="1920" w:type="dxa"/>
          </w:tcPr>
          <w:p w14:paraId="059A324B" w14:textId="77777777" w:rsidR="00FE291A" w:rsidRDefault="00C8738F">
            <w:pPr>
              <w:keepNext/>
              <w:keepLines/>
              <w:widowControl/>
              <w:kinsoku w:val="0"/>
              <w:overflowPunct w:val="0"/>
              <w:rPr>
                <w:sz w:val="22"/>
                <w:szCs w:val="22"/>
                <w:lang w:val="de-DE" w:eastAsia="en-US"/>
              </w:rPr>
            </w:pPr>
            <w:r>
              <w:rPr>
                <w:sz w:val="22"/>
                <w:szCs w:val="22"/>
                <w:lang w:val="de-DE" w:eastAsia="en-US"/>
              </w:rPr>
              <w:t>Gelegentlich</w:t>
            </w:r>
          </w:p>
        </w:tc>
        <w:tc>
          <w:tcPr>
            <w:tcW w:w="4598" w:type="dxa"/>
          </w:tcPr>
          <w:p w14:paraId="07881076" w14:textId="77777777" w:rsidR="00FE291A" w:rsidRDefault="00C8738F">
            <w:pPr>
              <w:keepNext/>
              <w:keepLines/>
              <w:widowControl/>
              <w:rPr>
                <w:sz w:val="22"/>
                <w:szCs w:val="22"/>
                <w:lang w:val="de-DE" w:eastAsia="en-US"/>
              </w:rPr>
            </w:pPr>
            <w:r>
              <w:rPr>
                <w:sz w:val="22"/>
                <w:szCs w:val="22"/>
                <w:lang w:val="de-DE" w:eastAsia="en-US"/>
              </w:rPr>
              <w:t>nächtliches Schwitzen,</w:t>
            </w:r>
          </w:p>
          <w:p w14:paraId="09EC2E9A" w14:textId="77777777" w:rsidR="00FE291A" w:rsidRDefault="00C8738F">
            <w:pPr>
              <w:keepNext/>
              <w:keepLines/>
              <w:widowControl/>
              <w:kinsoku w:val="0"/>
              <w:overflowPunct w:val="0"/>
              <w:rPr>
                <w:sz w:val="22"/>
                <w:szCs w:val="22"/>
                <w:lang w:val="de-DE" w:eastAsia="en-US"/>
              </w:rPr>
            </w:pPr>
            <w:r>
              <w:rPr>
                <w:sz w:val="22"/>
                <w:szCs w:val="22"/>
                <w:lang w:val="de-DE" w:eastAsia="en-US"/>
              </w:rPr>
              <w:t>Narbenbildung</w:t>
            </w:r>
          </w:p>
        </w:tc>
      </w:tr>
      <w:tr w:rsidR="00FE291A" w14:paraId="3577A3C4" w14:textId="77777777">
        <w:trPr>
          <w:trHeight w:val="810"/>
        </w:trPr>
        <w:tc>
          <w:tcPr>
            <w:tcW w:w="2517" w:type="dxa"/>
            <w:vMerge/>
          </w:tcPr>
          <w:p w14:paraId="3F5A5D6F" w14:textId="77777777" w:rsidR="00FE291A" w:rsidRDefault="00FE291A">
            <w:pPr>
              <w:keepNext/>
              <w:keepLines/>
              <w:widowControl/>
              <w:rPr>
                <w:sz w:val="22"/>
                <w:szCs w:val="22"/>
                <w:lang w:val="de-DE" w:eastAsia="en-US"/>
              </w:rPr>
            </w:pPr>
          </w:p>
        </w:tc>
        <w:tc>
          <w:tcPr>
            <w:tcW w:w="1920" w:type="dxa"/>
          </w:tcPr>
          <w:p w14:paraId="08BF4D2F" w14:textId="77777777" w:rsidR="00FE291A" w:rsidRDefault="00C8738F">
            <w:pPr>
              <w:keepNext/>
              <w:keepLines/>
              <w:widowControl/>
              <w:kinsoku w:val="0"/>
              <w:overflowPunct w:val="0"/>
              <w:rPr>
                <w:sz w:val="22"/>
                <w:szCs w:val="22"/>
                <w:lang w:val="de-DE" w:eastAsia="en-US"/>
              </w:rPr>
            </w:pPr>
            <w:r>
              <w:rPr>
                <w:sz w:val="22"/>
                <w:szCs w:val="22"/>
                <w:lang w:val="de-DE" w:eastAsia="en-US"/>
              </w:rPr>
              <w:t>Selten</w:t>
            </w:r>
          </w:p>
        </w:tc>
        <w:tc>
          <w:tcPr>
            <w:tcW w:w="4598" w:type="dxa"/>
          </w:tcPr>
          <w:p w14:paraId="2E00C018" w14:textId="77777777" w:rsidR="00FE291A" w:rsidRPr="00700F7C" w:rsidRDefault="00C8738F">
            <w:pPr>
              <w:keepNext/>
              <w:keepLines/>
              <w:widowControl/>
              <w:rPr>
                <w:sz w:val="22"/>
                <w:szCs w:val="22"/>
                <w:lang w:val="nb-NO" w:eastAsia="en-US"/>
              </w:rPr>
            </w:pPr>
            <w:r w:rsidRPr="00700F7C">
              <w:rPr>
                <w:sz w:val="22"/>
                <w:szCs w:val="22"/>
                <w:lang w:val="nb-NO" w:eastAsia="en-US"/>
              </w:rPr>
              <w:t>Erythema multiforme</w:t>
            </w:r>
            <w:r w:rsidRPr="00700F7C">
              <w:rPr>
                <w:sz w:val="22"/>
                <w:szCs w:val="22"/>
                <w:vertAlign w:val="superscript"/>
                <w:lang w:val="nb-NO" w:eastAsia="en-US"/>
              </w:rPr>
              <w:t>1)</w:t>
            </w:r>
            <w:r w:rsidRPr="00700F7C">
              <w:rPr>
                <w:sz w:val="22"/>
                <w:szCs w:val="22"/>
                <w:lang w:val="nb-NO" w:eastAsia="en-US"/>
              </w:rPr>
              <w:t>,</w:t>
            </w:r>
          </w:p>
          <w:p w14:paraId="6DD61F26" w14:textId="77777777" w:rsidR="00FE291A" w:rsidRPr="00700F7C" w:rsidRDefault="00C8738F">
            <w:pPr>
              <w:keepNext/>
              <w:keepLines/>
              <w:widowControl/>
              <w:rPr>
                <w:sz w:val="22"/>
                <w:szCs w:val="22"/>
                <w:lang w:val="nb-NO" w:eastAsia="en-US"/>
              </w:rPr>
            </w:pPr>
            <w:r w:rsidRPr="00700F7C">
              <w:rPr>
                <w:sz w:val="22"/>
                <w:szCs w:val="22"/>
                <w:lang w:val="nb-NO" w:eastAsia="en-US"/>
              </w:rPr>
              <w:t>Stevens-Johnson-Syndrom</w:t>
            </w:r>
            <w:r w:rsidRPr="00700F7C">
              <w:rPr>
                <w:sz w:val="22"/>
                <w:szCs w:val="22"/>
                <w:vertAlign w:val="superscript"/>
                <w:lang w:val="nb-NO" w:eastAsia="en-US"/>
              </w:rPr>
              <w:t>1)</w:t>
            </w:r>
            <w:r w:rsidRPr="00700F7C">
              <w:rPr>
                <w:sz w:val="22"/>
                <w:szCs w:val="22"/>
                <w:lang w:val="nb-NO" w:eastAsia="en-US"/>
              </w:rPr>
              <w:t>,</w:t>
            </w:r>
          </w:p>
          <w:p w14:paraId="4A75EB1E" w14:textId="77777777" w:rsidR="00FE291A" w:rsidRDefault="00C8738F">
            <w:pPr>
              <w:keepNext/>
              <w:keepLines/>
              <w:widowControl/>
              <w:rPr>
                <w:sz w:val="22"/>
                <w:szCs w:val="22"/>
                <w:lang w:val="de-DE" w:eastAsia="en-US"/>
              </w:rPr>
            </w:pPr>
            <w:r>
              <w:rPr>
                <w:sz w:val="22"/>
                <w:szCs w:val="22"/>
                <w:lang w:val="de-DE" w:eastAsia="en-US"/>
              </w:rPr>
              <w:t>Angioödem</w:t>
            </w:r>
            <w:r>
              <w:rPr>
                <w:sz w:val="22"/>
                <w:szCs w:val="22"/>
                <w:vertAlign w:val="superscript"/>
                <w:lang w:val="de-DE" w:eastAsia="en-US"/>
              </w:rPr>
              <w:t>1)</w:t>
            </w:r>
            <w:r>
              <w:rPr>
                <w:sz w:val="22"/>
                <w:szCs w:val="22"/>
                <w:lang w:val="de-DE" w:eastAsia="en-US"/>
              </w:rPr>
              <w:t>,</w:t>
            </w:r>
          </w:p>
          <w:p w14:paraId="28C9B08C" w14:textId="77777777" w:rsidR="00FE291A" w:rsidRDefault="00C8738F">
            <w:pPr>
              <w:keepNext/>
              <w:keepLines/>
              <w:widowControl/>
              <w:kinsoku w:val="0"/>
              <w:overflowPunct w:val="0"/>
              <w:rPr>
                <w:sz w:val="22"/>
                <w:szCs w:val="22"/>
                <w:lang w:val="de-DE" w:eastAsia="en-US"/>
              </w:rPr>
            </w:pPr>
            <w:r>
              <w:rPr>
                <w:sz w:val="22"/>
                <w:szCs w:val="22"/>
                <w:lang w:val="de-DE" w:eastAsia="en-US"/>
              </w:rPr>
              <w:t>kutane Vaskulitis</w:t>
            </w:r>
            <w:r>
              <w:rPr>
                <w:sz w:val="22"/>
                <w:szCs w:val="22"/>
                <w:vertAlign w:val="superscript"/>
                <w:lang w:val="de-DE" w:eastAsia="en-US"/>
              </w:rPr>
              <w:t>1)</w:t>
            </w:r>
            <w:r>
              <w:rPr>
                <w:sz w:val="22"/>
                <w:szCs w:val="22"/>
                <w:lang w:val="de-DE" w:eastAsia="en-US"/>
              </w:rPr>
              <w:t>,</w:t>
            </w:r>
          </w:p>
          <w:p w14:paraId="5C86ABBF" w14:textId="77777777" w:rsidR="00FE291A" w:rsidRDefault="00C8738F">
            <w:pPr>
              <w:keepNext/>
              <w:keepLines/>
              <w:widowControl/>
              <w:kinsoku w:val="0"/>
              <w:overflowPunct w:val="0"/>
              <w:rPr>
                <w:sz w:val="22"/>
                <w:szCs w:val="22"/>
                <w:lang w:val="de-DE" w:eastAsia="en-US"/>
              </w:rPr>
            </w:pPr>
            <w:r>
              <w:rPr>
                <w:sz w:val="22"/>
                <w:szCs w:val="22"/>
                <w:lang w:val="de-DE"/>
              </w:rPr>
              <w:t>lichenoide Hautreaktion</w:t>
            </w:r>
            <w:r>
              <w:rPr>
                <w:sz w:val="22"/>
                <w:szCs w:val="22"/>
                <w:vertAlign w:val="superscript"/>
                <w:lang w:val="de-DE"/>
              </w:rPr>
              <w:t>1)</w:t>
            </w:r>
          </w:p>
        </w:tc>
      </w:tr>
      <w:tr w:rsidR="00FE291A" w:rsidRPr="002E6CD3" w14:paraId="76387ADF" w14:textId="77777777">
        <w:trPr>
          <w:trHeight w:val="503"/>
        </w:trPr>
        <w:tc>
          <w:tcPr>
            <w:tcW w:w="2517" w:type="dxa"/>
            <w:vMerge/>
          </w:tcPr>
          <w:p w14:paraId="49D266D3" w14:textId="77777777" w:rsidR="00FE291A" w:rsidRDefault="00FE291A">
            <w:pPr>
              <w:widowControl/>
              <w:rPr>
                <w:sz w:val="22"/>
                <w:szCs w:val="22"/>
                <w:lang w:val="de-DE" w:eastAsia="en-US"/>
              </w:rPr>
            </w:pPr>
          </w:p>
        </w:tc>
        <w:tc>
          <w:tcPr>
            <w:tcW w:w="1920" w:type="dxa"/>
          </w:tcPr>
          <w:p w14:paraId="27BF9794" w14:textId="77777777" w:rsidR="00FE291A" w:rsidRDefault="00C8738F">
            <w:pPr>
              <w:widowControl/>
              <w:kinsoku w:val="0"/>
              <w:overflowPunct w:val="0"/>
              <w:rPr>
                <w:sz w:val="22"/>
                <w:szCs w:val="22"/>
                <w:lang w:val="de-DE" w:eastAsia="en-US"/>
              </w:rPr>
            </w:pPr>
            <w:r>
              <w:rPr>
                <w:sz w:val="22"/>
                <w:szCs w:val="22"/>
                <w:lang w:val="de-DE" w:eastAsia="en-US"/>
              </w:rPr>
              <w:t>Nicht bekannt</w:t>
            </w:r>
          </w:p>
        </w:tc>
        <w:tc>
          <w:tcPr>
            <w:tcW w:w="4598" w:type="dxa"/>
          </w:tcPr>
          <w:p w14:paraId="7C26C3F5" w14:textId="77777777" w:rsidR="00FE291A" w:rsidRDefault="00C8738F">
            <w:pPr>
              <w:widowControl/>
              <w:rPr>
                <w:sz w:val="22"/>
                <w:szCs w:val="22"/>
                <w:lang w:val="de-DE" w:eastAsia="en-US"/>
              </w:rPr>
            </w:pPr>
            <w:r>
              <w:rPr>
                <w:sz w:val="22"/>
                <w:szCs w:val="22"/>
                <w:lang w:val="de-DE" w:eastAsia="en-US"/>
              </w:rPr>
              <w:t>Verschlechterung der Symptome einer Dermatomyositis</w:t>
            </w:r>
            <w:r>
              <w:rPr>
                <w:sz w:val="22"/>
                <w:szCs w:val="22"/>
                <w:vertAlign w:val="superscript"/>
                <w:lang w:val="de-DE" w:eastAsia="en-US"/>
              </w:rPr>
              <w:t>1)</w:t>
            </w:r>
          </w:p>
        </w:tc>
      </w:tr>
      <w:tr w:rsidR="00FE291A" w14:paraId="025447BC" w14:textId="77777777">
        <w:trPr>
          <w:trHeight w:val="270"/>
        </w:trPr>
        <w:tc>
          <w:tcPr>
            <w:tcW w:w="2517" w:type="dxa"/>
            <w:vMerge w:val="restart"/>
          </w:tcPr>
          <w:p w14:paraId="6FCEBA5D" w14:textId="77777777" w:rsidR="00FE291A" w:rsidRDefault="00C8738F">
            <w:pPr>
              <w:keepNext/>
              <w:widowControl/>
              <w:rPr>
                <w:sz w:val="22"/>
                <w:szCs w:val="22"/>
                <w:lang w:val="de-DE" w:eastAsia="en-US"/>
              </w:rPr>
            </w:pPr>
            <w:r>
              <w:rPr>
                <w:sz w:val="22"/>
                <w:szCs w:val="22"/>
                <w:lang w:val="de-DE" w:eastAsia="en-US"/>
              </w:rPr>
              <w:t>Skelettmuskulatur-, Bindegewebs- und Knochenerkrankungen</w:t>
            </w:r>
          </w:p>
        </w:tc>
        <w:tc>
          <w:tcPr>
            <w:tcW w:w="1920" w:type="dxa"/>
          </w:tcPr>
          <w:p w14:paraId="68D07DA4" w14:textId="77777777" w:rsidR="00FE291A" w:rsidRDefault="00C8738F">
            <w:pPr>
              <w:keepNext/>
              <w:widowControl/>
              <w:kinsoku w:val="0"/>
              <w:overflowPunct w:val="0"/>
              <w:rPr>
                <w:sz w:val="22"/>
                <w:szCs w:val="22"/>
                <w:lang w:val="de-DE"/>
              </w:rPr>
            </w:pPr>
            <w:r>
              <w:rPr>
                <w:sz w:val="22"/>
                <w:szCs w:val="22"/>
                <w:lang w:val="de-DE" w:eastAsia="en-US"/>
              </w:rPr>
              <w:t>Sehr häufig</w:t>
            </w:r>
          </w:p>
        </w:tc>
        <w:tc>
          <w:tcPr>
            <w:tcW w:w="4598" w:type="dxa"/>
          </w:tcPr>
          <w:p w14:paraId="2170E029" w14:textId="77777777" w:rsidR="00FE291A" w:rsidRDefault="00C8738F">
            <w:pPr>
              <w:keepNext/>
              <w:widowControl/>
              <w:kinsoku w:val="0"/>
              <w:overflowPunct w:val="0"/>
              <w:rPr>
                <w:sz w:val="22"/>
                <w:szCs w:val="22"/>
                <w:lang w:val="de-DE"/>
              </w:rPr>
            </w:pPr>
            <w:r>
              <w:rPr>
                <w:sz w:val="22"/>
                <w:szCs w:val="22"/>
                <w:lang w:val="de-DE" w:eastAsia="en-US"/>
              </w:rPr>
              <w:t>muskuloskelettale Schmerzen</w:t>
            </w:r>
          </w:p>
        </w:tc>
      </w:tr>
      <w:tr w:rsidR="00FE291A" w:rsidRPr="002E6CD3" w14:paraId="5F665C11" w14:textId="77777777">
        <w:trPr>
          <w:trHeight w:val="422"/>
        </w:trPr>
        <w:tc>
          <w:tcPr>
            <w:tcW w:w="2517" w:type="dxa"/>
            <w:vMerge/>
          </w:tcPr>
          <w:p w14:paraId="7650ABAB" w14:textId="77777777" w:rsidR="00FE291A" w:rsidRDefault="00FE291A">
            <w:pPr>
              <w:keepNext/>
              <w:widowControl/>
              <w:rPr>
                <w:sz w:val="22"/>
                <w:szCs w:val="22"/>
                <w:lang w:val="de-DE" w:eastAsia="en-US"/>
              </w:rPr>
            </w:pPr>
          </w:p>
        </w:tc>
        <w:tc>
          <w:tcPr>
            <w:tcW w:w="1920" w:type="dxa"/>
          </w:tcPr>
          <w:p w14:paraId="0FD6BE0E" w14:textId="77777777" w:rsidR="00FE291A" w:rsidRDefault="00C8738F">
            <w:pPr>
              <w:keepNext/>
              <w:widowControl/>
              <w:kinsoku w:val="0"/>
              <w:overflowPunct w:val="0"/>
              <w:rPr>
                <w:sz w:val="22"/>
                <w:szCs w:val="22"/>
                <w:lang w:val="de-DE" w:eastAsia="en-US"/>
              </w:rPr>
            </w:pPr>
            <w:r>
              <w:rPr>
                <w:sz w:val="22"/>
                <w:szCs w:val="22"/>
                <w:lang w:val="de-DE" w:eastAsia="en-US"/>
              </w:rPr>
              <w:t>Häufig</w:t>
            </w:r>
          </w:p>
        </w:tc>
        <w:tc>
          <w:tcPr>
            <w:tcW w:w="4598" w:type="dxa"/>
          </w:tcPr>
          <w:p w14:paraId="3C45DE1A" w14:textId="77777777" w:rsidR="00FE291A" w:rsidRDefault="00C8738F">
            <w:pPr>
              <w:keepNext/>
              <w:widowControl/>
              <w:rPr>
                <w:sz w:val="22"/>
                <w:szCs w:val="22"/>
                <w:lang w:val="de-DE" w:eastAsia="en-US"/>
              </w:rPr>
            </w:pPr>
            <w:r>
              <w:rPr>
                <w:sz w:val="22"/>
                <w:szCs w:val="22"/>
                <w:lang w:val="de-DE" w:eastAsia="en-US"/>
              </w:rPr>
              <w:t>Muskelkrämpfe (einschließlich Erhöhung der Blut-Kreatinphosphokinase)</w:t>
            </w:r>
          </w:p>
        </w:tc>
      </w:tr>
      <w:tr w:rsidR="00FE291A" w14:paraId="559203E0" w14:textId="77777777">
        <w:trPr>
          <w:trHeight w:val="422"/>
        </w:trPr>
        <w:tc>
          <w:tcPr>
            <w:tcW w:w="2517" w:type="dxa"/>
            <w:vMerge/>
          </w:tcPr>
          <w:p w14:paraId="74E6E318" w14:textId="77777777" w:rsidR="00FE291A" w:rsidRDefault="00FE291A">
            <w:pPr>
              <w:keepNext/>
              <w:widowControl/>
              <w:rPr>
                <w:sz w:val="22"/>
                <w:szCs w:val="22"/>
                <w:lang w:val="de-DE" w:eastAsia="en-US"/>
              </w:rPr>
            </w:pPr>
          </w:p>
        </w:tc>
        <w:tc>
          <w:tcPr>
            <w:tcW w:w="1920" w:type="dxa"/>
          </w:tcPr>
          <w:p w14:paraId="58A317A3" w14:textId="77777777" w:rsidR="00FE291A" w:rsidRDefault="00C8738F">
            <w:pPr>
              <w:keepNext/>
              <w:widowControl/>
              <w:kinsoku w:val="0"/>
              <w:overflowPunct w:val="0"/>
              <w:rPr>
                <w:sz w:val="22"/>
                <w:szCs w:val="22"/>
                <w:lang w:val="de-DE" w:eastAsia="en-US"/>
              </w:rPr>
            </w:pPr>
            <w:r>
              <w:rPr>
                <w:sz w:val="22"/>
                <w:szCs w:val="22"/>
                <w:lang w:val="de-DE" w:eastAsia="en-US"/>
              </w:rPr>
              <w:t>Gelegentlich</w:t>
            </w:r>
          </w:p>
        </w:tc>
        <w:tc>
          <w:tcPr>
            <w:tcW w:w="4598" w:type="dxa"/>
          </w:tcPr>
          <w:p w14:paraId="03CEB53D" w14:textId="77777777" w:rsidR="00FE291A" w:rsidRDefault="00C8738F">
            <w:pPr>
              <w:keepNext/>
              <w:widowControl/>
              <w:rPr>
                <w:sz w:val="22"/>
                <w:szCs w:val="22"/>
                <w:lang w:val="de-DE" w:eastAsia="en-US"/>
              </w:rPr>
            </w:pPr>
            <w:r>
              <w:rPr>
                <w:sz w:val="22"/>
                <w:szCs w:val="22"/>
                <w:lang w:val="de-DE" w:eastAsia="en-US"/>
              </w:rPr>
              <w:t>Rhabdomyolyse,</w:t>
            </w:r>
          </w:p>
          <w:p w14:paraId="2C0BA3A7" w14:textId="77777777" w:rsidR="00FE291A" w:rsidRDefault="00C8738F">
            <w:pPr>
              <w:keepNext/>
              <w:widowControl/>
              <w:kinsoku w:val="0"/>
              <w:overflowPunct w:val="0"/>
              <w:rPr>
                <w:sz w:val="22"/>
                <w:szCs w:val="22"/>
                <w:lang w:val="de-DE" w:eastAsia="en-US"/>
              </w:rPr>
            </w:pPr>
            <w:r>
              <w:rPr>
                <w:sz w:val="22"/>
                <w:szCs w:val="22"/>
                <w:lang w:val="de-DE" w:eastAsia="en-US"/>
              </w:rPr>
              <w:t>systemischer Lupus erythematodes</w:t>
            </w:r>
          </w:p>
        </w:tc>
      </w:tr>
      <w:tr w:rsidR="00FE291A" w14:paraId="5CB26327" w14:textId="77777777">
        <w:trPr>
          <w:trHeight w:val="374"/>
        </w:trPr>
        <w:tc>
          <w:tcPr>
            <w:tcW w:w="2517" w:type="dxa"/>
            <w:vMerge/>
          </w:tcPr>
          <w:p w14:paraId="5DAB89C8" w14:textId="77777777" w:rsidR="00FE291A" w:rsidRDefault="00FE291A">
            <w:pPr>
              <w:keepNext/>
              <w:widowControl/>
              <w:rPr>
                <w:sz w:val="22"/>
                <w:szCs w:val="22"/>
                <w:lang w:val="de-DE" w:eastAsia="en-US"/>
              </w:rPr>
            </w:pPr>
          </w:p>
        </w:tc>
        <w:tc>
          <w:tcPr>
            <w:tcW w:w="1920" w:type="dxa"/>
          </w:tcPr>
          <w:p w14:paraId="18D19C98" w14:textId="77777777" w:rsidR="00FE291A" w:rsidRDefault="00C8738F">
            <w:pPr>
              <w:keepNext/>
              <w:widowControl/>
              <w:kinsoku w:val="0"/>
              <w:overflowPunct w:val="0"/>
              <w:rPr>
                <w:sz w:val="22"/>
                <w:szCs w:val="22"/>
                <w:lang w:val="de-DE" w:eastAsia="en-US"/>
              </w:rPr>
            </w:pPr>
            <w:r>
              <w:rPr>
                <w:sz w:val="22"/>
                <w:szCs w:val="22"/>
                <w:lang w:val="de-DE" w:eastAsia="en-US"/>
              </w:rPr>
              <w:t>Selten</w:t>
            </w:r>
          </w:p>
        </w:tc>
        <w:tc>
          <w:tcPr>
            <w:tcW w:w="4598" w:type="dxa"/>
          </w:tcPr>
          <w:p w14:paraId="3C712C04" w14:textId="77777777" w:rsidR="00FE291A" w:rsidRDefault="00C8738F">
            <w:pPr>
              <w:keepNext/>
              <w:widowControl/>
              <w:kinsoku w:val="0"/>
              <w:overflowPunct w:val="0"/>
              <w:rPr>
                <w:sz w:val="22"/>
                <w:szCs w:val="22"/>
                <w:lang w:val="de-DE" w:eastAsia="en-US"/>
              </w:rPr>
            </w:pPr>
            <w:r>
              <w:rPr>
                <w:sz w:val="22"/>
                <w:szCs w:val="22"/>
                <w:lang w:val="de-DE" w:eastAsia="en-US"/>
              </w:rPr>
              <w:t>lupusähnliches Syndrom</w:t>
            </w:r>
            <w:r>
              <w:rPr>
                <w:sz w:val="22"/>
                <w:szCs w:val="22"/>
                <w:vertAlign w:val="superscript"/>
                <w:lang w:val="de-DE" w:eastAsia="en-US"/>
              </w:rPr>
              <w:t>1)</w:t>
            </w:r>
          </w:p>
        </w:tc>
      </w:tr>
      <w:tr w:rsidR="00FE291A" w14:paraId="178BBA99" w14:textId="77777777">
        <w:trPr>
          <w:trHeight w:val="420"/>
        </w:trPr>
        <w:tc>
          <w:tcPr>
            <w:tcW w:w="2517" w:type="dxa"/>
            <w:vMerge w:val="restart"/>
          </w:tcPr>
          <w:p w14:paraId="4292B6DE" w14:textId="77777777" w:rsidR="00FE291A" w:rsidRDefault="00C8738F">
            <w:pPr>
              <w:keepNext/>
              <w:widowControl/>
              <w:rPr>
                <w:sz w:val="22"/>
                <w:szCs w:val="22"/>
                <w:lang w:val="de-DE" w:eastAsia="en-US"/>
              </w:rPr>
            </w:pPr>
            <w:r>
              <w:rPr>
                <w:sz w:val="22"/>
                <w:szCs w:val="22"/>
                <w:lang w:val="de-DE" w:eastAsia="en-US"/>
              </w:rPr>
              <w:t>Erkrankungen der Nieren und Harnwege</w:t>
            </w:r>
          </w:p>
        </w:tc>
        <w:tc>
          <w:tcPr>
            <w:tcW w:w="1920" w:type="dxa"/>
          </w:tcPr>
          <w:p w14:paraId="117E4B7A" w14:textId="77777777" w:rsidR="00FE291A" w:rsidRDefault="00C8738F">
            <w:pPr>
              <w:keepNext/>
              <w:widowControl/>
              <w:kinsoku w:val="0"/>
              <w:overflowPunct w:val="0"/>
              <w:rPr>
                <w:b/>
                <w:sz w:val="22"/>
                <w:szCs w:val="22"/>
                <w:lang w:val="de-DE"/>
              </w:rPr>
            </w:pPr>
            <w:r>
              <w:rPr>
                <w:sz w:val="22"/>
                <w:szCs w:val="22"/>
                <w:lang w:val="de-DE" w:eastAsia="en-US"/>
              </w:rPr>
              <w:t>Häufig</w:t>
            </w:r>
          </w:p>
        </w:tc>
        <w:tc>
          <w:tcPr>
            <w:tcW w:w="4598" w:type="dxa"/>
          </w:tcPr>
          <w:p w14:paraId="35223F38" w14:textId="77777777" w:rsidR="00FE291A" w:rsidRDefault="00C8738F">
            <w:pPr>
              <w:keepNext/>
              <w:widowControl/>
              <w:rPr>
                <w:sz w:val="22"/>
                <w:szCs w:val="22"/>
                <w:lang w:val="de-DE" w:eastAsia="en-US"/>
              </w:rPr>
            </w:pPr>
            <w:r>
              <w:rPr>
                <w:sz w:val="22"/>
                <w:szCs w:val="22"/>
                <w:lang w:val="de-DE" w:eastAsia="en-US"/>
              </w:rPr>
              <w:t>eingeschränkte Nierenfunktion,</w:t>
            </w:r>
          </w:p>
          <w:p w14:paraId="7DE00E26" w14:textId="77777777" w:rsidR="00FE291A" w:rsidRDefault="00C8738F">
            <w:pPr>
              <w:keepNext/>
              <w:widowControl/>
              <w:kinsoku w:val="0"/>
              <w:overflowPunct w:val="0"/>
              <w:rPr>
                <w:sz w:val="22"/>
                <w:szCs w:val="22"/>
                <w:lang w:val="de-DE"/>
              </w:rPr>
            </w:pPr>
            <w:r>
              <w:rPr>
                <w:sz w:val="22"/>
                <w:szCs w:val="22"/>
                <w:lang w:val="de-DE" w:eastAsia="en-US"/>
              </w:rPr>
              <w:t>Hämaturie</w:t>
            </w:r>
          </w:p>
        </w:tc>
      </w:tr>
      <w:tr w:rsidR="00FE291A" w14:paraId="25B4CF48" w14:textId="77777777">
        <w:trPr>
          <w:trHeight w:val="329"/>
        </w:trPr>
        <w:tc>
          <w:tcPr>
            <w:tcW w:w="2517" w:type="dxa"/>
            <w:vMerge/>
          </w:tcPr>
          <w:p w14:paraId="66823D8C" w14:textId="77777777" w:rsidR="00FE291A" w:rsidRDefault="00FE291A">
            <w:pPr>
              <w:widowControl/>
              <w:rPr>
                <w:sz w:val="22"/>
                <w:szCs w:val="22"/>
                <w:lang w:val="de-DE" w:eastAsia="en-US"/>
              </w:rPr>
            </w:pPr>
          </w:p>
        </w:tc>
        <w:tc>
          <w:tcPr>
            <w:tcW w:w="1920" w:type="dxa"/>
          </w:tcPr>
          <w:p w14:paraId="2D800604" w14:textId="77777777" w:rsidR="00FE291A" w:rsidRDefault="00C8738F">
            <w:pPr>
              <w:widowControl/>
              <w:kinsoku w:val="0"/>
              <w:overflowPunct w:val="0"/>
              <w:rPr>
                <w:sz w:val="22"/>
                <w:szCs w:val="22"/>
                <w:lang w:val="de-DE" w:eastAsia="en-US"/>
              </w:rPr>
            </w:pPr>
            <w:r>
              <w:rPr>
                <w:sz w:val="22"/>
                <w:szCs w:val="22"/>
                <w:lang w:val="de-DE" w:eastAsia="en-US"/>
              </w:rPr>
              <w:t>Gelegentlich</w:t>
            </w:r>
          </w:p>
        </w:tc>
        <w:tc>
          <w:tcPr>
            <w:tcW w:w="4598" w:type="dxa"/>
          </w:tcPr>
          <w:p w14:paraId="23739F59" w14:textId="77777777" w:rsidR="00FE291A" w:rsidRDefault="00C8738F">
            <w:pPr>
              <w:widowControl/>
              <w:kinsoku w:val="0"/>
              <w:overflowPunct w:val="0"/>
              <w:rPr>
                <w:sz w:val="22"/>
                <w:szCs w:val="22"/>
                <w:lang w:val="de-DE" w:eastAsia="en-US"/>
              </w:rPr>
            </w:pPr>
            <w:r>
              <w:rPr>
                <w:sz w:val="22"/>
                <w:szCs w:val="22"/>
                <w:lang w:val="de-DE" w:eastAsia="en-US"/>
              </w:rPr>
              <w:t>Nykturie</w:t>
            </w:r>
          </w:p>
        </w:tc>
      </w:tr>
      <w:tr w:rsidR="00FE291A" w14:paraId="6B728FF2" w14:textId="77777777">
        <w:tc>
          <w:tcPr>
            <w:tcW w:w="2517" w:type="dxa"/>
          </w:tcPr>
          <w:p w14:paraId="2480CE9B" w14:textId="77777777" w:rsidR="00FE291A" w:rsidRDefault="00C8738F">
            <w:pPr>
              <w:widowControl/>
              <w:rPr>
                <w:sz w:val="22"/>
                <w:szCs w:val="22"/>
                <w:lang w:val="de-DE" w:eastAsia="en-US"/>
              </w:rPr>
            </w:pPr>
            <w:r>
              <w:rPr>
                <w:sz w:val="22"/>
                <w:szCs w:val="22"/>
                <w:lang w:val="de-DE" w:eastAsia="en-US"/>
              </w:rPr>
              <w:t>Erkrankungen der Geschlechtsorgane und der Brustdrüse</w:t>
            </w:r>
          </w:p>
        </w:tc>
        <w:tc>
          <w:tcPr>
            <w:tcW w:w="1920" w:type="dxa"/>
          </w:tcPr>
          <w:p w14:paraId="7C82D4CA" w14:textId="77777777" w:rsidR="00FE291A" w:rsidRDefault="00C8738F">
            <w:pPr>
              <w:widowControl/>
              <w:kinsoku w:val="0"/>
              <w:overflowPunct w:val="0"/>
              <w:rPr>
                <w:sz w:val="22"/>
                <w:szCs w:val="22"/>
                <w:lang w:val="de-DE"/>
              </w:rPr>
            </w:pPr>
            <w:r>
              <w:rPr>
                <w:sz w:val="22"/>
                <w:szCs w:val="22"/>
                <w:lang w:val="de-DE" w:eastAsia="en-US"/>
              </w:rPr>
              <w:t>Gelegentlich</w:t>
            </w:r>
          </w:p>
        </w:tc>
        <w:tc>
          <w:tcPr>
            <w:tcW w:w="4598" w:type="dxa"/>
          </w:tcPr>
          <w:p w14:paraId="422A4A56" w14:textId="77777777" w:rsidR="00FE291A" w:rsidRDefault="00C8738F">
            <w:pPr>
              <w:widowControl/>
              <w:kinsoku w:val="0"/>
              <w:overflowPunct w:val="0"/>
              <w:rPr>
                <w:sz w:val="22"/>
                <w:szCs w:val="22"/>
                <w:lang w:val="de-DE"/>
              </w:rPr>
            </w:pPr>
            <w:r>
              <w:rPr>
                <w:sz w:val="22"/>
                <w:szCs w:val="22"/>
                <w:lang w:val="de-DE" w:eastAsia="en-US"/>
              </w:rPr>
              <w:t>erektile Dysfunktion</w:t>
            </w:r>
          </w:p>
        </w:tc>
      </w:tr>
      <w:tr w:rsidR="00FE291A" w:rsidRPr="002E6CD3" w14:paraId="211FB14F" w14:textId="77777777">
        <w:trPr>
          <w:trHeight w:val="450"/>
        </w:trPr>
        <w:tc>
          <w:tcPr>
            <w:tcW w:w="2517" w:type="dxa"/>
            <w:vMerge w:val="restart"/>
          </w:tcPr>
          <w:p w14:paraId="2509146D" w14:textId="77777777" w:rsidR="00FE291A" w:rsidRDefault="00C8738F">
            <w:pPr>
              <w:widowControl/>
              <w:rPr>
                <w:sz w:val="22"/>
                <w:szCs w:val="22"/>
                <w:lang w:val="de-DE" w:eastAsia="en-US"/>
              </w:rPr>
            </w:pPr>
            <w:r>
              <w:rPr>
                <w:sz w:val="22"/>
                <w:szCs w:val="22"/>
                <w:lang w:val="de-DE" w:eastAsia="en-US"/>
              </w:rPr>
              <w:t>Allgemeine Erkrankungen und Beschwerden am Verabreichungsort*</w:t>
            </w:r>
          </w:p>
        </w:tc>
        <w:tc>
          <w:tcPr>
            <w:tcW w:w="1920" w:type="dxa"/>
          </w:tcPr>
          <w:p w14:paraId="68616772" w14:textId="77777777" w:rsidR="00FE291A" w:rsidRDefault="00C8738F">
            <w:pPr>
              <w:widowControl/>
              <w:kinsoku w:val="0"/>
              <w:overflowPunct w:val="0"/>
              <w:rPr>
                <w:sz w:val="22"/>
                <w:szCs w:val="22"/>
                <w:lang w:val="de-DE"/>
              </w:rPr>
            </w:pPr>
            <w:r>
              <w:rPr>
                <w:sz w:val="22"/>
                <w:szCs w:val="22"/>
                <w:lang w:val="de-DE" w:eastAsia="en-US"/>
              </w:rPr>
              <w:t>Sehr häufig</w:t>
            </w:r>
          </w:p>
        </w:tc>
        <w:tc>
          <w:tcPr>
            <w:tcW w:w="4598" w:type="dxa"/>
          </w:tcPr>
          <w:p w14:paraId="7BCA760C" w14:textId="77777777" w:rsidR="00FE291A" w:rsidRDefault="00C8738F">
            <w:pPr>
              <w:widowControl/>
              <w:kinsoku w:val="0"/>
              <w:overflowPunct w:val="0"/>
              <w:rPr>
                <w:sz w:val="22"/>
                <w:szCs w:val="22"/>
                <w:lang w:val="de-DE"/>
              </w:rPr>
            </w:pPr>
            <w:r>
              <w:rPr>
                <w:sz w:val="22"/>
                <w:szCs w:val="22"/>
                <w:lang w:val="de-DE" w:eastAsia="en-US"/>
              </w:rPr>
              <w:t>Reaktion an der Injektionsstelle (einschließlich Erytheme an der Injektionsstelle)</w:t>
            </w:r>
          </w:p>
        </w:tc>
      </w:tr>
      <w:tr w:rsidR="00FE291A" w14:paraId="0D01811E" w14:textId="77777777">
        <w:trPr>
          <w:trHeight w:val="450"/>
        </w:trPr>
        <w:tc>
          <w:tcPr>
            <w:tcW w:w="2517" w:type="dxa"/>
            <w:vMerge/>
          </w:tcPr>
          <w:p w14:paraId="57E1DC6B" w14:textId="77777777" w:rsidR="00FE291A" w:rsidRDefault="00FE291A">
            <w:pPr>
              <w:widowControl/>
              <w:rPr>
                <w:sz w:val="22"/>
                <w:szCs w:val="22"/>
                <w:lang w:val="de-DE" w:eastAsia="en-US"/>
              </w:rPr>
            </w:pPr>
          </w:p>
        </w:tc>
        <w:tc>
          <w:tcPr>
            <w:tcW w:w="1920" w:type="dxa"/>
          </w:tcPr>
          <w:p w14:paraId="0ED1E1F8" w14:textId="77777777" w:rsidR="00FE291A" w:rsidRDefault="00C8738F">
            <w:pPr>
              <w:widowControl/>
              <w:kinsoku w:val="0"/>
              <w:overflowPunct w:val="0"/>
              <w:rPr>
                <w:sz w:val="22"/>
                <w:szCs w:val="22"/>
                <w:lang w:val="de-DE" w:eastAsia="en-US"/>
              </w:rPr>
            </w:pPr>
            <w:r>
              <w:rPr>
                <w:sz w:val="22"/>
                <w:szCs w:val="22"/>
                <w:lang w:val="de-DE" w:eastAsia="en-US"/>
              </w:rPr>
              <w:t>Häufig</w:t>
            </w:r>
          </w:p>
        </w:tc>
        <w:tc>
          <w:tcPr>
            <w:tcW w:w="4598" w:type="dxa"/>
          </w:tcPr>
          <w:p w14:paraId="24D6AC8E" w14:textId="77777777" w:rsidR="00FE291A" w:rsidRDefault="00C8738F">
            <w:pPr>
              <w:widowControl/>
              <w:rPr>
                <w:sz w:val="22"/>
                <w:szCs w:val="22"/>
                <w:lang w:val="de-DE" w:eastAsia="en-US"/>
              </w:rPr>
            </w:pPr>
            <w:r>
              <w:rPr>
                <w:sz w:val="22"/>
                <w:szCs w:val="22"/>
                <w:lang w:val="de-DE" w:eastAsia="en-US"/>
              </w:rPr>
              <w:t>Brustschmerzen,</w:t>
            </w:r>
          </w:p>
          <w:p w14:paraId="5AA685AC" w14:textId="77777777" w:rsidR="00FE291A" w:rsidRDefault="00C8738F">
            <w:pPr>
              <w:widowControl/>
              <w:rPr>
                <w:sz w:val="22"/>
                <w:szCs w:val="22"/>
                <w:lang w:val="de-DE" w:eastAsia="en-US"/>
              </w:rPr>
            </w:pPr>
            <w:r>
              <w:rPr>
                <w:sz w:val="22"/>
                <w:szCs w:val="22"/>
                <w:lang w:val="de-DE" w:eastAsia="en-US"/>
              </w:rPr>
              <w:t>Ödeme,</w:t>
            </w:r>
          </w:p>
          <w:p w14:paraId="4162F944" w14:textId="77777777" w:rsidR="00FE291A" w:rsidRDefault="00C8738F">
            <w:pPr>
              <w:widowControl/>
              <w:kinsoku w:val="0"/>
              <w:overflowPunct w:val="0"/>
              <w:rPr>
                <w:sz w:val="22"/>
                <w:szCs w:val="22"/>
                <w:lang w:val="de-DE" w:eastAsia="en-US"/>
              </w:rPr>
            </w:pPr>
            <w:r>
              <w:rPr>
                <w:sz w:val="22"/>
                <w:szCs w:val="22"/>
                <w:lang w:val="de-DE" w:eastAsia="en-US"/>
              </w:rPr>
              <w:t>Fieber</w:t>
            </w:r>
            <w:r>
              <w:rPr>
                <w:sz w:val="22"/>
                <w:szCs w:val="22"/>
                <w:vertAlign w:val="superscript"/>
                <w:lang w:val="de-DE" w:eastAsia="en-US"/>
              </w:rPr>
              <w:t>1)</w:t>
            </w:r>
          </w:p>
        </w:tc>
      </w:tr>
      <w:tr w:rsidR="00FE291A" w14:paraId="22F006EE" w14:textId="77777777">
        <w:trPr>
          <w:trHeight w:val="336"/>
        </w:trPr>
        <w:tc>
          <w:tcPr>
            <w:tcW w:w="2517" w:type="dxa"/>
            <w:vMerge/>
          </w:tcPr>
          <w:p w14:paraId="0DC32675" w14:textId="77777777" w:rsidR="00FE291A" w:rsidRDefault="00FE291A">
            <w:pPr>
              <w:widowControl/>
              <w:rPr>
                <w:sz w:val="22"/>
                <w:szCs w:val="22"/>
                <w:lang w:val="de-DE" w:eastAsia="en-US"/>
              </w:rPr>
            </w:pPr>
          </w:p>
        </w:tc>
        <w:tc>
          <w:tcPr>
            <w:tcW w:w="1920" w:type="dxa"/>
          </w:tcPr>
          <w:p w14:paraId="12A6FFB8" w14:textId="77777777" w:rsidR="00FE291A" w:rsidRDefault="00C8738F">
            <w:pPr>
              <w:widowControl/>
              <w:kinsoku w:val="0"/>
              <w:overflowPunct w:val="0"/>
              <w:rPr>
                <w:sz w:val="22"/>
                <w:szCs w:val="22"/>
                <w:lang w:val="de-DE" w:eastAsia="en-US"/>
              </w:rPr>
            </w:pPr>
            <w:r>
              <w:rPr>
                <w:sz w:val="22"/>
                <w:szCs w:val="22"/>
                <w:lang w:val="de-DE" w:eastAsia="en-US"/>
              </w:rPr>
              <w:t>Gelegentlich</w:t>
            </w:r>
          </w:p>
        </w:tc>
        <w:tc>
          <w:tcPr>
            <w:tcW w:w="4598" w:type="dxa"/>
          </w:tcPr>
          <w:p w14:paraId="2BACE593" w14:textId="77777777" w:rsidR="00FE291A" w:rsidRDefault="00C8738F">
            <w:pPr>
              <w:widowControl/>
              <w:rPr>
                <w:sz w:val="22"/>
                <w:szCs w:val="22"/>
                <w:lang w:val="de-DE" w:eastAsia="en-US"/>
              </w:rPr>
            </w:pPr>
            <w:r>
              <w:rPr>
                <w:sz w:val="22"/>
                <w:szCs w:val="22"/>
                <w:lang w:val="de-DE" w:eastAsia="en-US"/>
              </w:rPr>
              <w:t>Entzündung</w:t>
            </w:r>
          </w:p>
        </w:tc>
      </w:tr>
      <w:tr w:rsidR="00FE291A" w14:paraId="73A87961" w14:textId="77777777">
        <w:tc>
          <w:tcPr>
            <w:tcW w:w="2517" w:type="dxa"/>
            <w:vMerge w:val="restart"/>
          </w:tcPr>
          <w:p w14:paraId="6D4699B9" w14:textId="77777777" w:rsidR="00FE291A" w:rsidRDefault="00C8738F">
            <w:pPr>
              <w:widowControl/>
              <w:kinsoku w:val="0"/>
              <w:overflowPunct w:val="0"/>
              <w:rPr>
                <w:sz w:val="22"/>
                <w:szCs w:val="22"/>
                <w:lang w:val="de-DE"/>
              </w:rPr>
            </w:pPr>
            <w:r>
              <w:rPr>
                <w:sz w:val="22"/>
                <w:szCs w:val="22"/>
                <w:lang w:val="de-DE" w:eastAsia="en-US"/>
              </w:rPr>
              <w:t>Untersuchungen*</w:t>
            </w:r>
          </w:p>
        </w:tc>
        <w:tc>
          <w:tcPr>
            <w:tcW w:w="1920" w:type="dxa"/>
          </w:tcPr>
          <w:p w14:paraId="48843010" w14:textId="77777777" w:rsidR="00FE291A" w:rsidRDefault="00C8738F">
            <w:pPr>
              <w:widowControl/>
              <w:kinsoku w:val="0"/>
              <w:overflowPunct w:val="0"/>
              <w:rPr>
                <w:sz w:val="22"/>
                <w:szCs w:val="22"/>
                <w:lang w:val="de-DE"/>
              </w:rPr>
            </w:pPr>
            <w:r>
              <w:rPr>
                <w:sz w:val="22"/>
                <w:szCs w:val="22"/>
                <w:lang w:val="de-DE" w:eastAsia="en-US"/>
              </w:rPr>
              <w:t>Häufig</w:t>
            </w:r>
          </w:p>
        </w:tc>
        <w:tc>
          <w:tcPr>
            <w:tcW w:w="4598" w:type="dxa"/>
          </w:tcPr>
          <w:p w14:paraId="1234B859" w14:textId="77777777" w:rsidR="00FE291A" w:rsidRDefault="00C8738F">
            <w:pPr>
              <w:widowControl/>
              <w:rPr>
                <w:sz w:val="22"/>
                <w:szCs w:val="22"/>
                <w:lang w:val="de-DE" w:eastAsia="en-US"/>
              </w:rPr>
            </w:pPr>
            <w:r>
              <w:rPr>
                <w:sz w:val="22"/>
                <w:szCs w:val="22"/>
                <w:lang w:val="de-DE" w:eastAsia="en-US"/>
              </w:rPr>
              <w:t>Koagulations- und Blutungsstörungen (einschließlich Verlängerung der partiellen Thromboplastinzeit),</w:t>
            </w:r>
          </w:p>
          <w:p w14:paraId="0B90DC57" w14:textId="77777777" w:rsidR="00FE291A" w:rsidRDefault="00C8738F">
            <w:pPr>
              <w:widowControl/>
              <w:rPr>
                <w:sz w:val="22"/>
                <w:szCs w:val="22"/>
                <w:lang w:val="de-DE" w:eastAsia="en-US"/>
              </w:rPr>
            </w:pPr>
            <w:r>
              <w:rPr>
                <w:sz w:val="22"/>
                <w:szCs w:val="22"/>
                <w:lang w:val="de-DE" w:eastAsia="en-US"/>
              </w:rPr>
              <w:t>positiver Nachweis von Autoantikörpern (einschließlich doppelsträngiger DNA</w:t>
            </w:r>
            <w:r>
              <w:rPr>
                <w:sz w:val="22"/>
                <w:szCs w:val="22"/>
                <w:lang w:val="de-DE" w:eastAsia="en-US"/>
              </w:rPr>
              <w:noBreakHyphen/>
              <w:t>Antikörper),</w:t>
            </w:r>
          </w:p>
          <w:p w14:paraId="4F61BD50" w14:textId="77777777" w:rsidR="00FE291A" w:rsidRDefault="00C8738F">
            <w:pPr>
              <w:widowControl/>
              <w:kinsoku w:val="0"/>
              <w:overflowPunct w:val="0"/>
              <w:rPr>
                <w:sz w:val="22"/>
                <w:szCs w:val="22"/>
                <w:lang w:val="de-DE"/>
              </w:rPr>
            </w:pPr>
            <w:r>
              <w:rPr>
                <w:sz w:val="22"/>
                <w:szCs w:val="22"/>
                <w:lang w:val="de-DE" w:eastAsia="en-US"/>
              </w:rPr>
              <w:t>erhöhte Blutwerte für Lactatdehydrogenase</w:t>
            </w:r>
          </w:p>
        </w:tc>
      </w:tr>
      <w:tr w:rsidR="00FE291A" w14:paraId="1E57E415" w14:textId="77777777">
        <w:tc>
          <w:tcPr>
            <w:tcW w:w="2517" w:type="dxa"/>
            <w:vMerge/>
          </w:tcPr>
          <w:p w14:paraId="21457DD8" w14:textId="77777777" w:rsidR="00FE291A" w:rsidRDefault="00FE291A">
            <w:pPr>
              <w:widowControl/>
              <w:kinsoku w:val="0"/>
              <w:overflowPunct w:val="0"/>
              <w:rPr>
                <w:sz w:val="22"/>
                <w:szCs w:val="22"/>
                <w:lang w:val="de-DE" w:eastAsia="en-US"/>
              </w:rPr>
            </w:pPr>
          </w:p>
        </w:tc>
        <w:tc>
          <w:tcPr>
            <w:tcW w:w="1920" w:type="dxa"/>
          </w:tcPr>
          <w:p w14:paraId="01F987D6" w14:textId="77777777" w:rsidR="00FE291A" w:rsidRDefault="00C8738F">
            <w:pPr>
              <w:widowControl/>
              <w:kinsoku w:val="0"/>
              <w:overflowPunct w:val="0"/>
              <w:rPr>
                <w:sz w:val="22"/>
                <w:szCs w:val="22"/>
                <w:lang w:val="de-DE" w:eastAsia="en-US"/>
              </w:rPr>
            </w:pPr>
            <w:r>
              <w:rPr>
                <w:sz w:val="22"/>
                <w:szCs w:val="22"/>
                <w:lang w:val="de-DE" w:eastAsia="en-US"/>
              </w:rPr>
              <w:t>Nicht bekannt</w:t>
            </w:r>
          </w:p>
        </w:tc>
        <w:tc>
          <w:tcPr>
            <w:tcW w:w="4598" w:type="dxa"/>
          </w:tcPr>
          <w:p w14:paraId="5CDCD157" w14:textId="77777777" w:rsidR="00FE291A" w:rsidRDefault="00C8738F">
            <w:pPr>
              <w:widowControl/>
              <w:rPr>
                <w:sz w:val="22"/>
                <w:szCs w:val="22"/>
                <w:lang w:val="de-DE" w:eastAsia="en-US"/>
              </w:rPr>
            </w:pPr>
            <w:r>
              <w:rPr>
                <w:sz w:val="22"/>
                <w:szCs w:val="22"/>
                <w:lang w:val="de-DE" w:eastAsia="en-US"/>
              </w:rPr>
              <w:t>Gewichtszunahme</w:t>
            </w:r>
            <w:r>
              <w:rPr>
                <w:color w:val="000000"/>
                <w:sz w:val="22"/>
                <w:szCs w:val="22"/>
                <w:vertAlign w:val="superscript"/>
                <w:lang w:val="de-DE" w:eastAsia="en-GB"/>
              </w:rPr>
              <w:t>2)</w:t>
            </w:r>
          </w:p>
        </w:tc>
      </w:tr>
      <w:tr w:rsidR="00FE291A" w14:paraId="6F43F2B1" w14:textId="77777777">
        <w:tc>
          <w:tcPr>
            <w:tcW w:w="2517" w:type="dxa"/>
          </w:tcPr>
          <w:p w14:paraId="2CD5AC35" w14:textId="77777777" w:rsidR="00FE291A" w:rsidRDefault="00C8738F">
            <w:pPr>
              <w:widowControl/>
              <w:rPr>
                <w:sz w:val="22"/>
                <w:szCs w:val="22"/>
                <w:lang w:val="de-DE" w:eastAsia="en-US"/>
              </w:rPr>
            </w:pPr>
            <w:r>
              <w:rPr>
                <w:sz w:val="22"/>
                <w:szCs w:val="22"/>
                <w:lang w:val="de-DE" w:eastAsia="en-US"/>
              </w:rPr>
              <w:t>Verletzung, Vergiftung und durch Eingriffe bedingte Komplikationen</w:t>
            </w:r>
          </w:p>
        </w:tc>
        <w:tc>
          <w:tcPr>
            <w:tcW w:w="1920" w:type="dxa"/>
          </w:tcPr>
          <w:p w14:paraId="1C3C3809" w14:textId="77777777" w:rsidR="00FE291A" w:rsidRDefault="00C8738F">
            <w:pPr>
              <w:widowControl/>
              <w:kinsoku w:val="0"/>
              <w:overflowPunct w:val="0"/>
              <w:rPr>
                <w:sz w:val="22"/>
                <w:szCs w:val="22"/>
                <w:lang w:val="de-DE"/>
              </w:rPr>
            </w:pPr>
            <w:r>
              <w:rPr>
                <w:sz w:val="22"/>
                <w:szCs w:val="22"/>
                <w:lang w:val="de-DE" w:eastAsia="en-US"/>
              </w:rPr>
              <w:t>Häufig</w:t>
            </w:r>
          </w:p>
        </w:tc>
        <w:tc>
          <w:tcPr>
            <w:tcW w:w="4598" w:type="dxa"/>
          </w:tcPr>
          <w:p w14:paraId="4D3E6F62" w14:textId="77777777" w:rsidR="00FE291A" w:rsidRDefault="00C8738F">
            <w:pPr>
              <w:widowControl/>
              <w:kinsoku w:val="0"/>
              <w:overflowPunct w:val="0"/>
              <w:rPr>
                <w:sz w:val="22"/>
                <w:szCs w:val="22"/>
                <w:lang w:val="de-DE"/>
              </w:rPr>
            </w:pPr>
            <w:r>
              <w:rPr>
                <w:sz w:val="22"/>
                <w:szCs w:val="22"/>
                <w:lang w:val="de-DE" w:eastAsia="en-US"/>
              </w:rPr>
              <w:t>beeinträchtigte Wundheilung</w:t>
            </w:r>
          </w:p>
        </w:tc>
      </w:tr>
    </w:tbl>
    <w:p w14:paraId="1CC26651" w14:textId="77777777" w:rsidR="00FE291A" w:rsidRDefault="00C8738F">
      <w:pPr>
        <w:pStyle w:val="BodyText"/>
        <w:widowControl/>
        <w:tabs>
          <w:tab w:val="left" w:pos="691"/>
        </w:tabs>
        <w:kinsoku w:val="0"/>
        <w:overflowPunct w:val="0"/>
        <w:ind w:left="0"/>
        <w:rPr>
          <w:sz w:val="20"/>
          <w:szCs w:val="20"/>
          <w:lang w:val="de-DE"/>
        </w:rPr>
      </w:pPr>
      <w:r>
        <w:rPr>
          <w:sz w:val="20"/>
          <w:szCs w:val="20"/>
          <w:lang w:val="de-DE"/>
        </w:rPr>
        <w:t>* Weitere Information findet sich in den Abschnitten 4.3, 4.4 und 4.8.</w:t>
      </w:r>
    </w:p>
    <w:p w14:paraId="68DBE832" w14:textId="77777777" w:rsidR="00FE291A" w:rsidRDefault="00C8738F">
      <w:pPr>
        <w:pStyle w:val="BodyText"/>
        <w:widowControl/>
        <w:tabs>
          <w:tab w:val="left" w:pos="691"/>
        </w:tabs>
        <w:kinsoku w:val="0"/>
        <w:overflowPunct w:val="0"/>
        <w:ind w:left="0"/>
        <w:rPr>
          <w:sz w:val="20"/>
          <w:szCs w:val="20"/>
          <w:lang w:val="de-DE"/>
        </w:rPr>
      </w:pPr>
      <w:r>
        <w:rPr>
          <w:sz w:val="20"/>
          <w:szCs w:val="20"/>
          <w:lang w:val="de-DE"/>
        </w:rPr>
        <w:t>** einschließlich offener Fortsetzungsstudien</w:t>
      </w:r>
    </w:p>
    <w:p w14:paraId="5767BDE6" w14:textId="77777777" w:rsidR="00FE291A" w:rsidRDefault="00C8738F">
      <w:pPr>
        <w:pStyle w:val="BodyText"/>
        <w:widowControl/>
        <w:tabs>
          <w:tab w:val="left" w:pos="691"/>
        </w:tabs>
        <w:kinsoku w:val="0"/>
        <w:overflowPunct w:val="0"/>
        <w:ind w:left="0"/>
        <w:rPr>
          <w:sz w:val="20"/>
          <w:szCs w:val="20"/>
          <w:lang w:val="de-DE"/>
        </w:rPr>
      </w:pPr>
      <w:r>
        <w:rPr>
          <w:sz w:val="20"/>
          <w:szCs w:val="20"/>
          <w:vertAlign w:val="superscript"/>
          <w:lang w:val="de-DE"/>
        </w:rPr>
        <w:t>1)</w:t>
      </w:r>
      <w:r>
        <w:rPr>
          <w:sz w:val="20"/>
          <w:szCs w:val="20"/>
          <w:lang w:val="de-DE"/>
        </w:rPr>
        <w:t xml:space="preserve"> einschließlich Daten aus Spontanmeldungen</w:t>
      </w:r>
    </w:p>
    <w:p w14:paraId="41ED046F" w14:textId="77777777" w:rsidR="00FE291A" w:rsidRDefault="00C8738F">
      <w:pPr>
        <w:pStyle w:val="Default"/>
        <w:rPr>
          <w:sz w:val="22"/>
          <w:szCs w:val="22"/>
          <w:lang w:val="de-DE"/>
        </w:rPr>
      </w:pPr>
      <w:r>
        <w:rPr>
          <w:sz w:val="20"/>
          <w:szCs w:val="20"/>
          <w:vertAlign w:val="superscript"/>
          <w:lang w:val="de-DE"/>
        </w:rPr>
        <w:t xml:space="preserve">2) </w:t>
      </w:r>
      <w:r>
        <w:rPr>
          <w:sz w:val="20"/>
          <w:szCs w:val="20"/>
          <w:lang w:val="de-DE"/>
        </w:rPr>
        <w:t xml:space="preserve">Die mittlere Gewichtszunahme ab der </w:t>
      </w:r>
      <w:r>
        <w:rPr>
          <w:i/>
          <w:iCs/>
          <w:sz w:val="20"/>
          <w:szCs w:val="20"/>
          <w:lang w:val="de-DE"/>
        </w:rPr>
        <w:t>Baseline</w:t>
      </w:r>
      <w:r>
        <w:rPr>
          <w:sz w:val="20"/>
          <w:szCs w:val="20"/>
          <w:lang w:val="de-DE"/>
        </w:rPr>
        <w:t xml:space="preserve"> betrug über einen Behandlungszeitraum von 4–6 Monaten bei Adalimumab 0,3 kg bis 1,0 kg bei allen Indikationen für Erwachsene im Vergleich zu (minus) -0,4 kg bis (plus) 0,4 kg bei Placebo. Es wurde in Langzeit-Erweiterungsstudien bei einer mittleren Exposition von etwa 1–2 Jahren ohne Kontrollgruppe auch eine Gewichtszunahme von 5–6 kg beobachtet, insbesondere bei Patienten mit Morbus Crohn und Colitis ulcerosa. Der Mechanismus hinter dieser Wirkung ist unklar, könnte aber mit der antiinflammatorischen Wirkung von Adalimumab zusammenhängen.</w:t>
      </w:r>
    </w:p>
    <w:p w14:paraId="3CCFF509" w14:textId="77777777" w:rsidR="00FE291A" w:rsidRDefault="00FE291A">
      <w:pPr>
        <w:widowControl/>
        <w:kinsoku w:val="0"/>
        <w:overflowPunct w:val="0"/>
        <w:rPr>
          <w:sz w:val="22"/>
          <w:szCs w:val="22"/>
          <w:lang w:val="de-DE"/>
        </w:rPr>
      </w:pPr>
    </w:p>
    <w:p w14:paraId="10F82487" w14:textId="77777777" w:rsidR="00FE291A" w:rsidRDefault="00C8738F">
      <w:pPr>
        <w:pStyle w:val="BodyText"/>
        <w:keepNext/>
        <w:widowControl/>
        <w:kinsoku w:val="0"/>
        <w:overflowPunct w:val="0"/>
        <w:ind w:left="0"/>
        <w:rPr>
          <w:lang w:val="de-DE"/>
        </w:rPr>
      </w:pPr>
      <w:r>
        <w:rPr>
          <w:u w:val="single"/>
          <w:lang w:val="de-DE"/>
        </w:rPr>
        <w:t>Hidradenitis suppurativa (Acne inversa)</w:t>
      </w:r>
    </w:p>
    <w:p w14:paraId="1A9E02BF" w14:textId="77777777" w:rsidR="00FE291A" w:rsidRDefault="00FE291A">
      <w:pPr>
        <w:keepNext/>
        <w:widowControl/>
        <w:kinsoku w:val="0"/>
        <w:overflowPunct w:val="0"/>
        <w:rPr>
          <w:sz w:val="22"/>
          <w:szCs w:val="22"/>
          <w:lang w:val="de-DE"/>
        </w:rPr>
      </w:pPr>
    </w:p>
    <w:p w14:paraId="3ADC199A" w14:textId="77777777" w:rsidR="00FE291A" w:rsidRDefault="00C8738F">
      <w:pPr>
        <w:pStyle w:val="BodyText"/>
        <w:widowControl/>
        <w:kinsoku w:val="0"/>
        <w:overflowPunct w:val="0"/>
        <w:ind w:left="0"/>
        <w:rPr>
          <w:lang w:val="de-DE"/>
        </w:rPr>
      </w:pPr>
      <w:r>
        <w:rPr>
          <w:lang w:val="de-DE"/>
        </w:rPr>
        <w:t>Das Sicherheitsprofil bei Patienten mit HS, die wöchentlich mit Adalimumab behandelt wurden, entsprach dem bekannten Sicherheitsprofil von Adalimumab.</w:t>
      </w:r>
    </w:p>
    <w:p w14:paraId="28CEF5F9" w14:textId="77777777" w:rsidR="00FE291A" w:rsidRDefault="00FE291A">
      <w:pPr>
        <w:widowControl/>
        <w:kinsoku w:val="0"/>
        <w:overflowPunct w:val="0"/>
        <w:rPr>
          <w:sz w:val="22"/>
          <w:szCs w:val="22"/>
          <w:lang w:val="de-DE"/>
        </w:rPr>
      </w:pPr>
    </w:p>
    <w:p w14:paraId="26BF20CF" w14:textId="77777777" w:rsidR="00FE291A" w:rsidRDefault="00C8738F">
      <w:pPr>
        <w:pStyle w:val="BodyText"/>
        <w:keepNext/>
        <w:widowControl/>
        <w:kinsoku w:val="0"/>
        <w:overflowPunct w:val="0"/>
        <w:ind w:left="0"/>
        <w:rPr>
          <w:lang w:val="de-DE"/>
        </w:rPr>
      </w:pPr>
      <w:r>
        <w:rPr>
          <w:u w:val="single"/>
          <w:lang w:val="de-DE"/>
        </w:rPr>
        <w:t>Uveitis</w:t>
      </w:r>
    </w:p>
    <w:p w14:paraId="0D5A6664" w14:textId="77777777" w:rsidR="00FE291A" w:rsidRDefault="00FE291A">
      <w:pPr>
        <w:keepNext/>
        <w:widowControl/>
        <w:kinsoku w:val="0"/>
        <w:overflowPunct w:val="0"/>
        <w:rPr>
          <w:sz w:val="22"/>
          <w:szCs w:val="22"/>
          <w:lang w:val="de-DE"/>
        </w:rPr>
      </w:pPr>
    </w:p>
    <w:p w14:paraId="6016BEDA" w14:textId="77777777" w:rsidR="00FE291A" w:rsidRDefault="00C8738F">
      <w:pPr>
        <w:pStyle w:val="BodyText"/>
        <w:widowControl/>
        <w:kinsoku w:val="0"/>
        <w:overflowPunct w:val="0"/>
        <w:ind w:left="0"/>
        <w:rPr>
          <w:lang w:val="de-DE"/>
        </w:rPr>
      </w:pPr>
      <w:r>
        <w:rPr>
          <w:lang w:val="de-DE"/>
        </w:rPr>
        <w:t>Das Sicherheitsprofil bei Patienten mit Uveitis, die alle zwei Wochen mit Adalimumab behandelt wurden, entsprach dem bekannten Sicherheitsprofil von Adalimumab.</w:t>
      </w:r>
    </w:p>
    <w:p w14:paraId="63A497B2" w14:textId="77777777" w:rsidR="00FE291A" w:rsidRDefault="00FE291A">
      <w:pPr>
        <w:widowControl/>
        <w:kinsoku w:val="0"/>
        <w:overflowPunct w:val="0"/>
        <w:rPr>
          <w:sz w:val="22"/>
          <w:szCs w:val="22"/>
          <w:lang w:val="de-DE"/>
        </w:rPr>
      </w:pPr>
    </w:p>
    <w:p w14:paraId="3C5C7416" w14:textId="77777777" w:rsidR="00FE291A" w:rsidRDefault="00C8738F">
      <w:pPr>
        <w:pStyle w:val="BodyText"/>
        <w:keepNext/>
        <w:keepLines/>
        <w:widowControl/>
        <w:kinsoku w:val="0"/>
        <w:overflowPunct w:val="0"/>
        <w:ind w:left="0"/>
        <w:rPr>
          <w:lang w:val="de-DE"/>
        </w:rPr>
      </w:pPr>
      <w:r>
        <w:rPr>
          <w:u w:val="single"/>
          <w:lang w:val="de-DE"/>
        </w:rPr>
        <w:t>Beschreibung von definierten Nebenwirkungen</w:t>
      </w:r>
    </w:p>
    <w:p w14:paraId="41DE4376" w14:textId="77777777" w:rsidR="00FE291A" w:rsidRDefault="00FE291A">
      <w:pPr>
        <w:keepNext/>
        <w:keepLines/>
        <w:widowControl/>
        <w:kinsoku w:val="0"/>
        <w:overflowPunct w:val="0"/>
        <w:rPr>
          <w:sz w:val="22"/>
          <w:szCs w:val="22"/>
          <w:lang w:val="de-DE"/>
        </w:rPr>
      </w:pPr>
    </w:p>
    <w:p w14:paraId="06CEED0C" w14:textId="77777777" w:rsidR="00FE291A" w:rsidRDefault="00C8738F">
      <w:pPr>
        <w:keepNext/>
        <w:widowControl/>
        <w:kinsoku w:val="0"/>
        <w:overflowPunct w:val="0"/>
        <w:rPr>
          <w:sz w:val="22"/>
          <w:szCs w:val="22"/>
          <w:lang w:val="de-DE"/>
        </w:rPr>
      </w:pPr>
      <w:r>
        <w:rPr>
          <w:i/>
          <w:iCs/>
          <w:sz w:val="22"/>
          <w:szCs w:val="22"/>
          <w:lang w:val="de-DE"/>
        </w:rPr>
        <w:t>Reaktionen an der Injektionsstelle</w:t>
      </w:r>
    </w:p>
    <w:p w14:paraId="4B689D68" w14:textId="77777777" w:rsidR="00FE291A" w:rsidRDefault="00FE291A">
      <w:pPr>
        <w:keepNext/>
        <w:widowControl/>
        <w:kinsoku w:val="0"/>
        <w:overflowPunct w:val="0"/>
        <w:rPr>
          <w:sz w:val="22"/>
          <w:szCs w:val="22"/>
          <w:lang w:val="de-DE"/>
        </w:rPr>
      </w:pPr>
    </w:p>
    <w:p w14:paraId="076B7387" w14:textId="77777777" w:rsidR="00FE291A" w:rsidRDefault="00C8738F">
      <w:pPr>
        <w:pStyle w:val="BodyText"/>
        <w:widowControl/>
        <w:kinsoku w:val="0"/>
        <w:overflowPunct w:val="0"/>
        <w:ind w:left="0"/>
        <w:rPr>
          <w:lang w:val="de-DE"/>
        </w:rPr>
      </w:pPr>
      <w:r>
        <w:rPr>
          <w:lang w:val="de-DE"/>
        </w:rPr>
        <w:t>In den pivotalen kontrollierten Studien bei Erwachsenen und Kindern entwickelten 12,9 % der mit Adalimumab behandelten Patienten Reaktionen an der Injektionsstelle (Erytheme und/oder Juckreiz, Hämorrhagien, Schmerzen oder Schwellungen) im Vergleich zu 7,2 % der Patienten unter Placebo oder aktiver Vergleichssubstanz. Die Reaktionen an der Injektionsstelle machten im Allgemeinen kein Absetzen des Arzneimittels erforderlich.</w:t>
      </w:r>
    </w:p>
    <w:p w14:paraId="403BC63A" w14:textId="77777777" w:rsidR="00FE291A" w:rsidRDefault="00FE291A">
      <w:pPr>
        <w:widowControl/>
        <w:kinsoku w:val="0"/>
        <w:overflowPunct w:val="0"/>
        <w:rPr>
          <w:sz w:val="22"/>
          <w:szCs w:val="22"/>
          <w:lang w:val="de-DE"/>
        </w:rPr>
      </w:pPr>
    </w:p>
    <w:p w14:paraId="50308426" w14:textId="77777777" w:rsidR="00FE291A" w:rsidRDefault="00C8738F">
      <w:pPr>
        <w:keepNext/>
        <w:widowControl/>
        <w:kinsoku w:val="0"/>
        <w:overflowPunct w:val="0"/>
        <w:rPr>
          <w:sz w:val="22"/>
          <w:szCs w:val="22"/>
          <w:lang w:val="de-DE"/>
        </w:rPr>
      </w:pPr>
      <w:r>
        <w:rPr>
          <w:i/>
          <w:iCs/>
          <w:sz w:val="22"/>
          <w:szCs w:val="22"/>
          <w:lang w:val="de-DE"/>
        </w:rPr>
        <w:t>Infektionen</w:t>
      </w:r>
    </w:p>
    <w:p w14:paraId="704A80EA" w14:textId="77777777" w:rsidR="00FE291A" w:rsidRDefault="00FE291A">
      <w:pPr>
        <w:keepNext/>
        <w:widowControl/>
        <w:kinsoku w:val="0"/>
        <w:overflowPunct w:val="0"/>
        <w:rPr>
          <w:sz w:val="22"/>
          <w:szCs w:val="22"/>
          <w:lang w:val="de-DE"/>
        </w:rPr>
      </w:pPr>
    </w:p>
    <w:p w14:paraId="75408C69" w14:textId="77777777" w:rsidR="00FE291A" w:rsidRDefault="00C8738F">
      <w:pPr>
        <w:pStyle w:val="BodyText"/>
        <w:keepNext/>
        <w:widowControl/>
        <w:kinsoku w:val="0"/>
        <w:overflowPunct w:val="0"/>
        <w:ind w:left="0"/>
        <w:rPr>
          <w:lang w:val="de-DE"/>
        </w:rPr>
      </w:pPr>
      <w:r>
        <w:rPr>
          <w:lang w:val="de-DE"/>
        </w:rPr>
        <w:t>In den pivotalen kontrollierten Studien bei Erwachsenen und Kindern betrug die Infektionsrate bei den mit Adalimumab behandelten Patienten 1,51 pro Patientenjahr und bei den Patienten unter Placebo und aktiver Kontrolle 1,46 pro Patientenjahr. Die Infektionen beinhalteten primär Nasopharyngitis, Infektionen der oberen Atemwege und Sinusitis. Die meisten Patienten setzten die Behandlung mit Adalimumab nach Abheilen der Infektion fort.</w:t>
      </w:r>
    </w:p>
    <w:p w14:paraId="48579EA4" w14:textId="77777777" w:rsidR="00FE291A" w:rsidRDefault="00FE291A">
      <w:pPr>
        <w:widowControl/>
        <w:kinsoku w:val="0"/>
        <w:overflowPunct w:val="0"/>
        <w:rPr>
          <w:sz w:val="22"/>
          <w:szCs w:val="22"/>
          <w:lang w:val="de-DE"/>
        </w:rPr>
      </w:pPr>
    </w:p>
    <w:p w14:paraId="646DD537" w14:textId="77777777" w:rsidR="00FE291A" w:rsidRDefault="00C8738F">
      <w:pPr>
        <w:pStyle w:val="BodyText"/>
        <w:widowControl/>
        <w:kinsoku w:val="0"/>
        <w:overflowPunct w:val="0"/>
        <w:ind w:left="0"/>
        <w:rPr>
          <w:lang w:val="de-DE"/>
        </w:rPr>
      </w:pPr>
      <w:r>
        <w:rPr>
          <w:lang w:val="de-DE"/>
        </w:rPr>
        <w:t>Die Inzidenz schwerer Infektionen lag in der Adalimumab-Gruppe bei 0,04 pro Patientenjahr und in der Placebo- und aktiven Kontrollgruppe bei 0,03 pro Patientenjahr.</w:t>
      </w:r>
    </w:p>
    <w:p w14:paraId="64997E70" w14:textId="77777777" w:rsidR="00FE291A" w:rsidRDefault="00FE291A">
      <w:pPr>
        <w:widowControl/>
        <w:kinsoku w:val="0"/>
        <w:overflowPunct w:val="0"/>
        <w:rPr>
          <w:sz w:val="22"/>
          <w:szCs w:val="22"/>
          <w:lang w:val="de-DE"/>
        </w:rPr>
      </w:pPr>
    </w:p>
    <w:p w14:paraId="6F947842" w14:textId="77777777" w:rsidR="00FE291A" w:rsidRDefault="00C8738F">
      <w:pPr>
        <w:pStyle w:val="BodyText"/>
        <w:widowControl/>
        <w:kinsoku w:val="0"/>
        <w:overflowPunct w:val="0"/>
        <w:ind w:left="0"/>
        <w:rPr>
          <w:lang w:val="de-DE"/>
        </w:rPr>
      </w:pPr>
      <w:r>
        <w:rPr>
          <w:lang w:val="de-DE"/>
        </w:rPr>
        <w:t>In kontrollierten und offenen Studien mit Adalimumab bei Erwachsenen und Kindern wurden schwerwiegende Infektionen (darunter in seltenen Fällen tödlich verlaufende Infektionen), einschließlich Fälle von Tuberkulose (darunter miliare und extrapulmonale Lokalisationen), und invasive opportunistische Infektionen (z. B. disseminierte oder extrapulmonale Histoplasmose, Blastomykose, Kokzidioidomykose, Pneumocystis-Infektion, Candidiasis (Soor), Aspergillose und Listeriose) berichtet. Die meisten Fälle von Tuberkulose traten innerhalb der ersten 8 Monate nach Beginn der Therapie auf und können die Reaktivierung einer latent bestehenden Erkrankung darstellen.</w:t>
      </w:r>
    </w:p>
    <w:p w14:paraId="2DD6798F" w14:textId="77777777" w:rsidR="00FE291A" w:rsidRDefault="00FE291A">
      <w:pPr>
        <w:widowControl/>
        <w:kinsoku w:val="0"/>
        <w:overflowPunct w:val="0"/>
        <w:rPr>
          <w:sz w:val="22"/>
          <w:szCs w:val="22"/>
          <w:lang w:val="de-DE"/>
        </w:rPr>
      </w:pPr>
    </w:p>
    <w:p w14:paraId="180226E9" w14:textId="77777777" w:rsidR="00FE291A" w:rsidRDefault="00C8738F">
      <w:pPr>
        <w:keepNext/>
        <w:widowControl/>
        <w:kinsoku w:val="0"/>
        <w:overflowPunct w:val="0"/>
        <w:rPr>
          <w:sz w:val="22"/>
          <w:szCs w:val="22"/>
          <w:lang w:val="de-DE"/>
        </w:rPr>
      </w:pPr>
      <w:r>
        <w:rPr>
          <w:i/>
          <w:iCs/>
          <w:sz w:val="22"/>
          <w:szCs w:val="22"/>
          <w:lang w:val="de-DE"/>
        </w:rPr>
        <w:t>Maligne und lymphoproliferative Erkrankungen</w:t>
      </w:r>
    </w:p>
    <w:p w14:paraId="259B88D2" w14:textId="77777777" w:rsidR="00FE291A" w:rsidRDefault="00FE291A">
      <w:pPr>
        <w:keepNext/>
        <w:widowControl/>
        <w:kinsoku w:val="0"/>
        <w:overflowPunct w:val="0"/>
        <w:rPr>
          <w:sz w:val="22"/>
          <w:szCs w:val="22"/>
          <w:lang w:val="de-DE"/>
        </w:rPr>
      </w:pPr>
    </w:p>
    <w:p w14:paraId="5ADCA167" w14:textId="77777777" w:rsidR="00FE291A" w:rsidRDefault="00C8738F">
      <w:pPr>
        <w:pStyle w:val="BodyText"/>
        <w:widowControl/>
        <w:kinsoku w:val="0"/>
        <w:overflowPunct w:val="0"/>
        <w:ind w:left="0"/>
        <w:rPr>
          <w:lang w:val="de-DE"/>
        </w:rPr>
      </w:pPr>
      <w:r>
        <w:rPr>
          <w:lang w:val="de-DE"/>
        </w:rPr>
        <w:t xml:space="preserve">Während der Studien mit Adalimumab bei Patienten mit juveniler idiopathischer Arthritis (polyartikulärer juveniler idiopathischer Arthritis und Enthesitis-assoziierter Arthritis) wurden bei 249 Kindern und Jugendlichen mit einer Exposition von 655,6 Patientenjahren keine malignen Erkrankungen beobachtet. Außerdem wurden bei 192 Kindern und Jugendlichen mit einer Exposition von 498,1 Patientenjahren während einer klinischen Studie mit Adalimumab bei Kindern und Jugendlichen mit Morbus Crohn keine malignen Erkrankungen beobachtet. In einer Studie mit Adalimumab zu chronischer Plaque-Psoriasis an Kindern und Jugendlichen wurden bei 77 Kindern und Jugendlichen mit einer Exposition von 80,0 Patientenjahren keine malignen Erkrankungen beobachtet. Während einer Studie mit Adalimumab bei Kindern und Jugendlichen mit Colitis ulcerosa wurden bei 93 Kindern und Jugendlichen mit einer Exposition von 65,3 Patientenjahren keine malignen Erkrankungen beobachtet. </w:t>
      </w:r>
      <w:r>
        <w:rPr>
          <w:rFonts w:cs="Calibri"/>
          <w:lang w:val="de-DE"/>
        </w:rPr>
        <w:t>Während einer Studie mit Adalimumab bei Kindern und Jugendlichen mit Uveitis wurden bei 60 Kindern und Jugendlichen mit einer Exposition von 58,4 Patientenjahren keine malignen Erkrankungen beobachtet.</w:t>
      </w:r>
    </w:p>
    <w:p w14:paraId="5D28C056" w14:textId="77777777" w:rsidR="00FE291A" w:rsidRDefault="00FE291A">
      <w:pPr>
        <w:widowControl/>
        <w:kinsoku w:val="0"/>
        <w:overflowPunct w:val="0"/>
        <w:rPr>
          <w:sz w:val="22"/>
          <w:szCs w:val="22"/>
          <w:lang w:val="de-DE"/>
        </w:rPr>
      </w:pPr>
    </w:p>
    <w:p w14:paraId="7F678DDD" w14:textId="77777777" w:rsidR="00FE291A" w:rsidRDefault="00C8738F">
      <w:pPr>
        <w:pStyle w:val="BodyText"/>
        <w:widowControl/>
        <w:kinsoku w:val="0"/>
        <w:overflowPunct w:val="0"/>
        <w:ind w:left="0"/>
        <w:rPr>
          <w:lang w:val="de-DE"/>
        </w:rPr>
      </w:pPr>
      <w:r>
        <w:rPr>
          <w:lang w:val="de-DE"/>
        </w:rPr>
        <w:t>Während der kontrollierten Phasen der pivotalen klinischen Studien an Erwachsenen mit Adalimumab, die mindestens zwölf Wochen bei Patienten mit mäßiger bis schwerer aktiver rheumatoider Arthritis, ankylosierender Spondylitis, axialer Spondyloarthritis ohne Röntgennachweis einer AS, Psoriasis- Arthritis, Psoriasis, Hidradenitis suppurativa, Morbus Crohn, Colitis ulcerosa und Uveitis durchgeführt wurden, wurden maligne Erkrankungen, die keine Lymphome oder nicht melanomartige Hauttumoren waren, beobachtet. Die Rate (95 % Konfidenzintervall) betrug 6,8 (4,4; 10,5) pro 1 000 Patientenjahre bei 5 291 mit Adalimumab behandelten Patienten gegenüber einer Rate von 6,3 (3,4; 11,8) pro 1 000 Patientenjahre bei 3 444 Kontrollpatienten (die mediane Behandlungsdauer betrug 4,0 Monate bei Patienten, die mit Adalimumab behandelt wurden und 3,8 Monate bei Patienten in der Kontrollgruppe). Die Rate (95 % Konfidenzintervall) nicht melanomartiger Hauttumoren betrug 8,8 (6,0; 13,0) pro 1 000 Patientenjahre bei den mit Adalimumab behandelten Patienten und 3,2 (1,3; 7,6) pro 1 000 Patientenjahre bei Kontrollpatienten. Bei diesen Hauttumoren traten Plattenepithelkarzinome mit einer Rate (95 % Konfidenzintervall) von 2,7 (1,4; 5,4) pro 1 000 Patientenjahre bei mit Adalimumab behandelten Patienten auf und 0,6 (0,1; 4,5) pro 1 000 Patientenjahre bei Kontrollpatienten. Die Rate (95 % Konfidenzintervall) für Lymphome betrug 0,7 (0,2; 2,7) pro 1 000 Patientenjahre bei mit Adalimumab behandelten Patienten und 0,6 (0,1; 4,5) pro 1 000 Patientenjahre bei Kontrollpatienten.</w:t>
      </w:r>
    </w:p>
    <w:p w14:paraId="42BA4355" w14:textId="77777777" w:rsidR="00FE291A" w:rsidRDefault="00FE291A">
      <w:pPr>
        <w:widowControl/>
        <w:kinsoku w:val="0"/>
        <w:overflowPunct w:val="0"/>
        <w:rPr>
          <w:sz w:val="22"/>
          <w:szCs w:val="22"/>
          <w:lang w:val="de-DE"/>
        </w:rPr>
      </w:pPr>
    </w:p>
    <w:p w14:paraId="7EB5EB04" w14:textId="77777777" w:rsidR="00FE291A" w:rsidRDefault="00C8738F">
      <w:pPr>
        <w:pStyle w:val="BodyText"/>
        <w:widowControl/>
        <w:kinsoku w:val="0"/>
        <w:overflowPunct w:val="0"/>
        <w:ind w:left="0"/>
        <w:rPr>
          <w:lang w:val="de-DE"/>
        </w:rPr>
      </w:pPr>
      <w:r>
        <w:rPr>
          <w:lang w:val="de-DE"/>
        </w:rPr>
        <w:t>Fasst man die kontrollierten Phasen dieser Studien und die noch andauernden und abgeschlossenen offenen Fortsetzungsstudien mit Adalimumab mit einer medianen Therapiedauer von annähernd 3,3 Jahren, 6 427 eingeschlossenen Patienten und über 26 439 Patientenjahren zusammen, beträgt die beobachtete Rate maligner Erkrankungen, die keine Lymphome oder nicht melanomartige Hauttumoren waren, ungefähr 8,5 pro 1 000 Patientenjahre. Die beobachtete Rate nicht melanomartiger Hauttumoren beträgt annähernd 9,6 pro 1 000 Patientenjahre, und die beobachtete Rate für Lymphome beträgt annähernd 1,3 pro 1 000 Patientenjahre.</w:t>
      </w:r>
    </w:p>
    <w:p w14:paraId="2406022C" w14:textId="77777777" w:rsidR="00FE291A" w:rsidRDefault="00FE291A">
      <w:pPr>
        <w:widowControl/>
        <w:kinsoku w:val="0"/>
        <w:overflowPunct w:val="0"/>
        <w:rPr>
          <w:sz w:val="22"/>
          <w:szCs w:val="22"/>
          <w:lang w:val="de-DE"/>
        </w:rPr>
      </w:pPr>
    </w:p>
    <w:p w14:paraId="158E266E" w14:textId="77777777" w:rsidR="00FE291A" w:rsidRDefault="00C8738F">
      <w:pPr>
        <w:pStyle w:val="BodyText"/>
        <w:widowControl/>
        <w:kinsoku w:val="0"/>
        <w:overflowPunct w:val="0"/>
        <w:ind w:left="0"/>
        <w:rPr>
          <w:lang w:val="de-DE"/>
        </w:rPr>
      </w:pPr>
      <w:r>
        <w:rPr>
          <w:lang w:val="de-DE"/>
        </w:rPr>
        <w:t>In der Zeit nach Markteinführung seit Januar 2003 bis Dezember 2010, vorwiegend aus Erfahrungen bei Patienten mit rheumatoider Arthritis, beträgt die Rate spontan gemeldeter maligner Erkrankungen annähernd 2,7 pro 1 000 Patientenjahre mit Behandlung. Für nicht melanomartige Hauttumoren und für Lymphome wurden Raten von annähernd 0,2 bzw. 0,3 pro 1 000 Patientenjahre mit Behandlung spontan gemeldet (siehe Abschnitt 4.4).</w:t>
      </w:r>
    </w:p>
    <w:p w14:paraId="096518A4" w14:textId="77777777" w:rsidR="00FE291A" w:rsidRDefault="00FE291A">
      <w:pPr>
        <w:widowControl/>
        <w:kinsoku w:val="0"/>
        <w:overflowPunct w:val="0"/>
        <w:rPr>
          <w:sz w:val="22"/>
          <w:szCs w:val="22"/>
          <w:lang w:val="de-DE"/>
        </w:rPr>
      </w:pPr>
    </w:p>
    <w:p w14:paraId="066EF46B" w14:textId="77777777" w:rsidR="00FE291A" w:rsidRDefault="00C8738F">
      <w:pPr>
        <w:pStyle w:val="BodyText"/>
        <w:widowControl/>
        <w:kinsoku w:val="0"/>
        <w:overflowPunct w:val="0"/>
        <w:ind w:left="0"/>
        <w:rPr>
          <w:lang w:val="de-DE"/>
        </w:rPr>
      </w:pPr>
      <w:r>
        <w:rPr>
          <w:lang w:val="de-DE"/>
        </w:rPr>
        <w:t>Nach Markteinführung wurden bei Patienten, die mit Adalimumab behandelt wurden, seltene Fälle von hepatosplenalen T-Zell-Lymphomen berichtet (siehe Abschnitt 4.4).</w:t>
      </w:r>
    </w:p>
    <w:p w14:paraId="69A3601F" w14:textId="77777777" w:rsidR="00FE291A" w:rsidRDefault="00FE291A">
      <w:pPr>
        <w:widowControl/>
        <w:kinsoku w:val="0"/>
        <w:overflowPunct w:val="0"/>
        <w:rPr>
          <w:sz w:val="22"/>
          <w:szCs w:val="22"/>
          <w:lang w:val="de-DE"/>
        </w:rPr>
      </w:pPr>
    </w:p>
    <w:p w14:paraId="3BAB6864" w14:textId="77777777" w:rsidR="00FE291A" w:rsidRDefault="00C8738F">
      <w:pPr>
        <w:keepNext/>
        <w:widowControl/>
        <w:kinsoku w:val="0"/>
        <w:overflowPunct w:val="0"/>
        <w:rPr>
          <w:sz w:val="22"/>
          <w:szCs w:val="22"/>
          <w:lang w:val="de-DE"/>
        </w:rPr>
      </w:pPr>
      <w:r>
        <w:rPr>
          <w:i/>
          <w:iCs/>
          <w:sz w:val="22"/>
          <w:szCs w:val="22"/>
          <w:lang w:val="de-DE"/>
        </w:rPr>
        <w:t>Autoantikörper</w:t>
      </w:r>
    </w:p>
    <w:p w14:paraId="39D0AA15" w14:textId="77777777" w:rsidR="00FE291A" w:rsidRDefault="00FE291A">
      <w:pPr>
        <w:widowControl/>
        <w:kinsoku w:val="0"/>
        <w:overflowPunct w:val="0"/>
        <w:rPr>
          <w:sz w:val="22"/>
          <w:szCs w:val="22"/>
          <w:lang w:val="de-DE"/>
        </w:rPr>
      </w:pPr>
    </w:p>
    <w:p w14:paraId="1519B4BC" w14:textId="77777777" w:rsidR="00FE291A" w:rsidRDefault="00C8738F">
      <w:pPr>
        <w:pStyle w:val="BodyText"/>
        <w:widowControl/>
        <w:kinsoku w:val="0"/>
        <w:overflowPunct w:val="0"/>
        <w:ind w:left="0"/>
        <w:rPr>
          <w:lang w:val="de-DE"/>
        </w:rPr>
      </w:pPr>
      <w:r>
        <w:rPr>
          <w:lang w:val="de-DE"/>
        </w:rPr>
        <w:t>In den Studien I – V bei rheumatoider Arthritis wurden zu mehreren Zeitpunkten Serumproben von Patienten auf Autoantikörper untersucht. Von denjenigen Patienten, die in diesen Studien bei Behandlungsbeginn negative Titer für antinukleäre Antikörper hatten, wiesen 11,9 % der mit Adalimumab behandelten Patienten und 8,1 % der Patienten unter Placebo und aktiver Kontrolle in Woche 24 positive Titer auf. Zwei von 3 441 mit Adalimumab behandelten Patienten in allen Studien bei rheumatoider Arthritis und Psoriasis-Arthritis entwickelten klinische Anzeichen eines erstmalig auftretenden lupusähnlichen Syndroms. Nach Absetzen der Behandlung erholten sich die Patienten. Lupusnephritis oder zentralnervöse Symptome traten bei keinem der Patienten auf.</w:t>
      </w:r>
    </w:p>
    <w:p w14:paraId="16374041" w14:textId="77777777" w:rsidR="00FE291A" w:rsidRDefault="00FE291A">
      <w:pPr>
        <w:widowControl/>
        <w:kinsoku w:val="0"/>
        <w:overflowPunct w:val="0"/>
        <w:rPr>
          <w:sz w:val="22"/>
          <w:szCs w:val="22"/>
          <w:lang w:val="de-DE"/>
        </w:rPr>
      </w:pPr>
    </w:p>
    <w:p w14:paraId="60A8BAAE" w14:textId="77777777" w:rsidR="00FE291A" w:rsidRDefault="00C8738F">
      <w:pPr>
        <w:keepNext/>
        <w:widowControl/>
        <w:kinsoku w:val="0"/>
        <w:overflowPunct w:val="0"/>
        <w:rPr>
          <w:sz w:val="22"/>
          <w:szCs w:val="22"/>
          <w:lang w:val="de-DE"/>
        </w:rPr>
      </w:pPr>
      <w:r>
        <w:rPr>
          <w:i/>
          <w:iCs/>
          <w:sz w:val="22"/>
          <w:szCs w:val="22"/>
          <w:lang w:val="de-DE"/>
        </w:rPr>
        <w:t>Hepatobiliäre Ereignisse</w:t>
      </w:r>
    </w:p>
    <w:p w14:paraId="440E8079" w14:textId="77777777" w:rsidR="00FE291A" w:rsidRDefault="00FE291A">
      <w:pPr>
        <w:keepNext/>
        <w:widowControl/>
        <w:kinsoku w:val="0"/>
        <w:overflowPunct w:val="0"/>
        <w:rPr>
          <w:sz w:val="22"/>
          <w:szCs w:val="22"/>
          <w:lang w:val="de-DE"/>
        </w:rPr>
      </w:pPr>
    </w:p>
    <w:p w14:paraId="7B6384EF" w14:textId="77777777" w:rsidR="00FE291A" w:rsidRDefault="00C8738F">
      <w:pPr>
        <w:pStyle w:val="BodyText"/>
        <w:widowControl/>
        <w:kinsoku w:val="0"/>
        <w:overflowPunct w:val="0"/>
        <w:ind w:left="0"/>
        <w:rPr>
          <w:lang w:val="de-DE"/>
        </w:rPr>
      </w:pPr>
      <w:r>
        <w:rPr>
          <w:lang w:val="de-DE"/>
        </w:rPr>
        <w:t>In den kontrollierten klinischen Phase-III-Studien zu Adalimumab bei Patienten mit rheumatoider Arthritis bzw. Psoriasis-Arthritis ergaben sich in einem Überwachungszeitraum von 4 bis 104 Wochen Erhöhungen der ALT-Werte um ≥ 3 x ULN (oberer Normbereich) bei 3,7 % der mit Adalimumab behandelten Patienten und bei 1,6 % der Patienten der Kontrollgruppe.</w:t>
      </w:r>
    </w:p>
    <w:p w14:paraId="33EFC301" w14:textId="77777777" w:rsidR="00FE291A" w:rsidRDefault="00FE291A">
      <w:pPr>
        <w:widowControl/>
        <w:kinsoku w:val="0"/>
        <w:overflowPunct w:val="0"/>
        <w:rPr>
          <w:sz w:val="22"/>
          <w:szCs w:val="22"/>
          <w:lang w:val="de-DE"/>
        </w:rPr>
      </w:pPr>
    </w:p>
    <w:p w14:paraId="1018D2B6" w14:textId="77777777" w:rsidR="00FE291A" w:rsidRDefault="00C8738F">
      <w:pPr>
        <w:pStyle w:val="BodyText"/>
        <w:widowControl/>
        <w:kinsoku w:val="0"/>
        <w:overflowPunct w:val="0"/>
        <w:ind w:left="0"/>
        <w:rPr>
          <w:lang w:val="de-DE"/>
        </w:rPr>
      </w:pPr>
      <w:r>
        <w:rPr>
          <w:lang w:val="de-DE"/>
        </w:rPr>
        <w:t>In den kontrollierten klinischen Phase-III-Studien von Adalimumab ergaben sich bei Patienten mit polyartikulärer juveniler idiopathischer Arthritis, die zwischen 4 und 17 Jahre alt waren, und bei Patienten mit Enthesitis-assoziierter Arthritis, die zwischen 6 und 17 Jahre alt waren, Erhöhungen der ALT-Werte um ≥ 3 x ULN bei 6,1 % der mit Adalimumab behandelten Patienten und bei 1,3 % der Patienten der Kontrollgruppe. Die meisten ALT-Erhöhungen traten bei gleichzeitiger Anwendung von Methotrexat auf. In der Phase-III-Studie von Adalimumab kamen keine ALT-Erhöhungen ≥ 3 x ULN bei Patienten mit polyartikulärer juveniler idiopathischer Arthritis vor, die zwischen 2 und &lt; 4 Jahre alt waren.</w:t>
      </w:r>
    </w:p>
    <w:p w14:paraId="23583F53" w14:textId="77777777" w:rsidR="00FE291A" w:rsidRDefault="00FE291A">
      <w:pPr>
        <w:widowControl/>
        <w:kinsoku w:val="0"/>
        <w:overflowPunct w:val="0"/>
        <w:rPr>
          <w:sz w:val="22"/>
          <w:szCs w:val="22"/>
          <w:lang w:val="de-DE"/>
        </w:rPr>
      </w:pPr>
    </w:p>
    <w:p w14:paraId="0B821744" w14:textId="77777777" w:rsidR="00FE291A" w:rsidRDefault="00C8738F">
      <w:pPr>
        <w:pStyle w:val="BodyText"/>
        <w:widowControl/>
        <w:kinsoku w:val="0"/>
        <w:overflowPunct w:val="0"/>
        <w:ind w:left="0"/>
        <w:rPr>
          <w:lang w:val="de-DE"/>
        </w:rPr>
      </w:pPr>
      <w:r>
        <w:rPr>
          <w:lang w:val="de-DE"/>
        </w:rPr>
        <w:t>In den kontrollierten klinischen Phase-III-Studien zu Adalimumab bei Patienten mit Morbus Crohn bzw. Colitis ulcerosa ergaben sich in einem Überwachungszeitraum von 4 bis 52 Wochen Erhöhungen der ALT-Werte um ≥ 3 x ULN bei 0,9 % der mit Adalimumab behandelten Patienten und bei 0,9 % der Patienten der Kontrollgruppe.</w:t>
      </w:r>
    </w:p>
    <w:p w14:paraId="18C34374" w14:textId="77777777" w:rsidR="00FE291A" w:rsidRDefault="00FE291A">
      <w:pPr>
        <w:widowControl/>
        <w:kinsoku w:val="0"/>
        <w:overflowPunct w:val="0"/>
        <w:rPr>
          <w:sz w:val="22"/>
          <w:szCs w:val="22"/>
          <w:lang w:val="de-DE"/>
        </w:rPr>
      </w:pPr>
    </w:p>
    <w:p w14:paraId="15FF7204" w14:textId="77777777" w:rsidR="00FE291A" w:rsidRDefault="00C8738F">
      <w:pPr>
        <w:pStyle w:val="BodyText"/>
        <w:widowControl/>
        <w:kinsoku w:val="0"/>
        <w:overflowPunct w:val="0"/>
        <w:ind w:left="0"/>
        <w:rPr>
          <w:lang w:val="de-DE"/>
        </w:rPr>
      </w:pPr>
      <w:r>
        <w:rPr>
          <w:lang w:val="de-DE"/>
        </w:rPr>
        <w:t>In der klinischen Phase-III-Studie zu Adalimumab bei Kindern und Jugendlichen mit Morbus Crohn wurden Wirksamkeit und Sicherheit von zwei körpergewichtsadaptierten remissionserhaltenden Therapien nach erfolgter körpergewichtsadaptierter Induktionstherapie über 52 Behandlungswochen untersucht. Es ergaben sich Erhöhungen der ALT-Werte ≥ 3 x ULN bei 2,6 % (5 von 192) der Patienten. 4 der Patienten erhielten zu Therapiebeginn begleitend Immunsuppressiva.</w:t>
      </w:r>
    </w:p>
    <w:p w14:paraId="03C5B1C3" w14:textId="77777777" w:rsidR="00FE291A" w:rsidRDefault="00FE291A">
      <w:pPr>
        <w:widowControl/>
        <w:kinsoku w:val="0"/>
        <w:overflowPunct w:val="0"/>
        <w:rPr>
          <w:sz w:val="22"/>
          <w:szCs w:val="22"/>
          <w:lang w:val="de-DE"/>
        </w:rPr>
      </w:pPr>
    </w:p>
    <w:p w14:paraId="5241430E" w14:textId="77777777" w:rsidR="00FE291A" w:rsidRDefault="00C8738F">
      <w:pPr>
        <w:pStyle w:val="BodyText"/>
        <w:widowControl/>
        <w:kinsoku w:val="0"/>
        <w:overflowPunct w:val="0"/>
        <w:ind w:left="0"/>
        <w:rPr>
          <w:lang w:val="de-DE"/>
        </w:rPr>
      </w:pPr>
      <w:r>
        <w:rPr>
          <w:lang w:val="de-DE"/>
        </w:rPr>
        <w:t>In den kontrollierten klinischen Phase-III-Studien zu Adalimumab bei Patienten mit Plaque-Psoriasis ergaben sich in einem Überwachungszeitraum von 12 bis 24 Wochen Erhöhungen der ALT-Werte um ≥ 3 x ULN bei 1,8 % der mit Adalimumab behandelten Patienten und bei 1,8 % der Patienten der Kontrollgruppe.</w:t>
      </w:r>
    </w:p>
    <w:p w14:paraId="2CB65949" w14:textId="77777777" w:rsidR="00FE291A" w:rsidRDefault="00FE291A">
      <w:pPr>
        <w:widowControl/>
        <w:kinsoku w:val="0"/>
        <w:overflowPunct w:val="0"/>
        <w:rPr>
          <w:sz w:val="22"/>
          <w:szCs w:val="22"/>
          <w:lang w:val="de-DE"/>
        </w:rPr>
      </w:pPr>
    </w:p>
    <w:p w14:paraId="6A8C2041" w14:textId="77777777" w:rsidR="00FE291A" w:rsidRDefault="00C8738F">
      <w:pPr>
        <w:pStyle w:val="BodyText"/>
        <w:widowControl/>
        <w:kinsoku w:val="0"/>
        <w:overflowPunct w:val="0"/>
        <w:ind w:left="0"/>
        <w:rPr>
          <w:lang w:val="de-DE"/>
        </w:rPr>
      </w:pPr>
      <w:r>
        <w:rPr>
          <w:lang w:val="de-DE"/>
        </w:rPr>
        <w:t>In der Phase-III-Studie von Adalimumab bei Kindern und Jugendlichen mit Plaque-Psoriasis kam es zu keinen ALT-Erhöhungen ≥ 3 x ULN.</w:t>
      </w:r>
    </w:p>
    <w:p w14:paraId="1CBE5C8B" w14:textId="77777777" w:rsidR="00FE291A" w:rsidRDefault="00FE291A">
      <w:pPr>
        <w:widowControl/>
        <w:kinsoku w:val="0"/>
        <w:overflowPunct w:val="0"/>
        <w:rPr>
          <w:sz w:val="22"/>
          <w:szCs w:val="22"/>
          <w:lang w:val="de-DE"/>
        </w:rPr>
      </w:pPr>
    </w:p>
    <w:p w14:paraId="4DF10ECC" w14:textId="77777777" w:rsidR="00FE291A" w:rsidRDefault="00C8738F">
      <w:pPr>
        <w:pStyle w:val="BodyText"/>
        <w:widowControl/>
        <w:kinsoku w:val="0"/>
        <w:overflowPunct w:val="0"/>
        <w:ind w:left="0"/>
        <w:rPr>
          <w:lang w:val="de-DE"/>
        </w:rPr>
      </w:pPr>
      <w:r>
        <w:rPr>
          <w:lang w:val="de-DE"/>
        </w:rPr>
        <w:t>In kontrollierten Studien zu Adalimumab (Anfangsdosen von 160 mg in Woche 0 und 80 mg in Woche 2, gefolgt von 40 mg wöchentlich ab Woche 4) bei Patienten mit Hidradenitis suppurativa ergaben sich in einem Überwachungszeitraum von 12 bis 16 Wochen ALT-Erhöhungen um ≥ 3 x ULN bei 0,3 % der mit Adalimumab behandelten Patienten und bei 0,6 % der Patienten der Kontrollgruppe.</w:t>
      </w:r>
    </w:p>
    <w:p w14:paraId="33D17AD5" w14:textId="77777777" w:rsidR="00FE291A" w:rsidRDefault="00FE291A">
      <w:pPr>
        <w:widowControl/>
        <w:kinsoku w:val="0"/>
        <w:overflowPunct w:val="0"/>
        <w:rPr>
          <w:sz w:val="22"/>
          <w:szCs w:val="22"/>
          <w:lang w:val="de-DE"/>
        </w:rPr>
      </w:pPr>
    </w:p>
    <w:p w14:paraId="0662053D" w14:textId="77777777" w:rsidR="00FE291A" w:rsidRDefault="00C8738F">
      <w:pPr>
        <w:pStyle w:val="BodyText"/>
        <w:widowControl/>
        <w:kinsoku w:val="0"/>
        <w:overflowPunct w:val="0"/>
        <w:ind w:left="0"/>
        <w:rPr>
          <w:lang w:val="de-DE"/>
        </w:rPr>
      </w:pPr>
      <w:r>
        <w:rPr>
          <w:lang w:val="de-DE"/>
        </w:rPr>
        <w:t>In kontrollierten Studien zu Adalimumab (Anfangsdosen von 80 mg in Woche 0, gefolgt von 40 mg alle zwei Wochen ab Woche 1) bei erwachsenen Patienten mit Uveitis ergaben sich in einem Überwachungszeitraum von bis zu 80 Wochen mit einer Behandlungszeit im Median von 166,5 Tagen bei den mit Adalimumab behandelten Patienten bzw. 105,0 Tagen bei den Patienten der Kontrollgruppe ALT-Erhöhungen um ≥ 3 x ULN bei 2,4 % der mit Adalimumab behandelten Patienten und bei 2,4 % der Kontrollgruppe.</w:t>
      </w:r>
    </w:p>
    <w:p w14:paraId="796FB00D" w14:textId="77777777" w:rsidR="00FE291A" w:rsidRDefault="00FE291A">
      <w:pPr>
        <w:widowControl/>
        <w:kinsoku w:val="0"/>
        <w:overflowPunct w:val="0"/>
        <w:rPr>
          <w:sz w:val="22"/>
          <w:szCs w:val="22"/>
          <w:lang w:val="de-DE"/>
        </w:rPr>
      </w:pPr>
    </w:p>
    <w:p w14:paraId="4CC1DA15" w14:textId="77777777" w:rsidR="00FE291A" w:rsidRDefault="00C8738F">
      <w:pPr>
        <w:pStyle w:val="BodyText"/>
        <w:widowControl/>
        <w:kinsoku w:val="0"/>
        <w:overflowPunct w:val="0"/>
        <w:ind w:left="0"/>
        <w:rPr>
          <w:lang w:val="de-DE"/>
        </w:rPr>
      </w:pPr>
      <w:r>
        <w:rPr>
          <w:lang w:val="de-DE"/>
        </w:rPr>
        <w:t>In der kontrollierten Phase-III-Studie zu Adalimumab bei Kindern und Jugendlichen mit Colitis ulcerosa (N = 93) wurden Wirksamkeit und Sicherheit einer Erhaltungsdosis von 0,6 mg/kg (maximal 40 mg) jede zweite Woche (n = 31) und einer Erhaltungsdosis von 0,6 mg/kg (maximal 40 mg) wöchentlich (n = 32) nach Verabreichung einer körpergewichtsadaptierten Induktionsdosis von 2,4 mg/kg (maximal 160 mg) in Woche 0 und Woche 1 und 1,2 mg/kg (maximal 80 mg) in Woche 2 (n = 63) bzw. 2,4 mg/kg (maximal 160 mg) in Woche 0, Placebo in Woche 1 und 1,2 mg/kg (maximal 80 mg) in Woche 2 (n = 30) untersucht. Es ergaben sich Erhöhungen der ALT-Werte um ≥ 3 x ULN bei 1,1 % (1 von 93) der Patienten.</w:t>
      </w:r>
    </w:p>
    <w:p w14:paraId="43D83F1B" w14:textId="77777777" w:rsidR="00FE291A" w:rsidRDefault="00FE291A">
      <w:pPr>
        <w:pStyle w:val="BodyText"/>
        <w:widowControl/>
        <w:kinsoku w:val="0"/>
        <w:overflowPunct w:val="0"/>
        <w:ind w:left="0"/>
        <w:rPr>
          <w:lang w:val="de-DE"/>
        </w:rPr>
      </w:pPr>
    </w:p>
    <w:p w14:paraId="59F9C2BA" w14:textId="77777777" w:rsidR="00FE291A" w:rsidRDefault="00C8738F">
      <w:pPr>
        <w:pStyle w:val="BodyText"/>
        <w:widowControl/>
        <w:kinsoku w:val="0"/>
        <w:overflowPunct w:val="0"/>
        <w:ind w:left="0"/>
        <w:rPr>
          <w:lang w:val="de-DE"/>
        </w:rPr>
      </w:pPr>
      <w:r>
        <w:rPr>
          <w:lang w:val="de-DE"/>
        </w:rPr>
        <w:t>In den klinischen Studien aller Indikationen waren Patienten mit erhöhter ALT asymptomatisch, und in den meisten Fällen waren die Erhöhungen vorübergehend und gingen bei fortgesetzter Behandlung zurück. Jedoch gab es nach der Markteinführung auch Berichte über Leberversagen sowie über weniger schwere Leberfunktionsstörungen, die zu Leberversagen führen können, wie z. B. Hepatitis, einschließlich Autoimmunhepatitis, bei Patienten, die Adalimumab erhielten.</w:t>
      </w:r>
    </w:p>
    <w:p w14:paraId="5DB04431" w14:textId="77777777" w:rsidR="00FE291A" w:rsidRDefault="00FE291A">
      <w:pPr>
        <w:widowControl/>
        <w:kinsoku w:val="0"/>
        <w:overflowPunct w:val="0"/>
        <w:rPr>
          <w:sz w:val="22"/>
          <w:szCs w:val="22"/>
          <w:lang w:val="de-DE"/>
        </w:rPr>
      </w:pPr>
    </w:p>
    <w:p w14:paraId="4E34F7D9" w14:textId="77777777" w:rsidR="00FE291A" w:rsidRDefault="00C8738F">
      <w:pPr>
        <w:pStyle w:val="BodyText"/>
        <w:keepNext/>
        <w:widowControl/>
        <w:kinsoku w:val="0"/>
        <w:overflowPunct w:val="0"/>
        <w:ind w:left="0"/>
        <w:rPr>
          <w:lang w:val="de-DE"/>
        </w:rPr>
      </w:pPr>
      <w:r>
        <w:rPr>
          <w:u w:val="single"/>
          <w:lang w:val="de-DE"/>
        </w:rPr>
        <w:t>Kombinationstherapie mit Azathioprin/6-Mercaptopurin</w:t>
      </w:r>
    </w:p>
    <w:p w14:paraId="611516D2" w14:textId="77777777" w:rsidR="00FE291A" w:rsidRDefault="00FE291A">
      <w:pPr>
        <w:keepNext/>
        <w:widowControl/>
        <w:kinsoku w:val="0"/>
        <w:overflowPunct w:val="0"/>
        <w:rPr>
          <w:sz w:val="22"/>
          <w:szCs w:val="22"/>
          <w:lang w:val="de-DE"/>
        </w:rPr>
      </w:pPr>
    </w:p>
    <w:p w14:paraId="01197213" w14:textId="77777777" w:rsidR="00FE291A" w:rsidRDefault="00C8738F">
      <w:pPr>
        <w:pStyle w:val="BodyText"/>
        <w:widowControl/>
        <w:kinsoku w:val="0"/>
        <w:overflowPunct w:val="0"/>
        <w:ind w:left="0"/>
        <w:rPr>
          <w:lang w:val="de-DE"/>
        </w:rPr>
      </w:pPr>
      <w:r>
        <w:rPr>
          <w:lang w:val="de-DE"/>
        </w:rPr>
        <w:t>In den Studien mit erwachsenen Morbus-Crohn-Patienten war bei Kombination von Adalimumab mit Azathioprin/6-Mercaptopurin die Inzidenz maligner und schwerwiegender infektiöser Nebenwirkungen im Vergleich zur Adalimumab-Monotherapie höher.</w:t>
      </w:r>
    </w:p>
    <w:p w14:paraId="4839F913" w14:textId="77777777" w:rsidR="00FE291A" w:rsidRDefault="00FE291A">
      <w:pPr>
        <w:widowControl/>
        <w:kinsoku w:val="0"/>
        <w:overflowPunct w:val="0"/>
        <w:rPr>
          <w:sz w:val="22"/>
          <w:szCs w:val="22"/>
          <w:lang w:val="de-DE"/>
        </w:rPr>
      </w:pPr>
    </w:p>
    <w:p w14:paraId="73153441" w14:textId="77777777" w:rsidR="00FE291A" w:rsidRDefault="00C8738F">
      <w:pPr>
        <w:pStyle w:val="BodyText"/>
        <w:keepNext/>
        <w:widowControl/>
        <w:kinsoku w:val="0"/>
        <w:overflowPunct w:val="0"/>
        <w:ind w:left="0"/>
        <w:rPr>
          <w:lang w:val="de-DE"/>
        </w:rPr>
      </w:pPr>
      <w:r>
        <w:rPr>
          <w:u w:val="single"/>
          <w:lang w:val="de-DE"/>
        </w:rPr>
        <w:t>Meldung des Verdachts auf Nebenwirkungen</w:t>
      </w:r>
    </w:p>
    <w:p w14:paraId="0F828B91" w14:textId="77777777" w:rsidR="00FE291A" w:rsidRDefault="00FE291A">
      <w:pPr>
        <w:keepNext/>
        <w:widowControl/>
        <w:kinsoku w:val="0"/>
        <w:overflowPunct w:val="0"/>
        <w:rPr>
          <w:sz w:val="22"/>
          <w:szCs w:val="22"/>
          <w:lang w:val="de-DE"/>
        </w:rPr>
      </w:pPr>
    </w:p>
    <w:p w14:paraId="1E30E729" w14:textId="77777777" w:rsidR="00FE291A" w:rsidRDefault="00C8738F">
      <w:pPr>
        <w:pStyle w:val="BodyText"/>
        <w:widowControl/>
        <w:kinsoku w:val="0"/>
        <w:overflowPunct w:val="0"/>
        <w:ind w:left="0"/>
        <w:rPr>
          <w:color w:val="000000"/>
          <w:lang w:val="de-DE"/>
        </w:rPr>
      </w:pPr>
      <w:r>
        <w:rPr>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Pr>
          <w:highlight w:val="lightGray"/>
          <w:lang w:val="de-DE"/>
        </w:rPr>
        <w:t xml:space="preserve">das in </w:t>
      </w:r>
      <w:r>
        <w:fldChar w:fldCharType="begin"/>
      </w:r>
      <w:r w:rsidRPr="00F076DE">
        <w:rPr>
          <w:lang w:val="de-DE"/>
          <w:rPrChange w:id="8" w:author="Author">
            <w:rPr/>
          </w:rPrChange>
        </w:rPr>
        <w:instrText>HYPERLINK "https://www.ema.europa.eu/en/documents/template-form/qrd-appendix-v-adverse-drug-reaction-reporting-details_en.docx" \h</w:instrText>
      </w:r>
      <w:r>
        <w:fldChar w:fldCharType="separate"/>
      </w:r>
      <w:r>
        <w:rPr>
          <w:rStyle w:val="Hyperlink"/>
          <w:rFonts w:eastAsia="Times New Roman"/>
          <w:color w:val="0000FF"/>
          <w:szCs w:val="20"/>
          <w:highlight w:val="lightGray"/>
          <w:lang w:val="de-DE" w:eastAsia="de-DE" w:bidi="de-DE"/>
        </w:rPr>
        <w:t>Anhang V</w:t>
      </w:r>
      <w:r>
        <w:fldChar w:fldCharType="end"/>
      </w:r>
      <w:r>
        <w:rPr>
          <w:rStyle w:val="Hyperlink"/>
          <w:color w:val="auto"/>
          <w:highlight w:val="lightGray"/>
          <w:u w:val="none"/>
          <w:lang w:val="de-DE"/>
        </w:rPr>
        <w:t xml:space="preserve"> </w:t>
      </w:r>
      <w:r>
        <w:rPr>
          <w:color w:val="000000"/>
          <w:highlight w:val="lightGray"/>
          <w:lang w:val="de-DE"/>
        </w:rPr>
        <w:t>aufgeführte nationale Meldesystem</w:t>
      </w:r>
      <w:r>
        <w:rPr>
          <w:color w:val="000000"/>
          <w:lang w:val="de-DE"/>
        </w:rPr>
        <w:t xml:space="preserve"> anzuzeigen.</w:t>
      </w:r>
    </w:p>
    <w:p w14:paraId="5520CD2F" w14:textId="77777777" w:rsidR="00FE291A" w:rsidRDefault="00FE291A">
      <w:pPr>
        <w:widowControl/>
        <w:kinsoku w:val="0"/>
        <w:overflowPunct w:val="0"/>
        <w:rPr>
          <w:sz w:val="22"/>
          <w:szCs w:val="22"/>
          <w:lang w:val="de-DE"/>
        </w:rPr>
      </w:pPr>
    </w:p>
    <w:p w14:paraId="666C743D" w14:textId="77777777" w:rsidR="00FE291A" w:rsidRDefault="00C8738F">
      <w:pPr>
        <w:pStyle w:val="Heading1"/>
        <w:keepNext/>
        <w:widowControl/>
        <w:tabs>
          <w:tab w:val="left" w:pos="567"/>
        </w:tabs>
        <w:kinsoku w:val="0"/>
        <w:overflowPunct w:val="0"/>
        <w:ind w:left="0"/>
        <w:rPr>
          <w:b w:val="0"/>
          <w:bCs w:val="0"/>
          <w:lang w:val="de-DE"/>
        </w:rPr>
      </w:pPr>
      <w:r>
        <w:rPr>
          <w:lang w:val="de-DE"/>
        </w:rPr>
        <w:t>4.9</w:t>
      </w:r>
      <w:r>
        <w:rPr>
          <w:lang w:val="de-DE"/>
        </w:rPr>
        <w:tab/>
        <w:t>Überdosierung</w:t>
      </w:r>
    </w:p>
    <w:p w14:paraId="69B44523" w14:textId="77777777" w:rsidR="00FE291A" w:rsidRDefault="00FE291A">
      <w:pPr>
        <w:keepNext/>
        <w:widowControl/>
        <w:kinsoku w:val="0"/>
        <w:overflowPunct w:val="0"/>
        <w:rPr>
          <w:sz w:val="22"/>
          <w:szCs w:val="22"/>
          <w:lang w:val="de-DE"/>
        </w:rPr>
      </w:pPr>
    </w:p>
    <w:p w14:paraId="43CD4F05" w14:textId="77777777" w:rsidR="00FE291A" w:rsidRDefault="00C8738F">
      <w:pPr>
        <w:pStyle w:val="BodyText"/>
        <w:widowControl/>
        <w:kinsoku w:val="0"/>
        <w:overflowPunct w:val="0"/>
        <w:ind w:left="0"/>
        <w:rPr>
          <w:lang w:val="de-DE"/>
        </w:rPr>
      </w:pPr>
      <w:r>
        <w:rPr>
          <w:lang w:val="de-DE"/>
        </w:rPr>
        <w:t>Während der klinischen Studien wurde keine dosisbegrenzende Toxizität beobachtet. Die höchste untersuchte Dosierung lag bei intravenösen Mehrfachdosen von 10 mg/kg. Dies ist ungefähr 15-mal höher als die empfohlene Dosis.</w:t>
      </w:r>
    </w:p>
    <w:p w14:paraId="365D3D99" w14:textId="77777777" w:rsidR="00FE291A" w:rsidRDefault="00FE291A">
      <w:pPr>
        <w:keepNext/>
        <w:keepLines/>
        <w:widowControl/>
        <w:kinsoku w:val="0"/>
        <w:overflowPunct w:val="0"/>
        <w:rPr>
          <w:sz w:val="22"/>
          <w:szCs w:val="22"/>
          <w:lang w:val="de-DE"/>
        </w:rPr>
      </w:pPr>
    </w:p>
    <w:p w14:paraId="3210D4B3" w14:textId="77777777" w:rsidR="00FE291A" w:rsidRDefault="00FE291A">
      <w:pPr>
        <w:keepNext/>
        <w:keepLines/>
        <w:widowControl/>
        <w:kinsoku w:val="0"/>
        <w:overflowPunct w:val="0"/>
        <w:rPr>
          <w:sz w:val="22"/>
          <w:szCs w:val="22"/>
          <w:lang w:val="de-DE"/>
        </w:rPr>
      </w:pPr>
    </w:p>
    <w:p w14:paraId="4ABCA0C2" w14:textId="77777777" w:rsidR="00FE291A" w:rsidRDefault="00C8738F">
      <w:pPr>
        <w:pStyle w:val="Heading1"/>
        <w:keepNext/>
        <w:widowControl/>
        <w:numPr>
          <w:ilvl w:val="0"/>
          <w:numId w:val="7"/>
        </w:numPr>
        <w:tabs>
          <w:tab w:val="left" w:pos="567"/>
        </w:tabs>
        <w:kinsoku w:val="0"/>
        <w:overflowPunct w:val="0"/>
        <w:ind w:left="0" w:firstLine="0"/>
        <w:rPr>
          <w:b w:val="0"/>
          <w:bCs w:val="0"/>
          <w:lang w:val="de-DE"/>
        </w:rPr>
      </w:pPr>
      <w:r>
        <w:rPr>
          <w:lang w:val="de-DE"/>
        </w:rPr>
        <w:t>PHARMAKOLOGISCHE EIGENSCHAFTEN</w:t>
      </w:r>
    </w:p>
    <w:p w14:paraId="41700220" w14:textId="77777777" w:rsidR="00FE291A" w:rsidRDefault="00FE291A">
      <w:pPr>
        <w:keepNext/>
        <w:widowControl/>
        <w:kinsoku w:val="0"/>
        <w:overflowPunct w:val="0"/>
        <w:rPr>
          <w:sz w:val="22"/>
          <w:szCs w:val="26"/>
          <w:lang w:val="de-DE"/>
        </w:rPr>
      </w:pPr>
    </w:p>
    <w:p w14:paraId="010E62B1" w14:textId="77777777" w:rsidR="00FE291A" w:rsidRDefault="00C8738F">
      <w:pPr>
        <w:keepNext/>
        <w:widowControl/>
        <w:numPr>
          <w:ilvl w:val="1"/>
          <w:numId w:val="7"/>
        </w:numPr>
        <w:tabs>
          <w:tab w:val="left" w:pos="567"/>
        </w:tabs>
        <w:kinsoku w:val="0"/>
        <w:overflowPunct w:val="0"/>
        <w:ind w:firstLine="0"/>
        <w:rPr>
          <w:sz w:val="22"/>
          <w:szCs w:val="22"/>
          <w:lang w:val="de-DE"/>
        </w:rPr>
      </w:pPr>
      <w:r>
        <w:rPr>
          <w:b/>
          <w:bCs/>
          <w:sz w:val="22"/>
          <w:szCs w:val="22"/>
          <w:lang w:val="de-DE"/>
        </w:rPr>
        <w:t>Pharmakodynamische Eigenschaften</w:t>
      </w:r>
    </w:p>
    <w:p w14:paraId="1FECC458" w14:textId="77777777" w:rsidR="00FE291A" w:rsidRDefault="00FE291A">
      <w:pPr>
        <w:keepNext/>
        <w:widowControl/>
        <w:kinsoku w:val="0"/>
        <w:overflowPunct w:val="0"/>
        <w:rPr>
          <w:sz w:val="22"/>
          <w:szCs w:val="22"/>
          <w:lang w:val="de-DE"/>
        </w:rPr>
      </w:pPr>
    </w:p>
    <w:p w14:paraId="5935259B" w14:textId="77777777" w:rsidR="00FE291A" w:rsidRDefault="00C8738F">
      <w:pPr>
        <w:pStyle w:val="BodyText"/>
        <w:widowControl/>
        <w:kinsoku w:val="0"/>
        <w:overflowPunct w:val="0"/>
        <w:ind w:left="0"/>
        <w:rPr>
          <w:lang w:val="de-DE"/>
        </w:rPr>
      </w:pPr>
      <w:r>
        <w:rPr>
          <w:lang w:val="de-DE"/>
        </w:rPr>
        <w:t>Pharmakotherapeutische Gruppe: Immunsuppressiva, Tumornekrosefaktor-alpha(TNF-alpha)-Inhibitoren. ATC-Code: L04AB04</w:t>
      </w:r>
    </w:p>
    <w:p w14:paraId="66F09525" w14:textId="77777777" w:rsidR="00FE291A" w:rsidRDefault="00FE291A">
      <w:pPr>
        <w:pStyle w:val="BodyText"/>
        <w:widowControl/>
        <w:kinsoku w:val="0"/>
        <w:overflowPunct w:val="0"/>
        <w:ind w:left="0"/>
        <w:rPr>
          <w:lang w:val="de-DE"/>
        </w:rPr>
      </w:pPr>
    </w:p>
    <w:p w14:paraId="369688E7" w14:textId="77777777" w:rsidR="00FE291A" w:rsidRDefault="00C8738F">
      <w:pPr>
        <w:pStyle w:val="BodyText"/>
        <w:widowControl/>
        <w:kinsoku w:val="0"/>
        <w:overflowPunct w:val="0"/>
        <w:ind w:left="0"/>
        <w:rPr>
          <w:lang w:val="de-DE"/>
        </w:rPr>
      </w:pPr>
      <w:r>
        <w:rPr>
          <w:lang w:val="de-DE"/>
        </w:rPr>
        <w:t xml:space="preserve">AMGEVITA ist ein biotechnologisch hergestelltes Arzneimittel, das im Wesentlichen einem bereits zugelassenen Arzneimittel gleicht. Ausführliche Informationen sind auf den Internetseiten der Europäischen Arzneimittel-Agentur </w:t>
      </w:r>
      <w:r>
        <w:fldChar w:fldCharType="begin"/>
      </w:r>
      <w:r w:rsidRPr="00F076DE">
        <w:rPr>
          <w:lang w:val="de-DE"/>
          <w:rPrChange w:id="9" w:author="Author">
            <w:rPr/>
          </w:rPrChange>
        </w:rPr>
        <w:instrText>HYPERLINK "https://www.ema.europa.eu"</w:instrText>
      </w:r>
      <w:r>
        <w:fldChar w:fldCharType="separate"/>
      </w:r>
      <w:r>
        <w:rPr>
          <w:rStyle w:val="Hyperlink"/>
          <w:color w:val="0000FF"/>
          <w:lang w:val="de-DE" w:eastAsia="en-US"/>
        </w:rPr>
        <w:t>https://www.ema.europa.eu</w:t>
      </w:r>
      <w:r>
        <w:fldChar w:fldCharType="end"/>
      </w:r>
      <w:r>
        <w:rPr>
          <w:rStyle w:val="Hyperlink"/>
          <w:color w:val="auto"/>
          <w:u w:val="none"/>
          <w:lang w:val="de-DE"/>
        </w:rPr>
        <w:t xml:space="preserve"> </w:t>
      </w:r>
      <w:r>
        <w:rPr>
          <w:lang w:val="de-DE"/>
        </w:rPr>
        <w:t>verfügbar.</w:t>
      </w:r>
    </w:p>
    <w:p w14:paraId="480EE54D" w14:textId="77777777" w:rsidR="00FE291A" w:rsidRDefault="00FE291A">
      <w:pPr>
        <w:widowControl/>
        <w:kinsoku w:val="0"/>
        <w:overflowPunct w:val="0"/>
        <w:rPr>
          <w:sz w:val="22"/>
          <w:szCs w:val="22"/>
          <w:lang w:val="de-DE"/>
        </w:rPr>
      </w:pPr>
    </w:p>
    <w:p w14:paraId="7E7F9D93" w14:textId="77777777" w:rsidR="00FE291A" w:rsidRDefault="00C8738F">
      <w:pPr>
        <w:pStyle w:val="BodyText"/>
        <w:keepNext/>
        <w:widowControl/>
        <w:kinsoku w:val="0"/>
        <w:overflowPunct w:val="0"/>
        <w:ind w:left="0"/>
        <w:rPr>
          <w:lang w:val="de-DE"/>
        </w:rPr>
      </w:pPr>
      <w:r>
        <w:rPr>
          <w:u w:val="single"/>
          <w:lang w:val="de-DE"/>
        </w:rPr>
        <w:t>Wirkmechanismus</w:t>
      </w:r>
    </w:p>
    <w:p w14:paraId="00CD121B" w14:textId="77777777" w:rsidR="00FE291A" w:rsidRDefault="00FE291A">
      <w:pPr>
        <w:keepNext/>
        <w:widowControl/>
        <w:kinsoku w:val="0"/>
        <w:overflowPunct w:val="0"/>
        <w:rPr>
          <w:sz w:val="22"/>
          <w:szCs w:val="22"/>
          <w:lang w:val="de-DE"/>
        </w:rPr>
      </w:pPr>
    </w:p>
    <w:p w14:paraId="563C5978" w14:textId="77777777" w:rsidR="00FE291A" w:rsidRDefault="00C8738F">
      <w:pPr>
        <w:pStyle w:val="BodyText"/>
        <w:widowControl/>
        <w:kinsoku w:val="0"/>
        <w:overflowPunct w:val="0"/>
        <w:ind w:left="0"/>
        <w:rPr>
          <w:lang w:val="de-DE"/>
        </w:rPr>
      </w:pPr>
      <w:r>
        <w:rPr>
          <w:lang w:val="de-DE"/>
        </w:rPr>
        <w:t>Adalimumab bindet spezifisch an TNF und neutralisiert dessen biologische Funktion, indem es die Interaktion mit den zellständigen p55- und p75-TNF-Rezeptoren blockiert.</w:t>
      </w:r>
    </w:p>
    <w:p w14:paraId="64412B42" w14:textId="77777777" w:rsidR="00FE291A" w:rsidRDefault="00FE291A">
      <w:pPr>
        <w:widowControl/>
        <w:kinsoku w:val="0"/>
        <w:overflowPunct w:val="0"/>
        <w:rPr>
          <w:sz w:val="22"/>
          <w:szCs w:val="22"/>
          <w:lang w:val="de-DE"/>
        </w:rPr>
      </w:pPr>
    </w:p>
    <w:p w14:paraId="3325600A" w14:textId="77777777" w:rsidR="00FE291A" w:rsidRDefault="00C8738F">
      <w:pPr>
        <w:pStyle w:val="BodyText"/>
        <w:widowControl/>
        <w:kinsoku w:val="0"/>
        <w:overflowPunct w:val="0"/>
        <w:ind w:left="0"/>
        <w:rPr>
          <w:lang w:val="de-DE"/>
        </w:rPr>
      </w:pPr>
      <w:r>
        <w:rPr>
          <w:lang w:val="de-DE"/>
        </w:rPr>
        <w:t>Adalimumab beeinflusst weiterhin biologische Reaktionen, die durch TNF ausgelöst oder gesteuert werden, einschließlich der Veränderungen der Konzentrationen von für die Leukozytenmigration verantwortlichen Adhäsionsmolekülen (ELAM-1, VCAM-1 und ICAM-1 mit einem IC</w:t>
      </w:r>
      <w:r>
        <w:rPr>
          <w:vertAlign w:val="subscript"/>
          <w:lang w:val="de-DE"/>
        </w:rPr>
        <w:t>50</w:t>
      </w:r>
      <w:r>
        <w:rPr>
          <w:position w:val="-3"/>
          <w:lang w:val="de-DE"/>
        </w:rPr>
        <w:t xml:space="preserve"> </w:t>
      </w:r>
      <w:r>
        <w:rPr>
          <w:lang w:val="de-DE"/>
        </w:rPr>
        <w:t>von 0,1 </w:t>
      </w:r>
      <w:r>
        <w:rPr>
          <w:lang w:val="de-DE"/>
        </w:rPr>
        <w:noBreakHyphen/>
        <w:t> 0,2 nM).</w:t>
      </w:r>
    </w:p>
    <w:p w14:paraId="3BE22A0A" w14:textId="77777777" w:rsidR="00FE291A" w:rsidRDefault="00FE291A">
      <w:pPr>
        <w:widowControl/>
        <w:kinsoku w:val="0"/>
        <w:overflowPunct w:val="0"/>
        <w:rPr>
          <w:sz w:val="22"/>
          <w:szCs w:val="22"/>
          <w:lang w:val="de-DE"/>
        </w:rPr>
      </w:pPr>
    </w:p>
    <w:p w14:paraId="6E738344" w14:textId="77777777" w:rsidR="00FE291A" w:rsidRDefault="00C8738F">
      <w:pPr>
        <w:pStyle w:val="BodyText"/>
        <w:keepNext/>
        <w:widowControl/>
        <w:kinsoku w:val="0"/>
        <w:overflowPunct w:val="0"/>
        <w:ind w:left="0"/>
        <w:rPr>
          <w:lang w:val="de-DE"/>
        </w:rPr>
      </w:pPr>
      <w:r>
        <w:rPr>
          <w:u w:val="single"/>
          <w:lang w:val="de-DE"/>
        </w:rPr>
        <w:t>Pharmakodynamische Wirkungen</w:t>
      </w:r>
    </w:p>
    <w:p w14:paraId="607FCC66" w14:textId="77777777" w:rsidR="00FE291A" w:rsidRDefault="00FE291A">
      <w:pPr>
        <w:keepNext/>
        <w:widowControl/>
        <w:kinsoku w:val="0"/>
        <w:overflowPunct w:val="0"/>
        <w:rPr>
          <w:sz w:val="22"/>
          <w:szCs w:val="22"/>
          <w:lang w:val="de-DE"/>
        </w:rPr>
      </w:pPr>
    </w:p>
    <w:p w14:paraId="21D15945" w14:textId="77777777" w:rsidR="00FE291A" w:rsidRDefault="00C8738F">
      <w:pPr>
        <w:pStyle w:val="BodyText"/>
        <w:widowControl/>
        <w:kinsoku w:val="0"/>
        <w:overflowPunct w:val="0"/>
        <w:ind w:left="0"/>
        <w:rPr>
          <w:lang w:val="de-DE"/>
        </w:rPr>
      </w:pPr>
      <w:r>
        <w:rPr>
          <w:lang w:val="de-DE"/>
        </w:rPr>
        <w:t>Nach Behandlung mit Adalimumab wurde bei Patienten mit rheumatoider Arthritis eine im Vergleich zu den Ausgangswerten rasche Konzentrationsabnahme der Akute-Phase-Entzündungsparameter (C</w:t>
      </w:r>
      <w:r>
        <w:rPr>
          <w:lang w:val="de-DE"/>
        </w:rPr>
        <w:noBreakHyphen/>
        <w:t>reaktives Protein (CRP) und Blutsenkungsgeschwindigkeit (BSG)) und der Serumzytokine (IL-6) beobachtet. Die Serumspiegel von Matrixmetalloproteinasen (MMP-1 und MMP-3), die die für die Knorpelzerstörung verantwortliche Gewebsumwandlung hervorrufen, waren nach der Verabreichung von Adalimumab ebenfalls vermindert. Bei mit Adalimumab behandelten Patienten besserte sich im Allgemeinen die mit einer chronischen Entzündung einhergehende Veränderung der Blutwerte.</w:t>
      </w:r>
    </w:p>
    <w:p w14:paraId="775A7B56" w14:textId="77777777" w:rsidR="00FE291A" w:rsidRDefault="00FE291A">
      <w:pPr>
        <w:widowControl/>
        <w:kinsoku w:val="0"/>
        <w:overflowPunct w:val="0"/>
        <w:rPr>
          <w:sz w:val="22"/>
          <w:szCs w:val="22"/>
          <w:lang w:val="de-DE"/>
        </w:rPr>
      </w:pPr>
    </w:p>
    <w:p w14:paraId="653A9930" w14:textId="77777777" w:rsidR="00FE291A" w:rsidRDefault="00C8738F">
      <w:pPr>
        <w:pStyle w:val="BodyText"/>
        <w:widowControl/>
        <w:kinsoku w:val="0"/>
        <w:overflowPunct w:val="0"/>
        <w:ind w:left="0"/>
        <w:rPr>
          <w:lang w:val="de-DE"/>
        </w:rPr>
      </w:pPr>
      <w:r>
        <w:rPr>
          <w:lang w:val="de-DE"/>
        </w:rPr>
        <w:t>Ein schneller Rückgang der CRP-Werte wurde auch bei Patienten mit polyartikulärer juveniler idiopathischer Arthritis, Morbus Crohn, Colitis ulcerosa und Hidradenitis suppurativa nach Behandlung mit Adalimumab beobachtet. Bei Morbus-Crohn-Patienten wurde die Zahl der Zellen, die Entzündungsmarker im Kolon exprimieren, reduziert (einschließlich einer signifikanten Reduzierung der TNF-alpha-Expression). Endoskopiestudien an intestinaler Mukosa zeigten, dass die Mukosa bei Patienten, die mit Adalimumab behandelt wurden, abheilte.</w:t>
      </w:r>
    </w:p>
    <w:p w14:paraId="1413A586" w14:textId="77777777" w:rsidR="00FE291A" w:rsidRDefault="00FE291A">
      <w:pPr>
        <w:widowControl/>
        <w:kinsoku w:val="0"/>
        <w:overflowPunct w:val="0"/>
        <w:rPr>
          <w:sz w:val="22"/>
          <w:szCs w:val="22"/>
          <w:lang w:val="de-DE"/>
        </w:rPr>
      </w:pPr>
    </w:p>
    <w:p w14:paraId="50C1CC69" w14:textId="77777777" w:rsidR="00FE291A" w:rsidRDefault="00C8738F">
      <w:pPr>
        <w:pStyle w:val="BodyText"/>
        <w:keepNext/>
        <w:widowControl/>
        <w:kinsoku w:val="0"/>
        <w:overflowPunct w:val="0"/>
        <w:ind w:left="0"/>
        <w:rPr>
          <w:lang w:val="de-DE"/>
        </w:rPr>
      </w:pPr>
      <w:r>
        <w:rPr>
          <w:u w:val="single"/>
          <w:lang w:val="de-DE"/>
        </w:rPr>
        <w:t>Klinische Wirksamkeit und Sicherheit</w:t>
      </w:r>
    </w:p>
    <w:p w14:paraId="35CBC3F8" w14:textId="77777777" w:rsidR="00FE291A" w:rsidRDefault="00FE291A">
      <w:pPr>
        <w:keepNext/>
        <w:widowControl/>
        <w:kinsoku w:val="0"/>
        <w:overflowPunct w:val="0"/>
        <w:rPr>
          <w:sz w:val="22"/>
          <w:szCs w:val="22"/>
          <w:lang w:val="de-DE"/>
        </w:rPr>
      </w:pPr>
    </w:p>
    <w:p w14:paraId="6529C32E" w14:textId="77777777" w:rsidR="00FE291A" w:rsidRDefault="00C8738F">
      <w:pPr>
        <w:keepNext/>
        <w:widowControl/>
        <w:kinsoku w:val="0"/>
        <w:overflowPunct w:val="0"/>
        <w:rPr>
          <w:sz w:val="22"/>
          <w:szCs w:val="22"/>
          <w:lang w:val="de-DE"/>
        </w:rPr>
      </w:pPr>
      <w:r>
        <w:rPr>
          <w:i/>
          <w:iCs/>
          <w:sz w:val="22"/>
          <w:szCs w:val="22"/>
          <w:lang w:val="de-DE"/>
        </w:rPr>
        <w:t>Rheumatoide Arthritis</w:t>
      </w:r>
    </w:p>
    <w:p w14:paraId="0E319D7F" w14:textId="77777777" w:rsidR="00FE291A" w:rsidRDefault="00FE291A">
      <w:pPr>
        <w:keepNext/>
        <w:widowControl/>
        <w:kinsoku w:val="0"/>
        <w:overflowPunct w:val="0"/>
        <w:rPr>
          <w:sz w:val="22"/>
          <w:szCs w:val="22"/>
          <w:lang w:val="de-DE"/>
        </w:rPr>
      </w:pPr>
    </w:p>
    <w:p w14:paraId="2073C630" w14:textId="77777777" w:rsidR="00FE291A" w:rsidRDefault="00C8738F">
      <w:pPr>
        <w:pStyle w:val="BodyText"/>
        <w:widowControl/>
        <w:kinsoku w:val="0"/>
        <w:overflowPunct w:val="0"/>
        <w:ind w:left="0"/>
        <w:rPr>
          <w:lang w:val="de-DE"/>
        </w:rPr>
      </w:pPr>
      <w:r>
        <w:rPr>
          <w:lang w:val="de-DE"/>
        </w:rPr>
        <w:t>Im Rahmen aller klinischen Studien bei rheumatoider Arthritis wurde Adalimumab bei mehr als 3 000 Patienten untersucht. Die Wirksamkeit und Sicherheit von Adalimumab wurden in fünf randomisierten, doppelblinden und gut kontrollierten Studien untersucht. Einige Patienten wurden über einen Zeitraum von bis zu 120 Monaten behandelt.</w:t>
      </w:r>
    </w:p>
    <w:p w14:paraId="1486E9FE" w14:textId="77777777" w:rsidR="00FE291A" w:rsidRDefault="00FE291A">
      <w:pPr>
        <w:widowControl/>
        <w:kinsoku w:val="0"/>
        <w:overflowPunct w:val="0"/>
        <w:rPr>
          <w:sz w:val="22"/>
          <w:szCs w:val="22"/>
          <w:lang w:val="de-DE"/>
        </w:rPr>
      </w:pPr>
    </w:p>
    <w:p w14:paraId="16CB84DA" w14:textId="77777777" w:rsidR="00FE291A" w:rsidRDefault="00C8738F">
      <w:pPr>
        <w:pStyle w:val="BodyText"/>
        <w:widowControl/>
        <w:kinsoku w:val="0"/>
        <w:overflowPunct w:val="0"/>
        <w:ind w:left="0"/>
        <w:rPr>
          <w:lang w:val="de-DE"/>
        </w:rPr>
      </w:pPr>
      <w:r>
        <w:rPr>
          <w:lang w:val="de-DE"/>
        </w:rPr>
        <w:t>In der RA-Studie I wurden 271 Patienten mit mäßiger bis schwerer, aktiver rheumatoider Arthritis untersucht. Die Patienten waren ≥ 18 Jahre alt, die Behandlung mit mindestens einem krankheitsmodifizierenden Antirheumatikum war fehlgeschlagen, Methotrexat in Dosen von 12,5 bis 25 mg (10 mg bei Methotrexat-Intoleranz) pro Woche zeigte eine unzureichende Wirkung, und die Methotrexat-Dosis lag gleichbleibend bei 10 bis 25 mg pro Woche. Während eines Zeitraums von 24 Wochen wurden jede zweite Woche Dosen von 20, 40 oder 80 mg Adalimumab oder Placebo verabreicht.</w:t>
      </w:r>
    </w:p>
    <w:p w14:paraId="18B44EED" w14:textId="77777777" w:rsidR="00FE291A" w:rsidRDefault="00FE291A">
      <w:pPr>
        <w:widowControl/>
        <w:kinsoku w:val="0"/>
        <w:overflowPunct w:val="0"/>
        <w:rPr>
          <w:sz w:val="22"/>
          <w:szCs w:val="22"/>
          <w:lang w:val="de-DE"/>
        </w:rPr>
      </w:pPr>
    </w:p>
    <w:p w14:paraId="5844A89F" w14:textId="77777777" w:rsidR="00FE291A" w:rsidRDefault="00C8738F">
      <w:pPr>
        <w:pStyle w:val="BodyText"/>
        <w:widowControl/>
        <w:kinsoku w:val="0"/>
        <w:overflowPunct w:val="0"/>
        <w:ind w:left="0"/>
        <w:rPr>
          <w:lang w:val="de-DE"/>
        </w:rPr>
      </w:pPr>
      <w:r>
        <w:rPr>
          <w:lang w:val="de-DE"/>
        </w:rPr>
        <w:t>An der RA-Studie II nahmen 544 Patienten mit mäßiger bis schwerer, aktiver rheumatoider Arthritis teil. Die Patienten waren ≥ 18 Jahre alt, und die Behandlung mit mindestens einem krankheitsmodifizierenden Antirheumatikum war fehlgeschlagen. Adalimumab wurde über 26 Wochen als subkutane Injektion in Dosen von 20 mg oder 40 mg jede zweite Woche mit Placeboinjektion in den dazwischen liegenden Wochen oder in Dosen von 20 mg oder 40 mg wöchentlich verabreicht; Placebo wurde während desselben Zeitraums wöchentlich verabreicht. Andere krankheitsmodifizierende Antirheumatika waren nicht erlaubt.</w:t>
      </w:r>
    </w:p>
    <w:p w14:paraId="5D05C363" w14:textId="77777777" w:rsidR="00FE291A" w:rsidRDefault="00FE291A">
      <w:pPr>
        <w:widowControl/>
        <w:kinsoku w:val="0"/>
        <w:overflowPunct w:val="0"/>
        <w:rPr>
          <w:sz w:val="22"/>
          <w:szCs w:val="22"/>
          <w:lang w:val="de-DE"/>
        </w:rPr>
      </w:pPr>
    </w:p>
    <w:p w14:paraId="41258ED2" w14:textId="77777777" w:rsidR="00FE291A" w:rsidRDefault="00C8738F">
      <w:pPr>
        <w:pStyle w:val="BodyText"/>
        <w:widowControl/>
        <w:kinsoku w:val="0"/>
        <w:overflowPunct w:val="0"/>
        <w:ind w:left="0"/>
        <w:rPr>
          <w:lang w:val="de-DE"/>
        </w:rPr>
      </w:pPr>
      <w:r>
        <w:rPr>
          <w:lang w:val="de-DE"/>
        </w:rPr>
        <w:t>Die RA-Studie III wurde bei 619 Patienten mit mäßiger bis schwerer, aktiver rheumatoider Arthritis durchgeführt, die ≥ 18 Jahre alt waren und die ein unzureichendes Ansprechen auf Methotrexat in Dosen von 12,5 bis 25 mg pro Woche oder eine Unverträglichkeit gegenüber 10 mg Methotrexat pro Woche aufwiesen. Es gab in dieser Studie drei Behandlungsgruppen. Die erste Gruppe erhielt über einen Zeitraum von 52 Wochen wöchentlich eine Placebo-Injektion. Die zweite Gruppe wurde 52 Wochen lang mit wöchentlich 20 mg Adalimumab behandelt. Die dritte Gruppe erhielt jede zweite Woche 40 mg Adalimumab mit Placeboinjektionen in den dazwischen liegenden Wochen. Nach Abschluss der ersten 52 Wochen wurden 457 Patienten in eine offene Fortsetzungsphase überführt und erhielten bis zu 10 Jahre lang jede zweite Woche 40 mg Adalimumab/MTX.</w:t>
      </w:r>
    </w:p>
    <w:p w14:paraId="58E4F0AB" w14:textId="77777777" w:rsidR="00FE291A" w:rsidRDefault="00FE291A">
      <w:pPr>
        <w:widowControl/>
        <w:kinsoku w:val="0"/>
        <w:overflowPunct w:val="0"/>
        <w:rPr>
          <w:sz w:val="22"/>
          <w:szCs w:val="22"/>
          <w:lang w:val="de-DE"/>
        </w:rPr>
      </w:pPr>
    </w:p>
    <w:p w14:paraId="61F1BCEA" w14:textId="77777777" w:rsidR="00FE291A" w:rsidRDefault="00C8738F">
      <w:pPr>
        <w:pStyle w:val="BodyText"/>
        <w:widowControl/>
        <w:kinsoku w:val="0"/>
        <w:overflowPunct w:val="0"/>
        <w:ind w:left="0"/>
        <w:rPr>
          <w:lang w:val="de-DE"/>
        </w:rPr>
      </w:pPr>
      <w:r>
        <w:rPr>
          <w:lang w:val="de-DE"/>
        </w:rPr>
        <w:t>In der RA-Studie IV wurde die Sicherheit bei 636 Patienten mit mäßiger bis schwerer aktiver rheumatoider Arthritis untersucht. Die Patienten waren ≥ 18 Jahre alt und wiesen keine vorherige Therapie mit krankheitsmodifizierenden Antirheumatika auf oder durften ihre bestehende antirheumatische Therapie beibehalten, vorausgesetzt, die Therapie war seit mindestens 28 Tagen unverändert. Diese Therapien schließen Methotrexat, Leflunomid, Hydroxychloroquin, Sulfasalazin und/oder Goldsalze ein. Nach Randomisierung erhielten die Patienten über einen Zeitraum von 24 Wochen jede zweite Woche 40 mg Adalimumab oder Placebo.</w:t>
      </w:r>
    </w:p>
    <w:p w14:paraId="11E95353" w14:textId="77777777" w:rsidR="00FE291A" w:rsidRDefault="00FE291A">
      <w:pPr>
        <w:widowControl/>
        <w:kinsoku w:val="0"/>
        <w:overflowPunct w:val="0"/>
        <w:rPr>
          <w:sz w:val="22"/>
          <w:szCs w:val="22"/>
          <w:lang w:val="de-DE"/>
        </w:rPr>
      </w:pPr>
    </w:p>
    <w:p w14:paraId="3F2E435C" w14:textId="77777777" w:rsidR="00FE291A" w:rsidRDefault="00C8738F">
      <w:pPr>
        <w:pStyle w:val="BodyText"/>
        <w:widowControl/>
        <w:kinsoku w:val="0"/>
        <w:overflowPunct w:val="0"/>
        <w:ind w:left="0"/>
        <w:rPr>
          <w:lang w:val="de-DE"/>
        </w:rPr>
      </w:pPr>
      <w:r>
        <w:rPr>
          <w:lang w:val="de-DE"/>
        </w:rPr>
        <w:t>In die RA-Studie V wurden 799 erwachsene Methotrexat-naive Patienten mit mäßiger bis schwerer aktiver früher rheumatoider Arthritis (mittlere Erkrankungsdauer weniger als 9 Monate) eingeschlossen. Diese Studie untersuchte die Wirksamkeit von Adalimumab 40 mg jede zweite Woche in Kombination mit Methotrexat, von Adalimumab 40 mg jede zweite Woche als Monotherapie und von Methotrexat als Monotherapie im Hinblick auf die Verringerung der klinischen Anzeichen und Symptome sowie des Fortschreitens der Gelenkschädigung bei rheumatoider Arthritis über einen Zeitraum von 104 Wochen. Nach Abschluss der ersten 104 Wochen wurden 497 Patienten in eine bis zu 10-jährige offene Fortsetzungsphase überführt, in der sie alle zwei Wochen 40 mg Adalimumab erhielten.</w:t>
      </w:r>
    </w:p>
    <w:p w14:paraId="6CDB00B4" w14:textId="77777777" w:rsidR="00FE291A" w:rsidRDefault="00FE291A">
      <w:pPr>
        <w:widowControl/>
        <w:kinsoku w:val="0"/>
        <w:overflowPunct w:val="0"/>
        <w:rPr>
          <w:sz w:val="22"/>
          <w:szCs w:val="22"/>
          <w:lang w:val="de-DE"/>
        </w:rPr>
      </w:pPr>
    </w:p>
    <w:p w14:paraId="28B6E2E4" w14:textId="77777777" w:rsidR="00FE291A" w:rsidRDefault="00C8738F">
      <w:pPr>
        <w:pStyle w:val="BodyText"/>
        <w:widowControl/>
        <w:kinsoku w:val="0"/>
        <w:overflowPunct w:val="0"/>
        <w:ind w:left="0"/>
        <w:rPr>
          <w:lang w:val="de-DE"/>
        </w:rPr>
      </w:pPr>
      <w:r>
        <w:rPr>
          <w:lang w:val="de-DE"/>
        </w:rPr>
        <w:t>Der primäre Endpunkt der RA-Studien I, II und III und der sekundäre Endpunkt der RA-Studie IV war der prozentuale Anteil derjenigen Patienten, die nach 24 bzw. 26 Wochen die ACR-20-Ansprechraten erreichten. Der primäre Endpunkt in der RA-Studie V war der prozentuale Anteil derjenigen Patienten, die nach 52 Wochen ein ACR-50-Ansprechen erreichten. Ein weiterer primärer Endpunkt in Woche 52 in den RA</w:t>
      </w:r>
      <w:r>
        <w:rPr>
          <w:lang w:val="de-DE"/>
        </w:rPr>
        <w:noBreakHyphen/>
        <w:t xml:space="preserve">Studien III und V war die Verzögerung des Fortschreitens der Krankheit (ermittelt durch Röntgenergebnisse). In der RA-Studie III wurde darüber hinaus die Veränderung der Lebensqualität als primärer Endpunkt erfasst. </w:t>
      </w:r>
    </w:p>
    <w:p w14:paraId="0B2B1514" w14:textId="77777777" w:rsidR="00FE291A" w:rsidRDefault="00FE291A">
      <w:pPr>
        <w:widowControl/>
        <w:kinsoku w:val="0"/>
        <w:overflowPunct w:val="0"/>
        <w:rPr>
          <w:sz w:val="22"/>
          <w:szCs w:val="22"/>
          <w:lang w:val="de-DE"/>
        </w:rPr>
      </w:pPr>
    </w:p>
    <w:p w14:paraId="0ED4685A" w14:textId="77777777" w:rsidR="00FE291A" w:rsidRDefault="00C8738F">
      <w:pPr>
        <w:keepNext/>
        <w:widowControl/>
        <w:kinsoku w:val="0"/>
        <w:overflowPunct w:val="0"/>
        <w:rPr>
          <w:sz w:val="22"/>
          <w:szCs w:val="22"/>
          <w:u w:val="single"/>
          <w:lang w:val="de-DE"/>
        </w:rPr>
      </w:pPr>
      <w:r>
        <w:rPr>
          <w:i/>
          <w:iCs/>
          <w:sz w:val="22"/>
          <w:szCs w:val="22"/>
          <w:u w:val="single"/>
          <w:lang w:val="de-DE"/>
        </w:rPr>
        <w:t>ACR-Ansprechraten</w:t>
      </w:r>
    </w:p>
    <w:p w14:paraId="05B3EE22" w14:textId="77777777" w:rsidR="00FE291A" w:rsidRDefault="00FE291A">
      <w:pPr>
        <w:keepNext/>
        <w:widowControl/>
        <w:kinsoku w:val="0"/>
        <w:overflowPunct w:val="0"/>
        <w:rPr>
          <w:sz w:val="22"/>
          <w:szCs w:val="22"/>
          <w:lang w:val="de-DE"/>
        </w:rPr>
      </w:pPr>
    </w:p>
    <w:p w14:paraId="62C352FC" w14:textId="77777777" w:rsidR="00FE291A" w:rsidRDefault="00C8738F">
      <w:pPr>
        <w:pStyle w:val="BodyText"/>
        <w:widowControl/>
        <w:kinsoku w:val="0"/>
        <w:overflowPunct w:val="0"/>
        <w:ind w:left="0"/>
        <w:rPr>
          <w:lang w:val="de-DE"/>
        </w:rPr>
      </w:pPr>
      <w:r>
        <w:rPr>
          <w:lang w:val="de-DE"/>
        </w:rPr>
        <w:t>Der prozentuale Anteil der mit Adalimumab behandelten Patienten, die ACR-20-, ACR-50- oder ACR-70-Ansprechraten erreichten, war in den RA-Studien I, II und III vergleichbar. Die Behandlungsergebnisse mit 40 mg jede zweite Woche sind in Tabelle 8 zusammengefasst.</w:t>
      </w:r>
    </w:p>
    <w:p w14:paraId="7A537612" w14:textId="77777777" w:rsidR="00FE291A" w:rsidRDefault="00FE291A">
      <w:pPr>
        <w:pStyle w:val="BodyText"/>
        <w:keepNext/>
        <w:widowControl/>
        <w:kinsoku w:val="0"/>
        <w:overflowPunct w:val="0"/>
        <w:ind w:left="0"/>
        <w:rPr>
          <w:lang w:val="de-DE"/>
        </w:rPr>
      </w:pPr>
    </w:p>
    <w:p w14:paraId="6EE57949" w14:textId="77777777" w:rsidR="00FE291A" w:rsidRDefault="00C8738F">
      <w:pPr>
        <w:keepNext/>
        <w:widowControl/>
        <w:kinsoku w:val="0"/>
        <w:overflowPunct w:val="0"/>
        <w:rPr>
          <w:sz w:val="22"/>
          <w:szCs w:val="22"/>
          <w:lang w:val="de-DE"/>
        </w:rPr>
      </w:pPr>
      <w:r>
        <w:rPr>
          <w:b/>
          <w:bCs/>
          <w:sz w:val="22"/>
          <w:szCs w:val="22"/>
          <w:lang w:val="de-DE"/>
        </w:rPr>
        <w:t>Tabelle 8: ACR-Ansprechraten in placebokontrollierten Studien (prozentualer Anteil der Patienten)</w:t>
      </w:r>
    </w:p>
    <w:p w14:paraId="746AE352" w14:textId="77777777" w:rsidR="00FE291A" w:rsidRDefault="00FE291A">
      <w:pPr>
        <w:keepNext/>
        <w:widowControl/>
        <w:kinsoku w:val="0"/>
        <w:overflowPunct w:val="0"/>
        <w:rPr>
          <w:sz w:val="22"/>
          <w:lang w:val="de-DE"/>
        </w:rPr>
      </w:pPr>
    </w:p>
    <w:tbl>
      <w:tblPr>
        <w:tblW w:w="8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6"/>
        <w:gridCol w:w="992"/>
        <w:gridCol w:w="1418"/>
        <w:gridCol w:w="932"/>
        <w:gridCol w:w="1336"/>
        <w:gridCol w:w="1417"/>
        <w:gridCol w:w="1425"/>
      </w:tblGrid>
      <w:tr w:rsidR="00FE291A" w14:paraId="3EE947D7" w14:textId="77777777">
        <w:trPr>
          <w:cantSplit/>
          <w:trHeight w:hRule="exact" w:val="264"/>
          <w:tblHeader/>
        </w:trPr>
        <w:tc>
          <w:tcPr>
            <w:tcW w:w="1276" w:type="dxa"/>
            <w:vMerge w:val="restart"/>
          </w:tcPr>
          <w:p w14:paraId="439FC018" w14:textId="77777777" w:rsidR="00FE291A" w:rsidRDefault="00C8738F">
            <w:pPr>
              <w:pStyle w:val="TableParagraph"/>
              <w:keepNext/>
              <w:widowControl/>
              <w:kinsoku w:val="0"/>
              <w:overflowPunct w:val="0"/>
              <w:rPr>
                <w:b/>
                <w:sz w:val="22"/>
                <w:lang w:val="de-DE"/>
              </w:rPr>
            </w:pPr>
            <w:r>
              <w:rPr>
                <w:b/>
                <w:sz w:val="22"/>
                <w:szCs w:val="22"/>
                <w:lang w:val="de-DE"/>
              </w:rPr>
              <w:t>Ansprechen</w:t>
            </w:r>
          </w:p>
        </w:tc>
        <w:tc>
          <w:tcPr>
            <w:tcW w:w="2410" w:type="dxa"/>
            <w:gridSpan w:val="2"/>
          </w:tcPr>
          <w:p w14:paraId="62992392" w14:textId="77777777" w:rsidR="00FE291A" w:rsidRDefault="00C8738F">
            <w:pPr>
              <w:pStyle w:val="TableParagraph"/>
              <w:keepNext/>
              <w:widowControl/>
              <w:kinsoku w:val="0"/>
              <w:overflowPunct w:val="0"/>
              <w:jc w:val="center"/>
              <w:rPr>
                <w:b/>
                <w:sz w:val="22"/>
                <w:lang w:val="de-DE"/>
              </w:rPr>
            </w:pPr>
            <w:r>
              <w:rPr>
                <w:b/>
                <w:sz w:val="22"/>
                <w:szCs w:val="22"/>
                <w:lang w:val="de-DE"/>
              </w:rPr>
              <w:t>RA-Studie I</w:t>
            </w:r>
            <w:r>
              <w:rPr>
                <w:b/>
                <w:sz w:val="22"/>
                <w:szCs w:val="22"/>
                <w:vertAlign w:val="superscript"/>
                <w:lang w:val="de-DE"/>
              </w:rPr>
              <w:t>a</w:t>
            </w:r>
            <w:r>
              <w:rPr>
                <w:b/>
                <w:sz w:val="22"/>
                <w:szCs w:val="22"/>
                <w:lang w:val="de-DE"/>
              </w:rPr>
              <w:t>**</w:t>
            </w:r>
          </w:p>
        </w:tc>
        <w:tc>
          <w:tcPr>
            <w:tcW w:w="2268" w:type="dxa"/>
            <w:gridSpan w:val="2"/>
          </w:tcPr>
          <w:p w14:paraId="27F6837D" w14:textId="77777777" w:rsidR="00FE291A" w:rsidRDefault="00C8738F">
            <w:pPr>
              <w:pStyle w:val="TableParagraph"/>
              <w:keepNext/>
              <w:widowControl/>
              <w:kinsoku w:val="0"/>
              <w:overflowPunct w:val="0"/>
              <w:jc w:val="center"/>
              <w:rPr>
                <w:b/>
                <w:sz w:val="22"/>
                <w:lang w:val="de-DE"/>
              </w:rPr>
            </w:pPr>
            <w:r>
              <w:rPr>
                <w:b/>
                <w:sz w:val="22"/>
                <w:szCs w:val="22"/>
                <w:lang w:val="de-DE"/>
              </w:rPr>
              <w:t>RA-Studie II</w:t>
            </w:r>
            <w:r>
              <w:rPr>
                <w:b/>
                <w:sz w:val="22"/>
                <w:szCs w:val="22"/>
                <w:vertAlign w:val="superscript"/>
                <w:lang w:val="de-DE"/>
              </w:rPr>
              <w:t>a</w:t>
            </w:r>
            <w:r>
              <w:rPr>
                <w:b/>
                <w:sz w:val="22"/>
                <w:szCs w:val="22"/>
                <w:lang w:val="de-DE"/>
              </w:rPr>
              <w:t>**</w:t>
            </w:r>
          </w:p>
        </w:tc>
        <w:tc>
          <w:tcPr>
            <w:tcW w:w="2842" w:type="dxa"/>
            <w:gridSpan w:val="2"/>
          </w:tcPr>
          <w:p w14:paraId="371F1805" w14:textId="77777777" w:rsidR="00FE291A" w:rsidRDefault="00C8738F">
            <w:pPr>
              <w:pStyle w:val="TableParagraph"/>
              <w:keepNext/>
              <w:widowControl/>
              <w:kinsoku w:val="0"/>
              <w:overflowPunct w:val="0"/>
              <w:jc w:val="center"/>
              <w:rPr>
                <w:b/>
                <w:sz w:val="22"/>
                <w:lang w:val="de-DE"/>
              </w:rPr>
            </w:pPr>
            <w:r>
              <w:rPr>
                <w:b/>
                <w:sz w:val="22"/>
                <w:szCs w:val="22"/>
                <w:lang w:val="de-DE"/>
              </w:rPr>
              <w:t>RA-Studie III</w:t>
            </w:r>
            <w:r>
              <w:rPr>
                <w:b/>
                <w:sz w:val="22"/>
                <w:szCs w:val="22"/>
                <w:vertAlign w:val="superscript"/>
                <w:lang w:val="de-DE"/>
              </w:rPr>
              <w:t>a</w:t>
            </w:r>
            <w:r>
              <w:rPr>
                <w:b/>
                <w:sz w:val="22"/>
                <w:szCs w:val="22"/>
                <w:lang w:val="de-DE"/>
              </w:rPr>
              <w:t>**</w:t>
            </w:r>
          </w:p>
        </w:tc>
      </w:tr>
      <w:tr w:rsidR="00FE291A" w14:paraId="0F97C1B2" w14:textId="77777777">
        <w:trPr>
          <w:cantSplit/>
          <w:trHeight w:hRule="exact" w:val="791"/>
          <w:tblHeader/>
        </w:trPr>
        <w:tc>
          <w:tcPr>
            <w:tcW w:w="1276" w:type="dxa"/>
            <w:vMerge/>
            <w:tcBorders>
              <w:bottom w:val="single" w:sz="4" w:space="0" w:color="auto"/>
            </w:tcBorders>
          </w:tcPr>
          <w:p w14:paraId="1675DCA6" w14:textId="77777777" w:rsidR="00FE291A" w:rsidRDefault="00FE291A">
            <w:pPr>
              <w:pStyle w:val="TableParagraph"/>
              <w:keepNext/>
              <w:widowControl/>
              <w:kinsoku w:val="0"/>
              <w:overflowPunct w:val="0"/>
              <w:rPr>
                <w:b/>
                <w:sz w:val="22"/>
                <w:lang w:val="de-DE"/>
              </w:rPr>
            </w:pPr>
          </w:p>
        </w:tc>
        <w:tc>
          <w:tcPr>
            <w:tcW w:w="992" w:type="dxa"/>
          </w:tcPr>
          <w:p w14:paraId="429E821A" w14:textId="77777777" w:rsidR="00FE291A" w:rsidRDefault="00C8738F">
            <w:pPr>
              <w:pStyle w:val="TableParagraph"/>
              <w:keepNext/>
              <w:widowControl/>
              <w:tabs>
                <w:tab w:val="left" w:pos="1851"/>
              </w:tabs>
              <w:kinsoku w:val="0"/>
              <w:overflowPunct w:val="0"/>
              <w:jc w:val="center"/>
              <w:rPr>
                <w:b/>
                <w:sz w:val="22"/>
                <w:szCs w:val="22"/>
                <w:lang w:val="de-DE"/>
              </w:rPr>
            </w:pPr>
            <w:r>
              <w:rPr>
                <w:b/>
                <w:sz w:val="22"/>
                <w:szCs w:val="22"/>
                <w:lang w:val="de-DE"/>
              </w:rPr>
              <w:t>Placebo/</w:t>
            </w:r>
          </w:p>
          <w:p w14:paraId="55F20951" w14:textId="77777777" w:rsidR="00FE291A" w:rsidRDefault="00C8738F">
            <w:pPr>
              <w:pStyle w:val="TableParagraph"/>
              <w:keepNext/>
              <w:widowControl/>
              <w:tabs>
                <w:tab w:val="left" w:pos="1851"/>
              </w:tabs>
              <w:kinsoku w:val="0"/>
              <w:overflowPunct w:val="0"/>
              <w:jc w:val="center"/>
              <w:rPr>
                <w:b/>
                <w:sz w:val="22"/>
                <w:szCs w:val="22"/>
                <w:lang w:val="de-DE"/>
              </w:rPr>
            </w:pPr>
            <w:r>
              <w:rPr>
                <w:b/>
                <w:sz w:val="22"/>
                <w:szCs w:val="22"/>
                <w:lang w:val="de-DE"/>
              </w:rPr>
              <w:t>MTX</w:t>
            </w:r>
            <w:r>
              <w:rPr>
                <w:b/>
                <w:sz w:val="22"/>
                <w:szCs w:val="22"/>
                <w:vertAlign w:val="superscript"/>
                <w:lang w:val="de-DE"/>
              </w:rPr>
              <w:t>c</w:t>
            </w:r>
          </w:p>
          <w:p w14:paraId="415C5B84" w14:textId="77777777" w:rsidR="00FE291A" w:rsidRDefault="00C8738F">
            <w:pPr>
              <w:pStyle w:val="TableParagraph"/>
              <w:keepNext/>
              <w:widowControl/>
              <w:tabs>
                <w:tab w:val="left" w:pos="1808"/>
              </w:tabs>
              <w:kinsoku w:val="0"/>
              <w:overflowPunct w:val="0"/>
              <w:jc w:val="center"/>
              <w:rPr>
                <w:b/>
                <w:sz w:val="22"/>
                <w:szCs w:val="22"/>
                <w:lang w:val="de-DE"/>
              </w:rPr>
            </w:pPr>
            <w:r>
              <w:rPr>
                <w:b/>
                <w:sz w:val="22"/>
                <w:szCs w:val="22"/>
                <w:lang w:val="de-DE"/>
              </w:rPr>
              <w:t>n = 60</w:t>
            </w:r>
          </w:p>
        </w:tc>
        <w:tc>
          <w:tcPr>
            <w:tcW w:w="1418" w:type="dxa"/>
          </w:tcPr>
          <w:p w14:paraId="0F2FB0CC" w14:textId="77777777" w:rsidR="00FE291A" w:rsidRDefault="00C8738F">
            <w:pPr>
              <w:pStyle w:val="TableParagraph"/>
              <w:keepNext/>
              <w:widowControl/>
              <w:tabs>
                <w:tab w:val="left" w:pos="1851"/>
              </w:tabs>
              <w:kinsoku w:val="0"/>
              <w:overflowPunct w:val="0"/>
              <w:jc w:val="center"/>
              <w:rPr>
                <w:b/>
                <w:sz w:val="22"/>
                <w:szCs w:val="22"/>
                <w:vertAlign w:val="superscript"/>
                <w:lang w:val="de-DE"/>
              </w:rPr>
            </w:pPr>
            <w:r>
              <w:rPr>
                <w:b/>
                <w:sz w:val="22"/>
                <w:szCs w:val="22"/>
                <w:lang w:val="de-DE"/>
              </w:rPr>
              <w:t>Adalimumab</w:t>
            </w:r>
            <w:r>
              <w:rPr>
                <w:b/>
                <w:sz w:val="22"/>
                <w:szCs w:val="22"/>
                <w:vertAlign w:val="superscript"/>
                <w:lang w:val="de-DE"/>
              </w:rPr>
              <w:t>b</w:t>
            </w:r>
            <w:r>
              <w:rPr>
                <w:b/>
                <w:sz w:val="22"/>
                <w:szCs w:val="22"/>
                <w:lang w:val="de-DE"/>
              </w:rPr>
              <w:t>/MTX</w:t>
            </w:r>
            <w:r>
              <w:rPr>
                <w:b/>
                <w:sz w:val="22"/>
                <w:szCs w:val="22"/>
                <w:vertAlign w:val="superscript"/>
                <w:lang w:val="de-DE"/>
              </w:rPr>
              <w:t>c</w:t>
            </w:r>
          </w:p>
          <w:p w14:paraId="339E2D6B" w14:textId="77777777" w:rsidR="00FE291A" w:rsidRDefault="00C8738F">
            <w:pPr>
              <w:pStyle w:val="TableParagraph"/>
              <w:keepNext/>
              <w:widowControl/>
              <w:tabs>
                <w:tab w:val="left" w:pos="1808"/>
              </w:tabs>
              <w:kinsoku w:val="0"/>
              <w:overflowPunct w:val="0"/>
              <w:jc w:val="center"/>
              <w:rPr>
                <w:b/>
                <w:sz w:val="22"/>
                <w:lang w:val="de-DE"/>
              </w:rPr>
            </w:pPr>
            <w:r>
              <w:rPr>
                <w:b/>
                <w:sz w:val="22"/>
                <w:szCs w:val="22"/>
                <w:lang w:val="de-DE"/>
              </w:rPr>
              <w:t>n = 63</w:t>
            </w:r>
          </w:p>
        </w:tc>
        <w:tc>
          <w:tcPr>
            <w:tcW w:w="932" w:type="dxa"/>
          </w:tcPr>
          <w:p w14:paraId="56413B42" w14:textId="77777777" w:rsidR="00FE291A" w:rsidRDefault="00C8738F">
            <w:pPr>
              <w:pStyle w:val="TableParagraph"/>
              <w:keepNext/>
              <w:widowControl/>
              <w:kinsoku w:val="0"/>
              <w:overflowPunct w:val="0"/>
              <w:jc w:val="center"/>
              <w:rPr>
                <w:b/>
                <w:sz w:val="22"/>
                <w:szCs w:val="22"/>
                <w:lang w:val="de-DE"/>
              </w:rPr>
            </w:pPr>
            <w:r>
              <w:rPr>
                <w:b/>
                <w:sz w:val="22"/>
                <w:szCs w:val="22"/>
                <w:lang w:val="de-DE"/>
              </w:rPr>
              <w:t>Placebo</w:t>
            </w:r>
          </w:p>
          <w:p w14:paraId="1F8B4791" w14:textId="77777777" w:rsidR="00FE291A" w:rsidRDefault="00C8738F">
            <w:pPr>
              <w:pStyle w:val="TableParagraph"/>
              <w:keepNext/>
              <w:widowControl/>
              <w:kinsoku w:val="0"/>
              <w:overflowPunct w:val="0"/>
              <w:jc w:val="center"/>
              <w:rPr>
                <w:b/>
                <w:sz w:val="22"/>
                <w:lang w:val="de-DE"/>
              </w:rPr>
            </w:pPr>
            <w:r>
              <w:rPr>
                <w:b/>
                <w:sz w:val="22"/>
                <w:szCs w:val="22"/>
                <w:lang w:val="de-DE"/>
              </w:rPr>
              <w:t>n = 110</w:t>
            </w:r>
          </w:p>
        </w:tc>
        <w:tc>
          <w:tcPr>
            <w:tcW w:w="1336" w:type="dxa"/>
          </w:tcPr>
          <w:p w14:paraId="3D45516E" w14:textId="77777777" w:rsidR="00FE291A" w:rsidRDefault="00C8738F">
            <w:pPr>
              <w:pStyle w:val="TableParagraph"/>
              <w:keepNext/>
              <w:widowControl/>
              <w:kinsoku w:val="0"/>
              <w:overflowPunct w:val="0"/>
              <w:jc w:val="center"/>
              <w:rPr>
                <w:b/>
                <w:sz w:val="22"/>
                <w:szCs w:val="22"/>
                <w:lang w:val="de-DE"/>
              </w:rPr>
            </w:pPr>
            <w:r>
              <w:rPr>
                <w:b/>
                <w:sz w:val="22"/>
                <w:szCs w:val="22"/>
                <w:lang w:val="de-DE"/>
              </w:rPr>
              <w:t>Adalimumab</w:t>
            </w:r>
            <w:r>
              <w:rPr>
                <w:b/>
                <w:sz w:val="22"/>
                <w:szCs w:val="22"/>
                <w:vertAlign w:val="superscript"/>
                <w:lang w:val="de-DE"/>
              </w:rPr>
              <w:t>b</w:t>
            </w:r>
          </w:p>
          <w:p w14:paraId="2751B4F1" w14:textId="77777777" w:rsidR="00FE291A" w:rsidRDefault="00C8738F">
            <w:pPr>
              <w:pStyle w:val="TableParagraph"/>
              <w:keepNext/>
              <w:widowControl/>
              <w:kinsoku w:val="0"/>
              <w:overflowPunct w:val="0"/>
              <w:jc w:val="center"/>
              <w:rPr>
                <w:b/>
                <w:sz w:val="22"/>
                <w:lang w:val="de-DE"/>
              </w:rPr>
            </w:pPr>
            <w:r>
              <w:rPr>
                <w:b/>
                <w:sz w:val="22"/>
                <w:szCs w:val="22"/>
                <w:lang w:val="de-DE"/>
              </w:rPr>
              <w:t>n = 113</w:t>
            </w:r>
          </w:p>
        </w:tc>
        <w:tc>
          <w:tcPr>
            <w:tcW w:w="1417" w:type="dxa"/>
          </w:tcPr>
          <w:p w14:paraId="04973C13" w14:textId="77777777" w:rsidR="00FE291A" w:rsidRDefault="00C8738F">
            <w:pPr>
              <w:pStyle w:val="TableParagraph"/>
              <w:keepNext/>
              <w:widowControl/>
              <w:tabs>
                <w:tab w:val="left" w:pos="1851"/>
              </w:tabs>
              <w:kinsoku w:val="0"/>
              <w:overflowPunct w:val="0"/>
              <w:jc w:val="center"/>
              <w:rPr>
                <w:b/>
                <w:sz w:val="22"/>
                <w:szCs w:val="22"/>
                <w:lang w:val="de-DE"/>
              </w:rPr>
            </w:pPr>
            <w:r>
              <w:rPr>
                <w:b/>
                <w:sz w:val="22"/>
                <w:szCs w:val="22"/>
                <w:lang w:val="de-DE"/>
              </w:rPr>
              <w:t>Placebo/</w:t>
            </w:r>
          </w:p>
          <w:p w14:paraId="38E8530F" w14:textId="77777777" w:rsidR="00FE291A" w:rsidRDefault="00C8738F">
            <w:pPr>
              <w:pStyle w:val="TableParagraph"/>
              <w:keepNext/>
              <w:widowControl/>
              <w:tabs>
                <w:tab w:val="left" w:pos="1851"/>
              </w:tabs>
              <w:kinsoku w:val="0"/>
              <w:overflowPunct w:val="0"/>
              <w:jc w:val="center"/>
              <w:rPr>
                <w:b/>
                <w:sz w:val="22"/>
                <w:szCs w:val="22"/>
                <w:lang w:val="de-DE"/>
              </w:rPr>
            </w:pPr>
            <w:r>
              <w:rPr>
                <w:b/>
                <w:sz w:val="22"/>
                <w:szCs w:val="22"/>
                <w:lang w:val="de-DE"/>
              </w:rPr>
              <w:t>MTX</w:t>
            </w:r>
            <w:r>
              <w:rPr>
                <w:b/>
                <w:sz w:val="22"/>
                <w:szCs w:val="22"/>
                <w:vertAlign w:val="superscript"/>
                <w:lang w:val="de-DE"/>
              </w:rPr>
              <w:t>c</w:t>
            </w:r>
          </w:p>
          <w:p w14:paraId="43C73C18" w14:textId="77777777" w:rsidR="00FE291A" w:rsidRDefault="00C8738F">
            <w:pPr>
              <w:pStyle w:val="TableParagraph"/>
              <w:keepNext/>
              <w:widowControl/>
              <w:tabs>
                <w:tab w:val="left" w:pos="1851"/>
              </w:tabs>
              <w:kinsoku w:val="0"/>
              <w:overflowPunct w:val="0"/>
              <w:jc w:val="center"/>
              <w:rPr>
                <w:b/>
                <w:sz w:val="22"/>
                <w:lang w:val="de-DE"/>
              </w:rPr>
            </w:pPr>
            <w:r>
              <w:rPr>
                <w:b/>
                <w:sz w:val="22"/>
                <w:szCs w:val="22"/>
                <w:lang w:val="de-DE"/>
              </w:rPr>
              <w:t>n = 200</w:t>
            </w:r>
          </w:p>
        </w:tc>
        <w:tc>
          <w:tcPr>
            <w:tcW w:w="1425" w:type="dxa"/>
          </w:tcPr>
          <w:p w14:paraId="4D592FCC" w14:textId="77777777" w:rsidR="00FE291A" w:rsidRDefault="00C8738F">
            <w:pPr>
              <w:pStyle w:val="TableParagraph"/>
              <w:keepNext/>
              <w:widowControl/>
              <w:tabs>
                <w:tab w:val="left" w:pos="1851"/>
              </w:tabs>
              <w:kinsoku w:val="0"/>
              <w:overflowPunct w:val="0"/>
              <w:jc w:val="center"/>
              <w:rPr>
                <w:b/>
                <w:sz w:val="22"/>
                <w:szCs w:val="22"/>
                <w:vertAlign w:val="superscript"/>
                <w:lang w:val="de-DE"/>
              </w:rPr>
            </w:pPr>
            <w:r>
              <w:rPr>
                <w:b/>
                <w:sz w:val="22"/>
                <w:szCs w:val="22"/>
                <w:lang w:val="de-DE"/>
              </w:rPr>
              <w:t>Adalimumab</w:t>
            </w:r>
            <w:r>
              <w:rPr>
                <w:b/>
                <w:sz w:val="22"/>
                <w:szCs w:val="22"/>
                <w:vertAlign w:val="superscript"/>
                <w:lang w:val="de-DE"/>
              </w:rPr>
              <w:t>b</w:t>
            </w:r>
            <w:r>
              <w:rPr>
                <w:b/>
                <w:sz w:val="22"/>
                <w:szCs w:val="22"/>
                <w:lang w:val="de-DE"/>
              </w:rPr>
              <w:t>/MTX</w:t>
            </w:r>
            <w:r>
              <w:rPr>
                <w:b/>
                <w:sz w:val="22"/>
                <w:szCs w:val="22"/>
                <w:vertAlign w:val="superscript"/>
                <w:lang w:val="de-DE"/>
              </w:rPr>
              <w:t>c</w:t>
            </w:r>
          </w:p>
          <w:p w14:paraId="718B7F18" w14:textId="77777777" w:rsidR="00FE291A" w:rsidRDefault="00C8738F">
            <w:pPr>
              <w:pStyle w:val="TableParagraph"/>
              <w:keepNext/>
              <w:widowControl/>
              <w:tabs>
                <w:tab w:val="left" w:pos="1851"/>
              </w:tabs>
              <w:kinsoku w:val="0"/>
              <w:overflowPunct w:val="0"/>
              <w:jc w:val="center"/>
              <w:rPr>
                <w:b/>
                <w:sz w:val="22"/>
                <w:lang w:val="de-DE"/>
              </w:rPr>
            </w:pPr>
            <w:r>
              <w:rPr>
                <w:b/>
                <w:sz w:val="22"/>
                <w:szCs w:val="22"/>
                <w:lang w:val="de-DE"/>
              </w:rPr>
              <w:t>n = 207</w:t>
            </w:r>
          </w:p>
        </w:tc>
      </w:tr>
      <w:tr w:rsidR="00FE291A" w14:paraId="6E4A9C2B" w14:textId="77777777">
        <w:trPr>
          <w:cantSplit/>
          <w:trHeight w:hRule="exact" w:val="276"/>
        </w:trPr>
        <w:tc>
          <w:tcPr>
            <w:tcW w:w="1276" w:type="dxa"/>
            <w:tcBorders>
              <w:right w:val="nil"/>
            </w:tcBorders>
          </w:tcPr>
          <w:p w14:paraId="4BEE7473" w14:textId="77777777" w:rsidR="00FE291A" w:rsidRDefault="00C8738F">
            <w:pPr>
              <w:pStyle w:val="TableParagraph"/>
              <w:keepNext/>
              <w:widowControl/>
              <w:kinsoku w:val="0"/>
              <w:overflowPunct w:val="0"/>
              <w:rPr>
                <w:sz w:val="22"/>
                <w:lang w:val="de-DE"/>
              </w:rPr>
            </w:pPr>
            <w:r>
              <w:rPr>
                <w:sz w:val="22"/>
                <w:szCs w:val="22"/>
                <w:lang w:val="de-DE"/>
              </w:rPr>
              <w:t>ACR-20</w:t>
            </w:r>
          </w:p>
        </w:tc>
        <w:tc>
          <w:tcPr>
            <w:tcW w:w="7520" w:type="dxa"/>
            <w:gridSpan w:val="6"/>
            <w:tcBorders>
              <w:left w:val="nil"/>
            </w:tcBorders>
          </w:tcPr>
          <w:p w14:paraId="15F62EC1" w14:textId="77777777" w:rsidR="00FE291A" w:rsidRDefault="00FE291A">
            <w:pPr>
              <w:pStyle w:val="TableParagraph"/>
              <w:keepNext/>
              <w:widowControl/>
              <w:kinsoku w:val="0"/>
              <w:overflowPunct w:val="0"/>
              <w:jc w:val="center"/>
              <w:rPr>
                <w:sz w:val="22"/>
                <w:szCs w:val="22"/>
                <w:lang w:val="de-DE"/>
              </w:rPr>
            </w:pPr>
          </w:p>
          <w:p w14:paraId="206C66D3" w14:textId="77777777" w:rsidR="00FE291A" w:rsidRDefault="00FE291A">
            <w:pPr>
              <w:pStyle w:val="TableParagraph"/>
              <w:keepNext/>
              <w:widowControl/>
              <w:kinsoku w:val="0"/>
              <w:overflowPunct w:val="0"/>
              <w:jc w:val="center"/>
              <w:rPr>
                <w:sz w:val="22"/>
                <w:szCs w:val="22"/>
                <w:lang w:val="de-DE"/>
              </w:rPr>
            </w:pPr>
          </w:p>
          <w:p w14:paraId="79B175C7" w14:textId="77777777" w:rsidR="00FE291A" w:rsidRDefault="00FE291A">
            <w:pPr>
              <w:pStyle w:val="TableParagraph"/>
              <w:keepNext/>
              <w:widowControl/>
              <w:kinsoku w:val="0"/>
              <w:overflowPunct w:val="0"/>
              <w:jc w:val="center"/>
              <w:rPr>
                <w:sz w:val="22"/>
                <w:szCs w:val="22"/>
                <w:lang w:val="de-DE"/>
              </w:rPr>
            </w:pPr>
          </w:p>
          <w:p w14:paraId="28005E49" w14:textId="77777777" w:rsidR="00FE291A" w:rsidRDefault="00FE291A">
            <w:pPr>
              <w:pStyle w:val="TableParagraph"/>
              <w:keepNext/>
              <w:widowControl/>
              <w:kinsoku w:val="0"/>
              <w:overflowPunct w:val="0"/>
              <w:jc w:val="center"/>
              <w:rPr>
                <w:sz w:val="22"/>
                <w:szCs w:val="22"/>
                <w:lang w:val="de-DE"/>
              </w:rPr>
            </w:pPr>
          </w:p>
          <w:p w14:paraId="312DEE43" w14:textId="77777777" w:rsidR="00FE291A" w:rsidRDefault="00FE291A">
            <w:pPr>
              <w:pStyle w:val="TableParagraph"/>
              <w:keepNext/>
              <w:widowControl/>
              <w:kinsoku w:val="0"/>
              <w:overflowPunct w:val="0"/>
              <w:jc w:val="center"/>
              <w:rPr>
                <w:sz w:val="22"/>
                <w:szCs w:val="22"/>
                <w:lang w:val="de-DE"/>
              </w:rPr>
            </w:pPr>
          </w:p>
          <w:p w14:paraId="4A1A4EB7" w14:textId="77777777" w:rsidR="00FE291A" w:rsidRDefault="00FE291A">
            <w:pPr>
              <w:pStyle w:val="TableParagraph"/>
              <w:keepNext/>
              <w:widowControl/>
              <w:kinsoku w:val="0"/>
              <w:overflowPunct w:val="0"/>
              <w:jc w:val="center"/>
              <w:rPr>
                <w:sz w:val="22"/>
                <w:szCs w:val="22"/>
                <w:lang w:val="de-DE"/>
              </w:rPr>
            </w:pPr>
          </w:p>
        </w:tc>
      </w:tr>
      <w:tr w:rsidR="00FE291A" w14:paraId="57F0C89A" w14:textId="77777777">
        <w:trPr>
          <w:cantSplit/>
          <w:trHeight w:hRule="exact" w:val="259"/>
        </w:trPr>
        <w:tc>
          <w:tcPr>
            <w:tcW w:w="1276" w:type="dxa"/>
          </w:tcPr>
          <w:p w14:paraId="3F5607B8" w14:textId="77777777" w:rsidR="00FE291A" w:rsidRDefault="00C8738F">
            <w:pPr>
              <w:pStyle w:val="TableParagraph"/>
              <w:keepNext/>
              <w:widowControl/>
              <w:kinsoku w:val="0"/>
              <w:overflowPunct w:val="0"/>
              <w:ind w:firstLine="142"/>
              <w:rPr>
                <w:sz w:val="22"/>
                <w:lang w:val="de-DE"/>
              </w:rPr>
            </w:pPr>
            <w:r>
              <w:rPr>
                <w:sz w:val="22"/>
                <w:szCs w:val="22"/>
                <w:lang w:val="de-DE"/>
              </w:rPr>
              <w:t>6 Monate</w:t>
            </w:r>
          </w:p>
        </w:tc>
        <w:tc>
          <w:tcPr>
            <w:tcW w:w="992" w:type="dxa"/>
          </w:tcPr>
          <w:p w14:paraId="6272FF79" w14:textId="77777777" w:rsidR="00FE291A" w:rsidRDefault="00C8738F">
            <w:pPr>
              <w:pStyle w:val="TableParagraph"/>
              <w:keepNext/>
              <w:widowControl/>
              <w:kinsoku w:val="0"/>
              <w:overflowPunct w:val="0"/>
              <w:jc w:val="center"/>
              <w:rPr>
                <w:sz w:val="22"/>
                <w:szCs w:val="22"/>
                <w:lang w:val="de-DE"/>
              </w:rPr>
            </w:pPr>
            <w:r>
              <w:rPr>
                <w:sz w:val="22"/>
                <w:szCs w:val="22"/>
                <w:lang w:val="de-DE"/>
              </w:rPr>
              <w:t>13,3 %</w:t>
            </w:r>
          </w:p>
        </w:tc>
        <w:tc>
          <w:tcPr>
            <w:tcW w:w="1418" w:type="dxa"/>
          </w:tcPr>
          <w:p w14:paraId="70BFB8CB" w14:textId="77777777" w:rsidR="00FE291A" w:rsidRDefault="00C8738F">
            <w:pPr>
              <w:pStyle w:val="TableParagraph"/>
              <w:keepNext/>
              <w:widowControl/>
              <w:kinsoku w:val="0"/>
              <w:overflowPunct w:val="0"/>
              <w:jc w:val="center"/>
              <w:rPr>
                <w:sz w:val="22"/>
                <w:szCs w:val="22"/>
                <w:lang w:val="de-DE"/>
              </w:rPr>
            </w:pPr>
            <w:r>
              <w:rPr>
                <w:sz w:val="22"/>
                <w:szCs w:val="22"/>
                <w:lang w:val="de-DE"/>
              </w:rPr>
              <w:t>65,1 %</w:t>
            </w:r>
          </w:p>
        </w:tc>
        <w:tc>
          <w:tcPr>
            <w:tcW w:w="932" w:type="dxa"/>
          </w:tcPr>
          <w:p w14:paraId="06213CE9" w14:textId="77777777" w:rsidR="00FE291A" w:rsidRDefault="00C8738F">
            <w:pPr>
              <w:pStyle w:val="TableParagraph"/>
              <w:keepNext/>
              <w:widowControl/>
              <w:kinsoku w:val="0"/>
              <w:overflowPunct w:val="0"/>
              <w:jc w:val="center"/>
              <w:rPr>
                <w:sz w:val="22"/>
                <w:szCs w:val="22"/>
                <w:lang w:val="de-DE"/>
              </w:rPr>
            </w:pPr>
            <w:r>
              <w:rPr>
                <w:sz w:val="22"/>
                <w:szCs w:val="22"/>
                <w:lang w:val="de-DE"/>
              </w:rPr>
              <w:t>19,1 %</w:t>
            </w:r>
          </w:p>
        </w:tc>
        <w:tc>
          <w:tcPr>
            <w:tcW w:w="1336" w:type="dxa"/>
          </w:tcPr>
          <w:p w14:paraId="442A5F2E" w14:textId="77777777" w:rsidR="00FE291A" w:rsidRDefault="00C8738F">
            <w:pPr>
              <w:pStyle w:val="TableParagraph"/>
              <w:keepNext/>
              <w:widowControl/>
              <w:kinsoku w:val="0"/>
              <w:overflowPunct w:val="0"/>
              <w:jc w:val="center"/>
              <w:rPr>
                <w:sz w:val="22"/>
                <w:szCs w:val="22"/>
                <w:lang w:val="de-DE"/>
              </w:rPr>
            </w:pPr>
            <w:r>
              <w:rPr>
                <w:sz w:val="22"/>
                <w:szCs w:val="22"/>
                <w:lang w:val="de-DE"/>
              </w:rPr>
              <w:t>46,0 %</w:t>
            </w:r>
          </w:p>
        </w:tc>
        <w:tc>
          <w:tcPr>
            <w:tcW w:w="1417" w:type="dxa"/>
          </w:tcPr>
          <w:p w14:paraId="28924BD1" w14:textId="77777777" w:rsidR="00FE291A" w:rsidRDefault="00C8738F">
            <w:pPr>
              <w:pStyle w:val="TableParagraph"/>
              <w:keepNext/>
              <w:widowControl/>
              <w:kinsoku w:val="0"/>
              <w:overflowPunct w:val="0"/>
              <w:jc w:val="center"/>
              <w:rPr>
                <w:sz w:val="22"/>
                <w:szCs w:val="22"/>
                <w:lang w:val="de-DE"/>
              </w:rPr>
            </w:pPr>
            <w:r>
              <w:rPr>
                <w:sz w:val="22"/>
                <w:szCs w:val="22"/>
                <w:lang w:val="de-DE"/>
              </w:rPr>
              <w:t>29,5 %</w:t>
            </w:r>
          </w:p>
        </w:tc>
        <w:tc>
          <w:tcPr>
            <w:tcW w:w="1425" w:type="dxa"/>
          </w:tcPr>
          <w:p w14:paraId="0F735E2E" w14:textId="77777777" w:rsidR="00FE291A" w:rsidRDefault="00C8738F">
            <w:pPr>
              <w:pStyle w:val="TableParagraph"/>
              <w:keepNext/>
              <w:widowControl/>
              <w:kinsoku w:val="0"/>
              <w:overflowPunct w:val="0"/>
              <w:jc w:val="center"/>
              <w:rPr>
                <w:sz w:val="22"/>
                <w:szCs w:val="22"/>
                <w:lang w:val="de-DE"/>
              </w:rPr>
            </w:pPr>
            <w:r>
              <w:rPr>
                <w:sz w:val="22"/>
                <w:szCs w:val="22"/>
                <w:lang w:val="de-DE"/>
              </w:rPr>
              <w:t>63,3 %</w:t>
            </w:r>
          </w:p>
        </w:tc>
      </w:tr>
      <w:tr w:rsidR="00FE291A" w14:paraId="0CA446EB" w14:textId="77777777">
        <w:trPr>
          <w:cantSplit/>
          <w:trHeight w:hRule="exact" w:val="259"/>
        </w:trPr>
        <w:tc>
          <w:tcPr>
            <w:tcW w:w="1276" w:type="dxa"/>
            <w:tcBorders>
              <w:bottom w:val="single" w:sz="4" w:space="0" w:color="auto"/>
            </w:tcBorders>
          </w:tcPr>
          <w:p w14:paraId="4B4C9722" w14:textId="77777777" w:rsidR="00FE291A" w:rsidRDefault="00C8738F">
            <w:pPr>
              <w:pStyle w:val="TableParagraph"/>
              <w:widowControl/>
              <w:kinsoku w:val="0"/>
              <w:overflowPunct w:val="0"/>
              <w:ind w:firstLine="142"/>
              <w:rPr>
                <w:sz w:val="22"/>
                <w:lang w:val="de-DE"/>
              </w:rPr>
            </w:pPr>
            <w:r>
              <w:rPr>
                <w:sz w:val="22"/>
                <w:szCs w:val="22"/>
                <w:lang w:val="de-DE"/>
              </w:rPr>
              <w:t>12 Monate</w:t>
            </w:r>
          </w:p>
        </w:tc>
        <w:tc>
          <w:tcPr>
            <w:tcW w:w="992" w:type="dxa"/>
            <w:tcBorders>
              <w:bottom w:val="single" w:sz="4" w:space="0" w:color="auto"/>
            </w:tcBorders>
          </w:tcPr>
          <w:p w14:paraId="544ECF5D" w14:textId="77777777" w:rsidR="00FE291A" w:rsidRDefault="00C8738F">
            <w:pPr>
              <w:pStyle w:val="TableParagraph"/>
              <w:widowControl/>
              <w:kinsoku w:val="0"/>
              <w:overflowPunct w:val="0"/>
              <w:jc w:val="center"/>
              <w:rPr>
                <w:sz w:val="22"/>
                <w:szCs w:val="22"/>
                <w:lang w:val="de-DE"/>
              </w:rPr>
            </w:pPr>
            <w:r>
              <w:rPr>
                <w:sz w:val="22"/>
                <w:szCs w:val="22"/>
                <w:lang w:val="de-DE"/>
              </w:rPr>
              <w:t>entfällt</w:t>
            </w:r>
          </w:p>
        </w:tc>
        <w:tc>
          <w:tcPr>
            <w:tcW w:w="1418" w:type="dxa"/>
            <w:tcBorders>
              <w:bottom w:val="single" w:sz="4" w:space="0" w:color="auto"/>
            </w:tcBorders>
          </w:tcPr>
          <w:p w14:paraId="6E75FEB8" w14:textId="77777777" w:rsidR="00FE291A" w:rsidRDefault="00C8738F">
            <w:pPr>
              <w:pStyle w:val="TableParagraph"/>
              <w:widowControl/>
              <w:kinsoku w:val="0"/>
              <w:overflowPunct w:val="0"/>
              <w:jc w:val="center"/>
              <w:rPr>
                <w:sz w:val="22"/>
                <w:szCs w:val="22"/>
                <w:lang w:val="de-DE"/>
              </w:rPr>
            </w:pPr>
            <w:r>
              <w:rPr>
                <w:sz w:val="22"/>
                <w:szCs w:val="22"/>
                <w:lang w:val="de-DE"/>
              </w:rPr>
              <w:t>entfällt</w:t>
            </w:r>
          </w:p>
        </w:tc>
        <w:tc>
          <w:tcPr>
            <w:tcW w:w="932" w:type="dxa"/>
            <w:tcBorders>
              <w:bottom w:val="single" w:sz="4" w:space="0" w:color="auto"/>
            </w:tcBorders>
          </w:tcPr>
          <w:p w14:paraId="3FB9D42D" w14:textId="77777777" w:rsidR="00FE291A" w:rsidRDefault="00C8738F">
            <w:pPr>
              <w:pStyle w:val="TableParagraph"/>
              <w:widowControl/>
              <w:kinsoku w:val="0"/>
              <w:overflowPunct w:val="0"/>
              <w:jc w:val="center"/>
              <w:rPr>
                <w:sz w:val="22"/>
                <w:szCs w:val="22"/>
                <w:lang w:val="de-DE"/>
              </w:rPr>
            </w:pPr>
            <w:r>
              <w:rPr>
                <w:sz w:val="22"/>
                <w:szCs w:val="22"/>
                <w:lang w:val="de-DE"/>
              </w:rPr>
              <w:t>entfällt</w:t>
            </w:r>
          </w:p>
        </w:tc>
        <w:tc>
          <w:tcPr>
            <w:tcW w:w="1336" w:type="dxa"/>
            <w:tcBorders>
              <w:bottom w:val="single" w:sz="4" w:space="0" w:color="auto"/>
            </w:tcBorders>
          </w:tcPr>
          <w:p w14:paraId="570D9B96" w14:textId="77777777" w:rsidR="00FE291A" w:rsidRDefault="00C8738F">
            <w:pPr>
              <w:pStyle w:val="TableParagraph"/>
              <w:widowControl/>
              <w:kinsoku w:val="0"/>
              <w:overflowPunct w:val="0"/>
              <w:jc w:val="center"/>
              <w:rPr>
                <w:sz w:val="22"/>
                <w:szCs w:val="22"/>
                <w:lang w:val="de-DE"/>
              </w:rPr>
            </w:pPr>
            <w:r>
              <w:rPr>
                <w:sz w:val="22"/>
                <w:szCs w:val="22"/>
                <w:lang w:val="de-DE"/>
              </w:rPr>
              <w:t>entfällt</w:t>
            </w:r>
          </w:p>
        </w:tc>
        <w:tc>
          <w:tcPr>
            <w:tcW w:w="1417" w:type="dxa"/>
            <w:tcBorders>
              <w:bottom w:val="single" w:sz="4" w:space="0" w:color="auto"/>
            </w:tcBorders>
          </w:tcPr>
          <w:p w14:paraId="4016B025" w14:textId="77777777" w:rsidR="00FE291A" w:rsidRDefault="00C8738F">
            <w:pPr>
              <w:pStyle w:val="TableParagraph"/>
              <w:widowControl/>
              <w:kinsoku w:val="0"/>
              <w:overflowPunct w:val="0"/>
              <w:jc w:val="center"/>
              <w:rPr>
                <w:sz w:val="22"/>
                <w:szCs w:val="22"/>
                <w:lang w:val="de-DE"/>
              </w:rPr>
            </w:pPr>
            <w:r>
              <w:rPr>
                <w:sz w:val="22"/>
                <w:szCs w:val="22"/>
                <w:lang w:val="de-DE"/>
              </w:rPr>
              <w:t>24,0 %</w:t>
            </w:r>
          </w:p>
        </w:tc>
        <w:tc>
          <w:tcPr>
            <w:tcW w:w="1425" w:type="dxa"/>
            <w:tcBorders>
              <w:bottom w:val="single" w:sz="4" w:space="0" w:color="auto"/>
            </w:tcBorders>
          </w:tcPr>
          <w:p w14:paraId="41704F70" w14:textId="77777777" w:rsidR="00FE291A" w:rsidRDefault="00C8738F">
            <w:pPr>
              <w:pStyle w:val="TableParagraph"/>
              <w:widowControl/>
              <w:kinsoku w:val="0"/>
              <w:overflowPunct w:val="0"/>
              <w:jc w:val="center"/>
              <w:rPr>
                <w:sz w:val="22"/>
                <w:szCs w:val="22"/>
                <w:lang w:val="de-DE"/>
              </w:rPr>
            </w:pPr>
            <w:r>
              <w:rPr>
                <w:sz w:val="22"/>
                <w:szCs w:val="22"/>
                <w:lang w:val="de-DE"/>
              </w:rPr>
              <w:t>58,9 %</w:t>
            </w:r>
          </w:p>
        </w:tc>
      </w:tr>
      <w:tr w:rsidR="00FE291A" w14:paraId="0FBA82C2" w14:textId="77777777">
        <w:trPr>
          <w:cantSplit/>
          <w:trHeight w:hRule="exact" w:val="259"/>
        </w:trPr>
        <w:tc>
          <w:tcPr>
            <w:tcW w:w="1276" w:type="dxa"/>
            <w:tcBorders>
              <w:top w:val="single" w:sz="4" w:space="0" w:color="auto"/>
              <w:left w:val="single" w:sz="4" w:space="0" w:color="auto"/>
              <w:bottom w:val="single" w:sz="4" w:space="0" w:color="auto"/>
              <w:right w:val="nil"/>
            </w:tcBorders>
          </w:tcPr>
          <w:p w14:paraId="154166F0" w14:textId="77777777" w:rsidR="00FE291A" w:rsidRDefault="00C8738F">
            <w:pPr>
              <w:pStyle w:val="TableParagraph"/>
              <w:keepNext/>
              <w:widowControl/>
              <w:kinsoku w:val="0"/>
              <w:overflowPunct w:val="0"/>
              <w:rPr>
                <w:sz w:val="22"/>
                <w:lang w:val="de-DE"/>
              </w:rPr>
            </w:pPr>
            <w:r>
              <w:rPr>
                <w:sz w:val="22"/>
                <w:szCs w:val="22"/>
                <w:lang w:val="de-DE"/>
              </w:rPr>
              <w:t>ACR-50</w:t>
            </w:r>
          </w:p>
        </w:tc>
        <w:tc>
          <w:tcPr>
            <w:tcW w:w="992" w:type="dxa"/>
            <w:tcBorders>
              <w:top w:val="single" w:sz="4" w:space="0" w:color="auto"/>
              <w:left w:val="nil"/>
              <w:bottom w:val="single" w:sz="4" w:space="0" w:color="auto"/>
              <w:right w:val="nil"/>
            </w:tcBorders>
          </w:tcPr>
          <w:p w14:paraId="0916B632" w14:textId="77777777" w:rsidR="00FE291A" w:rsidRDefault="00FE291A">
            <w:pPr>
              <w:keepNext/>
              <w:widowControl/>
              <w:jc w:val="center"/>
              <w:rPr>
                <w:sz w:val="22"/>
                <w:szCs w:val="22"/>
                <w:lang w:val="de-DE"/>
              </w:rPr>
            </w:pPr>
          </w:p>
        </w:tc>
        <w:tc>
          <w:tcPr>
            <w:tcW w:w="1418" w:type="dxa"/>
            <w:tcBorders>
              <w:top w:val="single" w:sz="4" w:space="0" w:color="auto"/>
              <w:left w:val="nil"/>
              <w:bottom w:val="single" w:sz="4" w:space="0" w:color="auto"/>
              <w:right w:val="nil"/>
            </w:tcBorders>
          </w:tcPr>
          <w:p w14:paraId="475847B3" w14:textId="77777777" w:rsidR="00FE291A" w:rsidRDefault="00FE291A">
            <w:pPr>
              <w:keepNext/>
              <w:widowControl/>
              <w:jc w:val="center"/>
              <w:rPr>
                <w:sz w:val="22"/>
                <w:szCs w:val="22"/>
                <w:lang w:val="de-DE"/>
              </w:rPr>
            </w:pPr>
          </w:p>
        </w:tc>
        <w:tc>
          <w:tcPr>
            <w:tcW w:w="932" w:type="dxa"/>
            <w:tcBorders>
              <w:top w:val="single" w:sz="4" w:space="0" w:color="auto"/>
              <w:left w:val="nil"/>
              <w:bottom w:val="single" w:sz="4" w:space="0" w:color="auto"/>
              <w:right w:val="nil"/>
            </w:tcBorders>
          </w:tcPr>
          <w:p w14:paraId="20C365F6" w14:textId="77777777" w:rsidR="00FE291A" w:rsidRDefault="00FE291A">
            <w:pPr>
              <w:keepNext/>
              <w:widowControl/>
              <w:jc w:val="center"/>
              <w:rPr>
                <w:sz w:val="22"/>
                <w:szCs w:val="22"/>
                <w:lang w:val="de-DE"/>
              </w:rPr>
            </w:pPr>
          </w:p>
        </w:tc>
        <w:tc>
          <w:tcPr>
            <w:tcW w:w="1336" w:type="dxa"/>
            <w:tcBorders>
              <w:top w:val="single" w:sz="4" w:space="0" w:color="auto"/>
              <w:left w:val="nil"/>
              <w:bottom w:val="single" w:sz="4" w:space="0" w:color="auto"/>
              <w:right w:val="nil"/>
            </w:tcBorders>
          </w:tcPr>
          <w:p w14:paraId="032B503C" w14:textId="77777777" w:rsidR="00FE291A" w:rsidRDefault="00FE291A">
            <w:pPr>
              <w:keepNext/>
              <w:widowControl/>
              <w:jc w:val="center"/>
              <w:rPr>
                <w:sz w:val="22"/>
                <w:szCs w:val="22"/>
                <w:lang w:val="de-DE"/>
              </w:rPr>
            </w:pPr>
          </w:p>
        </w:tc>
        <w:tc>
          <w:tcPr>
            <w:tcW w:w="1417" w:type="dxa"/>
            <w:tcBorders>
              <w:top w:val="single" w:sz="4" w:space="0" w:color="auto"/>
              <w:left w:val="nil"/>
              <w:bottom w:val="single" w:sz="4" w:space="0" w:color="auto"/>
              <w:right w:val="nil"/>
            </w:tcBorders>
          </w:tcPr>
          <w:p w14:paraId="2FB1B450" w14:textId="77777777" w:rsidR="00FE291A" w:rsidRDefault="00FE291A">
            <w:pPr>
              <w:keepNext/>
              <w:widowControl/>
              <w:jc w:val="center"/>
              <w:rPr>
                <w:sz w:val="22"/>
                <w:szCs w:val="22"/>
                <w:lang w:val="de-DE"/>
              </w:rPr>
            </w:pPr>
          </w:p>
        </w:tc>
        <w:tc>
          <w:tcPr>
            <w:tcW w:w="1425" w:type="dxa"/>
            <w:tcBorders>
              <w:top w:val="single" w:sz="4" w:space="0" w:color="auto"/>
              <w:left w:val="nil"/>
              <w:bottom w:val="single" w:sz="4" w:space="0" w:color="auto"/>
              <w:right w:val="single" w:sz="4" w:space="0" w:color="auto"/>
            </w:tcBorders>
          </w:tcPr>
          <w:p w14:paraId="4F5F227A" w14:textId="77777777" w:rsidR="00FE291A" w:rsidRDefault="00FE291A">
            <w:pPr>
              <w:keepNext/>
              <w:widowControl/>
              <w:jc w:val="center"/>
              <w:rPr>
                <w:sz w:val="22"/>
                <w:szCs w:val="22"/>
                <w:lang w:val="de-DE"/>
              </w:rPr>
            </w:pPr>
          </w:p>
        </w:tc>
      </w:tr>
      <w:tr w:rsidR="00FE291A" w14:paraId="675CBBA9" w14:textId="77777777">
        <w:trPr>
          <w:cantSplit/>
          <w:trHeight w:hRule="exact" w:val="259"/>
        </w:trPr>
        <w:tc>
          <w:tcPr>
            <w:tcW w:w="1276" w:type="dxa"/>
            <w:tcBorders>
              <w:top w:val="single" w:sz="4" w:space="0" w:color="auto"/>
            </w:tcBorders>
          </w:tcPr>
          <w:p w14:paraId="0136F731" w14:textId="77777777" w:rsidR="00FE291A" w:rsidRDefault="00C8738F">
            <w:pPr>
              <w:pStyle w:val="TableParagraph"/>
              <w:keepNext/>
              <w:widowControl/>
              <w:kinsoku w:val="0"/>
              <w:overflowPunct w:val="0"/>
              <w:ind w:firstLine="142"/>
              <w:rPr>
                <w:sz w:val="22"/>
                <w:lang w:val="de-DE"/>
              </w:rPr>
            </w:pPr>
            <w:r>
              <w:rPr>
                <w:sz w:val="22"/>
                <w:szCs w:val="22"/>
                <w:lang w:val="de-DE"/>
              </w:rPr>
              <w:t>6 Monate</w:t>
            </w:r>
          </w:p>
        </w:tc>
        <w:tc>
          <w:tcPr>
            <w:tcW w:w="992" w:type="dxa"/>
            <w:tcBorders>
              <w:top w:val="single" w:sz="4" w:space="0" w:color="auto"/>
            </w:tcBorders>
          </w:tcPr>
          <w:p w14:paraId="34B5B472" w14:textId="77777777" w:rsidR="00FE291A" w:rsidRDefault="00C8738F">
            <w:pPr>
              <w:pStyle w:val="TableParagraph"/>
              <w:keepNext/>
              <w:widowControl/>
              <w:kinsoku w:val="0"/>
              <w:overflowPunct w:val="0"/>
              <w:jc w:val="center"/>
              <w:rPr>
                <w:sz w:val="22"/>
                <w:szCs w:val="22"/>
                <w:lang w:val="de-DE"/>
              </w:rPr>
            </w:pPr>
            <w:r>
              <w:rPr>
                <w:sz w:val="22"/>
                <w:szCs w:val="22"/>
                <w:lang w:val="de-DE"/>
              </w:rPr>
              <w:t>6,7 %</w:t>
            </w:r>
          </w:p>
        </w:tc>
        <w:tc>
          <w:tcPr>
            <w:tcW w:w="1418" w:type="dxa"/>
            <w:tcBorders>
              <w:top w:val="single" w:sz="4" w:space="0" w:color="auto"/>
            </w:tcBorders>
          </w:tcPr>
          <w:p w14:paraId="39D8423F" w14:textId="77777777" w:rsidR="00FE291A" w:rsidRDefault="00C8738F">
            <w:pPr>
              <w:pStyle w:val="TableParagraph"/>
              <w:keepNext/>
              <w:widowControl/>
              <w:kinsoku w:val="0"/>
              <w:overflowPunct w:val="0"/>
              <w:jc w:val="center"/>
              <w:rPr>
                <w:sz w:val="22"/>
                <w:szCs w:val="22"/>
                <w:lang w:val="de-DE"/>
              </w:rPr>
            </w:pPr>
            <w:r>
              <w:rPr>
                <w:sz w:val="22"/>
                <w:szCs w:val="22"/>
                <w:lang w:val="de-DE"/>
              </w:rPr>
              <w:t>52,4 %</w:t>
            </w:r>
          </w:p>
        </w:tc>
        <w:tc>
          <w:tcPr>
            <w:tcW w:w="932" w:type="dxa"/>
            <w:tcBorders>
              <w:top w:val="single" w:sz="4" w:space="0" w:color="auto"/>
            </w:tcBorders>
          </w:tcPr>
          <w:p w14:paraId="38723F25" w14:textId="77777777" w:rsidR="00FE291A" w:rsidRDefault="00C8738F">
            <w:pPr>
              <w:pStyle w:val="TableParagraph"/>
              <w:keepNext/>
              <w:widowControl/>
              <w:kinsoku w:val="0"/>
              <w:overflowPunct w:val="0"/>
              <w:jc w:val="center"/>
              <w:rPr>
                <w:sz w:val="22"/>
                <w:szCs w:val="22"/>
                <w:lang w:val="de-DE"/>
              </w:rPr>
            </w:pPr>
            <w:r>
              <w:rPr>
                <w:sz w:val="22"/>
                <w:szCs w:val="22"/>
                <w:lang w:val="de-DE"/>
              </w:rPr>
              <w:t>8,2 %</w:t>
            </w:r>
          </w:p>
        </w:tc>
        <w:tc>
          <w:tcPr>
            <w:tcW w:w="1336" w:type="dxa"/>
            <w:tcBorders>
              <w:top w:val="single" w:sz="4" w:space="0" w:color="auto"/>
            </w:tcBorders>
          </w:tcPr>
          <w:p w14:paraId="11ED3EEB" w14:textId="77777777" w:rsidR="00FE291A" w:rsidRDefault="00C8738F">
            <w:pPr>
              <w:pStyle w:val="TableParagraph"/>
              <w:keepNext/>
              <w:widowControl/>
              <w:kinsoku w:val="0"/>
              <w:overflowPunct w:val="0"/>
              <w:jc w:val="center"/>
              <w:rPr>
                <w:sz w:val="22"/>
                <w:szCs w:val="22"/>
                <w:lang w:val="de-DE"/>
              </w:rPr>
            </w:pPr>
            <w:r>
              <w:rPr>
                <w:sz w:val="22"/>
                <w:szCs w:val="22"/>
                <w:lang w:val="de-DE"/>
              </w:rPr>
              <w:t>22,1 %</w:t>
            </w:r>
          </w:p>
        </w:tc>
        <w:tc>
          <w:tcPr>
            <w:tcW w:w="1417" w:type="dxa"/>
            <w:tcBorders>
              <w:top w:val="single" w:sz="4" w:space="0" w:color="auto"/>
            </w:tcBorders>
          </w:tcPr>
          <w:p w14:paraId="559373FE" w14:textId="77777777" w:rsidR="00FE291A" w:rsidRDefault="00C8738F">
            <w:pPr>
              <w:pStyle w:val="TableParagraph"/>
              <w:keepNext/>
              <w:widowControl/>
              <w:kinsoku w:val="0"/>
              <w:overflowPunct w:val="0"/>
              <w:jc w:val="center"/>
              <w:rPr>
                <w:sz w:val="22"/>
                <w:szCs w:val="22"/>
                <w:lang w:val="de-DE"/>
              </w:rPr>
            </w:pPr>
            <w:r>
              <w:rPr>
                <w:sz w:val="22"/>
                <w:szCs w:val="22"/>
                <w:lang w:val="de-DE"/>
              </w:rPr>
              <w:t>9,5 %</w:t>
            </w:r>
          </w:p>
        </w:tc>
        <w:tc>
          <w:tcPr>
            <w:tcW w:w="1425" w:type="dxa"/>
            <w:tcBorders>
              <w:top w:val="single" w:sz="4" w:space="0" w:color="auto"/>
            </w:tcBorders>
          </w:tcPr>
          <w:p w14:paraId="14D5C113" w14:textId="77777777" w:rsidR="00FE291A" w:rsidRDefault="00C8738F">
            <w:pPr>
              <w:pStyle w:val="TableParagraph"/>
              <w:keepNext/>
              <w:widowControl/>
              <w:kinsoku w:val="0"/>
              <w:overflowPunct w:val="0"/>
              <w:jc w:val="center"/>
              <w:rPr>
                <w:sz w:val="22"/>
                <w:szCs w:val="22"/>
                <w:lang w:val="de-DE"/>
              </w:rPr>
            </w:pPr>
            <w:r>
              <w:rPr>
                <w:sz w:val="22"/>
                <w:szCs w:val="22"/>
                <w:lang w:val="de-DE"/>
              </w:rPr>
              <w:t>39,1 %</w:t>
            </w:r>
          </w:p>
        </w:tc>
      </w:tr>
      <w:tr w:rsidR="00FE291A" w14:paraId="40E56C01" w14:textId="77777777">
        <w:trPr>
          <w:cantSplit/>
          <w:trHeight w:hRule="exact" w:val="259"/>
        </w:trPr>
        <w:tc>
          <w:tcPr>
            <w:tcW w:w="1276" w:type="dxa"/>
            <w:tcBorders>
              <w:bottom w:val="single" w:sz="4" w:space="0" w:color="auto"/>
            </w:tcBorders>
          </w:tcPr>
          <w:p w14:paraId="6B98205A" w14:textId="77777777" w:rsidR="00FE291A" w:rsidRDefault="00C8738F">
            <w:pPr>
              <w:pStyle w:val="TableParagraph"/>
              <w:widowControl/>
              <w:kinsoku w:val="0"/>
              <w:overflowPunct w:val="0"/>
              <w:ind w:firstLine="142"/>
              <w:rPr>
                <w:sz w:val="22"/>
                <w:lang w:val="de-DE"/>
              </w:rPr>
            </w:pPr>
            <w:r>
              <w:rPr>
                <w:sz w:val="22"/>
                <w:szCs w:val="22"/>
                <w:lang w:val="de-DE"/>
              </w:rPr>
              <w:t>12 Monate</w:t>
            </w:r>
          </w:p>
        </w:tc>
        <w:tc>
          <w:tcPr>
            <w:tcW w:w="992" w:type="dxa"/>
            <w:tcBorders>
              <w:bottom w:val="single" w:sz="4" w:space="0" w:color="auto"/>
            </w:tcBorders>
          </w:tcPr>
          <w:p w14:paraId="461E145B" w14:textId="77777777" w:rsidR="00FE291A" w:rsidRDefault="00C8738F">
            <w:pPr>
              <w:pStyle w:val="TableParagraph"/>
              <w:widowControl/>
              <w:kinsoku w:val="0"/>
              <w:overflowPunct w:val="0"/>
              <w:jc w:val="center"/>
              <w:rPr>
                <w:sz w:val="22"/>
                <w:lang w:val="de-DE"/>
              </w:rPr>
            </w:pPr>
            <w:r>
              <w:rPr>
                <w:sz w:val="22"/>
                <w:szCs w:val="22"/>
                <w:lang w:val="de-DE"/>
              </w:rPr>
              <w:t>entfällt</w:t>
            </w:r>
          </w:p>
        </w:tc>
        <w:tc>
          <w:tcPr>
            <w:tcW w:w="1418" w:type="dxa"/>
            <w:tcBorders>
              <w:bottom w:val="single" w:sz="4" w:space="0" w:color="auto"/>
            </w:tcBorders>
          </w:tcPr>
          <w:p w14:paraId="0AFFC40C" w14:textId="77777777" w:rsidR="00FE291A" w:rsidRDefault="00C8738F">
            <w:pPr>
              <w:pStyle w:val="TableParagraph"/>
              <w:widowControl/>
              <w:kinsoku w:val="0"/>
              <w:overflowPunct w:val="0"/>
              <w:jc w:val="center"/>
              <w:rPr>
                <w:sz w:val="22"/>
                <w:lang w:val="de-DE"/>
              </w:rPr>
            </w:pPr>
            <w:r>
              <w:rPr>
                <w:sz w:val="22"/>
                <w:szCs w:val="22"/>
                <w:lang w:val="de-DE"/>
              </w:rPr>
              <w:t>entfällt</w:t>
            </w:r>
          </w:p>
        </w:tc>
        <w:tc>
          <w:tcPr>
            <w:tcW w:w="932" w:type="dxa"/>
            <w:tcBorders>
              <w:bottom w:val="single" w:sz="4" w:space="0" w:color="auto"/>
            </w:tcBorders>
          </w:tcPr>
          <w:p w14:paraId="1110C3CC" w14:textId="77777777" w:rsidR="00FE291A" w:rsidRDefault="00C8738F">
            <w:pPr>
              <w:pStyle w:val="TableParagraph"/>
              <w:widowControl/>
              <w:kinsoku w:val="0"/>
              <w:overflowPunct w:val="0"/>
              <w:jc w:val="center"/>
              <w:rPr>
                <w:sz w:val="22"/>
                <w:lang w:val="de-DE"/>
              </w:rPr>
            </w:pPr>
            <w:r>
              <w:rPr>
                <w:sz w:val="22"/>
                <w:szCs w:val="22"/>
                <w:lang w:val="de-DE"/>
              </w:rPr>
              <w:t>entfällt</w:t>
            </w:r>
          </w:p>
        </w:tc>
        <w:tc>
          <w:tcPr>
            <w:tcW w:w="1336" w:type="dxa"/>
            <w:tcBorders>
              <w:bottom w:val="single" w:sz="4" w:space="0" w:color="auto"/>
            </w:tcBorders>
          </w:tcPr>
          <w:p w14:paraId="4B342EDE" w14:textId="77777777" w:rsidR="00FE291A" w:rsidRDefault="00C8738F">
            <w:pPr>
              <w:pStyle w:val="TableParagraph"/>
              <w:widowControl/>
              <w:kinsoku w:val="0"/>
              <w:overflowPunct w:val="0"/>
              <w:jc w:val="center"/>
              <w:rPr>
                <w:sz w:val="22"/>
                <w:lang w:val="de-DE"/>
              </w:rPr>
            </w:pPr>
            <w:r>
              <w:rPr>
                <w:sz w:val="22"/>
                <w:szCs w:val="22"/>
                <w:lang w:val="de-DE"/>
              </w:rPr>
              <w:t>entfällt</w:t>
            </w:r>
          </w:p>
        </w:tc>
        <w:tc>
          <w:tcPr>
            <w:tcW w:w="1417" w:type="dxa"/>
            <w:tcBorders>
              <w:bottom w:val="single" w:sz="4" w:space="0" w:color="auto"/>
            </w:tcBorders>
          </w:tcPr>
          <w:p w14:paraId="2BF6D89C" w14:textId="77777777" w:rsidR="00FE291A" w:rsidRDefault="00C8738F">
            <w:pPr>
              <w:pStyle w:val="TableParagraph"/>
              <w:widowControl/>
              <w:kinsoku w:val="0"/>
              <w:overflowPunct w:val="0"/>
              <w:jc w:val="center"/>
              <w:rPr>
                <w:sz w:val="22"/>
                <w:lang w:val="de-DE"/>
              </w:rPr>
            </w:pPr>
            <w:r>
              <w:rPr>
                <w:sz w:val="22"/>
                <w:szCs w:val="22"/>
                <w:lang w:val="de-DE"/>
              </w:rPr>
              <w:t>9,5 %</w:t>
            </w:r>
          </w:p>
        </w:tc>
        <w:tc>
          <w:tcPr>
            <w:tcW w:w="1425" w:type="dxa"/>
            <w:tcBorders>
              <w:bottom w:val="single" w:sz="4" w:space="0" w:color="auto"/>
            </w:tcBorders>
          </w:tcPr>
          <w:p w14:paraId="37E0A9F8" w14:textId="77777777" w:rsidR="00FE291A" w:rsidRDefault="00C8738F">
            <w:pPr>
              <w:pStyle w:val="TableParagraph"/>
              <w:widowControl/>
              <w:kinsoku w:val="0"/>
              <w:overflowPunct w:val="0"/>
              <w:jc w:val="center"/>
              <w:rPr>
                <w:sz w:val="22"/>
                <w:lang w:val="de-DE"/>
              </w:rPr>
            </w:pPr>
            <w:r>
              <w:rPr>
                <w:sz w:val="22"/>
                <w:szCs w:val="22"/>
                <w:lang w:val="de-DE"/>
              </w:rPr>
              <w:t>41,5 %</w:t>
            </w:r>
          </w:p>
        </w:tc>
      </w:tr>
      <w:tr w:rsidR="00FE291A" w14:paraId="1019A256" w14:textId="77777777">
        <w:trPr>
          <w:cantSplit/>
          <w:trHeight w:hRule="exact" w:val="259"/>
        </w:trPr>
        <w:tc>
          <w:tcPr>
            <w:tcW w:w="1276" w:type="dxa"/>
            <w:tcBorders>
              <w:top w:val="single" w:sz="4" w:space="0" w:color="auto"/>
              <w:left w:val="single" w:sz="4" w:space="0" w:color="auto"/>
              <w:bottom w:val="single" w:sz="4" w:space="0" w:color="auto"/>
              <w:right w:val="nil"/>
            </w:tcBorders>
          </w:tcPr>
          <w:p w14:paraId="3C6D4532" w14:textId="77777777" w:rsidR="00FE291A" w:rsidRDefault="00C8738F">
            <w:pPr>
              <w:pStyle w:val="TableParagraph"/>
              <w:keepNext/>
              <w:widowControl/>
              <w:kinsoku w:val="0"/>
              <w:overflowPunct w:val="0"/>
              <w:rPr>
                <w:sz w:val="22"/>
                <w:lang w:val="de-DE"/>
              </w:rPr>
            </w:pPr>
            <w:r>
              <w:rPr>
                <w:sz w:val="22"/>
                <w:szCs w:val="22"/>
                <w:lang w:val="de-DE"/>
              </w:rPr>
              <w:t>ACR-70</w:t>
            </w:r>
          </w:p>
        </w:tc>
        <w:tc>
          <w:tcPr>
            <w:tcW w:w="992" w:type="dxa"/>
            <w:tcBorders>
              <w:top w:val="single" w:sz="4" w:space="0" w:color="auto"/>
              <w:left w:val="nil"/>
              <w:bottom w:val="single" w:sz="4" w:space="0" w:color="auto"/>
              <w:right w:val="nil"/>
            </w:tcBorders>
          </w:tcPr>
          <w:p w14:paraId="4704590B" w14:textId="77777777" w:rsidR="00FE291A" w:rsidRDefault="00FE291A">
            <w:pPr>
              <w:keepNext/>
              <w:widowControl/>
              <w:jc w:val="center"/>
              <w:rPr>
                <w:sz w:val="22"/>
                <w:szCs w:val="22"/>
                <w:lang w:val="de-DE"/>
              </w:rPr>
            </w:pPr>
          </w:p>
        </w:tc>
        <w:tc>
          <w:tcPr>
            <w:tcW w:w="1418" w:type="dxa"/>
            <w:tcBorders>
              <w:top w:val="single" w:sz="4" w:space="0" w:color="auto"/>
              <w:left w:val="nil"/>
              <w:bottom w:val="single" w:sz="4" w:space="0" w:color="auto"/>
              <w:right w:val="nil"/>
            </w:tcBorders>
          </w:tcPr>
          <w:p w14:paraId="0CD8D896" w14:textId="77777777" w:rsidR="00FE291A" w:rsidRDefault="00FE291A">
            <w:pPr>
              <w:keepNext/>
              <w:widowControl/>
              <w:jc w:val="center"/>
              <w:rPr>
                <w:sz w:val="22"/>
                <w:lang w:val="de-DE"/>
              </w:rPr>
            </w:pPr>
          </w:p>
        </w:tc>
        <w:tc>
          <w:tcPr>
            <w:tcW w:w="932" w:type="dxa"/>
            <w:tcBorders>
              <w:top w:val="single" w:sz="4" w:space="0" w:color="auto"/>
              <w:left w:val="nil"/>
              <w:bottom w:val="single" w:sz="4" w:space="0" w:color="auto"/>
              <w:right w:val="nil"/>
            </w:tcBorders>
          </w:tcPr>
          <w:p w14:paraId="75F9A0F2" w14:textId="77777777" w:rsidR="00FE291A" w:rsidRDefault="00FE291A">
            <w:pPr>
              <w:keepNext/>
              <w:widowControl/>
              <w:jc w:val="center"/>
              <w:rPr>
                <w:sz w:val="22"/>
                <w:lang w:val="de-DE"/>
              </w:rPr>
            </w:pPr>
          </w:p>
        </w:tc>
        <w:tc>
          <w:tcPr>
            <w:tcW w:w="1336" w:type="dxa"/>
            <w:tcBorders>
              <w:top w:val="single" w:sz="4" w:space="0" w:color="auto"/>
              <w:left w:val="nil"/>
              <w:bottom w:val="single" w:sz="4" w:space="0" w:color="auto"/>
              <w:right w:val="nil"/>
            </w:tcBorders>
          </w:tcPr>
          <w:p w14:paraId="04A0556F" w14:textId="77777777" w:rsidR="00FE291A" w:rsidRDefault="00FE291A">
            <w:pPr>
              <w:keepNext/>
              <w:widowControl/>
              <w:jc w:val="center"/>
              <w:rPr>
                <w:sz w:val="22"/>
                <w:lang w:val="de-DE"/>
              </w:rPr>
            </w:pPr>
          </w:p>
        </w:tc>
        <w:tc>
          <w:tcPr>
            <w:tcW w:w="1417" w:type="dxa"/>
            <w:tcBorders>
              <w:top w:val="single" w:sz="4" w:space="0" w:color="auto"/>
              <w:left w:val="nil"/>
              <w:bottom w:val="single" w:sz="4" w:space="0" w:color="auto"/>
              <w:right w:val="nil"/>
            </w:tcBorders>
          </w:tcPr>
          <w:p w14:paraId="15FA3DFF" w14:textId="77777777" w:rsidR="00FE291A" w:rsidRDefault="00FE291A">
            <w:pPr>
              <w:keepNext/>
              <w:widowControl/>
              <w:jc w:val="center"/>
              <w:rPr>
                <w:sz w:val="22"/>
                <w:lang w:val="de-DE"/>
              </w:rPr>
            </w:pPr>
          </w:p>
        </w:tc>
        <w:tc>
          <w:tcPr>
            <w:tcW w:w="1425" w:type="dxa"/>
            <w:tcBorders>
              <w:top w:val="single" w:sz="4" w:space="0" w:color="auto"/>
              <w:left w:val="nil"/>
              <w:bottom w:val="single" w:sz="4" w:space="0" w:color="auto"/>
              <w:right w:val="single" w:sz="4" w:space="0" w:color="auto"/>
            </w:tcBorders>
          </w:tcPr>
          <w:p w14:paraId="3C291BBB" w14:textId="77777777" w:rsidR="00FE291A" w:rsidRDefault="00FE291A">
            <w:pPr>
              <w:keepNext/>
              <w:widowControl/>
              <w:jc w:val="center"/>
              <w:rPr>
                <w:sz w:val="22"/>
                <w:lang w:val="de-DE"/>
              </w:rPr>
            </w:pPr>
          </w:p>
        </w:tc>
      </w:tr>
      <w:tr w:rsidR="00FE291A" w14:paraId="2A41BC83" w14:textId="77777777">
        <w:trPr>
          <w:cantSplit/>
          <w:trHeight w:hRule="exact" w:val="259"/>
        </w:trPr>
        <w:tc>
          <w:tcPr>
            <w:tcW w:w="1276" w:type="dxa"/>
            <w:tcBorders>
              <w:top w:val="single" w:sz="4" w:space="0" w:color="auto"/>
            </w:tcBorders>
          </w:tcPr>
          <w:p w14:paraId="42758912" w14:textId="77777777" w:rsidR="00FE291A" w:rsidRDefault="00C8738F">
            <w:pPr>
              <w:pStyle w:val="TableParagraph"/>
              <w:keepNext/>
              <w:widowControl/>
              <w:kinsoku w:val="0"/>
              <w:overflowPunct w:val="0"/>
              <w:ind w:firstLine="142"/>
              <w:rPr>
                <w:sz w:val="22"/>
                <w:lang w:val="de-DE"/>
              </w:rPr>
            </w:pPr>
            <w:r>
              <w:rPr>
                <w:sz w:val="22"/>
                <w:szCs w:val="22"/>
                <w:lang w:val="de-DE"/>
              </w:rPr>
              <w:t>6 Monate</w:t>
            </w:r>
          </w:p>
        </w:tc>
        <w:tc>
          <w:tcPr>
            <w:tcW w:w="992" w:type="dxa"/>
            <w:tcBorders>
              <w:top w:val="single" w:sz="4" w:space="0" w:color="auto"/>
            </w:tcBorders>
          </w:tcPr>
          <w:p w14:paraId="32184A7C" w14:textId="77777777" w:rsidR="00FE291A" w:rsidRDefault="00C8738F">
            <w:pPr>
              <w:pStyle w:val="TableParagraph"/>
              <w:keepNext/>
              <w:widowControl/>
              <w:kinsoku w:val="0"/>
              <w:overflowPunct w:val="0"/>
              <w:jc w:val="center"/>
              <w:rPr>
                <w:sz w:val="22"/>
                <w:lang w:val="de-DE"/>
              </w:rPr>
            </w:pPr>
            <w:r>
              <w:rPr>
                <w:sz w:val="22"/>
                <w:szCs w:val="22"/>
                <w:lang w:val="de-DE"/>
              </w:rPr>
              <w:t>3,3 %</w:t>
            </w:r>
          </w:p>
        </w:tc>
        <w:tc>
          <w:tcPr>
            <w:tcW w:w="1418" w:type="dxa"/>
            <w:tcBorders>
              <w:top w:val="single" w:sz="4" w:space="0" w:color="auto"/>
            </w:tcBorders>
          </w:tcPr>
          <w:p w14:paraId="68EE53CE" w14:textId="77777777" w:rsidR="00FE291A" w:rsidRDefault="00C8738F">
            <w:pPr>
              <w:pStyle w:val="TableParagraph"/>
              <w:keepNext/>
              <w:widowControl/>
              <w:kinsoku w:val="0"/>
              <w:overflowPunct w:val="0"/>
              <w:jc w:val="center"/>
              <w:rPr>
                <w:sz w:val="22"/>
                <w:lang w:val="de-DE"/>
              </w:rPr>
            </w:pPr>
            <w:r>
              <w:rPr>
                <w:sz w:val="22"/>
                <w:szCs w:val="22"/>
                <w:lang w:val="de-DE"/>
              </w:rPr>
              <w:t>23,8 %</w:t>
            </w:r>
          </w:p>
        </w:tc>
        <w:tc>
          <w:tcPr>
            <w:tcW w:w="932" w:type="dxa"/>
            <w:tcBorders>
              <w:top w:val="single" w:sz="4" w:space="0" w:color="auto"/>
            </w:tcBorders>
          </w:tcPr>
          <w:p w14:paraId="1A120118" w14:textId="77777777" w:rsidR="00FE291A" w:rsidRDefault="00C8738F">
            <w:pPr>
              <w:pStyle w:val="TableParagraph"/>
              <w:keepNext/>
              <w:widowControl/>
              <w:kinsoku w:val="0"/>
              <w:overflowPunct w:val="0"/>
              <w:jc w:val="center"/>
              <w:rPr>
                <w:sz w:val="22"/>
                <w:lang w:val="de-DE"/>
              </w:rPr>
            </w:pPr>
            <w:r>
              <w:rPr>
                <w:sz w:val="22"/>
                <w:szCs w:val="22"/>
                <w:lang w:val="de-DE"/>
              </w:rPr>
              <w:t>1,8 %</w:t>
            </w:r>
          </w:p>
        </w:tc>
        <w:tc>
          <w:tcPr>
            <w:tcW w:w="1336" w:type="dxa"/>
            <w:tcBorders>
              <w:top w:val="single" w:sz="4" w:space="0" w:color="auto"/>
            </w:tcBorders>
          </w:tcPr>
          <w:p w14:paraId="3FC0C7D7" w14:textId="77777777" w:rsidR="00FE291A" w:rsidRDefault="00C8738F">
            <w:pPr>
              <w:pStyle w:val="TableParagraph"/>
              <w:keepNext/>
              <w:widowControl/>
              <w:kinsoku w:val="0"/>
              <w:overflowPunct w:val="0"/>
              <w:jc w:val="center"/>
              <w:rPr>
                <w:sz w:val="22"/>
                <w:lang w:val="de-DE"/>
              </w:rPr>
            </w:pPr>
            <w:r>
              <w:rPr>
                <w:sz w:val="22"/>
                <w:szCs w:val="22"/>
                <w:lang w:val="de-DE"/>
              </w:rPr>
              <w:t>12,4 %</w:t>
            </w:r>
          </w:p>
        </w:tc>
        <w:tc>
          <w:tcPr>
            <w:tcW w:w="1417" w:type="dxa"/>
            <w:tcBorders>
              <w:top w:val="single" w:sz="4" w:space="0" w:color="auto"/>
            </w:tcBorders>
          </w:tcPr>
          <w:p w14:paraId="61BF5FF1" w14:textId="77777777" w:rsidR="00FE291A" w:rsidRDefault="00C8738F">
            <w:pPr>
              <w:pStyle w:val="TableParagraph"/>
              <w:keepNext/>
              <w:widowControl/>
              <w:kinsoku w:val="0"/>
              <w:overflowPunct w:val="0"/>
              <w:jc w:val="center"/>
              <w:rPr>
                <w:sz w:val="22"/>
                <w:lang w:val="de-DE"/>
              </w:rPr>
            </w:pPr>
            <w:r>
              <w:rPr>
                <w:sz w:val="22"/>
                <w:szCs w:val="22"/>
                <w:lang w:val="de-DE"/>
              </w:rPr>
              <w:t>2,5 %</w:t>
            </w:r>
          </w:p>
        </w:tc>
        <w:tc>
          <w:tcPr>
            <w:tcW w:w="1425" w:type="dxa"/>
            <w:tcBorders>
              <w:top w:val="single" w:sz="4" w:space="0" w:color="auto"/>
            </w:tcBorders>
          </w:tcPr>
          <w:p w14:paraId="05D07C6B" w14:textId="77777777" w:rsidR="00FE291A" w:rsidRDefault="00C8738F">
            <w:pPr>
              <w:pStyle w:val="TableParagraph"/>
              <w:keepNext/>
              <w:widowControl/>
              <w:kinsoku w:val="0"/>
              <w:overflowPunct w:val="0"/>
              <w:jc w:val="center"/>
              <w:rPr>
                <w:sz w:val="22"/>
                <w:lang w:val="de-DE"/>
              </w:rPr>
            </w:pPr>
            <w:r>
              <w:rPr>
                <w:sz w:val="22"/>
                <w:szCs w:val="22"/>
                <w:lang w:val="de-DE"/>
              </w:rPr>
              <w:t>20,8 %</w:t>
            </w:r>
          </w:p>
        </w:tc>
      </w:tr>
      <w:tr w:rsidR="00FE291A" w14:paraId="67100857" w14:textId="77777777">
        <w:trPr>
          <w:cantSplit/>
          <w:trHeight w:hRule="exact" w:val="257"/>
        </w:trPr>
        <w:tc>
          <w:tcPr>
            <w:tcW w:w="1276" w:type="dxa"/>
          </w:tcPr>
          <w:p w14:paraId="36E9A470" w14:textId="77777777" w:rsidR="00FE291A" w:rsidRDefault="00C8738F">
            <w:pPr>
              <w:pStyle w:val="TableParagraph"/>
              <w:keepNext/>
              <w:widowControl/>
              <w:kinsoku w:val="0"/>
              <w:overflowPunct w:val="0"/>
              <w:ind w:firstLine="142"/>
              <w:rPr>
                <w:sz w:val="22"/>
                <w:lang w:val="de-DE"/>
              </w:rPr>
            </w:pPr>
            <w:r>
              <w:rPr>
                <w:sz w:val="22"/>
                <w:szCs w:val="22"/>
                <w:lang w:val="de-DE"/>
              </w:rPr>
              <w:t>12 Monate</w:t>
            </w:r>
          </w:p>
        </w:tc>
        <w:tc>
          <w:tcPr>
            <w:tcW w:w="992" w:type="dxa"/>
          </w:tcPr>
          <w:p w14:paraId="3C563507" w14:textId="77777777" w:rsidR="00FE291A" w:rsidRDefault="00C8738F">
            <w:pPr>
              <w:pStyle w:val="TableParagraph"/>
              <w:keepNext/>
              <w:widowControl/>
              <w:kinsoku w:val="0"/>
              <w:overflowPunct w:val="0"/>
              <w:jc w:val="center"/>
              <w:rPr>
                <w:sz w:val="22"/>
                <w:lang w:val="de-DE"/>
              </w:rPr>
            </w:pPr>
            <w:r>
              <w:rPr>
                <w:sz w:val="22"/>
                <w:szCs w:val="22"/>
                <w:lang w:val="de-DE"/>
              </w:rPr>
              <w:t>entfällt</w:t>
            </w:r>
          </w:p>
        </w:tc>
        <w:tc>
          <w:tcPr>
            <w:tcW w:w="1418" w:type="dxa"/>
          </w:tcPr>
          <w:p w14:paraId="523D2D4D" w14:textId="77777777" w:rsidR="00FE291A" w:rsidRDefault="00C8738F">
            <w:pPr>
              <w:pStyle w:val="TableParagraph"/>
              <w:keepNext/>
              <w:widowControl/>
              <w:kinsoku w:val="0"/>
              <w:overflowPunct w:val="0"/>
              <w:jc w:val="center"/>
              <w:rPr>
                <w:sz w:val="22"/>
                <w:lang w:val="de-DE"/>
              </w:rPr>
            </w:pPr>
            <w:r>
              <w:rPr>
                <w:sz w:val="22"/>
                <w:szCs w:val="22"/>
                <w:lang w:val="de-DE"/>
              </w:rPr>
              <w:t>entfällt</w:t>
            </w:r>
          </w:p>
        </w:tc>
        <w:tc>
          <w:tcPr>
            <w:tcW w:w="932" w:type="dxa"/>
          </w:tcPr>
          <w:p w14:paraId="0FFFC20F" w14:textId="77777777" w:rsidR="00FE291A" w:rsidRDefault="00C8738F">
            <w:pPr>
              <w:pStyle w:val="TableParagraph"/>
              <w:keepNext/>
              <w:widowControl/>
              <w:kinsoku w:val="0"/>
              <w:overflowPunct w:val="0"/>
              <w:jc w:val="center"/>
              <w:rPr>
                <w:sz w:val="22"/>
                <w:lang w:val="de-DE"/>
              </w:rPr>
            </w:pPr>
            <w:r>
              <w:rPr>
                <w:sz w:val="22"/>
                <w:szCs w:val="22"/>
                <w:lang w:val="de-DE"/>
              </w:rPr>
              <w:t>entfällt</w:t>
            </w:r>
          </w:p>
        </w:tc>
        <w:tc>
          <w:tcPr>
            <w:tcW w:w="1336" w:type="dxa"/>
          </w:tcPr>
          <w:p w14:paraId="61C4802E" w14:textId="77777777" w:rsidR="00FE291A" w:rsidRDefault="00C8738F">
            <w:pPr>
              <w:pStyle w:val="TableParagraph"/>
              <w:keepNext/>
              <w:widowControl/>
              <w:kinsoku w:val="0"/>
              <w:overflowPunct w:val="0"/>
              <w:jc w:val="center"/>
              <w:rPr>
                <w:sz w:val="22"/>
                <w:lang w:val="de-DE"/>
              </w:rPr>
            </w:pPr>
            <w:r>
              <w:rPr>
                <w:sz w:val="22"/>
                <w:szCs w:val="22"/>
                <w:lang w:val="de-DE"/>
              </w:rPr>
              <w:t>entfällt</w:t>
            </w:r>
          </w:p>
        </w:tc>
        <w:tc>
          <w:tcPr>
            <w:tcW w:w="1417" w:type="dxa"/>
          </w:tcPr>
          <w:p w14:paraId="4A765088" w14:textId="77777777" w:rsidR="00FE291A" w:rsidRDefault="00C8738F">
            <w:pPr>
              <w:pStyle w:val="TableParagraph"/>
              <w:keepNext/>
              <w:widowControl/>
              <w:kinsoku w:val="0"/>
              <w:overflowPunct w:val="0"/>
              <w:jc w:val="center"/>
              <w:rPr>
                <w:sz w:val="22"/>
                <w:lang w:val="de-DE"/>
              </w:rPr>
            </w:pPr>
            <w:r>
              <w:rPr>
                <w:sz w:val="22"/>
                <w:szCs w:val="22"/>
                <w:lang w:val="de-DE"/>
              </w:rPr>
              <w:t>4,5 %</w:t>
            </w:r>
          </w:p>
        </w:tc>
        <w:tc>
          <w:tcPr>
            <w:tcW w:w="1425" w:type="dxa"/>
          </w:tcPr>
          <w:p w14:paraId="37FC59DB" w14:textId="77777777" w:rsidR="00FE291A" w:rsidRDefault="00C8738F">
            <w:pPr>
              <w:pStyle w:val="TableParagraph"/>
              <w:keepNext/>
              <w:widowControl/>
              <w:kinsoku w:val="0"/>
              <w:overflowPunct w:val="0"/>
              <w:jc w:val="center"/>
              <w:rPr>
                <w:sz w:val="22"/>
                <w:lang w:val="de-DE"/>
              </w:rPr>
            </w:pPr>
            <w:r>
              <w:rPr>
                <w:sz w:val="22"/>
                <w:szCs w:val="22"/>
                <w:lang w:val="de-DE"/>
              </w:rPr>
              <w:t>23,2 %</w:t>
            </w:r>
          </w:p>
        </w:tc>
      </w:tr>
    </w:tbl>
    <w:p w14:paraId="6D1CCD04" w14:textId="77777777" w:rsidR="00FE291A" w:rsidRDefault="00C8738F">
      <w:pPr>
        <w:pStyle w:val="BodyText"/>
        <w:keepNext/>
        <w:widowControl/>
        <w:tabs>
          <w:tab w:val="left" w:pos="0"/>
        </w:tabs>
        <w:kinsoku w:val="0"/>
        <w:overflowPunct w:val="0"/>
        <w:ind w:left="0"/>
        <w:rPr>
          <w:sz w:val="20"/>
          <w:szCs w:val="20"/>
          <w:lang w:val="de-DE"/>
        </w:rPr>
      </w:pPr>
      <w:r>
        <w:rPr>
          <w:sz w:val="20"/>
          <w:szCs w:val="20"/>
          <w:vertAlign w:val="superscript"/>
          <w:lang w:val="de-DE"/>
        </w:rPr>
        <w:t>a</w:t>
      </w:r>
      <w:r>
        <w:rPr>
          <w:sz w:val="20"/>
          <w:szCs w:val="20"/>
          <w:lang w:val="de-DE"/>
        </w:rPr>
        <w:t xml:space="preserve"> RA-Studie I nach 24 Wochen, RA-Studie II nach 26 Wochen und RA-Studie III nach 24 und 52 Wochen</w:t>
      </w:r>
    </w:p>
    <w:p w14:paraId="04F20360" w14:textId="77777777" w:rsidR="00FE291A" w:rsidRDefault="00C8738F">
      <w:pPr>
        <w:pStyle w:val="BodyText"/>
        <w:keepNext/>
        <w:widowControl/>
        <w:tabs>
          <w:tab w:val="left" w:pos="0"/>
        </w:tabs>
        <w:kinsoku w:val="0"/>
        <w:overflowPunct w:val="0"/>
        <w:ind w:left="0"/>
        <w:rPr>
          <w:sz w:val="20"/>
          <w:szCs w:val="20"/>
          <w:lang w:val="de-DE"/>
        </w:rPr>
      </w:pPr>
      <w:r>
        <w:rPr>
          <w:sz w:val="20"/>
          <w:szCs w:val="20"/>
          <w:vertAlign w:val="superscript"/>
          <w:lang w:val="de-DE"/>
        </w:rPr>
        <w:t>b</w:t>
      </w:r>
      <w:r>
        <w:rPr>
          <w:sz w:val="20"/>
          <w:szCs w:val="20"/>
          <w:lang w:val="de-DE"/>
        </w:rPr>
        <w:t xml:space="preserve"> 40 mg Adalimumab jede zweite Woche</w:t>
      </w:r>
    </w:p>
    <w:p w14:paraId="53782329" w14:textId="77777777" w:rsidR="00FE291A" w:rsidRDefault="00C8738F">
      <w:pPr>
        <w:pStyle w:val="BodyText"/>
        <w:keepNext/>
        <w:widowControl/>
        <w:tabs>
          <w:tab w:val="left" w:pos="0"/>
        </w:tabs>
        <w:kinsoku w:val="0"/>
        <w:overflowPunct w:val="0"/>
        <w:ind w:left="0"/>
        <w:rPr>
          <w:sz w:val="20"/>
          <w:szCs w:val="20"/>
          <w:lang w:val="de-DE"/>
        </w:rPr>
      </w:pPr>
      <w:r>
        <w:rPr>
          <w:sz w:val="20"/>
          <w:szCs w:val="20"/>
          <w:vertAlign w:val="superscript"/>
          <w:lang w:val="de-DE"/>
        </w:rPr>
        <w:t>c</w:t>
      </w:r>
      <w:r>
        <w:rPr>
          <w:sz w:val="20"/>
          <w:szCs w:val="20"/>
          <w:lang w:val="de-DE"/>
        </w:rPr>
        <w:t xml:space="preserve"> MTX = Methotrexat</w:t>
      </w:r>
    </w:p>
    <w:p w14:paraId="42E9B8F5" w14:textId="77777777" w:rsidR="00FE291A" w:rsidRDefault="00C8738F">
      <w:pPr>
        <w:pStyle w:val="BodyText"/>
        <w:widowControl/>
        <w:tabs>
          <w:tab w:val="left" w:pos="0"/>
        </w:tabs>
        <w:kinsoku w:val="0"/>
        <w:overflowPunct w:val="0"/>
        <w:ind w:left="0"/>
        <w:rPr>
          <w:sz w:val="20"/>
          <w:szCs w:val="20"/>
          <w:lang w:val="de-DE"/>
        </w:rPr>
      </w:pPr>
      <w:r>
        <w:rPr>
          <w:sz w:val="20"/>
          <w:szCs w:val="20"/>
          <w:lang w:val="de-DE"/>
        </w:rPr>
        <w:t>** p &lt; 0,01; Adalimumab gegenüber Placebo</w:t>
      </w:r>
    </w:p>
    <w:p w14:paraId="1B695969" w14:textId="77777777" w:rsidR="00FE291A" w:rsidRDefault="00FE291A">
      <w:pPr>
        <w:widowControl/>
        <w:kinsoku w:val="0"/>
        <w:overflowPunct w:val="0"/>
        <w:rPr>
          <w:sz w:val="22"/>
          <w:szCs w:val="19"/>
          <w:lang w:val="de-DE"/>
        </w:rPr>
      </w:pPr>
    </w:p>
    <w:p w14:paraId="3397D2C8" w14:textId="77777777" w:rsidR="00FE291A" w:rsidRDefault="00C8738F">
      <w:pPr>
        <w:pStyle w:val="BodyText"/>
        <w:widowControl/>
        <w:kinsoku w:val="0"/>
        <w:overflowPunct w:val="0"/>
        <w:ind w:left="0"/>
        <w:rPr>
          <w:lang w:val="de-DE"/>
        </w:rPr>
      </w:pPr>
      <w:r>
        <w:rPr>
          <w:lang w:val="de-DE"/>
        </w:rPr>
        <w:t>In den RA-Studien I – IV wurde im Vergleich zu Placebo nach 24 bzw. 26 Wochen eine Verbesserung aller individuellen ACR-Ansprechkriterien festgestellt (Anzahl der druckschmerzempfindlichen und geschwollenen Gelenke, Einstufung der Krankheitsaktivität und des Schmerzes durch Arzt und Patienten, Ausmaß der körperlichen Funktionseinschränkung (</w:t>
      </w:r>
      <w:r>
        <w:rPr>
          <w:i/>
          <w:iCs/>
          <w:lang w:val="de-DE"/>
        </w:rPr>
        <w:t>Health Assessment Questionnaire</w:t>
      </w:r>
      <w:r>
        <w:rPr>
          <w:lang w:val="de-DE"/>
        </w:rPr>
        <w:t>, HAQ) und CRP-Werte (mg/dl)). In der RA-Studie III hielt diese Verbesserung bis zur Woche 52 an.</w:t>
      </w:r>
    </w:p>
    <w:p w14:paraId="627E20FD" w14:textId="77777777" w:rsidR="00FE291A" w:rsidRDefault="00FE291A">
      <w:pPr>
        <w:widowControl/>
        <w:kinsoku w:val="0"/>
        <w:overflowPunct w:val="0"/>
        <w:rPr>
          <w:sz w:val="22"/>
          <w:lang w:val="de-DE"/>
        </w:rPr>
      </w:pPr>
    </w:p>
    <w:p w14:paraId="1BC47E0D" w14:textId="77777777" w:rsidR="00FE291A" w:rsidRDefault="00C8738F">
      <w:pPr>
        <w:pStyle w:val="BodyText"/>
        <w:widowControl/>
        <w:kinsoku w:val="0"/>
        <w:overflowPunct w:val="0"/>
        <w:ind w:left="0"/>
        <w:rPr>
          <w:lang w:val="de-DE"/>
        </w:rPr>
      </w:pPr>
      <w:r>
        <w:rPr>
          <w:lang w:val="de-DE"/>
        </w:rPr>
        <w:t>In der offenen Fortsetzungsphase der RA-Studie III blieb bei den meisten Patienten, die ein ACR- Ansprechen zeigten, dieses über eine Nachbeobachtung von bis zu 10 Jahren erhalten. Von 207</w:t>
      </w:r>
      <w:r>
        <w:rPr>
          <w:lang w:val="de-DE" w:eastAsia="zh-TW"/>
        </w:rPr>
        <w:t> </w:t>
      </w:r>
      <w:r>
        <w:rPr>
          <w:lang w:val="de-DE"/>
        </w:rPr>
        <w:t>Patienten, die zu Adalimumab 40 mg alle 2 Wochen randomisiert wurden, erhielten 114 Patienten eine Dauertherapie von Adalimumab 40 mg jede zweite Woche über 5 Jahre. Von diesen hatten 86 Patienten (75,4 %) ein ACR-20-Ansprechen; 72 Patienten (63,2 %) ein ACR-50-Ansprechen und 41 Patienten (36 %) ein ACR-70-Ansprechen. Von 207 Patienten wurden 81 Patienten 10 Jahre lang mit Adalimumab 40 mg jede zweite Woche weiterbehandelt. Von diesen hatten 64 Patienten (79,0 %) ein ACR-20-Ansprechen; 56 Patienten (69,1 %) ein ACR-50-Ansprechen und 43 Patienten (53,1 %) ein ACR-70-Ansprechen.</w:t>
      </w:r>
    </w:p>
    <w:p w14:paraId="5C248107" w14:textId="77777777" w:rsidR="00FE291A" w:rsidRDefault="00FE291A">
      <w:pPr>
        <w:widowControl/>
        <w:kinsoku w:val="0"/>
        <w:overflowPunct w:val="0"/>
        <w:rPr>
          <w:sz w:val="22"/>
          <w:lang w:val="de-DE"/>
        </w:rPr>
      </w:pPr>
    </w:p>
    <w:p w14:paraId="7F76CE3E" w14:textId="77777777" w:rsidR="00FE291A" w:rsidRDefault="00C8738F">
      <w:pPr>
        <w:pStyle w:val="BodyText"/>
        <w:widowControl/>
        <w:kinsoku w:val="0"/>
        <w:overflowPunct w:val="0"/>
        <w:ind w:left="0"/>
        <w:rPr>
          <w:lang w:val="de-DE"/>
        </w:rPr>
      </w:pPr>
      <w:r>
        <w:rPr>
          <w:lang w:val="de-DE"/>
        </w:rPr>
        <w:t>In der RA-Studie IV war die ACR-20-Ansprechrate bei Patienten, die mit Adalimumab plus Therapiestandard behandelt wurden, statistisch signifikant besser als bei Patienten, die Placebo plus Therapiestandard erhielten (p &lt; 0,001).</w:t>
      </w:r>
    </w:p>
    <w:p w14:paraId="0BD32586" w14:textId="77777777" w:rsidR="00FE291A" w:rsidRDefault="00FE291A">
      <w:pPr>
        <w:widowControl/>
        <w:kinsoku w:val="0"/>
        <w:overflowPunct w:val="0"/>
        <w:rPr>
          <w:sz w:val="22"/>
          <w:lang w:val="de-DE"/>
        </w:rPr>
      </w:pPr>
    </w:p>
    <w:p w14:paraId="3E53490A" w14:textId="77777777" w:rsidR="00FE291A" w:rsidRDefault="00C8738F">
      <w:pPr>
        <w:pStyle w:val="BodyText"/>
        <w:widowControl/>
        <w:kinsoku w:val="0"/>
        <w:overflowPunct w:val="0"/>
        <w:ind w:left="0"/>
        <w:rPr>
          <w:lang w:val="de-DE"/>
        </w:rPr>
      </w:pPr>
      <w:r>
        <w:rPr>
          <w:lang w:val="de-DE"/>
        </w:rPr>
        <w:t>Im Vergleich zu Placebo erreichten die mit Adalimumab behandelten Patienten in den RA-Studien I </w:t>
      </w:r>
      <w:r>
        <w:rPr>
          <w:lang w:val="de-DE"/>
        </w:rPr>
        <w:noBreakHyphen/>
        <w:t> IV bereits ein bis zwei Wochen nach Behandlungsbeginn statistisch signifikante ACR-20- und ACR-50-Ansprechraten.</w:t>
      </w:r>
    </w:p>
    <w:p w14:paraId="1C25E9CA" w14:textId="77777777" w:rsidR="00FE291A" w:rsidRDefault="00FE291A">
      <w:pPr>
        <w:widowControl/>
        <w:kinsoku w:val="0"/>
        <w:overflowPunct w:val="0"/>
        <w:rPr>
          <w:sz w:val="22"/>
          <w:lang w:val="de-DE"/>
        </w:rPr>
      </w:pPr>
    </w:p>
    <w:p w14:paraId="7586A619" w14:textId="77777777" w:rsidR="00FE291A" w:rsidRDefault="00C8738F">
      <w:pPr>
        <w:pStyle w:val="BodyText"/>
        <w:widowControl/>
        <w:kinsoku w:val="0"/>
        <w:overflowPunct w:val="0"/>
        <w:ind w:left="0"/>
        <w:rPr>
          <w:lang w:val="de-DE"/>
        </w:rPr>
      </w:pPr>
      <w:r>
        <w:rPr>
          <w:lang w:val="de-DE"/>
        </w:rPr>
        <w:t>In der RA-Studie V führte die Kombinationstherapie mit Adalimumab und Methotrexat bei Methotrexat-naiven Patienten mit früher rheumatoider Arthritis nach 52 Wochen zu einem schnelleren und signifikant größeren ACR-Ansprechen als unter Methotrexat-Monotherapie und Adalimumab-Monotherapie. Das Ansprechen wurde bis Woche 104 aufrechterhalten (siehe Tabelle 9).</w:t>
      </w:r>
    </w:p>
    <w:p w14:paraId="499F045E" w14:textId="77777777" w:rsidR="00FE291A" w:rsidRDefault="00FE291A">
      <w:pPr>
        <w:pStyle w:val="BodyText"/>
        <w:widowControl/>
        <w:kinsoku w:val="0"/>
        <w:overflowPunct w:val="0"/>
        <w:ind w:left="0"/>
        <w:rPr>
          <w:lang w:val="de-DE"/>
        </w:rPr>
      </w:pPr>
    </w:p>
    <w:p w14:paraId="74776A94" w14:textId="77777777" w:rsidR="00FE291A" w:rsidRDefault="00C8738F">
      <w:pPr>
        <w:pStyle w:val="BodyText"/>
        <w:keepNext/>
        <w:widowControl/>
        <w:ind w:left="0"/>
        <w:rPr>
          <w:b/>
          <w:lang w:val="de-DE"/>
        </w:rPr>
      </w:pPr>
      <w:r>
        <w:rPr>
          <w:b/>
          <w:lang w:val="de-DE"/>
        </w:rPr>
        <w:t>Tabelle 9: ACR-Ansprechraten in der RA-Studie V (prozentualer Anteil der Patienten)</w:t>
      </w:r>
    </w:p>
    <w:p w14:paraId="2440A734" w14:textId="77777777" w:rsidR="00FE291A" w:rsidRDefault="00FE291A">
      <w:pPr>
        <w:keepNext/>
        <w:widowControl/>
        <w:kinsoku w:val="0"/>
        <w:overflowPunct w:val="0"/>
        <w:rPr>
          <w:sz w:val="22"/>
          <w:lang w:val="de-DE"/>
        </w:rPr>
      </w:pPr>
    </w:p>
    <w:tbl>
      <w:tblPr>
        <w:tblW w:w="9458" w:type="dxa"/>
        <w:tblInd w:w="8" w:type="dxa"/>
        <w:tblLayout w:type="fixed"/>
        <w:tblCellMar>
          <w:left w:w="0" w:type="dxa"/>
          <w:right w:w="0" w:type="dxa"/>
        </w:tblCellMar>
        <w:tblLook w:val="04A0" w:firstRow="1" w:lastRow="0" w:firstColumn="1" w:lastColumn="0" w:noHBand="0" w:noVBand="1"/>
      </w:tblPr>
      <w:tblGrid>
        <w:gridCol w:w="1958"/>
        <w:gridCol w:w="1158"/>
        <w:gridCol w:w="1311"/>
        <w:gridCol w:w="1566"/>
        <w:gridCol w:w="1091"/>
        <w:gridCol w:w="1165"/>
        <w:gridCol w:w="1209"/>
      </w:tblGrid>
      <w:tr w:rsidR="00FE291A" w14:paraId="19D45EEB" w14:textId="77777777">
        <w:trPr>
          <w:cantSplit/>
          <w:trHeight w:hRule="exact" w:val="758"/>
          <w:tblHeader/>
        </w:trPr>
        <w:tc>
          <w:tcPr>
            <w:tcW w:w="1958" w:type="dxa"/>
            <w:tcBorders>
              <w:top w:val="single" w:sz="4" w:space="0" w:color="000000"/>
              <w:left w:val="single" w:sz="6" w:space="0" w:color="000000"/>
              <w:bottom w:val="single" w:sz="4" w:space="0" w:color="000000"/>
              <w:right w:val="single" w:sz="4" w:space="0" w:color="000000"/>
            </w:tcBorders>
          </w:tcPr>
          <w:p w14:paraId="5F5B3E0C" w14:textId="77777777" w:rsidR="00FE291A" w:rsidRDefault="00FE291A">
            <w:pPr>
              <w:pStyle w:val="TableParagraph"/>
              <w:keepNext/>
              <w:widowControl/>
              <w:kinsoku w:val="0"/>
              <w:overflowPunct w:val="0"/>
              <w:rPr>
                <w:sz w:val="22"/>
                <w:szCs w:val="22"/>
                <w:lang w:val="de-DE"/>
              </w:rPr>
            </w:pPr>
          </w:p>
          <w:p w14:paraId="4A682920" w14:textId="77777777" w:rsidR="00FE291A" w:rsidRDefault="00C8738F">
            <w:pPr>
              <w:pStyle w:val="TableParagraph"/>
              <w:keepNext/>
              <w:widowControl/>
              <w:kinsoku w:val="0"/>
              <w:overflowPunct w:val="0"/>
              <w:rPr>
                <w:sz w:val="22"/>
                <w:lang w:val="de-DE"/>
              </w:rPr>
            </w:pPr>
            <w:r>
              <w:rPr>
                <w:b/>
                <w:bCs/>
                <w:sz w:val="22"/>
                <w:szCs w:val="22"/>
                <w:lang w:val="de-DE"/>
              </w:rPr>
              <w:t>Ansprechen</w:t>
            </w:r>
          </w:p>
        </w:tc>
        <w:tc>
          <w:tcPr>
            <w:tcW w:w="1158" w:type="dxa"/>
            <w:tcBorders>
              <w:top w:val="single" w:sz="4" w:space="0" w:color="000000"/>
              <w:left w:val="single" w:sz="4" w:space="0" w:color="000000"/>
              <w:bottom w:val="single" w:sz="4" w:space="0" w:color="000000"/>
              <w:right w:val="single" w:sz="4" w:space="0" w:color="000000"/>
            </w:tcBorders>
          </w:tcPr>
          <w:p w14:paraId="18FE9781" w14:textId="77777777" w:rsidR="00FE291A" w:rsidRDefault="00C8738F">
            <w:pPr>
              <w:pStyle w:val="TableParagraph"/>
              <w:keepNext/>
              <w:widowControl/>
              <w:kinsoku w:val="0"/>
              <w:overflowPunct w:val="0"/>
              <w:jc w:val="center"/>
              <w:rPr>
                <w:b/>
                <w:bCs/>
                <w:sz w:val="22"/>
                <w:szCs w:val="22"/>
                <w:lang w:val="de-DE"/>
              </w:rPr>
            </w:pPr>
            <w:r>
              <w:rPr>
                <w:b/>
                <w:bCs/>
                <w:sz w:val="22"/>
                <w:szCs w:val="22"/>
                <w:lang w:val="de-DE"/>
              </w:rPr>
              <w:t>MTX</w:t>
            </w:r>
          </w:p>
          <w:p w14:paraId="7A06F265" w14:textId="77777777" w:rsidR="00FE291A" w:rsidRDefault="00C8738F">
            <w:pPr>
              <w:pStyle w:val="TableParagraph"/>
              <w:keepNext/>
              <w:widowControl/>
              <w:kinsoku w:val="0"/>
              <w:overflowPunct w:val="0"/>
              <w:jc w:val="center"/>
              <w:rPr>
                <w:sz w:val="22"/>
                <w:lang w:val="de-DE"/>
              </w:rPr>
            </w:pPr>
            <w:r>
              <w:rPr>
                <w:b/>
                <w:bCs/>
                <w:sz w:val="22"/>
                <w:szCs w:val="22"/>
                <w:lang w:val="de-DE"/>
              </w:rPr>
              <w:t>n = 257</w:t>
            </w:r>
          </w:p>
        </w:tc>
        <w:tc>
          <w:tcPr>
            <w:tcW w:w="1311" w:type="dxa"/>
            <w:tcBorders>
              <w:top w:val="single" w:sz="4" w:space="0" w:color="000000"/>
              <w:left w:val="single" w:sz="4" w:space="0" w:color="000000"/>
              <w:bottom w:val="single" w:sz="4" w:space="0" w:color="000000"/>
              <w:right w:val="single" w:sz="4" w:space="0" w:color="000000"/>
            </w:tcBorders>
          </w:tcPr>
          <w:p w14:paraId="778E1848" w14:textId="77777777" w:rsidR="00FE291A" w:rsidRDefault="00C8738F">
            <w:pPr>
              <w:pStyle w:val="TableParagraph"/>
              <w:keepNext/>
              <w:widowControl/>
              <w:kinsoku w:val="0"/>
              <w:overflowPunct w:val="0"/>
              <w:jc w:val="center"/>
              <w:rPr>
                <w:sz w:val="22"/>
                <w:lang w:val="de-DE"/>
              </w:rPr>
            </w:pPr>
            <w:r>
              <w:rPr>
                <w:b/>
                <w:bCs/>
                <w:sz w:val="22"/>
                <w:szCs w:val="22"/>
                <w:lang w:val="de-DE"/>
              </w:rPr>
              <w:t>Adalimumab n = 274</w:t>
            </w:r>
          </w:p>
        </w:tc>
        <w:tc>
          <w:tcPr>
            <w:tcW w:w="1566" w:type="dxa"/>
            <w:tcBorders>
              <w:top w:val="single" w:sz="4" w:space="0" w:color="000000"/>
              <w:left w:val="single" w:sz="4" w:space="0" w:color="000000"/>
              <w:bottom w:val="single" w:sz="4" w:space="0" w:color="000000"/>
              <w:right w:val="single" w:sz="4" w:space="0" w:color="000000"/>
            </w:tcBorders>
          </w:tcPr>
          <w:p w14:paraId="21466B48" w14:textId="77777777" w:rsidR="00FE291A" w:rsidRDefault="00C8738F">
            <w:pPr>
              <w:pStyle w:val="TableParagraph"/>
              <w:keepNext/>
              <w:widowControl/>
              <w:kinsoku w:val="0"/>
              <w:overflowPunct w:val="0"/>
              <w:jc w:val="center"/>
              <w:rPr>
                <w:b/>
                <w:bCs/>
                <w:sz w:val="22"/>
                <w:szCs w:val="22"/>
                <w:lang w:val="de-DE"/>
              </w:rPr>
            </w:pPr>
            <w:r>
              <w:rPr>
                <w:b/>
                <w:bCs/>
                <w:sz w:val="22"/>
                <w:szCs w:val="22"/>
                <w:lang w:val="de-DE"/>
              </w:rPr>
              <w:t>Adalimumab/</w:t>
            </w:r>
          </w:p>
          <w:p w14:paraId="258E7D01" w14:textId="77777777" w:rsidR="00FE291A" w:rsidRDefault="00C8738F">
            <w:pPr>
              <w:pStyle w:val="TableParagraph"/>
              <w:keepNext/>
              <w:widowControl/>
              <w:kinsoku w:val="0"/>
              <w:overflowPunct w:val="0"/>
              <w:jc w:val="center"/>
              <w:rPr>
                <w:b/>
                <w:bCs/>
                <w:sz w:val="22"/>
                <w:szCs w:val="22"/>
                <w:lang w:val="de-DE"/>
              </w:rPr>
            </w:pPr>
            <w:r>
              <w:rPr>
                <w:b/>
                <w:bCs/>
                <w:sz w:val="22"/>
                <w:szCs w:val="22"/>
                <w:lang w:val="de-DE"/>
              </w:rPr>
              <w:t>MTX</w:t>
            </w:r>
          </w:p>
          <w:p w14:paraId="665E4CA7" w14:textId="77777777" w:rsidR="00FE291A" w:rsidRDefault="00C8738F">
            <w:pPr>
              <w:pStyle w:val="TableParagraph"/>
              <w:keepNext/>
              <w:widowControl/>
              <w:kinsoku w:val="0"/>
              <w:overflowPunct w:val="0"/>
              <w:jc w:val="center"/>
              <w:rPr>
                <w:sz w:val="22"/>
                <w:lang w:val="de-DE"/>
              </w:rPr>
            </w:pPr>
            <w:r>
              <w:rPr>
                <w:b/>
                <w:bCs/>
                <w:sz w:val="22"/>
                <w:szCs w:val="22"/>
                <w:lang w:val="de-DE"/>
              </w:rPr>
              <w:t>n = 268</w:t>
            </w:r>
          </w:p>
        </w:tc>
        <w:tc>
          <w:tcPr>
            <w:tcW w:w="1091" w:type="dxa"/>
            <w:tcBorders>
              <w:top w:val="single" w:sz="4" w:space="0" w:color="000000"/>
              <w:left w:val="single" w:sz="4" w:space="0" w:color="000000"/>
              <w:bottom w:val="single" w:sz="4" w:space="0" w:color="000000"/>
              <w:right w:val="single" w:sz="4" w:space="0" w:color="000000"/>
            </w:tcBorders>
          </w:tcPr>
          <w:p w14:paraId="4AAF92D6" w14:textId="77777777" w:rsidR="00FE291A" w:rsidRDefault="00FE291A">
            <w:pPr>
              <w:pStyle w:val="TableParagraph"/>
              <w:keepNext/>
              <w:widowControl/>
              <w:kinsoku w:val="0"/>
              <w:overflowPunct w:val="0"/>
              <w:jc w:val="center"/>
              <w:rPr>
                <w:sz w:val="22"/>
                <w:szCs w:val="22"/>
                <w:lang w:val="de-DE"/>
              </w:rPr>
            </w:pPr>
          </w:p>
          <w:p w14:paraId="4CA0F25C" w14:textId="77777777" w:rsidR="00FE291A" w:rsidRDefault="00C8738F">
            <w:pPr>
              <w:pStyle w:val="TableParagraph"/>
              <w:keepNext/>
              <w:widowControl/>
              <w:kinsoku w:val="0"/>
              <w:overflowPunct w:val="0"/>
              <w:jc w:val="center"/>
              <w:rPr>
                <w:sz w:val="22"/>
                <w:lang w:val="de-DE"/>
              </w:rPr>
            </w:pPr>
            <w:r>
              <w:rPr>
                <w:b/>
                <w:bCs/>
                <w:sz w:val="22"/>
                <w:szCs w:val="22"/>
                <w:lang w:val="de-DE"/>
              </w:rPr>
              <w:t>p-Wert</w:t>
            </w:r>
            <w:r>
              <w:rPr>
                <w:b/>
                <w:bCs/>
                <w:sz w:val="22"/>
                <w:szCs w:val="22"/>
                <w:vertAlign w:val="superscript"/>
                <w:lang w:val="de-DE"/>
              </w:rPr>
              <w:t>a</w:t>
            </w:r>
          </w:p>
        </w:tc>
        <w:tc>
          <w:tcPr>
            <w:tcW w:w="1165" w:type="dxa"/>
            <w:tcBorders>
              <w:top w:val="single" w:sz="4" w:space="0" w:color="000000"/>
              <w:left w:val="single" w:sz="4" w:space="0" w:color="000000"/>
              <w:bottom w:val="single" w:sz="4" w:space="0" w:color="000000"/>
              <w:right w:val="single" w:sz="4" w:space="0" w:color="000000"/>
            </w:tcBorders>
          </w:tcPr>
          <w:p w14:paraId="557E8C5C" w14:textId="77777777" w:rsidR="00FE291A" w:rsidRDefault="00FE291A">
            <w:pPr>
              <w:pStyle w:val="TableParagraph"/>
              <w:keepNext/>
              <w:widowControl/>
              <w:kinsoku w:val="0"/>
              <w:overflowPunct w:val="0"/>
              <w:jc w:val="center"/>
              <w:rPr>
                <w:sz w:val="22"/>
                <w:szCs w:val="22"/>
                <w:lang w:val="de-DE"/>
              </w:rPr>
            </w:pPr>
          </w:p>
          <w:p w14:paraId="72DB9690" w14:textId="77777777" w:rsidR="00FE291A" w:rsidRDefault="00C8738F">
            <w:pPr>
              <w:pStyle w:val="TableParagraph"/>
              <w:keepNext/>
              <w:widowControl/>
              <w:kinsoku w:val="0"/>
              <w:overflowPunct w:val="0"/>
              <w:jc w:val="center"/>
              <w:rPr>
                <w:sz w:val="22"/>
                <w:lang w:val="de-DE"/>
              </w:rPr>
            </w:pPr>
            <w:r>
              <w:rPr>
                <w:b/>
                <w:bCs/>
                <w:sz w:val="22"/>
                <w:szCs w:val="22"/>
                <w:lang w:val="de-DE"/>
              </w:rPr>
              <w:t>p-Wert</w:t>
            </w:r>
            <w:r>
              <w:rPr>
                <w:b/>
                <w:bCs/>
                <w:sz w:val="22"/>
                <w:szCs w:val="22"/>
                <w:vertAlign w:val="superscript"/>
                <w:lang w:val="de-DE"/>
              </w:rPr>
              <w:t>b</w:t>
            </w:r>
          </w:p>
        </w:tc>
        <w:tc>
          <w:tcPr>
            <w:tcW w:w="1205" w:type="dxa"/>
            <w:tcBorders>
              <w:top w:val="single" w:sz="4" w:space="0" w:color="000000"/>
              <w:left w:val="single" w:sz="4" w:space="0" w:color="000000"/>
              <w:bottom w:val="single" w:sz="4" w:space="0" w:color="000000"/>
              <w:right w:val="single" w:sz="4" w:space="0" w:color="000000"/>
            </w:tcBorders>
          </w:tcPr>
          <w:p w14:paraId="6D2BF6CA" w14:textId="77777777" w:rsidR="00FE291A" w:rsidRDefault="00FE291A">
            <w:pPr>
              <w:pStyle w:val="TableParagraph"/>
              <w:keepNext/>
              <w:widowControl/>
              <w:kinsoku w:val="0"/>
              <w:overflowPunct w:val="0"/>
              <w:jc w:val="center"/>
              <w:rPr>
                <w:sz w:val="22"/>
                <w:szCs w:val="22"/>
                <w:lang w:val="de-DE"/>
              </w:rPr>
            </w:pPr>
          </w:p>
          <w:p w14:paraId="4AA7938D" w14:textId="77777777" w:rsidR="00FE291A" w:rsidRDefault="00C8738F">
            <w:pPr>
              <w:pStyle w:val="TableParagraph"/>
              <w:keepNext/>
              <w:widowControl/>
              <w:kinsoku w:val="0"/>
              <w:overflowPunct w:val="0"/>
              <w:jc w:val="center"/>
              <w:rPr>
                <w:sz w:val="22"/>
                <w:lang w:val="de-DE"/>
              </w:rPr>
            </w:pPr>
            <w:r>
              <w:rPr>
                <w:b/>
                <w:bCs/>
                <w:sz w:val="22"/>
                <w:szCs w:val="22"/>
                <w:lang w:val="de-DE"/>
              </w:rPr>
              <w:t>p-Wert</w:t>
            </w:r>
            <w:r>
              <w:rPr>
                <w:b/>
                <w:bCs/>
                <w:sz w:val="22"/>
                <w:szCs w:val="22"/>
                <w:vertAlign w:val="superscript"/>
                <w:lang w:val="de-DE"/>
              </w:rPr>
              <w:t>c</w:t>
            </w:r>
          </w:p>
        </w:tc>
      </w:tr>
      <w:tr w:rsidR="00FE291A" w14:paraId="4C5DFC07" w14:textId="77777777">
        <w:trPr>
          <w:cantSplit/>
          <w:trHeight w:hRule="exact" w:val="241"/>
        </w:trPr>
        <w:tc>
          <w:tcPr>
            <w:tcW w:w="9458" w:type="dxa"/>
            <w:gridSpan w:val="7"/>
            <w:tcBorders>
              <w:top w:val="single" w:sz="4" w:space="0" w:color="000000"/>
              <w:left w:val="single" w:sz="6" w:space="0" w:color="000000"/>
              <w:bottom w:val="single" w:sz="4" w:space="0" w:color="000000"/>
              <w:right w:val="single" w:sz="4" w:space="0" w:color="000000"/>
            </w:tcBorders>
          </w:tcPr>
          <w:p w14:paraId="034A16EC" w14:textId="77777777" w:rsidR="00FE291A" w:rsidRDefault="00C8738F">
            <w:pPr>
              <w:keepNext/>
              <w:widowControl/>
              <w:rPr>
                <w:sz w:val="22"/>
                <w:lang w:val="de-DE"/>
              </w:rPr>
            </w:pPr>
            <w:r>
              <w:rPr>
                <w:sz w:val="22"/>
                <w:szCs w:val="22"/>
                <w:lang w:val="de-DE"/>
              </w:rPr>
              <w:t>ACR-20</w:t>
            </w:r>
          </w:p>
        </w:tc>
      </w:tr>
      <w:tr w:rsidR="00FE291A" w14:paraId="648254C5" w14:textId="77777777">
        <w:trPr>
          <w:cantSplit/>
          <w:trHeight w:hRule="exact" w:val="241"/>
        </w:trPr>
        <w:tc>
          <w:tcPr>
            <w:tcW w:w="1958" w:type="dxa"/>
            <w:tcBorders>
              <w:top w:val="single" w:sz="4" w:space="0" w:color="000000"/>
              <w:left w:val="single" w:sz="6" w:space="0" w:color="000000"/>
              <w:bottom w:val="single" w:sz="4" w:space="0" w:color="000000"/>
              <w:right w:val="single" w:sz="4" w:space="0" w:color="000000"/>
            </w:tcBorders>
          </w:tcPr>
          <w:p w14:paraId="4C9A7D66" w14:textId="77777777" w:rsidR="00FE291A" w:rsidRDefault="00C8738F">
            <w:pPr>
              <w:pStyle w:val="TableParagraph"/>
              <w:keepNext/>
              <w:widowControl/>
              <w:kinsoku w:val="0"/>
              <w:overflowPunct w:val="0"/>
              <w:ind w:firstLine="284"/>
              <w:rPr>
                <w:sz w:val="22"/>
                <w:lang w:val="de-DE"/>
              </w:rPr>
            </w:pPr>
            <w:r>
              <w:rPr>
                <w:sz w:val="22"/>
                <w:szCs w:val="22"/>
                <w:lang w:val="de-DE"/>
              </w:rPr>
              <w:t>Woche 52</w:t>
            </w:r>
          </w:p>
        </w:tc>
        <w:tc>
          <w:tcPr>
            <w:tcW w:w="1158" w:type="dxa"/>
            <w:tcBorders>
              <w:top w:val="single" w:sz="4" w:space="0" w:color="000000"/>
              <w:left w:val="single" w:sz="4" w:space="0" w:color="000000"/>
              <w:bottom w:val="single" w:sz="4" w:space="0" w:color="000000"/>
              <w:right w:val="single" w:sz="4" w:space="0" w:color="000000"/>
            </w:tcBorders>
          </w:tcPr>
          <w:p w14:paraId="5DC98F44" w14:textId="77777777" w:rsidR="00FE291A" w:rsidRDefault="00C8738F">
            <w:pPr>
              <w:pStyle w:val="TableParagraph"/>
              <w:keepNext/>
              <w:widowControl/>
              <w:kinsoku w:val="0"/>
              <w:overflowPunct w:val="0"/>
              <w:jc w:val="center"/>
              <w:rPr>
                <w:sz w:val="22"/>
                <w:lang w:val="de-DE"/>
              </w:rPr>
            </w:pPr>
            <w:r>
              <w:rPr>
                <w:sz w:val="22"/>
                <w:szCs w:val="22"/>
                <w:lang w:val="de-DE"/>
              </w:rPr>
              <w:t>62,6 %</w:t>
            </w:r>
          </w:p>
        </w:tc>
        <w:tc>
          <w:tcPr>
            <w:tcW w:w="1311" w:type="dxa"/>
            <w:tcBorders>
              <w:top w:val="single" w:sz="4" w:space="0" w:color="000000"/>
              <w:left w:val="single" w:sz="4" w:space="0" w:color="000000"/>
              <w:bottom w:val="single" w:sz="4" w:space="0" w:color="000000"/>
              <w:right w:val="single" w:sz="4" w:space="0" w:color="000000"/>
            </w:tcBorders>
          </w:tcPr>
          <w:p w14:paraId="1889FC0C" w14:textId="77777777" w:rsidR="00FE291A" w:rsidRDefault="00C8738F">
            <w:pPr>
              <w:pStyle w:val="TableParagraph"/>
              <w:keepNext/>
              <w:widowControl/>
              <w:kinsoku w:val="0"/>
              <w:overflowPunct w:val="0"/>
              <w:jc w:val="center"/>
              <w:rPr>
                <w:sz w:val="22"/>
                <w:lang w:val="de-DE"/>
              </w:rPr>
            </w:pPr>
            <w:r>
              <w:rPr>
                <w:sz w:val="22"/>
                <w:szCs w:val="22"/>
                <w:lang w:val="de-DE"/>
              </w:rPr>
              <w:t>54,4 %</w:t>
            </w:r>
          </w:p>
        </w:tc>
        <w:tc>
          <w:tcPr>
            <w:tcW w:w="1566" w:type="dxa"/>
            <w:tcBorders>
              <w:top w:val="single" w:sz="4" w:space="0" w:color="000000"/>
              <w:left w:val="single" w:sz="4" w:space="0" w:color="000000"/>
              <w:bottom w:val="single" w:sz="4" w:space="0" w:color="000000"/>
              <w:right w:val="single" w:sz="4" w:space="0" w:color="000000"/>
            </w:tcBorders>
          </w:tcPr>
          <w:p w14:paraId="009711C2" w14:textId="77777777" w:rsidR="00FE291A" w:rsidRDefault="00C8738F">
            <w:pPr>
              <w:pStyle w:val="TableParagraph"/>
              <w:keepNext/>
              <w:widowControl/>
              <w:kinsoku w:val="0"/>
              <w:overflowPunct w:val="0"/>
              <w:jc w:val="center"/>
              <w:rPr>
                <w:sz w:val="22"/>
                <w:lang w:val="de-DE"/>
              </w:rPr>
            </w:pPr>
            <w:r>
              <w:rPr>
                <w:sz w:val="22"/>
                <w:szCs w:val="22"/>
                <w:lang w:val="de-DE"/>
              </w:rPr>
              <w:t>72,8 %</w:t>
            </w:r>
          </w:p>
        </w:tc>
        <w:tc>
          <w:tcPr>
            <w:tcW w:w="1091" w:type="dxa"/>
            <w:tcBorders>
              <w:top w:val="single" w:sz="4" w:space="0" w:color="000000"/>
              <w:left w:val="single" w:sz="4" w:space="0" w:color="000000"/>
              <w:bottom w:val="single" w:sz="4" w:space="0" w:color="000000"/>
              <w:right w:val="single" w:sz="4" w:space="0" w:color="000000"/>
            </w:tcBorders>
          </w:tcPr>
          <w:p w14:paraId="3E90F833" w14:textId="77777777" w:rsidR="00FE291A" w:rsidRDefault="00C8738F">
            <w:pPr>
              <w:pStyle w:val="TableParagraph"/>
              <w:keepNext/>
              <w:widowControl/>
              <w:kinsoku w:val="0"/>
              <w:overflowPunct w:val="0"/>
              <w:jc w:val="center"/>
              <w:rPr>
                <w:sz w:val="22"/>
                <w:lang w:val="de-DE"/>
              </w:rPr>
            </w:pPr>
            <w:r>
              <w:rPr>
                <w:sz w:val="22"/>
                <w:szCs w:val="22"/>
                <w:lang w:val="de-DE"/>
              </w:rPr>
              <w:t>0,013</w:t>
            </w:r>
          </w:p>
        </w:tc>
        <w:tc>
          <w:tcPr>
            <w:tcW w:w="1165" w:type="dxa"/>
            <w:tcBorders>
              <w:top w:val="single" w:sz="4" w:space="0" w:color="000000"/>
              <w:left w:val="single" w:sz="4" w:space="0" w:color="000000"/>
              <w:bottom w:val="single" w:sz="4" w:space="0" w:color="000000"/>
              <w:right w:val="single" w:sz="4" w:space="0" w:color="000000"/>
            </w:tcBorders>
          </w:tcPr>
          <w:p w14:paraId="5A8E8342" w14:textId="77777777" w:rsidR="00FE291A" w:rsidRDefault="00C8738F">
            <w:pPr>
              <w:pStyle w:val="TableParagraph"/>
              <w:keepNext/>
              <w:widowControl/>
              <w:kinsoku w:val="0"/>
              <w:overflowPunct w:val="0"/>
              <w:jc w:val="center"/>
              <w:rPr>
                <w:sz w:val="22"/>
                <w:lang w:val="de-DE"/>
              </w:rPr>
            </w:pPr>
            <w:r>
              <w:rPr>
                <w:sz w:val="22"/>
                <w:szCs w:val="22"/>
                <w:lang w:val="de-DE"/>
              </w:rPr>
              <w:t>&lt; 0,001</w:t>
            </w:r>
          </w:p>
        </w:tc>
        <w:tc>
          <w:tcPr>
            <w:tcW w:w="1205" w:type="dxa"/>
            <w:tcBorders>
              <w:top w:val="single" w:sz="4" w:space="0" w:color="000000"/>
              <w:left w:val="single" w:sz="4" w:space="0" w:color="000000"/>
              <w:bottom w:val="single" w:sz="4" w:space="0" w:color="000000"/>
              <w:right w:val="single" w:sz="4" w:space="0" w:color="000000"/>
            </w:tcBorders>
          </w:tcPr>
          <w:p w14:paraId="284E7244" w14:textId="77777777" w:rsidR="00FE291A" w:rsidRDefault="00C8738F">
            <w:pPr>
              <w:pStyle w:val="TableParagraph"/>
              <w:keepNext/>
              <w:widowControl/>
              <w:kinsoku w:val="0"/>
              <w:overflowPunct w:val="0"/>
              <w:jc w:val="center"/>
              <w:rPr>
                <w:sz w:val="22"/>
                <w:lang w:val="de-DE"/>
              </w:rPr>
            </w:pPr>
            <w:r>
              <w:rPr>
                <w:sz w:val="22"/>
                <w:szCs w:val="22"/>
                <w:lang w:val="de-DE"/>
              </w:rPr>
              <w:t>0,043</w:t>
            </w:r>
          </w:p>
        </w:tc>
      </w:tr>
      <w:tr w:rsidR="00FE291A" w14:paraId="7E48008A" w14:textId="77777777">
        <w:trPr>
          <w:cantSplit/>
          <w:trHeight w:hRule="exact" w:val="241"/>
        </w:trPr>
        <w:tc>
          <w:tcPr>
            <w:tcW w:w="1958" w:type="dxa"/>
            <w:tcBorders>
              <w:top w:val="single" w:sz="4" w:space="0" w:color="000000"/>
              <w:left w:val="single" w:sz="6" w:space="0" w:color="000000"/>
              <w:bottom w:val="single" w:sz="4" w:space="0" w:color="000000"/>
              <w:right w:val="single" w:sz="4" w:space="0" w:color="000000"/>
            </w:tcBorders>
          </w:tcPr>
          <w:p w14:paraId="76FB0100" w14:textId="77777777" w:rsidR="00FE291A" w:rsidRDefault="00C8738F">
            <w:pPr>
              <w:pStyle w:val="TableParagraph"/>
              <w:widowControl/>
              <w:kinsoku w:val="0"/>
              <w:overflowPunct w:val="0"/>
              <w:ind w:firstLine="284"/>
              <w:rPr>
                <w:sz w:val="22"/>
                <w:lang w:val="de-DE"/>
              </w:rPr>
            </w:pPr>
            <w:r>
              <w:rPr>
                <w:sz w:val="22"/>
                <w:szCs w:val="22"/>
                <w:lang w:val="de-DE"/>
              </w:rPr>
              <w:t>Woche 104</w:t>
            </w:r>
          </w:p>
        </w:tc>
        <w:tc>
          <w:tcPr>
            <w:tcW w:w="1158" w:type="dxa"/>
            <w:tcBorders>
              <w:top w:val="single" w:sz="4" w:space="0" w:color="000000"/>
              <w:left w:val="single" w:sz="4" w:space="0" w:color="000000"/>
              <w:bottom w:val="single" w:sz="4" w:space="0" w:color="000000"/>
              <w:right w:val="single" w:sz="4" w:space="0" w:color="000000"/>
            </w:tcBorders>
          </w:tcPr>
          <w:p w14:paraId="16624B5F" w14:textId="77777777" w:rsidR="00FE291A" w:rsidRDefault="00C8738F">
            <w:pPr>
              <w:pStyle w:val="TableParagraph"/>
              <w:widowControl/>
              <w:kinsoku w:val="0"/>
              <w:overflowPunct w:val="0"/>
              <w:jc w:val="center"/>
              <w:rPr>
                <w:sz w:val="22"/>
                <w:lang w:val="de-DE"/>
              </w:rPr>
            </w:pPr>
            <w:r>
              <w:rPr>
                <w:sz w:val="22"/>
                <w:szCs w:val="22"/>
                <w:lang w:val="de-DE"/>
              </w:rPr>
              <w:t>56,0 %</w:t>
            </w:r>
          </w:p>
        </w:tc>
        <w:tc>
          <w:tcPr>
            <w:tcW w:w="1311" w:type="dxa"/>
            <w:tcBorders>
              <w:top w:val="single" w:sz="4" w:space="0" w:color="000000"/>
              <w:left w:val="single" w:sz="4" w:space="0" w:color="000000"/>
              <w:bottom w:val="single" w:sz="4" w:space="0" w:color="000000"/>
              <w:right w:val="single" w:sz="4" w:space="0" w:color="000000"/>
            </w:tcBorders>
          </w:tcPr>
          <w:p w14:paraId="53F2446B" w14:textId="77777777" w:rsidR="00FE291A" w:rsidRDefault="00C8738F">
            <w:pPr>
              <w:pStyle w:val="TableParagraph"/>
              <w:widowControl/>
              <w:kinsoku w:val="0"/>
              <w:overflowPunct w:val="0"/>
              <w:jc w:val="center"/>
              <w:rPr>
                <w:sz w:val="22"/>
                <w:lang w:val="de-DE"/>
              </w:rPr>
            </w:pPr>
            <w:r>
              <w:rPr>
                <w:sz w:val="22"/>
                <w:szCs w:val="22"/>
                <w:lang w:val="de-DE"/>
              </w:rPr>
              <w:t>49,3 %</w:t>
            </w:r>
          </w:p>
        </w:tc>
        <w:tc>
          <w:tcPr>
            <w:tcW w:w="1566" w:type="dxa"/>
            <w:tcBorders>
              <w:top w:val="single" w:sz="4" w:space="0" w:color="000000"/>
              <w:left w:val="single" w:sz="4" w:space="0" w:color="000000"/>
              <w:bottom w:val="single" w:sz="4" w:space="0" w:color="000000"/>
              <w:right w:val="single" w:sz="4" w:space="0" w:color="000000"/>
            </w:tcBorders>
          </w:tcPr>
          <w:p w14:paraId="10378C99" w14:textId="77777777" w:rsidR="00FE291A" w:rsidRDefault="00C8738F">
            <w:pPr>
              <w:pStyle w:val="TableParagraph"/>
              <w:widowControl/>
              <w:kinsoku w:val="0"/>
              <w:overflowPunct w:val="0"/>
              <w:jc w:val="center"/>
              <w:rPr>
                <w:sz w:val="22"/>
                <w:lang w:val="de-DE"/>
              </w:rPr>
            </w:pPr>
            <w:r>
              <w:rPr>
                <w:sz w:val="22"/>
                <w:szCs w:val="22"/>
                <w:lang w:val="de-DE"/>
              </w:rPr>
              <w:t>69,4 %</w:t>
            </w:r>
          </w:p>
        </w:tc>
        <w:tc>
          <w:tcPr>
            <w:tcW w:w="1091" w:type="dxa"/>
            <w:tcBorders>
              <w:top w:val="single" w:sz="4" w:space="0" w:color="000000"/>
              <w:left w:val="single" w:sz="4" w:space="0" w:color="000000"/>
              <w:bottom w:val="single" w:sz="4" w:space="0" w:color="000000"/>
              <w:right w:val="single" w:sz="4" w:space="0" w:color="000000"/>
            </w:tcBorders>
          </w:tcPr>
          <w:p w14:paraId="3E198740" w14:textId="77777777" w:rsidR="00FE291A" w:rsidRDefault="00C8738F">
            <w:pPr>
              <w:pStyle w:val="TableParagraph"/>
              <w:widowControl/>
              <w:kinsoku w:val="0"/>
              <w:overflowPunct w:val="0"/>
              <w:jc w:val="center"/>
              <w:rPr>
                <w:sz w:val="22"/>
                <w:lang w:val="de-DE"/>
              </w:rPr>
            </w:pPr>
            <w:r>
              <w:rPr>
                <w:sz w:val="22"/>
                <w:szCs w:val="22"/>
                <w:lang w:val="de-DE"/>
              </w:rPr>
              <w:t>0,002</w:t>
            </w:r>
          </w:p>
        </w:tc>
        <w:tc>
          <w:tcPr>
            <w:tcW w:w="1165" w:type="dxa"/>
            <w:tcBorders>
              <w:top w:val="single" w:sz="4" w:space="0" w:color="000000"/>
              <w:left w:val="single" w:sz="4" w:space="0" w:color="000000"/>
              <w:bottom w:val="single" w:sz="4" w:space="0" w:color="000000"/>
              <w:right w:val="single" w:sz="4" w:space="0" w:color="000000"/>
            </w:tcBorders>
          </w:tcPr>
          <w:p w14:paraId="74666888" w14:textId="77777777" w:rsidR="00FE291A" w:rsidRDefault="00C8738F">
            <w:pPr>
              <w:pStyle w:val="TableParagraph"/>
              <w:widowControl/>
              <w:kinsoku w:val="0"/>
              <w:overflowPunct w:val="0"/>
              <w:jc w:val="center"/>
              <w:rPr>
                <w:sz w:val="22"/>
                <w:lang w:val="de-DE"/>
              </w:rPr>
            </w:pPr>
            <w:r>
              <w:rPr>
                <w:sz w:val="22"/>
                <w:szCs w:val="22"/>
                <w:lang w:val="de-DE"/>
              </w:rPr>
              <w:t>&lt; 0,001</w:t>
            </w:r>
          </w:p>
        </w:tc>
        <w:tc>
          <w:tcPr>
            <w:tcW w:w="1205" w:type="dxa"/>
            <w:tcBorders>
              <w:top w:val="single" w:sz="4" w:space="0" w:color="000000"/>
              <w:left w:val="single" w:sz="4" w:space="0" w:color="000000"/>
              <w:bottom w:val="single" w:sz="4" w:space="0" w:color="000000"/>
              <w:right w:val="single" w:sz="4" w:space="0" w:color="000000"/>
            </w:tcBorders>
          </w:tcPr>
          <w:p w14:paraId="17C511C9" w14:textId="77777777" w:rsidR="00FE291A" w:rsidRDefault="00C8738F">
            <w:pPr>
              <w:pStyle w:val="TableParagraph"/>
              <w:widowControl/>
              <w:kinsoku w:val="0"/>
              <w:overflowPunct w:val="0"/>
              <w:jc w:val="center"/>
              <w:rPr>
                <w:sz w:val="22"/>
                <w:lang w:val="de-DE"/>
              </w:rPr>
            </w:pPr>
            <w:r>
              <w:rPr>
                <w:sz w:val="22"/>
                <w:szCs w:val="22"/>
                <w:lang w:val="de-DE"/>
              </w:rPr>
              <w:t>0,140</w:t>
            </w:r>
          </w:p>
        </w:tc>
      </w:tr>
      <w:tr w:rsidR="00FE291A" w14:paraId="4697B50F" w14:textId="77777777">
        <w:trPr>
          <w:cantSplit/>
          <w:trHeight w:hRule="exact" w:val="241"/>
        </w:trPr>
        <w:tc>
          <w:tcPr>
            <w:tcW w:w="9458" w:type="dxa"/>
            <w:gridSpan w:val="7"/>
            <w:tcBorders>
              <w:top w:val="single" w:sz="4" w:space="0" w:color="000000"/>
              <w:left w:val="single" w:sz="6" w:space="0" w:color="000000"/>
              <w:bottom w:val="single" w:sz="4" w:space="0" w:color="000000"/>
              <w:right w:val="single" w:sz="4" w:space="0" w:color="000000"/>
            </w:tcBorders>
          </w:tcPr>
          <w:p w14:paraId="2B49BB00" w14:textId="77777777" w:rsidR="00FE291A" w:rsidRDefault="00C8738F">
            <w:pPr>
              <w:keepNext/>
              <w:widowControl/>
              <w:rPr>
                <w:sz w:val="22"/>
                <w:lang w:val="de-DE"/>
              </w:rPr>
            </w:pPr>
            <w:r>
              <w:rPr>
                <w:sz w:val="22"/>
                <w:szCs w:val="22"/>
                <w:lang w:val="de-DE"/>
              </w:rPr>
              <w:t>ACR-50</w:t>
            </w:r>
          </w:p>
        </w:tc>
      </w:tr>
      <w:tr w:rsidR="00FE291A" w14:paraId="5F587D72" w14:textId="77777777">
        <w:trPr>
          <w:cantSplit/>
          <w:trHeight w:hRule="exact" w:val="241"/>
        </w:trPr>
        <w:tc>
          <w:tcPr>
            <w:tcW w:w="1958" w:type="dxa"/>
            <w:tcBorders>
              <w:top w:val="single" w:sz="4" w:space="0" w:color="000000"/>
              <w:left w:val="single" w:sz="6" w:space="0" w:color="000000"/>
              <w:bottom w:val="single" w:sz="4" w:space="0" w:color="000000"/>
              <w:right w:val="single" w:sz="4" w:space="0" w:color="000000"/>
            </w:tcBorders>
          </w:tcPr>
          <w:p w14:paraId="4509D3EB" w14:textId="77777777" w:rsidR="00FE291A" w:rsidRDefault="00C8738F">
            <w:pPr>
              <w:pStyle w:val="TableParagraph"/>
              <w:keepNext/>
              <w:widowControl/>
              <w:kinsoku w:val="0"/>
              <w:overflowPunct w:val="0"/>
              <w:ind w:firstLine="284"/>
              <w:rPr>
                <w:sz w:val="22"/>
                <w:lang w:val="de-DE"/>
              </w:rPr>
            </w:pPr>
            <w:r>
              <w:rPr>
                <w:sz w:val="22"/>
                <w:szCs w:val="22"/>
                <w:lang w:val="de-DE"/>
              </w:rPr>
              <w:t>Woche 52</w:t>
            </w:r>
          </w:p>
        </w:tc>
        <w:tc>
          <w:tcPr>
            <w:tcW w:w="1158" w:type="dxa"/>
            <w:tcBorders>
              <w:top w:val="single" w:sz="4" w:space="0" w:color="000000"/>
              <w:left w:val="single" w:sz="4" w:space="0" w:color="000000"/>
              <w:bottom w:val="single" w:sz="4" w:space="0" w:color="000000"/>
              <w:right w:val="single" w:sz="4" w:space="0" w:color="000000"/>
            </w:tcBorders>
          </w:tcPr>
          <w:p w14:paraId="2513C58D" w14:textId="77777777" w:rsidR="00FE291A" w:rsidRDefault="00C8738F">
            <w:pPr>
              <w:pStyle w:val="TableParagraph"/>
              <w:keepNext/>
              <w:widowControl/>
              <w:kinsoku w:val="0"/>
              <w:overflowPunct w:val="0"/>
              <w:jc w:val="center"/>
              <w:rPr>
                <w:sz w:val="22"/>
                <w:lang w:val="de-DE"/>
              </w:rPr>
            </w:pPr>
            <w:r>
              <w:rPr>
                <w:sz w:val="22"/>
                <w:szCs w:val="22"/>
                <w:lang w:val="de-DE"/>
              </w:rPr>
              <w:t>45,9 %</w:t>
            </w:r>
          </w:p>
        </w:tc>
        <w:tc>
          <w:tcPr>
            <w:tcW w:w="1311" w:type="dxa"/>
            <w:tcBorders>
              <w:top w:val="single" w:sz="4" w:space="0" w:color="000000"/>
              <w:left w:val="single" w:sz="4" w:space="0" w:color="000000"/>
              <w:bottom w:val="single" w:sz="4" w:space="0" w:color="000000"/>
              <w:right w:val="single" w:sz="4" w:space="0" w:color="000000"/>
            </w:tcBorders>
          </w:tcPr>
          <w:p w14:paraId="028E6A46" w14:textId="77777777" w:rsidR="00FE291A" w:rsidRDefault="00C8738F">
            <w:pPr>
              <w:pStyle w:val="TableParagraph"/>
              <w:keepNext/>
              <w:widowControl/>
              <w:kinsoku w:val="0"/>
              <w:overflowPunct w:val="0"/>
              <w:jc w:val="center"/>
              <w:rPr>
                <w:sz w:val="22"/>
                <w:lang w:val="de-DE"/>
              </w:rPr>
            </w:pPr>
            <w:r>
              <w:rPr>
                <w:sz w:val="22"/>
                <w:szCs w:val="22"/>
                <w:lang w:val="de-DE"/>
              </w:rPr>
              <w:t>41,2 %</w:t>
            </w:r>
          </w:p>
        </w:tc>
        <w:tc>
          <w:tcPr>
            <w:tcW w:w="1566" w:type="dxa"/>
            <w:tcBorders>
              <w:top w:val="single" w:sz="4" w:space="0" w:color="000000"/>
              <w:left w:val="single" w:sz="4" w:space="0" w:color="000000"/>
              <w:bottom w:val="single" w:sz="4" w:space="0" w:color="000000"/>
              <w:right w:val="single" w:sz="4" w:space="0" w:color="000000"/>
            </w:tcBorders>
          </w:tcPr>
          <w:p w14:paraId="2C8FADD0" w14:textId="77777777" w:rsidR="00FE291A" w:rsidRDefault="00C8738F">
            <w:pPr>
              <w:pStyle w:val="TableParagraph"/>
              <w:keepNext/>
              <w:widowControl/>
              <w:kinsoku w:val="0"/>
              <w:overflowPunct w:val="0"/>
              <w:jc w:val="center"/>
              <w:rPr>
                <w:sz w:val="22"/>
                <w:lang w:val="de-DE"/>
              </w:rPr>
            </w:pPr>
            <w:r>
              <w:rPr>
                <w:sz w:val="22"/>
                <w:szCs w:val="22"/>
                <w:lang w:val="de-DE"/>
              </w:rPr>
              <w:t>61,6 %</w:t>
            </w:r>
          </w:p>
        </w:tc>
        <w:tc>
          <w:tcPr>
            <w:tcW w:w="1091" w:type="dxa"/>
            <w:tcBorders>
              <w:top w:val="single" w:sz="4" w:space="0" w:color="000000"/>
              <w:left w:val="single" w:sz="4" w:space="0" w:color="000000"/>
              <w:bottom w:val="single" w:sz="4" w:space="0" w:color="000000"/>
              <w:right w:val="single" w:sz="4" w:space="0" w:color="000000"/>
            </w:tcBorders>
          </w:tcPr>
          <w:p w14:paraId="1F0BC8C0" w14:textId="77777777" w:rsidR="00FE291A" w:rsidRDefault="00C8738F">
            <w:pPr>
              <w:pStyle w:val="TableParagraph"/>
              <w:keepNext/>
              <w:widowControl/>
              <w:kinsoku w:val="0"/>
              <w:overflowPunct w:val="0"/>
              <w:jc w:val="center"/>
              <w:rPr>
                <w:sz w:val="22"/>
                <w:lang w:val="de-DE"/>
              </w:rPr>
            </w:pPr>
            <w:r>
              <w:rPr>
                <w:sz w:val="22"/>
                <w:szCs w:val="22"/>
                <w:lang w:val="de-DE"/>
              </w:rPr>
              <w:t>&lt; 0,001</w:t>
            </w:r>
          </w:p>
        </w:tc>
        <w:tc>
          <w:tcPr>
            <w:tcW w:w="1165" w:type="dxa"/>
            <w:tcBorders>
              <w:top w:val="single" w:sz="4" w:space="0" w:color="000000"/>
              <w:left w:val="single" w:sz="4" w:space="0" w:color="000000"/>
              <w:bottom w:val="single" w:sz="4" w:space="0" w:color="000000"/>
              <w:right w:val="single" w:sz="4" w:space="0" w:color="000000"/>
            </w:tcBorders>
          </w:tcPr>
          <w:p w14:paraId="22214378" w14:textId="77777777" w:rsidR="00FE291A" w:rsidRDefault="00C8738F">
            <w:pPr>
              <w:pStyle w:val="TableParagraph"/>
              <w:keepNext/>
              <w:widowControl/>
              <w:kinsoku w:val="0"/>
              <w:overflowPunct w:val="0"/>
              <w:jc w:val="center"/>
              <w:rPr>
                <w:sz w:val="22"/>
                <w:lang w:val="de-DE"/>
              </w:rPr>
            </w:pPr>
            <w:r>
              <w:rPr>
                <w:sz w:val="22"/>
                <w:szCs w:val="22"/>
                <w:lang w:val="de-DE"/>
              </w:rPr>
              <w:t>&lt; 0,001</w:t>
            </w:r>
          </w:p>
        </w:tc>
        <w:tc>
          <w:tcPr>
            <w:tcW w:w="1205" w:type="dxa"/>
            <w:tcBorders>
              <w:top w:val="single" w:sz="4" w:space="0" w:color="000000"/>
              <w:left w:val="single" w:sz="4" w:space="0" w:color="000000"/>
              <w:bottom w:val="single" w:sz="4" w:space="0" w:color="000000"/>
              <w:right w:val="single" w:sz="4" w:space="0" w:color="000000"/>
            </w:tcBorders>
          </w:tcPr>
          <w:p w14:paraId="712624A3" w14:textId="77777777" w:rsidR="00FE291A" w:rsidRDefault="00C8738F">
            <w:pPr>
              <w:pStyle w:val="TableParagraph"/>
              <w:keepNext/>
              <w:widowControl/>
              <w:kinsoku w:val="0"/>
              <w:overflowPunct w:val="0"/>
              <w:jc w:val="center"/>
              <w:rPr>
                <w:sz w:val="22"/>
                <w:lang w:val="de-DE"/>
              </w:rPr>
            </w:pPr>
            <w:r>
              <w:rPr>
                <w:sz w:val="22"/>
                <w:szCs w:val="22"/>
                <w:lang w:val="de-DE"/>
              </w:rPr>
              <w:t>0,317</w:t>
            </w:r>
          </w:p>
        </w:tc>
      </w:tr>
      <w:tr w:rsidR="00FE291A" w14:paraId="0FFD375B" w14:textId="77777777">
        <w:trPr>
          <w:cantSplit/>
          <w:trHeight w:hRule="exact" w:val="241"/>
        </w:trPr>
        <w:tc>
          <w:tcPr>
            <w:tcW w:w="1958" w:type="dxa"/>
            <w:tcBorders>
              <w:top w:val="single" w:sz="4" w:space="0" w:color="000000"/>
              <w:left w:val="single" w:sz="6" w:space="0" w:color="000000"/>
              <w:bottom w:val="single" w:sz="4" w:space="0" w:color="000000"/>
              <w:right w:val="single" w:sz="4" w:space="0" w:color="000000"/>
            </w:tcBorders>
          </w:tcPr>
          <w:p w14:paraId="60D15E8C" w14:textId="77777777" w:rsidR="00FE291A" w:rsidRDefault="00C8738F">
            <w:pPr>
              <w:pStyle w:val="TableParagraph"/>
              <w:widowControl/>
              <w:kinsoku w:val="0"/>
              <w:overflowPunct w:val="0"/>
              <w:ind w:firstLine="284"/>
              <w:rPr>
                <w:sz w:val="22"/>
                <w:lang w:val="de-DE"/>
              </w:rPr>
            </w:pPr>
            <w:r>
              <w:rPr>
                <w:sz w:val="22"/>
                <w:szCs w:val="22"/>
                <w:lang w:val="de-DE"/>
              </w:rPr>
              <w:t>Woche 104</w:t>
            </w:r>
          </w:p>
        </w:tc>
        <w:tc>
          <w:tcPr>
            <w:tcW w:w="1158" w:type="dxa"/>
            <w:tcBorders>
              <w:top w:val="single" w:sz="4" w:space="0" w:color="000000"/>
              <w:left w:val="single" w:sz="4" w:space="0" w:color="000000"/>
              <w:bottom w:val="single" w:sz="4" w:space="0" w:color="000000"/>
              <w:right w:val="single" w:sz="4" w:space="0" w:color="000000"/>
            </w:tcBorders>
          </w:tcPr>
          <w:p w14:paraId="5B24FC6C" w14:textId="77777777" w:rsidR="00FE291A" w:rsidRDefault="00C8738F">
            <w:pPr>
              <w:pStyle w:val="TableParagraph"/>
              <w:widowControl/>
              <w:kinsoku w:val="0"/>
              <w:overflowPunct w:val="0"/>
              <w:jc w:val="center"/>
              <w:rPr>
                <w:sz w:val="22"/>
                <w:lang w:val="de-DE"/>
              </w:rPr>
            </w:pPr>
            <w:r>
              <w:rPr>
                <w:sz w:val="22"/>
                <w:szCs w:val="22"/>
                <w:lang w:val="de-DE"/>
              </w:rPr>
              <w:t>42,8 %</w:t>
            </w:r>
          </w:p>
        </w:tc>
        <w:tc>
          <w:tcPr>
            <w:tcW w:w="1311" w:type="dxa"/>
            <w:tcBorders>
              <w:top w:val="single" w:sz="4" w:space="0" w:color="000000"/>
              <w:left w:val="single" w:sz="4" w:space="0" w:color="000000"/>
              <w:bottom w:val="single" w:sz="4" w:space="0" w:color="000000"/>
              <w:right w:val="single" w:sz="4" w:space="0" w:color="000000"/>
            </w:tcBorders>
          </w:tcPr>
          <w:p w14:paraId="34F493BA" w14:textId="77777777" w:rsidR="00FE291A" w:rsidRDefault="00C8738F">
            <w:pPr>
              <w:pStyle w:val="TableParagraph"/>
              <w:widowControl/>
              <w:kinsoku w:val="0"/>
              <w:overflowPunct w:val="0"/>
              <w:jc w:val="center"/>
              <w:rPr>
                <w:sz w:val="22"/>
                <w:lang w:val="de-DE"/>
              </w:rPr>
            </w:pPr>
            <w:r>
              <w:rPr>
                <w:sz w:val="22"/>
                <w:szCs w:val="22"/>
                <w:lang w:val="de-DE"/>
              </w:rPr>
              <w:t>36,9 %</w:t>
            </w:r>
          </w:p>
        </w:tc>
        <w:tc>
          <w:tcPr>
            <w:tcW w:w="1566" w:type="dxa"/>
            <w:tcBorders>
              <w:top w:val="single" w:sz="4" w:space="0" w:color="000000"/>
              <w:left w:val="single" w:sz="4" w:space="0" w:color="000000"/>
              <w:bottom w:val="single" w:sz="4" w:space="0" w:color="000000"/>
              <w:right w:val="single" w:sz="4" w:space="0" w:color="000000"/>
            </w:tcBorders>
          </w:tcPr>
          <w:p w14:paraId="25D40DE7" w14:textId="77777777" w:rsidR="00FE291A" w:rsidRDefault="00C8738F">
            <w:pPr>
              <w:pStyle w:val="TableParagraph"/>
              <w:widowControl/>
              <w:kinsoku w:val="0"/>
              <w:overflowPunct w:val="0"/>
              <w:jc w:val="center"/>
              <w:rPr>
                <w:sz w:val="22"/>
                <w:lang w:val="de-DE"/>
              </w:rPr>
            </w:pPr>
            <w:r>
              <w:rPr>
                <w:sz w:val="22"/>
                <w:szCs w:val="22"/>
                <w:lang w:val="de-DE"/>
              </w:rPr>
              <w:t>59,0 %</w:t>
            </w:r>
          </w:p>
        </w:tc>
        <w:tc>
          <w:tcPr>
            <w:tcW w:w="1091" w:type="dxa"/>
            <w:tcBorders>
              <w:top w:val="single" w:sz="4" w:space="0" w:color="000000"/>
              <w:left w:val="single" w:sz="4" w:space="0" w:color="000000"/>
              <w:bottom w:val="single" w:sz="4" w:space="0" w:color="000000"/>
              <w:right w:val="single" w:sz="4" w:space="0" w:color="000000"/>
            </w:tcBorders>
          </w:tcPr>
          <w:p w14:paraId="53262DC2" w14:textId="77777777" w:rsidR="00FE291A" w:rsidRDefault="00C8738F">
            <w:pPr>
              <w:pStyle w:val="TableParagraph"/>
              <w:widowControl/>
              <w:kinsoku w:val="0"/>
              <w:overflowPunct w:val="0"/>
              <w:jc w:val="center"/>
              <w:rPr>
                <w:sz w:val="22"/>
                <w:lang w:val="de-DE"/>
              </w:rPr>
            </w:pPr>
            <w:r>
              <w:rPr>
                <w:sz w:val="22"/>
                <w:szCs w:val="22"/>
                <w:lang w:val="de-DE"/>
              </w:rPr>
              <w:t>&lt; 0,001</w:t>
            </w:r>
          </w:p>
        </w:tc>
        <w:tc>
          <w:tcPr>
            <w:tcW w:w="1165" w:type="dxa"/>
            <w:tcBorders>
              <w:top w:val="single" w:sz="4" w:space="0" w:color="000000"/>
              <w:left w:val="single" w:sz="4" w:space="0" w:color="000000"/>
              <w:bottom w:val="single" w:sz="4" w:space="0" w:color="000000"/>
              <w:right w:val="single" w:sz="4" w:space="0" w:color="000000"/>
            </w:tcBorders>
          </w:tcPr>
          <w:p w14:paraId="7AB65951" w14:textId="77777777" w:rsidR="00FE291A" w:rsidRDefault="00C8738F">
            <w:pPr>
              <w:pStyle w:val="TableParagraph"/>
              <w:widowControl/>
              <w:kinsoku w:val="0"/>
              <w:overflowPunct w:val="0"/>
              <w:jc w:val="center"/>
              <w:rPr>
                <w:sz w:val="22"/>
                <w:lang w:val="de-DE"/>
              </w:rPr>
            </w:pPr>
            <w:r>
              <w:rPr>
                <w:sz w:val="22"/>
                <w:szCs w:val="22"/>
                <w:lang w:val="de-DE"/>
              </w:rPr>
              <w:t>&lt; 0,001</w:t>
            </w:r>
          </w:p>
        </w:tc>
        <w:tc>
          <w:tcPr>
            <w:tcW w:w="1205" w:type="dxa"/>
            <w:tcBorders>
              <w:top w:val="single" w:sz="4" w:space="0" w:color="000000"/>
              <w:left w:val="single" w:sz="4" w:space="0" w:color="000000"/>
              <w:bottom w:val="single" w:sz="4" w:space="0" w:color="000000"/>
              <w:right w:val="single" w:sz="4" w:space="0" w:color="000000"/>
            </w:tcBorders>
          </w:tcPr>
          <w:p w14:paraId="408D8391" w14:textId="77777777" w:rsidR="00FE291A" w:rsidRDefault="00C8738F">
            <w:pPr>
              <w:pStyle w:val="TableParagraph"/>
              <w:widowControl/>
              <w:kinsoku w:val="0"/>
              <w:overflowPunct w:val="0"/>
              <w:jc w:val="center"/>
              <w:rPr>
                <w:sz w:val="22"/>
                <w:lang w:val="de-DE"/>
              </w:rPr>
            </w:pPr>
            <w:r>
              <w:rPr>
                <w:sz w:val="22"/>
                <w:szCs w:val="22"/>
                <w:lang w:val="de-DE"/>
              </w:rPr>
              <w:t>0,162</w:t>
            </w:r>
          </w:p>
        </w:tc>
      </w:tr>
      <w:tr w:rsidR="00FE291A" w14:paraId="67AD863D" w14:textId="77777777">
        <w:trPr>
          <w:cantSplit/>
          <w:trHeight w:hRule="exact" w:val="241"/>
        </w:trPr>
        <w:tc>
          <w:tcPr>
            <w:tcW w:w="9458" w:type="dxa"/>
            <w:gridSpan w:val="7"/>
            <w:tcBorders>
              <w:top w:val="single" w:sz="4" w:space="0" w:color="000000"/>
              <w:left w:val="single" w:sz="6" w:space="0" w:color="000000"/>
              <w:bottom w:val="single" w:sz="4" w:space="0" w:color="000000"/>
              <w:right w:val="single" w:sz="4" w:space="0" w:color="000000"/>
            </w:tcBorders>
          </w:tcPr>
          <w:p w14:paraId="00416432" w14:textId="77777777" w:rsidR="00FE291A" w:rsidRDefault="00C8738F">
            <w:pPr>
              <w:keepNext/>
              <w:widowControl/>
              <w:rPr>
                <w:sz w:val="22"/>
                <w:lang w:val="de-DE"/>
              </w:rPr>
            </w:pPr>
            <w:r>
              <w:rPr>
                <w:sz w:val="22"/>
                <w:szCs w:val="22"/>
                <w:lang w:val="de-DE"/>
              </w:rPr>
              <w:t>ACR-70</w:t>
            </w:r>
          </w:p>
        </w:tc>
      </w:tr>
      <w:tr w:rsidR="00FE291A" w14:paraId="6F6C5C79" w14:textId="77777777">
        <w:trPr>
          <w:cantSplit/>
          <w:trHeight w:hRule="exact" w:val="241"/>
        </w:trPr>
        <w:tc>
          <w:tcPr>
            <w:tcW w:w="1958" w:type="dxa"/>
            <w:tcBorders>
              <w:top w:val="single" w:sz="4" w:space="0" w:color="000000"/>
              <w:left w:val="single" w:sz="6" w:space="0" w:color="000000"/>
              <w:bottom w:val="single" w:sz="4" w:space="0" w:color="000000"/>
              <w:right w:val="single" w:sz="4" w:space="0" w:color="000000"/>
            </w:tcBorders>
          </w:tcPr>
          <w:p w14:paraId="0703B538" w14:textId="77777777" w:rsidR="00FE291A" w:rsidRDefault="00C8738F">
            <w:pPr>
              <w:pStyle w:val="TableParagraph"/>
              <w:keepNext/>
              <w:widowControl/>
              <w:kinsoku w:val="0"/>
              <w:overflowPunct w:val="0"/>
              <w:ind w:firstLine="284"/>
              <w:rPr>
                <w:sz w:val="22"/>
                <w:lang w:val="de-DE"/>
              </w:rPr>
            </w:pPr>
            <w:r>
              <w:rPr>
                <w:sz w:val="22"/>
                <w:szCs w:val="22"/>
                <w:lang w:val="de-DE"/>
              </w:rPr>
              <w:t>Woche 52</w:t>
            </w:r>
          </w:p>
        </w:tc>
        <w:tc>
          <w:tcPr>
            <w:tcW w:w="1158" w:type="dxa"/>
            <w:tcBorders>
              <w:top w:val="single" w:sz="4" w:space="0" w:color="000000"/>
              <w:left w:val="single" w:sz="4" w:space="0" w:color="000000"/>
              <w:bottom w:val="single" w:sz="4" w:space="0" w:color="000000"/>
              <w:right w:val="single" w:sz="4" w:space="0" w:color="000000"/>
            </w:tcBorders>
          </w:tcPr>
          <w:p w14:paraId="344BEC27" w14:textId="77777777" w:rsidR="00FE291A" w:rsidRDefault="00C8738F">
            <w:pPr>
              <w:pStyle w:val="TableParagraph"/>
              <w:keepNext/>
              <w:widowControl/>
              <w:kinsoku w:val="0"/>
              <w:overflowPunct w:val="0"/>
              <w:jc w:val="center"/>
              <w:rPr>
                <w:sz w:val="22"/>
                <w:lang w:val="de-DE"/>
              </w:rPr>
            </w:pPr>
            <w:r>
              <w:rPr>
                <w:sz w:val="22"/>
                <w:szCs w:val="22"/>
                <w:lang w:val="de-DE"/>
              </w:rPr>
              <w:t>27,2 %</w:t>
            </w:r>
          </w:p>
        </w:tc>
        <w:tc>
          <w:tcPr>
            <w:tcW w:w="1311" w:type="dxa"/>
            <w:tcBorders>
              <w:top w:val="single" w:sz="4" w:space="0" w:color="000000"/>
              <w:left w:val="single" w:sz="4" w:space="0" w:color="000000"/>
              <w:bottom w:val="single" w:sz="4" w:space="0" w:color="000000"/>
              <w:right w:val="single" w:sz="4" w:space="0" w:color="000000"/>
            </w:tcBorders>
          </w:tcPr>
          <w:p w14:paraId="5FAF6098" w14:textId="77777777" w:rsidR="00FE291A" w:rsidRDefault="00C8738F">
            <w:pPr>
              <w:pStyle w:val="TableParagraph"/>
              <w:keepNext/>
              <w:widowControl/>
              <w:kinsoku w:val="0"/>
              <w:overflowPunct w:val="0"/>
              <w:jc w:val="center"/>
              <w:rPr>
                <w:sz w:val="22"/>
                <w:lang w:val="de-DE"/>
              </w:rPr>
            </w:pPr>
            <w:r>
              <w:rPr>
                <w:sz w:val="22"/>
                <w:szCs w:val="22"/>
                <w:lang w:val="de-DE"/>
              </w:rPr>
              <w:t>25,9 %</w:t>
            </w:r>
          </w:p>
        </w:tc>
        <w:tc>
          <w:tcPr>
            <w:tcW w:w="1566" w:type="dxa"/>
            <w:tcBorders>
              <w:top w:val="single" w:sz="4" w:space="0" w:color="000000"/>
              <w:left w:val="single" w:sz="4" w:space="0" w:color="000000"/>
              <w:bottom w:val="single" w:sz="4" w:space="0" w:color="000000"/>
              <w:right w:val="single" w:sz="4" w:space="0" w:color="000000"/>
            </w:tcBorders>
          </w:tcPr>
          <w:p w14:paraId="66198B8C" w14:textId="77777777" w:rsidR="00FE291A" w:rsidRDefault="00C8738F">
            <w:pPr>
              <w:pStyle w:val="TableParagraph"/>
              <w:keepNext/>
              <w:widowControl/>
              <w:kinsoku w:val="0"/>
              <w:overflowPunct w:val="0"/>
              <w:jc w:val="center"/>
              <w:rPr>
                <w:sz w:val="22"/>
                <w:lang w:val="de-DE"/>
              </w:rPr>
            </w:pPr>
            <w:r>
              <w:rPr>
                <w:sz w:val="22"/>
                <w:szCs w:val="22"/>
                <w:lang w:val="de-DE"/>
              </w:rPr>
              <w:t>45,5 %</w:t>
            </w:r>
          </w:p>
        </w:tc>
        <w:tc>
          <w:tcPr>
            <w:tcW w:w="1091" w:type="dxa"/>
            <w:tcBorders>
              <w:top w:val="single" w:sz="4" w:space="0" w:color="000000"/>
              <w:left w:val="single" w:sz="4" w:space="0" w:color="000000"/>
              <w:bottom w:val="single" w:sz="4" w:space="0" w:color="000000"/>
              <w:right w:val="single" w:sz="4" w:space="0" w:color="000000"/>
            </w:tcBorders>
          </w:tcPr>
          <w:p w14:paraId="7D0B5C03" w14:textId="77777777" w:rsidR="00FE291A" w:rsidRDefault="00C8738F">
            <w:pPr>
              <w:pStyle w:val="TableParagraph"/>
              <w:keepNext/>
              <w:widowControl/>
              <w:kinsoku w:val="0"/>
              <w:overflowPunct w:val="0"/>
              <w:jc w:val="center"/>
              <w:rPr>
                <w:sz w:val="22"/>
                <w:lang w:val="de-DE"/>
              </w:rPr>
            </w:pPr>
            <w:r>
              <w:rPr>
                <w:sz w:val="22"/>
                <w:szCs w:val="22"/>
                <w:lang w:val="de-DE"/>
              </w:rPr>
              <w:t>&lt; 0,001</w:t>
            </w:r>
          </w:p>
        </w:tc>
        <w:tc>
          <w:tcPr>
            <w:tcW w:w="1165" w:type="dxa"/>
            <w:tcBorders>
              <w:top w:val="single" w:sz="4" w:space="0" w:color="000000"/>
              <w:left w:val="single" w:sz="4" w:space="0" w:color="000000"/>
              <w:bottom w:val="single" w:sz="4" w:space="0" w:color="000000"/>
              <w:right w:val="single" w:sz="4" w:space="0" w:color="000000"/>
            </w:tcBorders>
          </w:tcPr>
          <w:p w14:paraId="37D5DD58" w14:textId="77777777" w:rsidR="00FE291A" w:rsidRDefault="00C8738F">
            <w:pPr>
              <w:pStyle w:val="TableParagraph"/>
              <w:keepNext/>
              <w:widowControl/>
              <w:kinsoku w:val="0"/>
              <w:overflowPunct w:val="0"/>
              <w:jc w:val="center"/>
              <w:rPr>
                <w:sz w:val="22"/>
                <w:lang w:val="de-DE"/>
              </w:rPr>
            </w:pPr>
            <w:r>
              <w:rPr>
                <w:sz w:val="22"/>
                <w:szCs w:val="22"/>
                <w:lang w:val="de-DE"/>
              </w:rPr>
              <w:t>&lt; 0,001</w:t>
            </w:r>
          </w:p>
        </w:tc>
        <w:tc>
          <w:tcPr>
            <w:tcW w:w="1205" w:type="dxa"/>
            <w:tcBorders>
              <w:top w:val="single" w:sz="4" w:space="0" w:color="000000"/>
              <w:left w:val="single" w:sz="4" w:space="0" w:color="000000"/>
              <w:bottom w:val="single" w:sz="4" w:space="0" w:color="000000"/>
              <w:right w:val="single" w:sz="4" w:space="0" w:color="000000"/>
            </w:tcBorders>
          </w:tcPr>
          <w:p w14:paraId="2299555C" w14:textId="77777777" w:rsidR="00FE291A" w:rsidRDefault="00C8738F">
            <w:pPr>
              <w:pStyle w:val="TableParagraph"/>
              <w:keepNext/>
              <w:widowControl/>
              <w:kinsoku w:val="0"/>
              <w:overflowPunct w:val="0"/>
              <w:jc w:val="center"/>
              <w:rPr>
                <w:sz w:val="22"/>
                <w:lang w:val="de-DE"/>
              </w:rPr>
            </w:pPr>
            <w:r>
              <w:rPr>
                <w:sz w:val="22"/>
                <w:szCs w:val="22"/>
                <w:lang w:val="de-DE"/>
              </w:rPr>
              <w:t>0,656</w:t>
            </w:r>
          </w:p>
        </w:tc>
      </w:tr>
      <w:tr w:rsidR="00FE291A" w14:paraId="1B9473F1" w14:textId="77777777">
        <w:trPr>
          <w:cantSplit/>
          <w:trHeight w:hRule="exact" w:val="241"/>
        </w:trPr>
        <w:tc>
          <w:tcPr>
            <w:tcW w:w="1958" w:type="dxa"/>
            <w:tcBorders>
              <w:top w:val="single" w:sz="4" w:space="0" w:color="000000"/>
              <w:left w:val="single" w:sz="6" w:space="0" w:color="000000"/>
              <w:bottom w:val="single" w:sz="4" w:space="0" w:color="000000"/>
              <w:right w:val="single" w:sz="4" w:space="0" w:color="000000"/>
            </w:tcBorders>
          </w:tcPr>
          <w:p w14:paraId="2B2474AF" w14:textId="77777777" w:rsidR="00FE291A" w:rsidRDefault="00C8738F">
            <w:pPr>
              <w:pStyle w:val="TableParagraph"/>
              <w:keepNext/>
              <w:widowControl/>
              <w:kinsoku w:val="0"/>
              <w:overflowPunct w:val="0"/>
              <w:ind w:firstLine="284"/>
              <w:rPr>
                <w:sz w:val="22"/>
                <w:lang w:val="de-DE"/>
              </w:rPr>
            </w:pPr>
            <w:r>
              <w:rPr>
                <w:sz w:val="22"/>
                <w:szCs w:val="22"/>
                <w:lang w:val="de-DE"/>
              </w:rPr>
              <w:t>Woche 104</w:t>
            </w:r>
          </w:p>
        </w:tc>
        <w:tc>
          <w:tcPr>
            <w:tcW w:w="1158" w:type="dxa"/>
            <w:tcBorders>
              <w:top w:val="single" w:sz="4" w:space="0" w:color="000000"/>
              <w:left w:val="single" w:sz="4" w:space="0" w:color="000000"/>
              <w:bottom w:val="single" w:sz="4" w:space="0" w:color="000000"/>
              <w:right w:val="single" w:sz="4" w:space="0" w:color="000000"/>
            </w:tcBorders>
          </w:tcPr>
          <w:p w14:paraId="309D389D" w14:textId="77777777" w:rsidR="00FE291A" w:rsidRDefault="00C8738F">
            <w:pPr>
              <w:pStyle w:val="TableParagraph"/>
              <w:keepNext/>
              <w:widowControl/>
              <w:kinsoku w:val="0"/>
              <w:overflowPunct w:val="0"/>
              <w:jc w:val="center"/>
              <w:rPr>
                <w:sz w:val="22"/>
                <w:lang w:val="de-DE"/>
              </w:rPr>
            </w:pPr>
            <w:r>
              <w:rPr>
                <w:sz w:val="22"/>
                <w:szCs w:val="22"/>
                <w:lang w:val="de-DE"/>
              </w:rPr>
              <w:t>28,4 %</w:t>
            </w:r>
          </w:p>
        </w:tc>
        <w:tc>
          <w:tcPr>
            <w:tcW w:w="1311" w:type="dxa"/>
            <w:tcBorders>
              <w:top w:val="single" w:sz="4" w:space="0" w:color="000000"/>
              <w:left w:val="single" w:sz="4" w:space="0" w:color="000000"/>
              <w:bottom w:val="single" w:sz="4" w:space="0" w:color="000000"/>
              <w:right w:val="single" w:sz="4" w:space="0" w:color="000000"/>
            </w:tcBorders>
          </w:tcPr>
          <w:p w14:paraId="1A91AD1D" w14:textId="77777777" w:rsidR="00FE291A" w:rsidRDefault="00C8738F">
            <w:pPr>
              <w:pStyle w:val="TableParagraph"/>
              <w:keepNext/>
              <w:widowControl/>
              <w:kinsoku w:val="0"/>
              <w:overflowPunct w:val="0"/>
              <w:jc w:val="center"/>
              <w:rPr>
                <w:sz w:val="22"/>
                <w:lang w:val="de-DE"/>
              </w:rPr>
            </w:pPr>
            <w:r>
              <w:rPr>
                <w:sz w:val="22"/>
                <w:szCs w:val="22"/>
                <w:lang w:val="de-DE"/>
              </w:rPr>
              <w:t>28,1 %</w:t>
            </w:r>
          </w:p>
        </w:tc>
        <w:tc>
          <w:tcPr>
            <w:tcW w:w="1566" w:type="dxa"/>
            <w:tcBorders>
              <w:top w:val="single" w:sz="4" w:space="0" w:color="000000"/>
              <w:left w:val="single" w:sz="4" w:space="0" w:color="000000"/>
              <w:bottom w:val="single" w:sz="4" w:space="0" w:color="000000"/>
              <w:right w:val="single" w:sz="4" w:space="0" w:color="000000"/>
            </w:tcBorders>
          </w:tcPr>
          <w:p w14:paraId="61AAEF59" w14:textId="77777777" w:rsidR="00FE291A" w:rsidRDefault="00C8738F">
            <w:pPr>
              <w:pStyle w:val="TableParagraph"/>
              <w:keepNext/>
              <w:widowControl/>
              <w:kinsoku w:val="0"/>
              <w:overflowPunct w:val="0"/>
              <w:jc w:val="center"/>
              <w:rPr>
                <w:sz w:val="22"/>
                <w:lang w:val="de-DE"/>
              </w:rPr>
            </w:pPr>
            <w:r>
              <w:rPr>
                <w:sz w:val="22"/>
                <w:szCs w:val="22"/>
                <w:lang w:val="de-DE"/>
              </w:rPr>
              <w:t>46,6 %</w:t>
            </w:r>
          </w:p>
        </w:tc>
        <w:tc>
          <w:tcPr>
            <w:tcW w:w="1091" w:type="dxa"/>
            <w:tcBorders>
              <w:top w:val="single" w:sz="4" w:space="0" w:color="000000"/>
              <w:left w:val="single" w:sz="4" w:space="0" w:color="000000"/>
              <w:bottom w:val="single" w:sz="4" w:space="0" w:color="000000"/>
              <w:right w:val="single" w:sz="4" w:space="0" w:color="000000"/>
            </w:tcBorders>
          </w:tcPr>
          <w:p w14:paraId="75AD23E9" w14:textId="77777777" w:rsidR="00FE291A" w:rsidRDefault="00C8738F">
            <w:pPr>
              <w:pStyle w:val="TableParagraph"/>
              <w:keepNext/>
              <w:widowControl/>
              <w:kinsoku w:val="0"/>
              <w:overflowPunct w:val="0"/>
              <w:jc w:val="center"/>
              <w:rPr>
                <w:sz w:val="22"/>
                <w:lang w:val="de-DE"/>
              </w:rPr>
            </w:pPr>
            <w:r>
              <w:rPr>
                <w:sz w:val="22"/>
                <w:szCs w:val="22"/>
                <w:lang w:val="de-DE"/>
              </w:rPr>
              <w:t>&lt; 0,001</w:t>
            </w:r>
          </w:p>
        </w:tc>
        <w:tc>
          <w:tcPr>
            <w:tcW w:w="1165" w:type="dxa"/>
            <w:tcBorders>
              <w:top w:val="single" w:sz="4" w:space="0" w:color="000000"/>
              <w:left w:val="single" w:sz="4" w:space="0" w:color="000000"/>
              <w:bottom w:val="single" w:sz="4" w:space="0" w:color="000000"/>
              <w:right w:val="single" w:sz="4" w:space="0" w:color="000000"/>
            </w:tcBorders>
          </w:tcPr>
          <w:p w14:paraId="0E47A825" w14:textId="77777777" w:rsidR="00FE291A" w:rsidRDefault="00C8738F">
            <w:pPr>
              <w:pStyle w:val="TableParagraph"/>
              <w:keepNext/>
              <w:widowControl/>
              <w:kinsoku w:val="0"/>
              <w:overflowPunct w:val="0"/>
              <w:jc w:val="center"/>
              <w:rPr>
                <w:sz w:val="22"/>
                <w:lang w:val="de-DE"/>
              </w:rPr>
            </w:pPr>
            <w:r>
              <w:rPr>
                <w:sz w:val="22"/>
                <w:szCs w:val="22"/>
                <w:lang w:val="de-DE"/>
              </w:rPr>
              <w:t>&lt; 0,001</w:t>
            </w:r>
          </w:p>
        </w:tc>
        <w:tc>
          <w:tcPr>
            <w:tcW w:w="1205" w:type="dxa"/>
            <w:tcBorders>
              <w:top w:val="single" w:sz="4" w:space="0" w:color="000000"/>
              <w:left w:val="single" w:sz="4" w:space="0" w:color="000000"/>
              <w:bottom w:val="single" w:sz="4" w:space="0" w:color="000000"/>
              <w:right w:val="single" w:sz="4" w:space="0" w:color="000000"/>
            </w:tcBorders>
          </w:tcPr>
          <w:p w14:paraId="6E0A48B7" w14:textId="77777777" w:rsidR="00FE291A" w:rsidRDefault="00C8738F">
            <w:pPr>
              <w:pStyle w:val="TableParagraph"/>
              <w:keepNext/>
              <w:widowControl/>
              <w:kinsoku w:val="0"/>
              <w:overflowPunct w:val="0"/>
              <w:jc w:val="center"/>
              <w:rPr>
                <w:sz w:val="22"/>
                <w:lang w:val="de-DE"/>
              </w:rPr>
            </w:pPr>
            <w:r>
              <w:rPr>
                <w:sz w:val="22"/>
                <w:szCs w:val="22"/>
                <w:lang w:val="de-DE"/>
              </w:rPr>
              <w:t>0,864</w:t>
            </w:r>
          </w:p>
        </w:tc>
      </w:tr>
      <w:tr w:rsidR="00FE291A" w:rsidRPr="002E6CD3" w14:paraId="77DD16B8" w14:textId="77777777">
        <w:trPr>
          <w:cantSplit/>
          <w:trHeight w:hRule="exact" w:val="1488"/>
        </w:trPr>
        <w:tc>
          <w:tcPr>
            <w:tcW w:w="9458" w:type="dxa"/>
            <w:gridSpan w:val="7"/>
            <w:tcBorders>
              <w:top w:val="single" w:sz="4" w:space="0" w:color="000000"/>
            </w:tcBorders>
          </w:tcPr>
          <w:p w14:paraId="2930A7EA" w14:textId="77777777" w:rsidR="00FE291A" w:rsidRDefault="00C8738F">
            <w:pPr>
              <w:pStyle w:val="ListParagraph"/>
              <w:widowControl/>
              <w:tabs>
                <w:tab w:val="left" w:pos="428"/>
              </w:tabs>
              <w:kinsoku w:val="0"/>
              <w:overflowPunct w:val="0"/>
              <w:rPr>
                <w:color w:val="000000"/>
                <w:sz w:val="20"/>
                <w:szCs w:val="20"/>
                <w:lang w:val="de-DE"/>
              </w:rPr>
            </w:pPr>
            <w:r>
              <w:rPr>
                <w:color w:val="000000"/>
                <w:sz w:val="20"/>
                <w:szCs w:val="20"/>
                <w:vertAlign w:val="superscript"/>
                <w:lang w:val="de-DE"/>
              </w:rPr>
              <w:t>a</w:t>
            </w:r>
            <w:r>
              <w:rPr>
                <w:color w:val="000000"/>
                <w:sz w:val="20"/>
                <w:szCs w:val="20"/>
                <w:lang w:val="de-DE"/>
              </w:rPr>
              <w:t xml:space="preserve"> Der p-Wert resultiert aus dem paarweisen Vergleich der Methotrexat-Monotherapie und der Adalimumab/Methotrexat-Kombinationstherapie unter Anwendung des Mann-Whitney-U-Tests.</w:t>
            </w:r>
          </w:p>
          <w:p w14:paraId="4AA67ACC" w14:textId="77777777" w:rsidR="00FE291A" w:rsidRDefault="00C8738F">
            <w:pPr>
              <w:pStyle w:val="ListParagraph"/>
              <w:widowControl/>
              <w:tabs>
                <w:tab w:val="left" w:pos="428"/>
              </w:tabs>
              <w:kinsoku w:val="0"/>
              <w:overflowPunct w:val="0"/>
              <w:rPr>
                <w:color w:val="000000"/>
                <w:sz w:val="20"/>
                <w:szCs w:val="20"/>
                <w:lang w:val="de-DE"/>
              </w:rPr>
            </w:pPr>
            <w:r>
              <w:rPr>
                <w:color w:val="000000"/>
                <w:sz w:val="20"/>
                <w:szCs w:val="20"/>
                <w:vertAlign w:val="superscript"/>
                <w:lang w:val="de-DE"/>
              </w:rPr>
              <w:t>b</w:t>
            </w:r>
            <w:r>
              <w:rPr>
                <w:color w:val="000000"/>
                <w:sz w:val="20"/>
                <w:szCs w:val="20"/>
                <w:lang w:val="de-DE"/>
              </w:rPr>
              <w:t xml:space="preserve"> Der p-Wert resultiert aus dem paarweisen Vergleich der Adalimumab-Monotherapie und der Adalimumab/Methotrexat-Kombinationstherapie unter Anwendung des Mann-Whitney-U-Tests.</w:t>
            </w:r>
          </w:p>
          <w:p w14:paraId="6FC1C630" w14:textId="77777777" w:rsidR="00FE291A" w:rsidRDefault="00C8738F">
            <w:pPr>
              <w:pStyle w:val="ListParagraph"/>
              <w:widowControl/>
              <w:tabs>
                <w:tab w:val="left" w:pos="428"/>
              </w:tabs>
              <w:kinsoku w:val="0"/>
              <w:overflowPunct w:val="0"/>
              <w:rPr>
                <w:color w:val="000000"/>
                <w:sz w:val="20"/>
                <w:szCs w:val="20"/>
                <w:lang w:val="de-DE"/>
              </w:rPr>
            </w:pPr>
            <w:r>
              <w:rPr>
                <w:color w:val="000000"/>
                <w:sz w:val="20"/>
                <w:szCs w:val="20"/>
                <w:vertAlign w:val="superscript"/>
                <w:lang w:val="de-DE"/>
              </w:rPr>
              <w:t>c</w:t>
            </w:r>
            <w:r>
              <w:rPr>
                <w:color w:val="000000"/>
                <w:sz w:val="20"/>
                <w:szCs w:val="20"/>
                <w:lang w:val="de-DE"/>
              </w:rPr>
              <w:t xml:space="preserve"> Der p-Wert resultiert aus dem paarweisen Vergleich der Adalimumab-Monotherapie und der Methotrexat-Monotherapie unter Anwendung des Mann-Whitney-U-Tests.</w:t>
            </w:r>
          </w:p>
        </w:tc>
      </w:tr>
    </w:tbl>
    <w:p w14:paraId="77BD97A3" w14:textId="77777777" w:rsidR="00FE291A" w:rsidRDefault="00FE291A">
      <w:pPr>
        <w:widowControl/>
        <w:kinsoku w:val="0"/>
        <w:overflowPunct w:val="0"/>
        <w:rPr>
          <w:sz w:val="22"/>
          <w:szCs w:val="18"/>
          <w:lang w:val="de-DE"/>
        </w:rPr>
      </w:pPr>
    </w:p>
    <w:p w14:paraId="3F6F3FBA" w14:textId="77777777" w:rsidR="00FE291A" w:rsidRDefault="00C8738F">
      <w:pPr>
        <w:pStyle w:val="BodyText"/>
        <w:widowControl/>
        <w:kinsoku w:val="0"/>
        <w:overflowPunct w:val="0"/>
        <w:ind w:left="0"/>
        <w:rPr>
          <w:lang w:val="de-DE"/>
        </w:rPr>
      </w:pPr>
      <w:r>
        <w:rPr>
          <w:lang w:val="de-DE"/>
        </w:rPr>
        <w:t>In der offenen Fortsetzungsphase der RA-Studie V wurden die ACR-Ansprechraten über einen Nachbeobachtungszeitraum von bis zu 10 Jahren aufrechterhalten. Von den 542 Patienten, die in die Adalimumab-40 mg-Gruppe alle zwei Wochen randomisiert worden waren, wendeten 170 Patienten dieses Behandlungsschema über einen Zeitraum von 10 Jahren an. Davon erreichten 154 Patienten (90,6 %) ein ACR-20-Ansprechen, 127 Patienten (74,7 %) ein ACR-50-Ansprechen und 102 Patienten (60,0 %) ein ACR-70-Ansprechen.</w:t>
      </w:r>
    </w:p>
    <w:p w14:paraId="29EC919F" w14:textId="77777777" w:rsidR="00FE291A" w:rsidRDefault="00FE291A">
      <w:pPr>
        <w:widowControl/>
        <w:kinsoku w:val="0"/>
        <w:overflowPunct w:val="0"/>
        <w:rPr>
          <w:sz w:val="22"/>
          <w:szCs w:val="22"/>
          <w:lang w:val="de-DE"/>
        </w:rPr>
      </w:pPr>
    </w:p>
    <w:p w14:paraId="739B4C70" w14:textId="77777777" w:rsidR="00FE291A" w:rsidRDefault="00C8738F">
      <w:pPr>
        <w:pStyle w:val="BodyText"/>
        <w:widowControl/>
        <w:kinsoku w:val="0"/>
        <w:overflowPunct w:val="0"/>
        <w:ind w:left="0"/>
        <w:rPr>
          <w:lang w:val="de-DE"/>
        </w:rPr>
      </w:pPr>
      <w:r>
        <w:rPr>
          <w:lang w:val="de-DE"/>
        </w:rPr>
        <w:t>In Woche 52 erreichten 42,9 % der Patienten, die eine Kombinationstherapie aus Adalimumab und Methotrexat erhielten, eine klinische Remission (DAS28 [CRP] &lt; 2,6). Im Vergleich dazu erreichten 20,6 % der Patienten unter Methotrexat und 23,4 % der Patienten unter Adalimumab-Monotherapie eine klinische Remission. Die Kombinationstherapie aus Adalimumab und Methotrexat war in klinischer und statistischer Hinsicht beim Erreichen einer geringen Krankheitsaktivität bei Patienten mit kürzlich diagnostizierter mittelschwerer bis schwerer rheumatoider Arthritis gegenüber einer Monotherapie mit entweder Methotrexat (p &lt; 0,001) oder Adalimumab (p &lt; 0,001) überlegen. Die Ansprechraten in den beiden Behandlungsarmen unter Monotherapie waren vergleichbar (p = 0,447). Von den 342 Patienten, die ursprünglich in die Gruppe unter Adalimumab-Monotherapie oder unter Kombinationstherapie aus Adalimumab und Methotrexat randomisiert worden waren und die in die offene Fortsetzungsphase eingeschlossen wurden, setzten 171 die Adalimumab-Behandlung über einen Zeitraum von 10 Jahren fort. Von diesen 171 Patienten waren 109 (63,7 %) nach 10</w:t>
      </w:r>
      <w:r>
        <w:rPr>
          <w:lang w:val="de-DE"/>
        </w:rPr>
        <w:noBreakHyphen/>
        <w:t>jähriger Therapie in Remission.</w:t>
      </w:r>
    </w:p>
    <w:p w14:paraId="27D05010" w14:textId="77777777" w:rsidR="00FE291A" w:rsidRDefault="00FE291A">
      <w:pPr>
        <w:widowControl/>
        <w:kinsoku w:val="0"/>
        <w:overflowPunct w:val="0"/>
        <w:rPr>
          <w:sz w:val="22"/>
          <w:szCs w:val="22"/>
          <w:lang w:val="de-DE"/>
        </w:rPr>
      </w:pPr>
    </w:p>
    <w:p w14:paraId="7D9C3486" w14:textId="77777777" w:rsidR="00FE291A" w:rsidRDefault="00C8738F">
      <w:pPr>
        <w:keepNext/>
        <w:widowControl/>
        <w:kinsoku w:val="0"/>
        <w:overflowPunct w:val="0"/>
        <w:rPr>
          <w:sz w:val="22"/>
          <w:szCs w:val="22"/>
          <w:lang w:val="de-DE"/>
        </w:rPr>
      </w:pPr>
      <w:r>
        <w:rPr>
          <w:i/>
          <w:iCs/>
          <w:sz w:val="22"/>
          <w:szCs w:val="22"/>
          <w:u w:val="single"/>
          <w:lang w:val="de-DE"/>
        </w:rPr>
        <w:t>Radiologisches Ansprechen</w:t>
      </w:r>
    </w:p>
    <w:p w14:paraId="6C97FA27" w14:textId="77777777" w:rsidR="00FE291A" w:rsidRDefault="00FE291A">
      <w:pPr>
        <w:keepNext/>
        <w:widowControl/>
        <w:kinsoku w:val="0"/>
        <w:overflowPunct w:val="0"/>
        <w:rPr>
          <w:sz w:val="22"/>
          <w:szCs w:val="22"/>
          <w:lang w:val="de-DE"/>
        </w:rPr>
      </w:pPr>
    </w:p>
    <w:p w14:paraId="1D64A594" w14:textId="77777777" w:rsidR="00FE291A" w:rsidRDefault="00C8738F">
      <w:pPr>
        <w:pStyle w:val="BodyText"/>
        <w:widowControl/>
        <w:kinsoku w:val="0"/>
        <w:overflowPunct w:val="0"/>
        <w:ind w:left="0"/>
        <w:rPr>
          <w:lang w:val="de-DE"/>
        </w:rPr>
      </w:pPr>
      <w:r>
        <w:rPr>
          <w:lang w:val="de-DE"/>
        </w:rPr>
        <w:t>Die in der RA-Studie III mit Adalimumab behandelten Patienten waren im Durchschnitt ca. 11 Jahre an rheumatoider Arthritis erkrankt. Die strukturelle Gelenkschädigung wurde radiologisch erfasst und als Veränderung des modifizierten Gesamt-</w:t>
      </w:r>
      <w:r>
        <w:rPr>
          <w:i/>
          <w:iCs/>
          <w:lang w:val="de-DE"/>
        </w:rPr>
        <w:t xml:space="preserve">Sharp-Scores </w:t>
      </w:r>
      <w:r>
        <w:rPr>
          <w:lang w:val="de-DE"/>
        </w:rPr>
        <w:t>(TSS) und seiner Komponenten, dem Ausmaß der Erosionen und der Gelenkspaltverengung (</w:t>
      </w:r>
      <w:r>
        <w:rPr>
          <w:i/>
          <w:iCs/>
          <w:lang w:val="de-DE"/>
        </w:rPr>
        <w:t>Joint Space Narrowing</w:t>
      </w:r>
      <w:r>
        <w:rPr>
          <w:lang w:val="de-DE"/>
        </w:rPr>
        <w:t>, JSN) ausgedrückt. Die mit Adalimumab und Methotrexat behandelten Patienten zeigten nach 6 und 12 Monaten radiologisch eine signifikant geringere Progression als Patienten, die nur Methotrexat erhielten (siehe Tabelle 10).</w:t>
      </w:r>
    </w:p>
    <w:p w14:paraId="3930D889" w14:textId="77777777" w:rsidR="00FE291A" w:rsidRDefault="00FE291A">
      <w:pPr>
        <w:widowControl/>
        <w:kinsoku w:val="0"/>
        <w:overflowPunct w:val="0"/>
        <w:rPr>
          <w:sz w:val="22"/>
          <w:szCs w:val="22"/>
          <w:lang w:val="de-DE"/>
        </w:rPr>
      </w:pPr>
    </w:p>
    <w:p w14:paraId="21EFDB56" w14:textId="77777777" w:rsidR="00FE291A" w:rsidRDefault="00C8738F">
      <w:pPr>
        <w:pStyle w:val="BodyText"/>
        <w:widowControl/>
        <w:kinsoku w:val="0"/>
        <w:overflowPunct w:val="0"/>
        <w:ind w:left="0"/>
        <w:rPr>
          <w:lang w:val="de-DE"/>
        </w:rPr>
      </w:pPr>
      <w:r>
        <w:rPr>
          <w:lang w:val="de-DE"/>
        </w:rPr>
        <w:t>In der offenen Fortsetzungsphase der RA-Studie III ist die Hemmung des Fortschreitens der strukturellen Schädigung in einer Untergruppe von Patienten 8 und 10 Jahre lang aufrechterhalten worden. Nach 8 Jahren wurden 81 von 207 Patienten, die ursprünglich jede zweite Woche mit 40 mg Adalimumab behandelt wurden, radiologisch beurteilt. Von diesen Patienten zeigten 48 kein Fortschreiten der strukturellen Schädigung, definiert als mTSS-Änderung im Vergleich zu Studienbeginn von 0,5 oder weniger. Nach 10 Jahren wurden 79 von 207 Patienten, die ursprünglich jede zweite Woche mit 40 mg Adalimumab behandelt wurden, radiologisch beurteilt. Von diesen Patienten zeigten 40 kein Fortschreiten der strukturellen Schädigung, definiert als mTSS-Änderung im Vergleich zu Studienbeginn von 0,5 oder weniger.</w:t>
      </w:r>
    </w:p>
    <w:p w14:paraId="09BE245F" w14:textId="77777777" w:rsidR="00FE291A" w:rsidRDefault="00FE291A">
      <w:pPr>
        <w:widowControl/>
        <w:kinsoku w:val="0"/>
        <w:overflowPunct w:val="0"/>
        <w:rPr>
          <w:sz w:val="22"/>
          <w:szCs w:val="22"/>
          <w:lang w:val="de-DE"/>
        </w:rPr>
      </w:pPr>
    </w:p>
    <w:p w14:paraId="5E8617D8" w14:textId="77777777" w:rsidR="00FE291A" w:rsidRDefault="00C8738F">
      <w:pPr>
        <w:pStyle w:val="Heading1"/>
        <w:keepNext/>
        <w:keepLines/>
        <w:widowControl/>
        <w:kinsoku w:val="0"/>
        <w:overflowPunct w:val="0"/>
        <w:ind w:left="0"/>
        <w:rPr>
          <w:lang w:val="de-DE"/>
        </w:rPr>
      </w:pPr>
      <w:r>
        <w:rPr>
          <w:lang w:val="de-DE"/>
        </w:rPr>
        <w:t>Tabelle 10: Mittlere radiologische Veränderungen über 12 Monate in der RA-Studie III</w:t>
      </w:r>
    </w:p>
    <w:p w14:paraId="594D904F" w14:textId="77777777" w:rsidR="00FE291A" w:rsidRDefault="00FE291A">
      <w:pPr>
        <w:keepNext/>
        <w:keepLines/>
        <w:widowControl/>
        <w:kinsoku w:val="0"/>
        <w:overflowPunct w:val="0"/>
        <w:rPr>
          <w:sz w:val="22"/>
          <w:lang w:val="de-DE"/>
        </w:rPr>
      </w:pPr>
    </w:p>
    <w:tbl>
      <w:tblPr>
        <w:tblW w:w="0" w:type="auto"/>
        <w:tblInd w:w="5" w:type="dxa"/>
        <w:tblLayout w:type="fixed"/>
        <w:tblCellMar>
          <w:left w:w="0" w:type="dxa"/>
          <w:right w:w="0" w:type="dxa"/>
        </w:tblCellMar>
        <w:tblLook w:val="04A0" w:firstRow="1" w:lastRow="0" w:firstColumn="1" w:lastColumn="0" w:noHBand="0" w:noVBand="1"/>
      </w:tblPr>
      <w:tblGrid>
        <w:gridCol w:w="2088"/>
        <w:gridCol w:w="1564"/>
        <w:gridCol w:w="1656"/>
        <w:gridCol w:w="2000"/>
        <w:gridCol w:w="1548"/>
      </w:tblGrid>
      <w:tr w:rsidR="00FE291A" w14:paraId="24C3373C" w14:textId="77777777">
        <w:trPr>
          <w:trHeight w:hRule="exact" w:val="1134"/>
        </w:trPr>
        <w:tc>
          <w:tcPr>
            <w:tcW w:w="2088" w:type="dxa"/>
            <w:tcBorders>
              <w:top w:val="single" w:sz="4" w:space="0" w:color="000000"/>
              <w:left w:val="single" w:sz="4" w:space="0" w:color="000000"/>
              <w:bottom w:val="single" w:sz="4" w:space="0" w:color="000000"/>
              <w:right w:val="single" w:sz="4" w:space="0" w:color="000000"/>
            </w:tcBorders>
          </w:tcPr>
          <w:p w14:paraId="0FA6148C" w14:textId="77777777" w:rsidR="00FE291A" w:rsidRDefault="00FE291A">
            <w:pPr>
              <w:keepNext/>
              <w:keepLines/>
              <w:widowControl/>
              <w:rPr>
                <w:sz w:val="22"/>
                <w:szCs w:val="22"/>
                <w:lang w:val="de-DE"/>
              </w:rPr>
            </w:pPr>
          </w:p>
        </w:tc>
        <w:tc>
          <w:tcPr>
            <w:tcW w:w="1564" w:type="dxa"/>
            <w:tcBorders>
              <w:top w:val="single" w:sz="4" w:space="0" w:color="000000"/>
              <w:left w:val="single" w:sz="4" w:space="0" w:color="000000"/>
              <w:bottom w:val="single" w:sz="4" w:space="0" w:color="000000"/>
              <w:right w:val="single" w:sz="4" w:space="0" w:color="000000"/>
            </w:tcBorders>
          </w:tcPr>
          <w:p w14:paraId="716EFD46" w14:textId="77777777" w:rsidR="00FE291A" w:rsidRDefault="00C8738F">
            <w:pPr>
              <w:pStyle w:val="TableParagraph"/>
              <w:keepNext/>
              <w:keepLines/>
              <w:widowControl/>
              <w:kinsoku w:val="0"/>
              <w:overflowPunct w:val="0"/>
              <w:jc w:val="center"/>
              <w:rPr>
                <w:b/>
                <w:sz w:val="22"/>
                <w:szCs w:val="22"/>
                <w:lang w:val="de-DE"/>
              </w:rPr>
            </w:pPr>
            <w:r>
              <w:rPr>
                <w:b/>
                <w:sz w:val="22"/>
                <w:szCs w:val="22"/>
                <w:lang w:val="de-DE"/>
              </w:rPr>
              <w:t>Placebo/MTX</w:t>
            </w:r>
            <w:r>
              <w:rPr>
                <w:b/>
                <w:sz w:val="22"/>
                <w:szCs w:val="22"/>
                <w:vertAlign w:val="superscript"/>
                <w:lang w:val="de-DE"/>
              </w:rPr>
              <w:t>a</w:t>
            </w:r>
          </w:p>
        </w:tc>
        <w:tc>
          <w:tcPr>
            <w:tcW w:w="1656" w:type="dxa"/>
            <w:tcBorders>
              <w:top w:val="single" w:sz="4" w:space="0" w:color="000000"/>
              <w:left w:val="single" w:sz="4" w:space="0" w:color="000000"/>
              <w:bottom w:val="single" w:sz="4" w:space="0" w:color="000000"/>
              <w:right w:val="single" w:sz="4" w:space="0" w:color="000000"/>
            </w:tcBorders>
          </w:tcPr>
          <w:p w14:paraId="49F74C08" w14:textId="77777777" w:rsidR="00FE291A" w:rsidRDefault="00C8738F">
            <w:pPr>
              <w:pStyle w:val="TableParagraph"/>
              <w:keepNext/>
              <w:keepLines/>
              <w:widowControl/>
              <w:kinsoku w:val="0"/>
              <w:overflowPunct w:val="0"/>
              <w:jc w:val="center"/>
              <w:rPr>
                <w:b/>
                <w:sz w:val="22"/>
                <w:szCs w:val="22"/>
                <w:lang w:val="de-DE"/>
              </w:rPr>
            </w:pPr>
            <w:r>
              <w:rPr>
                <w:b/>
                <w:sz w:val="22"/>
                <w:szCs w:val="22"/>
                <w:lang w:val="de-DE"/>
              </w:rPr>
              <w:t>Adalimumab/</w:t>
            </w:r>
          </w:p>
          <w:p w14:paraId="2F2CB46F" w14:textId="77777777" w:rsidR="00FE291A" w:rsidRDefault="00C8738F">
            <w:pPr>
              <w:pStyle w:val="TableParagraph"/>
              <w:keepNext/>
              <w:keepLines/>
              <w:widowControl/>
              <w:kinsoku w:val="0"/>
              <w:overflowPunct w:val="0"/>
              <w:jc w:val="center"/>
              <w:rPr>
                <w:b/>
                <w:sz w:val="22"/>
                <w:szCs w:val="22"/>
                <w:lang w:val="de-DE"/>
              </w:rPr>
            </w:pPr>
            <w:r>
              <w:rPr>
                <w:b/>
                <w:sz w:val="22"/>
                <w:szCs w:val="22"/>
                <w:lang w:val="de-DE"/>
              </w:rPr>
              <w:t>MTX</w:t>
            </w:r>
          </w:p>
          <w:p w14:paraId="6112E4E2" w14:textId="77777777" w:rsidR="00FE291A" w:rsidRDefault="00C8738F">
            <w:pPr>
              <w:pStyle w:val="TableParagraph"/>
              <w:keepNext/>
              <w:keepLines/>
              <w:widowControl/>
              <w:kinsoku w:val="0"/>
              <w:overflowPunct w:val="0"/>
              <w:jc w:val="center"/>
              <w:rPr>
                <w:b/>
                <w:sz w:val="22"/>
                <w:szCs w:val="22"/>
                <w:lang w:val="de-DE"/>
              </w:rPr>
            </w:pPr>
            <w:r>
              <w:rPr>
                <w:b/>
                <w:sz w:val="22"/>
                <w:szCs w:val="22"/>
                <w:lang w:val="de-DE"/>
              </w:rPr>
              <w:t>40 mg alle zwei Wochen</w:t>
            </w:r>
          </w:p>
        </w:tc>
        <w:tc>
          <w:tcPr>
            <w:tcW w:w="2000" w:type="dxa"/>
            <w:tcBorders>
              <w:top w:val="single" w:sz="4" w:space="0" w:color="000000"/>
              <w:left w:val="single" w:sz="4" w:space="0" w:color="000000"/>
              <w:bottom w:val="single" w:sz="4" w:space="0" w:color="000000"/>
              <w:right w:val="single" w:sz="4" w:space="0" w:color="000000"/>
            </w:tcBorders>
          </w:tcPr>
          <w:p w14:paraId="2CE394C9" w14:textId="77777777" w:rsidR="00FE291A" w:rsidRDefault="00C8738F">
            <w:pPr>
              <w:pStyle w:val="TableParagraph"/>
              <w:keepNext/>
              <w:keepLines/>
              <w:widowControl/>
              <w:kinsoku w:val="0"/>
              <w:overflowPunct w:val="0"/>
              <w:jc w:val="center"/>
              <w:rPr>
                <w:b/>
                <w:sz w:val="22"/>
                <w:szCs w:val="22"/>
                <w:lang w:val="de-DE"/>
              </w:rPr>
            </w:pPr>
            <w:r>
              <w:rPr>
                <w:b/>
                <w:sz w:val="22"/>
                <w:szCs w:val="22"/>
                <w:lang w:val="de-DE"/>
              </w:rPr>
              <w:t>Placebo/MTX-Adalimumab/MTX</w:t>
            </w:r>
          </w:p>
          <w:p w14:paraId="31CF9EF7" w14:textId="77777777" w:rsidR="00FE291A" w:rsidRDefault="00C8738F">
            <w:pPr>
              <w:pStyle w:val="TableParagraph"/>
              <w:keepNext/>
              <w:keepLines/>
              <w:widowControl/>
              <w:kinsoku w:val="0"/>
              <w:overflowPunct w:val="0"/>
              <w:jc w:val="center"/>
              <w:rPr>
                <w:b/>
                <w:sz w:val="22"/>
                <w:szCs w:val="22"/>
                <w:lang w:val="de-DE"/>
              </w:rPr>
            </w:pPr>
            <w:r>
              <w:rPr>
                <w:b/>
                <w:sz w:val="22"/>
                <w:szCs w:val="22"/>
                <w:lang w:val="de-DE"/>
              </w:rPr>
              <w:t>(95 % Konfidenz- intervall</w:t>
            </w:r>
            <w:r>
              <w:rPr>
                <w:b/>
                <w:sz w:val="22"/>
                <w:szCs w:val="22"/>
                <w:vertAlign w:val="superscript"/>
                <w:lang w:val="de-DE"/>
              </w:rPr>
              <w:t>b</w:t>
            </w:r>
            <w:r>
              <w:rPr>
                <w:b/>
                <w:sz w:val="22"/>
                <w:szCs w:val="22"/>
                <w:lang w:val="de-DE"/>
              </w:rPr>
              <w:t>)</w:t>
            </w:r>
          </w:p>
        </w:tc>
        <w:tc>
          <w:tcPr>
            <w:tcW w:w="1548" w:type="dxa"/>
            <w:tcBorders>
              <w:top w:val="single" w:sz="4" w:space="0" w:color="000000"/>
              <w:left w:val="single" w:sz="4" w:space="0" w:color="000000"/>
              <w:bottom w:val="single" w:sz="4" w:space="0" w:color="000000"/>
              <w:right w:val="single" w:sz="4" w:space="0" w:color="000000"/>
            </w:tcBorders>
          </w:tcPr>
          <w:p w14:paraId="05122933" w14:textId="77777777" w:rsidR="00FE291A" w:rsidRDefault="00C8738F">
            <w:pPr>
              <w:pStyle w:val="TableParagraph"/>
              <w:keepNext/>
              <w:keepLines/>
              <w:widowControl/>
              <w:kinsoku w:val="0"/>
              <w:overflowPunct w:val="0"/>
              <w:jc w:val="center"/>
              <w:rPr>
                <w:b/>
                <w:sz w:val="22"/>
                <w:szCs w:val="22"/>
                <w:lang w:val="de-DE"/>
              </w:rPr>
            </w:pPr>
            <w:r>
              <w:rPr>
                <w:b/>
                <w:sz w:val="22"/>
                <w:szCs w:val="22"/>
                <w:lang w:val="de-DE"/>
              </w:rPr>
              <w:t>p-Wert</w:t>
            </w:r>
          </w:p>
        </w:tc>
      </w:tr>
      <w:tr w:rsidR="00FE291A" w14:paraId="5CC1C144" w14:textId="77777777">
        <w:trPr>
          <w:trHeight w:hRule="exact" w:val="397"/>
        </w:trPr>
        <w:tc>
          <w:tcPr>
            <w:tcW w:w="2088" w:type="dxa"/>
            <w:tcBorders>
              <w:top w:val="single" w:sz="4" w:space="0" w:color="000000"/>
              <w:left w:val="single" w:sz="4" w:space="0" w:color="000000"/>
              <w:bottom w:val="single" w:sz="4" w:space="0" w:color="000000"/>
              <w:right w:val="single" w:sz="4" w:space="0" w:color="000000"/>
            </w:tcBorders>
          </w:tcPr>
          <w:p w14:paraId="702ACAFE" w14:textId="77777777" w:rsidR="00FE291A" w:rsidRDefault="00C8738F">
            <w:pPr>
              <w:pStyle w:val="TableParagraph"/>
              <w:widowControl/>
              <w:kinsoku w:val="0"/>
              <w:overflowPunct w:val="0"/>
              <w:rPr>
                <w:i/>
                <w:sz w:val="22"/>
                <w:szCs w:val="22"/>
                <w:lang w:val="de-DE"/>
              </w:rPr>
            </w:pPr>
            <w:r>
              <w:rPr>
                <w:sz w:val="22"/>
                <w:szCs w:val="22"/>
                <w:lang w:val="de-DE"/>
              </w:rPr>
              <w:t>Gesamt-</w:t>
            </w:r>
            <w:r>
              <w:rPr>
                <w:i/>
                <w:iCs/>
                <w:sz w:val="22"/>
                <w:szCs w:val="22"/>
                <w:lang w:val="de-DE"/>
              </w:rPr>
              <w:t>Sharp-Score</w:t>
            </w:r>
          </w:p>
        </w:tc>
        <w:tc>
          <w:tcPr>
            <w:tcW w:w="1564" w:type="dxa"/>
            <w:tcBorders>
              <w:top w:val="single" w:sz="4" w:space="0" w:color="000000"/>
              <w:left w:val="single" w:sz="4" w:space="0" w:color="000000"/>
              <w:bottom w:val="single" w:sz="4" w:space="0" w:color="000000"/>
              <w:right w:val="single" w:sz="4" w:space="0" w:color="000000"/>
            </w:tcBorders>
          </w:tcPr>
          <w:p w14:paraId="34BA5614" w14:textId="77777777" w:rsidR="00FE291A" w:rsidRDefault="00C8738F">
            <w:pPr>
              <w:pStyle w:val="TableParagraph"/>
              <w:widowControl/>
              <w:kinsoku w:val="0"/>
              <w:overflowPunct w:val="0"/>
              <w:jc w:val="center"/>
              <w:rPr>
                <w:sz w:val="22"/>
                <w:szCs w:val="22"/>
                <w:lang w:val="de-DE"/>
              </w:rPr>
            </w:pPr>
            <w:r>
              <w:rPr>
                <w:sz w:val="22"/>
                <w:szCs w:val="22"/>
                <w:lang w:val="de-DE"/>
              </w:rPr>
              <w:t>2,7</w:t>
            </w:r>
          </w:p>
        </w:tc>
        <w:tc>
          <w:tcPr>
            <w:tcW w:w="1656" w:type="dxa"/>
            <w:tcBorders>
              <w:top w:val="single" w:sz="4" w:space="0" w:color="000000"/>
              <w:left w:val="single" w:sz="4" w:space="0" w:color="000000"/>
              <w:bottom w:val="single" w:sz="4" w:space="0" w:color="000000"/>
              <w:right w:val="single" w:sz="4" w:space="0" w:color="000000"/>
            </w:tcBorders>
          </w:tcPr>
          <w:p w14:paraId="6B851501" w14:textId="77777777" w:rsidR="00FE291A" w:rsidRDefault="00C8738F">
            <w:pPr>
              <w:pStyle w:val="TableParagraph"/>
              <w:widowControl/>
              <w:kinsoku w:val="0"/>
              <w:overflowPunct w:val="0"/>
              <w:jc w:val="center"/>
              <w:rPr>
                <w:sz w:val="22"/>
                <w:szCs w:val="22"/>
                <w:lang w:val="de-DE"/>
              </w:rPr>
            </w:pPr>
            <w:r>
              <w:rPr>
                <w:sz w:val="22"/>
                <w:szCs w:val="22"/>
                <w:lang w:val="de-DE"/>
              </w:rPr>
              <w:t>0,1</w:t>
            </w:r>
          </w:p>
        </w:tc>
        <w:tc>
          <w:tcPr>
            <w:tcW w:w="2000" w:type="dxa"/>
            <w:tcBorders>
              <w:top w:val="single" w:sz="4" w:space="0" w:color="000000"/>
              <w:left w:val="single" w:sz="4" w:space="0" w:color="000000"/>
              <w:bottom w:val="single" w:sz="4" w:space="0" w:color="000000"/>
              <w:right w:val="single" w:sz="4" w:space="0" w:color="000000"/>
            </w:tcBorders>
          </w:tcPr>
          <w:p w14:paraId="6B83BC19" w14:textId="77777777" w:rsidR="00FE291A" w:rsidRDefault="00C8738F">
            <w:pPr>
              <w:pStyle w:val="TableParagraph"/>
              <w:widowControl/>
              <w:kinsoku w:val="0"/>
              <w:overflowPunct w:val="0"/>
              <w:jc w:val="center"/>
              <w:rPr>
                <w:sz w:val="22"/>
                <w:szCs w:val="22"/>
                <w:lang w:val="de-DE"/>
              </w:rPr>
            </w:pPr>
            <w:r>
              <w:rPr>
                <w:sz w:val="22"/>
                <w:szCs w:val="22"/>
                <w:lang w:val="de-DE"/>
              </w:rPr>
              <w:t>2,6 (1,4; 3,8)</w:t>
            </w:r>
          </w:p>
        </w:tc>
        <w:tc>
          <w:tcPr>
            <w:tcW w:w="1548" w:type="dxa"/>
            <w:tcBorders>
              <w:top w:val="single" w:sz="4" w:space="0" w:color="000000"/>
              <w:left w:val="single" w:sz="4" w:space="0" w:color="000000"/>
              <w:bottom w:val="single" w:sz="4" w:space="0" w:color="000000"/>
              <w:right w:val="single" w:sz="4" w:space="0" w:color="000000"/>
            </w:tcBorders>
          </w:tcPr>
          <w:p w14:paraId="37D40B49" w14:textId="77777777" w:rsidR="00FE291A" w:rsidRDefault="00C8738F">
            <w:pPr>
              <w:pStyle w:val="TableParagraph"/>
              <w:widowControl/>
              <w:kinsoku w:val="0"/>
              <w:overflowPunct w:val="0"/>
              <w:jc w:val="center"/>
              <w:rPr>
                <w:sz w:val="22"/>
                <w:szCs w:val="22"/>
                <w:lang w:val="de-DE"/>
              </w:rPr>
            </w:pPr>
            <w:r>
              <w:rPr>
                <w:sz w:val="22"/>
                <w:szCs w:val="22"/>
                <w:lang w:val="de-DE"/>
              </w:rPr>
              <w:t>&lt; 0,001</w:t>
            </w:r>
            <w:r>
              <w:rPr>
                <w:sz w:val="22"/>
                <w:szCs w:val="22"/>
                <w:vertAlign w:val="superscript"/>
                <w:lang w:val="de-DE"/>
              </w:rPr>
              <w:t>c</w:t>
            </w:r>
          </w:p>
        </w:tc>
      </w:tr>
      <w:tr w:rsidR="00FE291A" w14:paraId="2E68416C" w14:textId="77777777">
        <w:trPr>
          <w:trHeight w:hRule="exact" w:val="397"/>
        </w:trPr>
        <w:tc>
          <w:tcPr>
            <w:tcW w:w="2088" w:type="dxa"/>
            <w:tcBorders>
              <w:top w:val="single" w:sz="4" w:space="0" w:color="000000"/>
              <w:left w:val="single" w:sz="4" w:space="0" w:color="000000"/>
              <w:bottom w:val="single" w:sz="4" w:space="0" w:color="000000"/>
              <w:right w:val="single" w:sz="4" w:space="0" w:color="000000"/>
            </w:tcBorders>
          </w:tcPr>
          <w:p w14:paraId="10202E10" w14:textId="77777777" w:rsidR="00FE291A" w:rsidRDefault="00C8738F">
            <w:pPr>
              <w:pStyle w:val="TableParagraph"/>
              <w:widowControl/>
              <w:kinsoku w:val="0"/>
              <w:overflowPunct w:val="0"/>
              <w:rPr>
                <w:i/>
                <w:sz w:val="22"/>
                <w:szCs w:val="22"/>
                <w:lang w:val="de-DE"/>
              </w:rPr>
            </w:pPr>
            <w:r>
              <w:rPr>
                <w:i/>
                <w:iCs/>
                <w:sz w:val="22"/>
                <w:szCs w:val="22"/>
                <w:lang w:val="de-DE"/>
              </w:rPr>
              <w:t>Erosion Score</w:t>
            </w:r>
          </w:p>
        </w:tc>
        <w:tc>
          <w:tcPr>
            <w:tcW w:w="1564" w:type="dxa"/>
            <w:tcBorders>
              <w:top w:val="single" w:sz="4" w:space="0" w:color="000000"/>
              <w:left w:val="single" w:sz="4" w:space="0" w:color="000000"/>
              <w:bottom w:val="single" w:sz="4" w:space="0" w:color="000000"/>
              <w:right w:val="single" w:sz="4" w:space="0" w:color="000000"/>
            </w:tcBorders>
          </w:tcPr>
          <w:p w14:paraId="3D93E5EB" w14:textId="77777777" w:rsidR="00FE291A" w:rsidRDefault="00C8738F">
            <w:pPr>
              <w:pStyle w:val="TableParagraph"/>
              <w:widowControl/>
              <w:kinsoku w:val="0"/>
              <w:overflowPunct w:val="0"/>
              <w:jc w:val="center"/>
              <w:rPr>
                <w:sz w:val="22"/>
                <w:szCs w:val="22"/>
                <w:lang w:val="de-DE"/>
              </w:rPr>
            </w:pPr>
            <w:r>
              <w:rPr>
                <w:sz w:val="22"/>
                <w:szCs w:val="22"/>
                <w:lang w:val="de-DE"/>
              </w:rPr>
              <w:t>1,6</w:t>
            </w:r>
          </w:p>
        </w:tc>
        <w:tc>
          <w:tcPr>
            <w:tcW w:w="1656" w:type="dxa"/>
            <w:tcBorders>
              <w:top w:val="single" w:sz="4" w:space="0" w:color="000000"/>
              <w:left w:val="single" w:sz="4" w:space="0" w:color="000000"/>
              <w:bottom w:val="single" w:sz="4" w:space="0" w:color="000000"/>
              <w:right w:val="single" w:sz="4" w:space="0" w:color="000000"/>
            </w:tcBorders>
          </w:tcPr>
          <w:p w14:paraId="6DE8347F" w14:textId="77777777" w:rsidR="00FE291A" w:rsidRDefault="00C8738F">
            <w:pPr>
              <w:pStyle w:val="TableParagraph"/>
              <w:widowControl/>
              <w:kinsoku w:val="0"/>
              <w:overflowPunct w:val="0"/>
              <w:jc w:val="center"/>
              <w:rPr>
                <w:sz w:val="22"/>
                <w:szCs w:val="22"/>
                <w:lang w:val="de-DE"/>
              </w:rPr>
            </w:pPr>
            <w:r>
              <w:rPr>
                <w:sz w:val="22"/>
                <w:szCs w:val="22"/>
                <w:lang w:val="de-DE"/>
              </w:rPr>
              <w:t>0,0</w:t>
            </w:r>
          </w:p>
        </w:tc>
        <w:tc>
          <w:tcPr>
            <w:tcW w:w="2000" w:type="dxa"/>
            <w:tcBorders>
              <w:top w:val="single" w:sz="4" w:space="0" w:color="000000"/>
              <w:left w:val="single" w:sz="4" w:space="0" w:color="000000"/>
              <w:bottom w:val="single" w:sz="4" w:space="0" w:color="000000"/>
              <w:right w:val="single" w:sz="4" w:space="0" w:color="000000"/>
            </w:tcBorders>
          </w:tcPr>
          <w:p w14:paraId="0032DAF6" w14:textId="77777777" w:rsidR="00FE291A" w:rsidRDefault="00C8738F">
            <w:pPr>
              <w:pStyle w:val="TableParagraph"/>
              <w:widowControl/>
              <w:kinsoku w:val="0"/>
              <w:overflowPunct w:val="0"/>
              <w:jc w:val="center"/>
              <w:rPr>
                <w:sz w:val="22"/>
                <w:szCs w:val="22"/>
                <w:lang w:val="de-DE"/>
              </w:rPr>
            </w:pPr>
            <w:r>
              <w:rPr>
                <w:sz w:val="22"/>
                <w:szCs w:val="22"/>
                <w:lang w:val="de-DE"/>
              </w:rPr>
              <w:t>1,6 (0,9; 2,2)</w:t>
            </w:r>
          </w:p>
        </w:tc>
        <w:tc>
          <w:tcPr>
            <w:tcW w:w="1548" w:type="dxa"/>
            <w:tcBorders>
              <w:top w:val="single" w:sz="4" w:space="0" w:color="000000"/>
              <w:left w:val="single" w:sz="4" w:space="0" w:color="000000"/>
              <w:bottom w:val="single" w:sz="4" w:space="0" w:color="000000"/>
              <w:right w:val="single" w:sz="4" w:space="0" w:color="000000"/>
            </w:tcBorders>
          </w:tcPr>
          <w:p w14:paraId="3A06B55B" w14:textId="77777777" w:rsidR="00FE291A" w:rsidRDefault="00C8738F">
            <w:pPr>
              <w:pStyle w:val="TableParagraph"/>
              <w:widowControl/>
              <w:kinsoku w:val="0"/>
              <w:overflowPunct w:val="0"/>
              <w:jc w:val="center"/>
              <w:rPr>
                <w:sz w:val="22"/>
                <w:szCs w:val="22"/>
                <w:lang w:val="de-DE"/>
              </w:rPr>
            </w:pPr>
            <w:r>
              <w:rPr>
                <w:sz w:val="22"/>
                <w:szCs w:val="22"/>
                <w:lang w:val="de-DE"/>
              </w:rPr>
              <w:t>&lt; 0,001</w:t>
            </w:r>
          </w:p>
        </w:tc>
      </w:tr>
      <w:tr w:rsidR="00FE291A" w14:paraId="3C4B6901" w14:textId="77777777">
        <w:trPr>
          <w:trHeight w:hRule="exact" w:val="397"/>
        </w:trPr>
        <w:tc>
          <w:tcPr>
            <w:tcW w:w="2088" w:type="dxa"/>
            <w:tcBorders>
              <w:top w:val="single" w:sz="4" w:space="0" w:color="000000"/>
              <w:left w:val="single" w:sz="4" w:space="0" w:color="000000"/>
              <w:bottom w:val="single" w:sz="4" w:space="0" w:color="000000"/>
              <w:right w:val="single" w:sz="4" w:space="0" w:color="000000"/>
            </w:tcBorders>
          </w:tcPr>
          <w:p w14:paraId="70A29A88" w14:textId="77777777" w:rsidR="00FE291A" w:rsidRDefault="00C8738F">
            <w:pPr>
              <w:pStyle w:val="BodyText"/>
              <w:widowControl/>
              <w:tabs>
                <w:tab w:val="left" w:pos="567"/>
              </w:tabs>
              <w:kinsoku w:val="0"/>
              <w:overflowPunct w:val="0"/>
              <w:ind w:left="0"/>
              <w:rPr>
                <w:i/>
                <w:lang w:val="de-DE"/>
              </w:rPr>
            </w:pPr>
            <w:r>
              <w:rPr>
                <w:i/>
                <w:lang w:val="de-DE"/>
              </w:rPr>
              <w:t>JSN</w:t>
            </w:r>
            <w:r>
              <w:rPr>
                <w:vertAlign w:val="superscript"/>
                <w:lang w:val="de-DE"/>
              </w:rPr>
              <w:t>d</w:t>
            </w:r>
            <w:r>
              <w:rPr>
                <w:lang w:val="de-DE"/>
              </w:rPr>
              <w:t xml:space="preserve"> </w:t>
            </w:r>
            <w:r>
              <w:rPr>
                <w:i/>
                <w:lang w:val="de-DE"/>
              </w:rPr>
              <w:t>Score</w:t>
            </w:r>
          </w:p>
        </w:tc>
        <w:tc>
          <w:tcPr>
            <w:tcW w:w="1564" w:type="dxa"/>
            <w:tcBorders>
              <w:top w:val="single" w:sz="4" w:space="0" w:color="000000"/>
              <w:left w:val="single" w:sz="4" w:space="0" w:color="000000"/>
              <w:bottom w:val="single" w:sz="4" w:space="0" w:color="000000"/>
              <w:right w:val="single" w:sz="4" w:space="0" w:color="000000"/>
            </w:tcBorders>
          </w:tcPr>
          <w:p w14:paraId="290F4C7E" w14:textId="77777777" w:rsidR="00FE291A" w:rsidRDefault="00C8738F">
            <w:pPr>
              <w:pStyle w:val="TableParagraph"/>
              <w:widowControl/>
              <w:kinsoku w:val="0"/>
              <w:overflowPunct w:val="0"/>
              <w:jc w:val="center"/>
              <w:rPr>
                <w:sz w:val="22"/>
                <w:szCs w:val="22"/>
                <w:lang w:val="de-DE"/>
              </w:rPr>
            </w:pPr>
            <w:r>
              <w:rPr>
                <w:sz w:val="22"/>
                <w:szCs w:val="22"/>
                <w:lang w:val="de-DE"/>
              </w:rPr>
              <w:t>1,0</w:t>
            </w:r>
          </w:p>
        </w:tc>
        <w:tc>
          <w:tcPr>
            <w:tcW w:w="1656" w:type="dxa"/>
            <w:tcBorders>
              <w:top w:val="single" w:sz="4" w:space="0" w:color="000000"/>
              <w:left w:val="single" w:sz="4" w:space="0" w:color="000000"/>
              <w:bottom w:val="single" w:sz="4" w:space="0" w:color="000000"/>
              <w:right w:val="single" w:sz="4" w:space="0" w:color="000000"/>
            </w:tcBorders>
          </w:tcPr>
          <w:p w14:paraId="4AF645A1" w14:textId="77777777" w:rsidR="00FE291A" w:rsidRDefault="00C8738F">
            <w:pPr>
              <w:pStyle w:val="TableParagraph"/>
              <w:widowControl/>
              <w:kinsoku w:val="0"/>
              <w:overflowPunct w:val="0"/>
              <w:jc w:val="center"/>
              <w:rPr>
                <w:sz w:val="22"/>
                <w:szCs w:val="22"/>
                <w:lang w:val="de-DE"/>
              </w:rPr>
            </w:pPr>
            <w:r>
              <w:rPr>
                <w:sz w:val="22"/>
                <w:szCs w:val="22"/>
                <w:lang w:val="de-DE"/>
              </w:rPr>
              <w:t>0,1</w:t>
            </w:r>
          </w:p>
        </w:tc>
        <w:tc>
          <w:tcPr>
            <w:tcW w:w="2000" w:type="dxa"/>
            <w:tcBorders>
              <w:top w:val="single" w:sz="4" w:space="0" w:color="000000"/>
              <w:left w:val="single" w:sz="4" w:space="0" w:color="000000"/>
              <w:bottom w:val="single" w:sz="4" w:space="0" w:color="000000"/>
              <w:right w:val="single" w:sz="4" w:space="0" w:color="000000"/>
            </w:tcBorders>
          </w:tcPr>
          <w:p w14:paraId="64DA12BE" w14:textId="77777777" w:rsidR="00FE291A" w:rsidRDefault="00C8738F">
            <w:pPr>
              <w:pStyle w:val="TableParagraph"/>
              <w:widowControl/>
              <w:kinsoku w:val="0"/>
              <w:overflowPunct w:val="0"/>
              <w:jc w:val="center"/>
              <w:rPr>
                <w:sz w:val="22"/>
                <w:szCs w:val="22"/>
                <w:lang w:val="de-DE"/>
              </w:rPr>
            </w:pPr>
            <w:r>
              <w:rPr>
                <w:sz w:val="22"/>
                <w:szCs w:val="22"/>
                <w:lang w:val="de-DE"/>
              </w:rPr>
              <w:t>0,9 (0,3; 1,4)</w:t>
            </w:r>
          </w:p>
        </w:tc>
        <w:tc>
          <w:tcPr>
            <w:tcW w:w="1548" w:type="dxa"/>
            <w:tcBorders>
              <w:top w:val="single" w:sz="4" w:space="0" w:color="000000"/>
              <w:left w:val="single" w:sz="4" w:space="0" w:color="000000"/>
              <w:bottom w:val="single" w:sz="4" w:space="0" w:color="000000"/>
              <w:right w:val="single" w:sz="4" w:space="0" w:color="000000"/>
            </w:tcBorders>
          </w:tcPr>
          <w:p w14:paraId="1D0DFA63" w14:textId="77777777" w:rsidR="00FE291A" w:rsidRDefault="00C8738F">
            <w:pPr>
              <w:pStyle w:val="TableParagraph"/>
              <w:widowControl/>
              <w:kinsoku w:val="0"/>
              <w:overflowPunct w:val="0"/>
              <w:jc w:val="center"/>
              <w:rPr>
                <w:sz w:val="22"/>
                <w:szCs w:val="22"/>
                <w:lang w:val="de-DE"/>
              </w:rPr>
            </w:pPr>
            <w:r>
              <w:rPr>
                <w:sz w:val="22"/>
                <w:szCs w:val="22"/>
                <w:lang w:val="de-DE"/>
              </w:rPr>
              <w:t>0,002</w:t>
            </w:r>
          </w:p>
        </w:tc>
      </w:tr>
    </w:tbl>
    <w:p w14:paraId="34081851" w14:textId="77777777" w:rsidR="00FE291A" w:rsidRDefault="00C8738F">
      <w:pPr>
        <w:pStyle w:val="BodyText"/>
        <w:widowControl/>
        <w:tabs>
          <w:tab w:val="left" w:pos="567"/>
        </w:tabs>
        <w:kinsoku w:val="0"/>
        <w:overflowPunct w:val="0"/>
        <w:ind w:left="0"/>
        <w:rPr>
          <w:sz w:val="20"/>
          <w:szCs w:val="20"/>
          <w:lang w:val="de-DE"/>
        </w:rPr>
      </w:pPr>
      <w:r>
        <w:rPr>
          <w:sz w:val="20"/>
          <w:szCs w:val="20"/>
          <w:vertAlign w:val="superscript"/>
          <w:lang w:val="de-DE"/>
        </w:rPr>
        <w:t>a</w:t>
      </w:r>
      <w:r>
        <w:rPr>
          <w:sz w:val="20"/>
          <w:szCs w:val="20"/>
          <w:lang w:val="de-DE"/>
        </w:rPr>
        <w:t xml:space="preserve"> Methotrexat</w:t>
      </w:r>
    </w:p>
    <w:p w14:paraId="3599A3CF" w14:textId="77777777" w:rsidR="00FE291A" w:rsidRDefault="00C8738F">
      <w:pPr>
        <w:pStyle w:val="BodyText"/>
        <w:widowControl/>
        <w:tabs>
          <w:tab w:val="left" w:pos="567"/>
        </w:tabs>
        <w:kinsoku w:val="0"/>
        <w:overflowPunct w:val="0"/>
        <w:ind w:left="0"/>
        <w:rPr>
          <w:sz w:val="20"/>
          <w:szCs w:val="20"/>
          <w:lang w:val="de-DE"/>
        </w:rPr>
      </w:pPr>
      <w:r>
        <w:rPr>
          <w:sz w:val="20"/>
          <w:szCs w:val="20"/>
          <w:vertAlign w:val="superscript"/>
          <w:lang w:val="de-DE"/>
        </w:rPr>
        <w:t>b</w:t>
      </w:r>
      <w:r>
        <w:rPr>
          <w:sz w:val="20"/>
          <w:szCs w:val="20"/>
          <w:lang w:val="de-DE"/>
        </w:rPr>
        <w:t xml:space="preserve"> 95 % Konfidenzintervalle für die Unterschiede der Veränderungen der </w:t>
      </w:r>
      <w:r>
        <w:rPr>
          <w:i/>
          <w:iCs/>
          <w:sz w:val="20"/>
          <w:szCs w:val="20"/>
          <w:lang w:val="de-DE"/>
        </w:rPr>
        <w:t xml:space="preserve">Scores </w:t>
      </w:r>
      <w:r>
        <w:rPr>
          <w:sz w:val="20"/>
          <w:szCs w:val="20"/>
          <w:lang w:val="de-DE"/>
        </w:rPr>
        <w:t>zwischen Methotrexat und Adalimumab</w:t>
      </w:r>
    </w:p>
    <w:p w14:paraId="622E0182" w14:textId="77777777" w:rsidR="00FE291A" w:rsidRDefault="00C8738F">
      <w:pPr>
        <w:pStyle w:val="BodyText"/>
        <w:widowControl/>
        <w:tabs>
          <w:tab w:val="left" w:pos="567"/>
        </w:tabs>
        <w:kinsoku w:val="0"/>
        <w:overflowPunct w:val="0"/>
        <w:ind w:left="0"/>
        <w:rPr>
          <w:sz w:val="20"/>
          <w:szCs w:val="20"/>
          <w:lang w:val="de-DE"/>
        </w:rPr>
      </w:pPr>
      <w:r>
        <w:rPr>
          <w:sz w:val="20"/>
          <w:szCs w:val="20"/>
          <w:vertAlign w:val="superscript"/>
          <w:lang w:val="de-DE"/>
        </w:rPr>
        <w:t>c</w:t>
      </w:r>
      <w:r>
        <w:rPr>
          <w:sz w:val="20"/>
          <w:szCs w:val="20"/>
          <w:lang w:val="de-DE"/>
        </w:rPr>
        <w:t xml:space="preserve"> basierend auf Rangsummentest</w:t>
      </w:r>
    </w:p>
    <w:p w14:paraId="19FCB2BE" w14:textId="77777777" w:rsidR="00FE291A" w:rsidRDefault="00C8738F">
      <w:pPr>
        <w:widowControl/>
        <w:tabs>
          <w:tab w:val="left" w:pos="567"/>
        </w:tabs>
        <w:kinsoku w:val="0"/>
        <w:overflowPunct w:val="0"/>
        <w:rPr>
          <w:sz w:val="20"/>
          <w:szCs w:val="20"/>
          <w:lang w:val="de-DE"/>
        </w:rPr>
      </w:pPr>
      <w:r>
        <w:rPr>
          <w:sz w:val="20"/>
          <w:szCs w:val="20"/>
          <w:vertAlign w:val="superscript"/>
          <w:lang w:val="de-DE"/>
        </w:rPr>
        <w:t>d</w:t>
      </w:r>
      <w:r>
        <w:rPr>
          <w:sz w:val="20"/>
          <w:szCs w:val="20"/>
          <w:lang w:val="de-DE"/>
        </w:rPr>
        <w:t xml:space="preserve"> JSN (</w:t>
      </w:r>
      <w:r>
        <w:rPr>
          <w:i/>
          <w:iCs/>
          <w:sz w:val="20"/>
          <w:szCs w:val="20"/>
          <w:lang w:val="de-DE"/>
        </w:rPr>
        <w:t>Joint Space Narrowing</w:t>
      </w:r>
      <w:r>
        <w:rPr>
          <w:sz w:val="20"/>
          <w:szCs w:val="20"/>
          <w:lang w:val="de-DE"/>
        </w:rPr>
        <w:t>): Gelenkspaltverengung</w:t>
      </w:r>
    </w:p>
    <w:p w14:paraId="0E61E6B0" w14:textId="77777777" w:rsidR="00FE291A" w:rsidRDefault="00FE291A">
      <w:pPr>
        <w:widowControl/>
        <w:kinsoku w:val="0"/>
        <w:overflowPunct w:val="0"/>
        <w:rPr>
          <w:sz w:val="22"/>
          <w:szCs w:val="26"/>
          <w:lang w:val="de-DE"/>
        </w:rPr>
      </w:pPr>
    </w:p>
    <w:p w14:paraId="5CDBA23C" w14:textId="77777777" w:rsidR="00FE291A" w:rsidRDefault="00C8738F">
      <w:pPr>
        <w:pStyle w:val="BodyText"/>
        <w:widowControl/>
        <w:kinsoku w:val="0"/>
        <w:overflowPunct w:val="0"/>
        <w:ind w:left="0"/>
        <w:rPr>
          <w:lang w:val="de-DE"/>
        </w:rPr>
      </w:pPr>
      <w:r>
        <w:rPr>
          <w:lang w:val="de-DE"/>
        </w:rPr>
        <w:t>In der RA-Studie V wurde die strukturelle Gelenkschädigung radiologisch untersucht und als Veränderung des modifizierten Gesamt-</w:t>
      </w:r>
      <w:r>
        <w:rPr>
          <w:i/>
          <w:iCs/>
          <w:lang w:val="de-DE"/>
        </w:rPr>
        <w:t xml:space="preserve">Sharp-Scores </w:t>
      </w:r>
      <w:r>
        <w:rPr>
          <w:lang w:val="de-DE"/>
        </w:rPr>
        <w:t>ausgedrückt (siehe Tabelle 11).</w:t>
      </w:r>
    </w:p>
    <w:p w14:paraId="70EBCFC1" w14:textId="77777777" w:rsidR="00FE291A" w:rsidRDefault="00FE291A">
      <w:pPr>
        <w:widowControl/>
        <w:kinsoku w:val="0"/>
        <w:overflowPunct w:val="0"/>
        <w:rPr>
          <w:sz w:val="22"/>
          <w:szCs w:val="26"/>
          <w:lang w:val="de-DE"/>
        </w:rPr>
      </w:pPr>
    </w:p>
    <w:p w14:paraId="218E17E6" w14:textId="77777777" w:rsidR="00FE291A" w:rsidRDefault="00C8738F">
      <w:pPr>
        <w:pStyle w:val="Heading1"/>
        <w:widowControl/>
        <w:kinsoku w:val="0"/>
        <w:overflowPunct w:val="0"/>
        <w:ind w:left="0"/>
        <w:rPr>
          <w:lang w:val="de-DE"/>
        </w:rPr>
      </w:pPr>
      <w:r>
        <w:rPr>
          <w:lang w:val="de-DE"/>
        </w:rPr>
        <w:t>Tabelle 11: Mittlere radiologische Veränderungen nach 52 Wochen in der RA-Studie V</w:t>
      </w:r>
    </w:p>
    <w:p w14:paraId="6337A4E6" w14:textId="77777777" w:rsidR="00FE291A" w:rsidRDefault="00FE291A">
      <w:pPr>
        <w:widowControl/>
        <w:kinsoku w:val="0"/>
        <w:overflowPunct w:val="0"/>
        <w:rPr>
          <w:sz w:val="22"/>
          <w:lang w:val="de-DE"/>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18"/>
        <w:gridCol w:w="1559"/>
        <w:gridCol w:w="1559"/>
        <w:gridCol w:w="1134"/>
        <w:gridCol w:w="1134"/>
        <w:gridCol w:w="1134"/>
      </w:tblGrid>
      <w:tr w:rsidR="00FE291A" w14:paraId="2F7C11F1" w14:textId="77777777">
        <w:trPr>
          <w:trHeight w:val="691"/>
        </w:trPr>
        <w:tc>
          <w:tcPr>
            <w:tcW w:w="1276" w:type="dxa"/>
          </w:tcPr>
          <w:p w14:paraId="68BDFD4B" w14:textId="77777777" w:rsidR="00FE291A" w:rsidRDefault="00FE291A">
            <w:pPr>
              <w:widowControl/>
              <w:jc w:val="center"/>
              <w:rPr>
                <w:sz w:val="22"/>
                <w:szCs w:val="22"/>
                <w:lang w:val="de-DE"/>
              </w:rPr>
            </w:pPr>
          </w:p>
        </w:tc>
        <w:tc>
          <w:tcPr>
            <w:tcW w:w="1418" w:type="dxa"/>
          </w:tcPr>
          <w:p w14:paraId="5BAB1C1B" w14:textId="77777777" w:rsidR="00FE291A" w:rsidRDefault="00C8738F">
            <w:pPr>
              <w:widowControl/>
              <w:jc w:val="center"/>
              <w:rPr>
                <w:b/>
                <w:sz w:val="22"/>
                <w:szCs w:val="22"/>
                <w:lang w:val="de-DE"/>
              </w:rPr>
            </w:pPr>
            <w:r>
              <w:rPr>
                <w:b/>
                <w:sz w:val="22"/>
                <w:szCs w:val="22"/>
                <w:lang w:val="de-DE"/>
              </w:rPr>
              <w:t>MTX</w:t>
            </w:r>
          </w:p>
          <w:p w14:paraId="4E622D4C" w14:textId="77777777" w:rsidR="00FE291A" w:rsidRDefault="00C8738F">
            <w:pPr>
              <w:widowControl/>
              <w:jc w:val="center"/>
              <w:rPr>
                <w:b/>
                <w:sz w:val="22"/>
                <w:szCs w:val="22"/>
                <w:lang w:val="de-DE"/>
              </w:rPr>
            </w:pPr>
            <w:r>
              <w:rPr>
                <w:b/>
                <w:sz w:val="22"/>
                <w:szCs w:val="22"/>
                <w:lang w:val="de-DE"/>
              </w:rPr>
              <w:t>n </w:t>
            </w:r>
            <w:r>
              <w:rPr>
                <w:b/>
                <w:sz w:val="22"/>
                <w:szCs w:val="22"/>
                <w:lang w:val="de-DE" w:eastAsia="en-GB"/>
              </w:rPr>
              <w:t>=</w:t>
            </w:r>
            <w:r>
              <w:rPr>
                <w:b/>
                <w:sz w:val="22"/>
                <w:szCs w:val="22"/>
                <w:lang w:val="de-DE"/>
              </w:rPr>
              <w:t> 257</w:t>
            </w:r>
            <w:r>
              <w:rPr>
                <w:b/>
                <w:sz w:val="22"/>
                <w:szCs w:val="22"/>
                <w:lang w:val="de-DE" w:eastAsia="en-GB"/>
              </w:rPr>
              <w:t xml:space="preserve"> </w:t>
            </w:r>
            <w:r>
              <w:rPr>
                <w:b/>
                <w:sz w:val="22"/>
                <w:szCs w:val="22"/>
                <w:lang w:val="de-DE"/>
              </w:rPr>
              <w:t>(95 %</w:t>
            </w:r>
            <w:r>
              <w:rPr>
                <w:b/>
                <w:sz w:val="22"/>
                <w:szCs w:val="22"/>
                <w:lang w:val="de-DE" w:eastAsia="en-GB"/>
              </w:rPr>
              <w:t xml:space="preserve"> </w:t>
            </w:r>
            <w:r>
              <w:rPr>
                <w:b/>
                <w:sz w:val="22"/>
                <w:szCs w:val="22"/>
                <w:lang w:val="de-DE"/>
              </w:rPr>
              <w:t>Konfidenz-intervall)</w:t>
            </w:r>
          </w:p>
        </w:tc>
        <w:tc>
          <w:tcPr>
            <w:tcW w:w="1559" w:type="dxa"/>
          </w:tcPr>
          <w:p w14:paraId="27708F42" w14:textId="77777777" w:rsidR="00FE291A" w:rsidRDefault="00C8738F">
            <w:pPr>
              <w:widowControl/>
              <w:jc w:val="center"/>
              <w:rPr>
                <w:b/>
                <w:sz w:val="22"/>
                <w:szCs w:val="22"/>
                <w:lang w:val="de-DE"/>
              </w:rPr>
            </w:pPr>
            <w:r>
              <w:rPr>
                <w:b/>
                <w:color w:val="000000"/>
                <w:sz w:val="22"/>
                <w:szCs w:val="22"/>
                <w:lang w:val="de-DE"/>
              </w:rPr>
              <w:t>Adalimumab</w:t>
            </w:r>
            <w:r>
              <w:rPr>
                <w:sz w:val="22"/>
                <w:szCs w:val="22"/>
                <w:lang w:val="de-DE" w:eastAsia="en-GB"/>
              </w:rPr>
              <w:t xml:space="preserve"> </w:t>
            </w:r>
            <w:r>
              <w:rPr>
                <w:b/>
                <w:sz w:val="22"/>
                <w:szCs w:val="22"/>
                <w:lang w:val="de-DE"/>
              </w:rPr>
              <w:t>n </w:t>
            </w:r>
            <w:r>
              <w:rPr>
                <w:b/>
                <w:sz w:val="22"/>
                <w:szCs w:val="22"/>
                <w:lang w:val="de-DE" w:eastAsia="en-GB"/>
              </w:rPr>
              <w:t>=</w:t>
            </w:r>
            <w:r>
              <w:rPr>
                <w:b/>
                <w:sz w:val="22"/>
                <w:szCs w:val="22"/>
                <w:lang w:val="de-DE"/>
              </w:rPr>
              <w:t> 274</w:t>
            </w:r>
          </w:p>
          <w:p w14:paraId="243497DE" w14:textId="77777777" w:rsidR="00FE291A" w:rsidRDefault="00C8738F">
            <w:pPr>
              <w:widowControl/>
              <w:jc w:val="center"/>
              <w:rPr>
                <w:b/>
                <w:sz w:val="22"/>
                <w:szCs w:val="22"/>
                <w:lang w:val="de-DE"/>
              </w:rPr>
            </w:pPr>
            <w:r>
              <w:rPr>
                <w:b/>
                <w:sz w:val="22"/>
                <w:szCs w:val="22"/>
                <w:lang w:val="de-DE"/>
              </w:rPr>
              <w:t>(95 %</w:t>
            </w:r>
            <w:r>
              <w:rPr>
                <w:b/>
                <w:sz w:val="22"/>
                <w:szCs w:val="22"/>
                <w:lang w:val="de-DE" w:eastAsia="en-GB"/>
              </w:rPr>
              <w:t xml:space="preserve"> </w:t>
            </w:r>
            <w:r>
              <w:rPr>
                <w:b/>
                <w:sz w:val="22"/>
                <w:szCs w:val="22"/>
                <w:lang w:val="de-DE"/>
              </w:rPr>
              <w:t>Konfidenz-intervall)</w:t>
            </w:r>
          </w:p>
        </w:tc>
        <w:tc>
          <w:tcPr>
            <w:tcW w:w="1559" w:type="dxa"/>
          </w:tcPr>
          <w:p w14:paraId="10B2DEAB" w14:textId="77777777" w:rsidR="00FE291A" w:rsidRDefault="00C8738F">
            <w:pPr>
              <w:widowControl/>
              <w:jc w:val="center"/>
              <w:rPr>
                <w:b/>
                <w:sz w:val="22"/>
                <w:szCs w:val="22"/>
                <w:lang w:val="de-DE"/>
              </w:rPr>
            </w:pPr>
            <w:r>
              <w:rPr>
                <w:b/>
                <w:color w:val="000000"/>
                <w:sz w:val="22"/>
                <w:szCs w:val="22"/>
                <w:lang w:val="de-DE"/>
              </w:rPr>
              <w:t>Adalimumab</w:t>
            </w:r>
            <w:r>
              <w:rPr>
                <w:b/>
                <w:sz w:val="22"/>
                <w:szCs w:val="22"/>
                <w:lang w:val="de-DE"/>
              </w:rPr>
              <w:t>/MTX</w:t>
            </w:r>
          </w:p>
          <w:p w14:paraId="3914F062" w14:textId="77777777" w:rsidR="00FE291A" w:rsidRDefault="00C8738F">
            <w:pPr>
              <w:widowControl/>
              <w:jc w:val="center"/>
              <w:rPr>
                <w:b/>
                <w:sz w:val="22"/>
                <w:szCs w:val="22"/>
                <w:lang w:val="de-DE"/>
              </w:rPr>
            </w:pPr>
            <w:r>
              <w:rPr>
                <w:b/>
                <w:sz w:val="22"/>
                <w:szCs w:val="22"/>
                <w:lang w:val="de-DE"/>
              </w:rPr>
              <w:t>n </w:t>
            </w:r>
            <w:r>
              <w:rPr>
                <w:b/>
                <w:sz w:val="22"/>
                <w:szCs w:val="22"/>
                <w:lang w:val="de-DE" w:eastAsia="en-GB"/>
              </w:rPr>
              <w:t>=</w:t>
            </w:r>
            <w:r>
              <w:rPr>
                <w:b/>
                <w:sz w:val="22"/>
                <w:szCs w:val="22"/>
                <w:lang w:val="de-DE"/>
              </w:rPr>
              <w:t> 268</w:t>
            </w:r>
          </w:p>
          <w:p w14:paraId="7356A428" w14:textId="77777777" w:rsidR="00FE291A" w:rsidRDefault="00C8738F">
            <w:pPr>
              <w:widowControl/>
              <w:jc w:val="center"/>
              <w:rPr>
                <w:b/>
                <w:sz w:val="22"/>
                <w:szCs w:val="22"/>
                <w:lang w:val="de-DE"/>
              </w:rPr>
            </w:pPr>
            <w:r>
              <w:rPr>
                <w:b/>
                <w:sz w:val="22"/>
                <w:szCs w:val="22"/>
                <w:lang w:val="de-DE"/>
              </w:rPr>
              <w:t>(95 %</w:t>
            </w:r>
            <w:r>
              <w:rPr>
                <w:b/>
                <w:sz w:val="22"/>
                <w:szCs w:val="22"/>
                <w:lang w:val="de-DE" w:eastAsia="en-GB"/>
              </w:rPr>
              <w:t xml:space="preserve"> </w:t>
            </w:r>
            <w:r>
              <w:rPr>
                <w:b/>
                <w:sz w:val="22"/>
                <w:szCs w:val="22"/>
                <w:lang w:val="de-DE"/>
              </w:rPr>
              <w:t>Konfidenz-intervall)</w:t>
            </w:r>
          </w:p>
        </w:tc>
        <w:tc>
          <w:tcPr>
            <w:tcW w:w="1134" w:type="dxa"/>
          </w:tcPr>
          <w:p w14:paraId="5DE49A73" w14:textId="77777777" w:rsidR="00FE291A" w:rsidRDefault="00C8738F">
            <w:pPr>
              <w:widowControl/>
              <w:jc w:val="center"/>
              <w:rPr>
                <w:b/>
                <w:sz w:val="22"/>
                <w:szCs w:val="22"/>
                <w:lang w:val="de-DE"/>
              </w:rPr>
            </w:pPr>
            <w:r>
              <w:rPr>
                <w:b/>
                <w:sz w:val="22"/>
                <w:szCs w:val="22"/>
                <w:lang w:val="de-DE"/>
              </w:rPr>
              <w:t>p-Wert</w:t>
            </w:r>
            <w:r>
              <w:rPr>
                <w:b/>
                <w:sz w:val="22"/>
                <w:szCs w:val="22"/>
                <w:vertAlign w:val="superscript"/>
                <w:lang w:val="de-DE"/>
              </w:rPr>
              <w:t>a</w:t>
            </w:r>
          </w:p>
        </w:tc>
        <w:tc>
          <w:tcPr>
            <w:tcW w:w="1134" w:type="dxa"/>
          </w:tcPr>
          <w:p w14:paraId="26061ACD" w14:textId="77777777" w:rsidR="00FE291A" w:rsidRDefault="00C8738F">
            <w:pPr>
              <w:widowControl/>
              <w:jc w:val="center"/>
              <w:rPr>
                <w:b/>
                <w:sz w:val="22"/>
                <w:szCs w:val="22"/>
                <w:lang w:val="de-DE"/>
              </w:rPr>
            </w:pPr>
            <w:r>
              <w:rPr>
                <w:b/>
                <w:sz w:val="22"/>
                <w:szCs w:val="22"/>
                <w:lang w:val="de-DE"/>
              </w:rPr>
              <w:t>p-Wert</w:t>
            </w:r>
            <w:r>
              <w:rPr>
                <w:b/>
                <w:sz w:val="22"/>
                <w:szCs w:val="22"/>
                <w:vertAlign w:val="superscript"/>
                <w:lang w:val="de-DE"/>
              </w:rPr>
              <w:t>b</w:t>
            </w:r>
          </w:p>
        </w:tc>
        <w:tc>
          <w:tcPr>
            <w:tcW w:w="1134" w:type="dxa"/>
          </w:tcPr>
          <w:p w14:paraId="533EE8F6" w14:textId="77777777" w:rsidR="00FE291A" w:rsidRDefault="00C8738F">
            <w:pPr>
              <w:widowControl/>
              <w:jc w:val="center"/>
              <w:rPr>
                <w:b/>
                <w:sz w:val="22"/>
                <w:szCs w:val="22"/>
                <w:lang w:val="de-DE"/>
              </w:rPr>
            </w:pPr>
            <w:r>
              <w:rPr>
                <w:b/>
                <w:sz w:val="22"/>
                <w:szCs w:val="22"/>
                <w:lang w:val="de-DE"/>
              </w:rPr>
              <w:t>p-Wert</w:t>
            </w:r>
            <w:r>
              <w:rPr>
                <w:b/>
                <w:sz w:val="22"/>
                <w:szCs w:val="22"/>
                <w:vertAlign w:val="superscript"/>
                <w:lang w:val="de-DE"/>
              </w:rPr>
              <w:t>c</w:t>
            </w:r>
          </w:p>
        </w:tc>
      </w:tr>
      <w:tr w:rsidR="00FE291A" w14:paraId="598071B7" w14:textId="77777777">
        <w:trPr>
          <w:trHeight w:val="283"/>
        </w:trPr>
        <w:tc>
          <w:tcPr>
            <w:tcW w:w="1276" w:type="dxa"/>
            <w:tcBorders>
              <w:bottom w:val="single" w:sz="4" w:space="0" w:color="auto"/>
            </w:tcBorders>
          </w:tcPr>
          <w:p w14:paraId="45C90598" w14:textId="77777777" w:rsidR="00FE291A" w:rsidRDefault="00C8738F">
            <w:pPr>
              <w:widowControl/>
              <w:rPr>
                <w:i/>
                <w:color w:val="000000"/>
                <w:sz w:val="22"/>
                <w:szCs w:val="22"/>
                <w:lang w:val="de-DE"/>
              </w:rPr>
            </w:pPr>
            <w:r>
              <w:rPr>
                <w:color w:val="000000"/>
                <w:sz w:val="22"/>
                <w:szCs w:val="22"/>
                <w:lang w:val="de-DE"/>
              </w:rPr>
              <w:t>Gesamt-</w:t>
            </w:r>
            <w:r>
              <w:rPr>
                <w:i/>
                <w:color w:val="000000"/>
                <w:sz w:val="22"/>
                <w:szCs w:val="22"/>
                <w:lang w:val="de-DE"/>
              </w:rPr>
              <w:t>Sharp-Score</w:t>
            </w:r>
          </w:p>
        </w:tc>
        <w:tc>
          <w:tcPr>
            <w:tcW w:w="1418" w:type="dxa"/>
            <w:tcBorders>
              <w:bottom w:val="single" w:sz="4" w:space="0" w:color="auto"/>
            </w:tcBorders>
          </w:tcPr>
          <w:p w14:paraId="4BE87727" w14:textId="77777777" w:rsidR="00FE291A" w:rsidRDefault="00C8738F">
            <w:pPr>
              <w:widowControl/>
              <w:jc w:val="center"/>
              <w:rPr>
                <w:color w:val="000000"/>
                <w:sz w:val="22"/>
                <w:szCs w:val="22"/>
                <w:lang w:val="de-DE"/>
              </w:rPr>
            </w:pPr>
            <w:r>
              <w:rPr>
                <w:color w:val="000000"/>
                <w:sz w:val="22"/>
                <w:szCs w:val="22"/>
                <w:lang w:val="de-DE"/>
              </w:rPr>
              <w:t>5,7 (4,2-7,3)</w:t>
            </w:r>
          </w:p>
        </w:tc>
        <w:tc>
          <w:tcPr>
            <w:tcW w:w="1559" w:type="dxa"/>
            <w:tcBorders>
              <w:bottom w:val="single" w:sz="4" w:space="0" w:color="auto"/>
            </w:tcBorders>
          </w:tcPr>
          <w:p w14:paraId="302FF254" w14:textId="77777777" w:rsidR="00FE291A" w:rsidRDefault="00C8738F">
            <w:pPr>
              <w:widowControl/>
              <w:jc w:val="center"/>
              <w:rPr>
                <w:color w:val="000000"/>
                <w:sz w:val="22"/>
                <w:szCs w:val="22"/>
                <w:lang w:val="de-DE"/>
              </w:rPr>
            </w:pPr>
            <w:r>
              <w:rPr>
                <w:color w:val="000000"/>
                <w:sz w:val="22"/>
                <w:szCs w:val="22"/>
                <w:lang w:val="de-DE"/>
              </w:rPr>
              <w:t>3,0 (1,7-4,3)</w:t>
            </w:r>
          </w:p>
        </w:tc>
        <w:tc>
          <w:tcPr>
            <w:tcW w:w="1559" w:type="dxa"/>
            <w:tcBorders>
              <w:bottom w:val="single" w:sz="4" w:space="0" w:color="auto"/>
            </w:tcBorders>
          </w:tcPr>
          <w:p w14:paraId="3A704E38" w14:textId="77777777" w:rsidR="00FE291A" w:rsidRDefault="00C8738F">
            <w:pPr>
              <w:widowControl/>
              <w:jc w:val="center"/>
              <w:rPr>
                <w:color w:val="000000"/>
                <w:sz w:val="22"/>
                <w:szCs w:val="22"/>
                <w:lang w:val="de-DE"/>
              </w:rPr>
            </w:pPr>
            <w:r>
              <w:rPr>
                <w:color w:val="000000"/>
                <w:sz w:val="22"/>
                <w:szCs w:val="22"/>
                <w:lang w:val="de-DE"/>
              </w:rPr>
              <w:t>1,3 (0,5-2,1)</w:t>
            </w:r>
          </w:p>
        </w:tc>
        <w:tc>
          <w:tcPr>
            <w:tcW w:w="1134" w:type="dxa"/>
            <w:tcBorders>
              <w:bottom w:val="single" w:sz="4" w:space="0" w:color="auto"/>
            </w:tcBorders>
          </w:tcPr>
          <w:p w14:paraId="01757BAF" w14:textId="77777777" w:rsidR="00FE291A" w:rsidRDefault="00C8738F">
            <w:pPr>
              <w:widowControl/>
              <w:jc w:val="center"/>
              <w:rPr>
                <w:color w:val="000000"/>
                <w:sz w:val="22"/>
                <w:szCs w:val="22"/>
                <w:lang w:val="de-DE"/>
              </w:rPr>
            </w:pPr>
            <w:r>
              <w:rPr>
                <w:color w:val="000000"/>
                <w:sz w:val="22"/>
                <w:szCs w:val="22"/>
                <w:lang w:val="de-DE"/>
              </w:rPr>
              <w:t>&lt;</w:t>
            </w:r>
            <w:r>
              <w:rPr>
                <w:sz w:val="22"/>
                <w:szCs w:val="22"/>
                <w:lang w:val="de-DE"/>
              </w:rPr>
              <w:t> </w:t>
            </w:r>
            <w:r>
              <w:rPr>
                <w:color w:val="000000"/>
                <w:sz w:val="22"/>
                <w:szCs w:val="22"/>
                <w:lang w:val="de-DE"/>
              </w:rPr>
              <w:t>0,001</w:t>
            </w:r>
          </w:p>
        </w:tc>
        <w:tc>
          <w:tcPr>
            <w:tcW w:w="1134" w:type="dxa"/>
            <w:tcBorders>
              <w:bottom w:val="single" w:sz="4" w:space="0" w:color="auto"/>
            </w:tcBorders>
          </w:tcPr>
          <w:p w14:paraId="1316AB0A" w14:textId="77777777" w:rsidR="00FE291A" w:rsidRDefault="00C8738F">
            <w:pPr>
              <w:widowControl/>
              <w:jc w:val="center"/>
              <w:rPr>
                <w:color w:val="000000"/>
                <w:sz w:val="22"/>
                <w:szCs w:val="22"/>
                <w:lang w:val="de-DE"/>
              </w:rPr>
            </w:pPr>
            <w:r>
              <w:rPr>
                <w:color w:val="000000"/>
                <w:sz w:val="22"/>
                <w:szCs w:val="22"/>
                <w:lang w:val="de-DE"/>
              </w:rPr>
              <w:t>0,0020</w:t>
            </w:r>
          </w:p>
        </w:tc>
        <w:tc>
          <w:tcPr>
            <w:tcW w:w="1134" w:type="dxa"/>
            <w:tcBorders>
              <w:bottom w:val="single" w:sz="4" w:space="0" w:color="auto"/>
            </w:tcBorders>
          </w:tcPr>
          <w:p w14:paraId="67AC5687" w14:textId="77777777" w:rsidR="00FE291A" w:rsidRDefault="00C8738F">
            <w:pPr>
              <w:widowControl/>
              <w:jc w:val="center"/>
              <w:rPr>
                <w:color w:val="000000"/>
                <w:sz w:val="22"/>
                <w:szCs w:val="22"/>
                <w:lang w:val="de-DE"/>
              </w:rPr>
            </w:pPr>
            <w:r>
              <w:rPr>
                <w:color w:val="000000"/>
                <w:sz w:val="22"/>
                <w:szCs w:val="22"/>
                <w:lang w:val="de-DE"/>
              </w:rPr>
              <w:t>&lt;</w:t>
            </w:r>
            <w:r>
              <w:rPr>
                <w:sz w:val="22"/>
                <w:szCs w:val="22"/>
                <w:lang w:val="de-DE"/>
              </w:rPr>
              <w:t> </w:t>
            </w:r>
            <w:r>
              <w:rPr>
                <w:color w:val="000000"/>
                <w:sz w:val="22"/>
                <w:szCs w:val="22"/>
                <w:lang w:val="de-DE"/>
              </w:rPr>
              <w:t>0,001</w:t>
            </w:r>
          </w:p>
        </w:tc>
      </w:tr>
      <w:tr w:rsidR="00FE291A" w14:paraId="798BC941" w14:textId="77777777">
        <w:trPr>
          <w:trHeight w:val="283"/>
        </w:trPr>
        <w:tc>
          <w:tcPr>
            <w:tcW w:w="1276" w:type="dxa"/>
            <w:tcBorders>
              <w:bottom w:val="single" w:sz="4" w:space="0" w:color="auto"/>
            </w:tcBorders>
          </w:tcPr>
          <w:p w14:paraId="2F975498" w14:textId="77777777" w:rsidR="00FE291A" w:rsidRDefault="00C8738F">
            <w:pPr>
              <w:widowControl/>
              <w:rPr>
                <w:i/>
                <w:color w:val="000000"/>
                <w:sz w:val="22"/>
                <w:szCs w:val="22"/>
                <w:lang w:val="de-DE"/>
              </w:rPr>
            </w:pPr>
            <w:r>
              <w:rPr>
                <w:i/>
                <w:color w:val="000000"/>
                <w:sz w:val="22"/>
                <w:szCs w:val="22"/>
                <w:lang w:val="de-DE"/>
              </w:rPr>
              <w:t>Erosion Score</w:t>
            </w:r>
          </w:p>
        </w:tc>
        <w:tc>
          <w:tcPr>
            <w:tcW w:w="1418" w:type="dxa"/>
            <w:tcBorders>
              <w:bottom w:val="single" w:sz="4" w:space="0" w:color="auto"/>
            </w:tcBorders>
          </w:tcPr>
          <w:p w14:paraId="5B952043" w14:textId="77777777" w:rsidR="00FE291A" w:rsidRDefault="00C8738F">
            <w:pPr>
              <w:widowControl/>
              <w:jc w:val="center"/>
              <w:rPr>
                <w:color w:val="000000"/>
                <w:sz w:val="22"/>
                <w:szCs w:val="22"/>
                <w:lang w:val="de-DE"/>
              </w:rPr>
            </w:pPr>
            <w:r>
              <w:rPr>
                <w:color w:val="000000"/>
                <w:sz w:val="22"/>
                <w:szCs w:val="22"/>
                <w:lang w:val="de-DE"/>
              </w:rPr>
              <w:t>3,7 (2,7-4,7)</w:t>
            </w:r>
          </w:p>
        </w:tc>
        <w:tc>
          <w:tcPr>
            <w:tcW w:w="1559" w:type="dxa"/>
            <w:tcBorders>
              <w:bottom w:val="single" w:sz="4" w:space="0" w:color="auto"/>
            </w:tcBorders>
          </w:tcPr>
          <w:p w14:paraId="03038A67" w14:textId="77777777" w:rsidR="00FE291A" w:rsidRDefault="00C8738F">
            <w:pPr>
              <w:widowControl/>
              <w:jc w:val="center"/>
              <w:rPr>
                <w:color w:val="000000"/>
                <w:sz w:val="22"/>
                <w:szCs w:val="22"/>
                <w:lang w:val="de-DE"/>
              </w:rPr>
            </w:pPr>
            <w:r>
              <w:rPr>
                <w:color w:val="000000"/>
                <w:sz w:val="22"/>
                <w:szCs w:val="22"/>
                <w:lang w:val="de-DE"/>
              </w:rPr>
              <w:t>1,7 (1,0-2,4)</w:t>
            </w:r>
          </w:p>
        </w:tc>
        <w:tc>
          <w:tcPr>
            <w:tcW w:w="1559" w:type="dxa"/>
            <w:tcBorders>
              <w:bottom w:val="single" w:sz="4" w:space="0" w:color="auto"/>
            </w:tcBorders>
          </w:tcPr>
          <w:p w14:paraId="39E13FA6" w14:textId="77777777" w:rsidR="00FE291A" w:rsidRDefault="00C8738F">
            <w:pPr>
              <w:widowControl/>
              <w:jc w:val="center"/>
              <w:rPr>
                <w:color w:val="000000"/>
                <w:sz w:val="22"/>
                <w:szCs w:val="22"/>
                <w:lang w:val="de-DE"/>
              </w:rPr>
            </w:pPr>
            <w:r>
              <w:rPr>
                <w:color w:val="000000"/>
                <w:sz w:val="22"/>
                <w:szCs w:val="22"/>
                <w:lang w:val="de-DE"/>
              </w:rPr>
              <w:t>0,8 (0,4-1,2)</w:t>
            </w:r>
          </w:p>
        </w:tc>
        <w:tc>
          <w:tcPr>
            <w:tcW w:w="1134" w:type="dxa"/>
            <w:tcBorders>
              <w:bottom w:val="single" w:sz="4" w:space="0" w:color="auto"/>
            </w:tcBorders>
          </w:tcPr>
          <w:p w14:paraId="11539FEC" w14:textId="77777777" w:rsidR="00FE291A" w:rsidRDefault="00C8738F">
            <w:pPr>
              <w:widowControl/>
              <w:jc w:val="center"/>
              <w:rPr>
                <w:color w:val="000000"/>
                <w:sz w:val="22"/>
                <w:szCs w:val="22"/>
                <w:lang w:val="de-DE"/>
              </w:rPr>
            </w:pPr>
            <w:r>
              <w:rPr>
                <w:color w:val="000000"/>
                <w:sz w:val="22"/>
                <w:szCs w:val="22"/>
                <w:lang w:val="de-DE"/>
              </w:rPr>
              <w:t>&lt;</w:t>
            </w:r>
            <w:r>
              <w:rPr>
                <w:sz w:val="22"/>
                <w:szCs w:val="22"/>
                <w:lang w:val="de-DE"/>
              </w:rPr>
              <w:t> </w:t>
            </w:r>
            <w:r>
              <w:rPr>
                <w:color w:val="000000"/>
                <w:sz w:val="22"/>
                <w:szCs w:val="22"/>
                <w:lang w:val="de-DE"/>
              </w:rPr>
              <w:t>0,001</w:t>
            </w:r>
          </w:p>
        </w:tc>
        <w:tc>
          <w:tcPr>
            <w:tcW w:w="1134" w:type="dxa"/>
            <w:tcBorders>
              <w:bottom w:val="single" w:sz="4" w:space="0" w:color="auto"/>
            </w:tcBorders>
          </w:tcPr>
          <w:p w14:paraId="502AD855" w14:textId="77777777" w:rsidR="00FE291A" w:rsidRDefault="00C8738F">
            <w:pPr>
              <w:widowControl/>
              <w:jc w:val="center"/>
              <w:rPr>
                <w:color w:val="000000"/>
                <w:sz w:val="22"/>
                <w:szCs w:val="22"/>
                <w:lang w:val="de-DE"/>
              </w:rPr>
            </w:pPr>
            <w:r>
              <w:rPr>
                <w:color w:val="000000"/>
                <w:sz w:val="22"/>
                <w:szCs w:val="22"/>
                <w:lang w:val="de-DE"/>
              </w:rPr>
              <w:t>0,0082</w:t>
            </w:r>
          </w:p>
        </w:tc>
        <w:tc>
          <w:tcPr>
            <w:tcW w:w="1134" w:type="dxa"/>
            <w:tcBorders>
              <w:bottom w:val="single" w:sz="4" w:space="0" w:color="auto"/>
            </w:tcBorders>
          </w:tcPr>
          <w:p w14:paraId="16BA062E" w14:textId="77777777" w:rsidR="00FE291A" w:rsidRDefault="00C8738F">
            <w:pPr>
              <w:widowControl/>
              <w:jc w:val="center"/>
              <w:rPr>
                <w:color w:val="000000"/>
                <w:sz w:val="22"/>
                <w:szCs w:val="22"/>
                <w:lang w:val="de-DE"/>
              </w:rPr>
            </w:pPr>
            <w:r>
              <w:rPr>
                <w:color w:val="000000"/>
                <w:sz w:val="22"/>
                <w:szCs w:val="22"/>
                <w:lang w:val="de-DE"/>
              </w:rPr>
              <w:t>&lt;</w:t>
            </w:r>
            <w:r>
              <w:rPr>
                <w:sz w:val="22"/>
                <w:szCs w:val="22"/>
                <w:lang w:val="de-DE"/>
              </w:rPr>
              <w:t> </w:t>
            </w:r>
            <w:r>
              <w:rPr>
                <w:color w:val="000000"/>
                <w:sz w:val="22"/>
                <w:szCs w:val="22"/>
                <w:lang w:val="de-DE"/>
              </w:rPr>
              <w:t>0,001</w:t>
            </w:r>
          </w:p>
        </w:tc>
      </w:tr>
      <w:tr w:rsidR="00FE291A" w14:paraId="60539420" w14:textId="77777777">
        <w:trPr>
          <w:trHeight w:val="147"/>
        </w:trPr>
        <w:tc>
          <w:tcPr>
            <w:tcW w:w="1276" w:type="dxa"/>
            <w:tcBorders>
              <w:top w:val="single" w:sz="4" w:space="0" w:color="auto"/>
              <w:left w:val="single" w:sz="4" w:space="0" w:color="auto"/>
              <w:bottom w:val="single" w:sz="4" w:space="0" w:color="auto"/>
              <w:right w:val="single" w:sz="4" w:space="0" w:color="auto"/>
            </w:tcBorders>
          </w:tcPr>
          <w:p w14:paraId="02B4CBD0" w14:textId="77777777" w:rsidR="00FE291A" w:rsidRDefault="00C8738F">
            <w:pPr>
              <w:widowControl/>
              <w:rPr>
                <w:i/>
                <w:color w:val="000000"/>
                <w:sz w:val="22"/>
                <w:szCs w:val="22"/>
                <w:lang w:val="de-DE"/>
              </w:rPr>
            </w:pPr>
            <w:r>
              <w:rPr>
                <w:i/>
                <w:color w:val="000000"/>
                <w:sz w:val="22"/>
                <w:szCs w:val="22"/>
                <w:lang w:val="de-DE"/>
              </w:rPr>
              <w:t>JSN Score</w:t>
            </w:r>
          </w:p>
        </w:tc>
        <w:tc>
          <w:tcPr>
            <w:tcW w:w="1418" w:type="dxa"/>
            <w:tcBorders>
              <w:top w:val="single" w:sz="4" w:space="0" w:color="auto"/>
              <w:left w:val="single" w:sz="4" w:space="0" w:color="auto"/>
              <w:bottom w:val="single" w:sz="4" w:space="0" w:color="auto"/>
              <w:right w:val="single" w:sz="4" w:space="0" w:color="auto"/>
            </w:tcBorders>
          </w:tcPr>
          <w:p w14:paraId="6CFB8E27" w14:textId="77777777" w:rsidR="00FE291A" w:rsidRDefault="00C8738F">
            <w:pPr>
              <w:widowControl/>
              <w:jc w:val="center"/>
              <w:rPr>
                <w:color w:val="000000"/>
                <w:sz w:val="22"/>
                <w:szCs w:val="22"/>
                <w:lang w:val="de-DE"/>
              </w:rPr>
            </w:pPr>
            <w:r>
              <w:rPr>
                <w:color w:val="000000"/>
                <w:sz w:val="22"/>
                <w:szCs w:val="22"/>
                <w:lang w:val="de-DE"/>
              </w:rPr>
              <w:t>2,0 (1,2-2,8)</w:t>
            </w:r>
          </w:p>
        </w:tc>
        <w:tc>
          <w:tcPr>
            <w:tcW w:w="1559" w:type="dxa"/>
            <w:tcBorders>
              <w:top w:val="single" w:sz="4" w:space="0" w:color="auto"/>
              <w:left w:val="single" w:sz="4" w:space="0" w:color="auto"/>
              <w:bottom w:val="single" w:sz="4" w:space="0" w:color="auto"/>
              <w:right w:val="single" w:sz="4" w:space="0" w:color="auto"/>
            </w:tcBorders>
          </w:tcPr>
          <w:p w14:paraId="098952BA" w14:textId="77777777" w:rsidR="00FE291A" w:rsidRDefault="00C8738F">
            <w:pPr>
              <w:widowControl/>
              <w:jc w:val="center"/>
              <w:rPr>
                <w:color w:val="000000"/>
                <w:sz w:val="22"/>
                <w:szCs w:val="22"/>
                <w:lang w:val="de-DE"/>
              </w:rPr>
            </w:pPr>
            <w:r>
              <w:rPr>
                <w:color w:val="000000"/>
                <w:sz w:val="22"/>
                <w:szCs w:val="22"/>
                <w:lang w:val="de-DE"/>
              </w:rPr>
              <w:t>1,3 (0,5-2,1)</w:t>
            </w:r>
          </w:p>
        </w:tc>
        <w:tc>
          <w:tcPr>
            <w:tcW w:w="1559" w:type="dxa"/>
            <w:tcBorders>
              <w:top w:val="single" w:sz="4" w:space="0" w:color="auto"/>
              <w:left w:val="single" w:sz="4" w:space="0" w:color="auto"/>
              <w:bottom w:val="single" w:sz="4" w:space="0" w:color="auto"/>
              <w:right w:val="single" w:sz="4" w:space="0" w:color="auto"/>
            </w:tcBorders>
          </w:tcPr>
          <w:p w14:paraId="74376AFB" w14:textId="77777777" w:rsidR="00FE291A" w:rsidRDefault="00C8738F">
            <w:pPr>
              <w:widowControl/>
              <w:jc w:val="center"/>
              <w:rPr>
                <w:color w:val="000000"/>
                <w:sz w:val="22"/>
                <w:szCs w:val="22"/>
                <w:lang w:val="de-DE"/>
              </w:rPr>
            </w:pPr>
            <w:r>
              <w:rPr>
                <w:color w:val="000000"/>
                <w:sz w:val="22"/>
                <w:szCs w:val="22"/>
                <w:lang w:val="de-DE"/>
              </w:rPr>
              <w:t>0,5 (0-1,0)</w:t>
            </w:r>
          </w:p>
        </w:tc>
        <w:tc>
          <w:tcPr>
            <w:tcW w:w="1134" w:type="dxa"/>
            <w:tcBorders>
              <w:top w:val="single" w:sz="4" w:space="0" w:color="auto"/>
              <w:left w:val="single" w:sz="4" w:space="0" w:color="auto"/>
              <w:bottom w:val="single" w:sz="4" w:space="0" w:color="auto"/>
              <w:right w:val="single" w:sz="4" w:space="0" w:color="auto"/>
            </w:tcBorders>
          </w:tcPr>
          <w:p w14:paraId="0D100EFB" w14:textId="77777777" w:rsidR="00FE291A" w:rsidRDefault="00C8738F">
            <w:pPr>
              <w:widowControl/>
              <w:jc w:val="center"/>
              <w:rPr>
                <w:color w:val="000000"/>
                <w:sz w:val="22"/>
                <w:szCs w:val="22"/>
                <w:lang w:val="de-DE"/>
              </w:rPr>
            </w:pPr>
            <w:r>
              <w:rPr>
                <w:color w:val="000000"/>
                <w:sz w:val="22"/>
                <w:szCs w:val="22"/>
                <w:lang w:val="de-DE"/>
              </w:rPr>
              <w:t>&lt;</w:t>
            </w:r>
            <w:r>
              <w:rPr>
                <w:sz w:val="22"/>
                <w:szCs w:val="22"/>
                <w:lang w:val="de-DE"/>
              </w:rPr>
              <w:t> </w:t>
            </w:r>
            <w:r>
              <w:rPr>
                <w:color w:val="000000"/>
                <w:sz w:val="22"/>
                <w:szCs w:val="22"/>
                <w:lang w:val="de-DE"/>
              </w:rPr>
              <w:t>0,001</w:t>
            </w:r>
          </w:p>
        </w:tc>
        <w:tc>
          <w:tcPr>
            <w:tcW w:w="1134" w:type="dxa"/>
            <w:tcBorders>
              <w:top w:val="single" w:sz="4" w:space="0" w:color="auto"/>
              <w:left w:val="single" w:sz="4" w:space="0" w:color="auto"/>
              <w:bottom w:val="single" w:sz="4" w:space="0" w:color="auto"/>
              <w:right w:val="single" w:sz="4" w:space="0" w:color="auto"/>
            </w:tcBorders>
          </w:tcPr>
          <w:p w14:paraId="3C1B66F6" w14:textId="77777777" w:rsidR="00FE291A" w:rsidRDefault="00C8738F">
            <w:pPr>
              <w:widowControl/>
              <w:jc w:val="center"/>
              <w:rPr>
                <w:color w:val="000000"/>
                <w:sz w:val="22"/>
                <w:szCs w:val="22"/>
                <w:lang w:val="de-DE"/>
              </w:rPr>
            </w:pPr>
            <w:r>
              <w:rPr>
                <w:color w:val="000000"/>
                <w:sz w:val="22"/>
                <w:szCs w:val="22"/>
                <w:lang w:val="de-DE"/>
              </w:rPr>
              <w:t>0,0037</w:t>
            </w:r>
          </w:p>
        </w:tc>
        <w:tc>
          <w:tcPr>
            <w:tcW w:w="1134" w:type="dxa"/>
            <w:tcBorders>
              <w:top w:val="single" w:sz="4" w:space="0" w:color="auto"/>
              <w:left w:val="single" w:sz="4" w:space="0" w:color="auto"/>
              <w:bottom w:val="single" w:sz="4" w:space="0" w:color="auto"/>
              <w:right w:val="single" w:sz="4" w:space="0" w:color="auto"/>
            </w:tcBorders>
          </w:tcPr>
          <w:p w14:paraId="0249B28E" w14:textId="77777777" w:rsidR="00FE291A" w:rsidRDefault="00C8738F">
            <w:pPr>
              <w:widowControl/>
              <w:jc w:val="center"/>
              <w:rPr>
                <w:color w:val="000000"/>
                <w:sz w:val="22"/>
                <w:szCs w:val="22"/>
                <w:lang w:val="de-DE"/>
              </w:rPr>
            </w:pPr>
            <w:r>
              <w:rPr>
                <w:color w:val="000000"/>
                <w:sz w:val="22"/>
                <w:szCs w:val="22"/>
                <w:lang w:val="de-DE"/>
              </w:rPr>
              <w:t>0,151</w:t>
            </w:r>
          </w:p>
        </w:tc>
      </w:tr>
      <w:tr w:rsidR="00FE291A" w:rsidRPr="002E6CD3" w14:paraId="7A7A6743" w14:textId="77777777">
        <w:trPr>
          <w:trHeight w:val="147"/>
        </w:trPr>
        <w:tc>
          <w:tcPr>
            <w:tcW w:w="9214" w:type="dxa"/>
            <w:gridSpan w:val="7"/>
            <w:tcBorders>
              <w:top w:val="nil"/>
              <w:left w:val="nil"/>
              <w:bottom w:val="nil"/>
              <w:right w:val="nil"/>
            </w:tcBorders>
          </w:tcPr>
          <w:p w14:paraId="016685B8" w14:textId="77777777" w:rsidR="00FE291A" w:rsidRDefault="00C8738F">
            <w:pPr>
              <w:keepNext/>
              <w:keepLines/>
              <w:widowControl/>
              <w:rPr>
                <w:sz w:val="20"/>
                <w:szCs w:val="22"/>
                <w:lang w:val="de-DE" w:eastAsia="en-GB"/>
              </w:rPr>
            </w:pPr>
            <w:r>
              <w:rPr>
                <w:sz w:val="20"/>
                <w:szCs w:val="22"/>
                <w:vertAlign w:val="superscript"/>
                <w:lang w:val="de-DE" w:eastAsia="en-GB"/>
              </w:rPr>
              <w:t>a</w:t>
            </w:r>
            <w:r>
              <w:rPr>
                <w:sz w:val="20"/>
                <w:szCs w:val="22"/>
                <w:lang w:val="de-DE" w:eastAsia="en-GB"/>
              </w:rPr>
              <w:t xml:space="preserve"> Der p-Wert resultiert aus dem paarweisen Vergleich der Methotrexat-Monotherapie und der Adalimumab/Methotrexat-Kombinationstherapie unter Anwendung des Mann-Whitney-U-Tests.</w:t>
            </w:r>
          </w:p>
          <w:p w14:paraId="55249226" w14:textId="77777777" w:rsidR="00FE291A" w:rsidRDefault="00C8738F">
            <w:pPr>
              <w:keepNext/>
              <w:keepLines/>
              <w:widowControl/>
              <w:rPr>
                <w:sz w:val="20"/>
                <w:szCs w:val="22"/>
                <w:lang w:val="de-DE" w:eastAsia="en-GB"/>
              </w:rPr>
            </w:pPr>
            <w:r>
              <w:rPr>
                <w:sz w:val="20"/>
                <w:szCs w:val="22"/>
                <w:vertAlign w:val="superscript"/>
                <w:lang w:val="de-DE" w:eastAsia="en-GB"/>
              </w:rPr>
              <w:t>b</w:t>
            </w:r>
            <w:r>
              <w:rPr>
                <w:sz w:val="20"/>
                <w:szCs w:val="22"/>
                <w:lang w:val="de-DE" w:eastAsia="en-GB"/>
              </w:rPr>
              <w:t xml:space="preserve"> Der p-Wert resultiert aus dem paarweisen Vergleich der Adalimumab-Monotherapie und der Adalimumab/Methotrexat-Kombinationstherapie unter Anwendung des Mann-Whitney-U-Tests.</w:t>
            </w:r>
          </w:p>
          <w:p w14:paraId="77079F62" w14:textId="77777777" w:rsidR="00FE291A" w:rsidRDefault="00C8738F">
            <w:pPr>
              <w:keepNext/>
              <w:keepLines/>
              <w:widowControl/>
              <w:rPr>
                <w:sz w:val="22"/>
                <w:szCs w:val="22"/>
                <w:lang w:val="de-DE" w:eastAsia="en-GB"/>
              </w:rPr>
            </w:pPr>
            <w:r>
              <w:rPr>
                <w:sz w:val="20"/>
                <w:szCs w:val="22"/>
                <w:vertAlign w:val="superscript"/>
                <w:lang w:val="de-DE" w:eastAsia="en-GB"/>
              </w:rPr>
              <w:t>c</w:t>
            </w:r>
            <w:r>
              <w:rPr>
                <w:sz w:val="20"/>
                <w:szCs w:val="22"/>
                <w:lang w:val="de-DE" w:eastAsia="en-GB"/>
              </w:rPr>
              <w:t xml:space="preserve"> Der p-Wert resultiert aus dem paarweisen Vergleich der Adalimumab-Monotherapie und der Methotrexat-Monotherapie unter Anwendung des Mann-Whitney-U-Tests.</w:t>
            </w:r>
          </w:p>
        </w:tc>
      </w:tr>
    </w:tbl>
    <w:p w14:paraId="44D86E80" w14:textId="77777777" w:rsidR="00FE291A" w:rsidRDefault="00FE291A">
      <w:pPr>
        <w:pStyle w:val="BodyText"/>
        <w:widowControl/>
        <w:tabs>
          <w:tab w:val="left" w:pos="657"/>
        </w:tabs>
        <w:kinsoku w:val="0"/>
        <w:overflowPunct w:val="0"/>
        <w:ind w:left="0"/>
        <w:rPr>
          <w:lang w:val="de-DE"/>
        </w:rPr>
      </w:pPr>
    </w:p>
    <w:p w14:paraId="3E13F366" w14:textId="77777777" w:rsidR="00FE291A" w:rsidRDefault="00C8738F">
      <w:pPr>
        <w:pStyle w:val="BodyText"/>
        <w:widowControl/>
        <w:kinsoku w:val="0"/>
        <w:overflowPunct w:val="0"/>
        <w:ind w:left="0"/>
        <w:rPr>
          <w:lang w:val="de-DE"/>
        </w:rPr>
      </w:pPr>
      <w:r>
        <w:rPr>
          <w:lang w:val="de-DE"/>
        </w:rPr>
        <w:t>Der prozentuale Anteil der Patienten ohne radiologische Progression (Veränderung des modifizierten Gesamt-</w:t>
      </w:r>
      <w:r>
        <w:rPr>
          <w:i/>
          <w:iCs/>
          <w:lang w:val="de-DE"/>
        </w:rPr>
        <w:t xml:space="preserve">Sharp-Scores </w:t>
      </w:r>
      <w:r>
        <w:rPr>
          <w:lang w:val="de-DE"/>
        </w:rPr>
        <w:t>gegenüber dem Ausgangswert ≤ 0,5) war nach 52 bzw. 104 Behandlungswochen unter der Kombinationstherapie mit Adalimumab und Methotrexat (63,8 % bzw. 61,2 %) signifikant höher als unter der Methotrexat-Monotherapie (37,4 % bzw. 33,5 %; p &lt; 0,001) und der Adalimumab-Monotherapie (50,7 %; p &lt; 0,002 bzw. 44,5 %; p &lt; 0,001).</w:t>
      </w:r>
    </w:p>
    <w:p w14:paraId="1E6D7429" w14:textId="77777777" w:rsidR="00FE291A" w:rsidRDefault="00FE291A">
      <w:pPr>
        <w:widowControl/>
        <w:kinsoku w:val="0"/>
        <w:overflowPunct w:val="0"/>
        <w:rPr>
          <w:sz w:val="22"/>
          <w:szCs w:val="22"/>
          <w:lang w:val="de-DE"/>
        </w:rPr>
      </w:pPr>
    </w:p>
    <w:p w14:paraId="680E1625" w14:textId="77777777" w:rsidR="00FE291A" w:rsidRDefault="00C8738F">
      <w:pPr>
        <w:pStyle w:val="BodyText"/>
        <w:widowControl/>
        <w:kinsoku w:val="0"/>
        <w:overflowPunct w:val="0"/>
        <w:ind w:left="0"/>
        <w:rPr>
          <w:lang w:val="de-DE"/>
        </w:rPr>
      </w:pPr>
      <w:r>
        <w:rPr>
          <w:lang w:val="de-DE"/>
        </w:rPr>
        <w:t xml:space="preserve">In der offenen Fortsetzungsphase der RA-Studie V betrug die mittlere Veränderung gegenüber </w:t>
      </w:r>
      <w:r>
        <w:rPr>
          <w:i/>
          <w:iCs/>
          <w:lang w:val="de-DE"/>
        </w:rPr>
        <w:t>Baseline</w:t>
      </w:r>
      <w:r>
        <w:rPr>
          <w:lang w:val="de-DE"/>
        </w:rPr>
        <w:t xml:space="preserve"> nach 10 Jahren beim modifizierten </w:t>
      </w:r>
      <w:r>
        <w:rPr>
          <w:iCs/>
          <w:lang w:val="de-DE"/>
        </w:rPr>
        <w:t>Gesamt-</w:t>
      </w:r>
      <w:r>
        <w:rPr>
          <w:i/>
          <w:lang w:val="de-DE"/>
        </w:rPr>
        <w:t>Sharp-Score</w:t>
      </w:r>
      <w:r>
        <w:rPr>
          <w:lang w:val="de-DE"/>
        </w:rPr>
        <w:t xml:space="preserve"> 10,8 bei Patienten, die ursprünglich in die Gruppe unter Methotrexat-Monotherapie randomisiert worden waren, 9,2 bei Patienten unter Adalimumab-Monotherapie und 3,9 bei Patienten unter Kombinationstherapie aus Adalimumab und Methotrexat. Die entsprechenden Anteile der Patienten ohne röntgenologisch nachweisbare Progression waren 31,3 %, 23,7 % und 36,7 %.</w:t>
      </w:r>
    </w:p>
    <w:p w14:paraId="7F746DB1" w14:textId="77777777" w:rsidR="00FE291A" w:rsidRDefault="00FE291A">
      <w:pPr>
        <w:widowControl/>
        <w:kinsoku w:val="0"/>
        <w:overflowPunct w:val="0"/>
        <w:rPr>
          <w:sz w:val="22"/>
          <w:szCs w:val="22"/>
          <w:lang w:val="de-DE"/>
        </w:rPr>
      </w:pPr>
    </w:p>
    <w:p w14:paraId="30A120DA" w14:textId="77777777" w:rsidR="00FE291A" w:rsidRDefault="00C8738F">
      <w:pPr>
        <w:keepNext/>
        <w:widowControl/>
        <w:kinsoku w:val="0"/>
        <w:overflowPunct w:val="0"/>
        <w:rPr>
          <w:sz w:val="22"/>
          <w:szCs w:val="22"/>
          <w:lang w:val="de-DE"/>
        </w:rPr>
      </w:pPr>
      <w:r>
        <w:rPr>
          <w:i/>
          <w:iCs/>
          <w:sz w:val="22"/>
          <w:szCs w:val="22"/>
          <w:u w:val="single"/>
          <w:lang w:val="de-DE"/>
        </w:rPr>
        <w:t>Lebensqualität und körperliche Funktionsfähigkeit</w:t>
      </w:r>
    </w:p>
    <w:p w14:paraId="30762749" w14:textId="77777777" w:rsidR="00FE291A" w:rsidRDefault="00FE291A">
      <w:pPr>
        <w:keepNext/>
        <w:widowControl/>
        <w:kinsoku w:val="0"/>
        <w:overflowPunct w:val="0"/>
        <w:rPr>
          <w:sz w:val="22"/>
          <w:szCs w:val="22"/>
          <w:lang w:val="de-DE"/>
        </w:rPr>
      </w:pPr>
    </w:p>
    <w:p w14:paraId="3FCDD810" w14:textId="77777777" w:rsidR="00FE291A" w:rsidRDefault="00C8738F">
      <w:pPr>
        <w:pStyle w:val="BodyText"/>
        <w:widowControl/>
        <w:kinsoku w:val="0"/>
        <w:overflowPunct w:val="0"/>
        <w:ind w:left="0"/>
        <w:rPr>
          <w:lang w:val="de-DE"/>
        </w:rPr>
      </w:pPr>
      <w:r>
        <w:rPr>
          <w:lang w:val="de-DE"/>
        </w:rPr>
        <w:t>In den vier ursprünglichen, gut kontrollierten Studien wurden die gesundheitsbezogene Lebensqualität und die körperliche Funktionsfähigkeit anhand des Index zur körperlichen Funktionseinschränkung (</w:t>
      </w:r>
      <w:r>
        <w:rPr>
          <w:i/>
          <w:iCs/>
          <w:lang w:val="de-DE"/>
        </w:rPr>
        <w:t>Health Assessment Questionnaire</w:t>
      </w:r>
      <w:r>
        <w:rPr>
          <w:lang w:val="de-DE"/>
        </w:rPr>
        <w:t xml:space="preserve">, HAQ) bewertet. In der RA-Studie III bildete die gesundheitsbezogene Lebensqualität nach 52 Wochen einen vor Studienbeginn festgelegten, primären Endpunkt. Vom Studienbeginn bis Monat 6 zeigte sich in allen vier Studien und bei allen Dosen/Behandlungsschemen von Adalimumab eine im Vergleich zu Placebo statistisch signifikant größere Verbesserung der körperlichen Funktionseinschränkung (HAQ). In der RA-Studie III wurde nach 52 Wochen dasselbe beobachtet. Die in den vier Studien für alle Dosen/Behandlungsschemen von Adalimumab gefundenen Ergebnisse des Gesundheitsfragebogens </w:t>
      </w:r>
      <w:r>
        <w:rPr>
          <w:i/>
          <w:iCs/>
          <w:lang w:val="de-DE"/>
        </w:rPr>
        <w:t xml:space="preserve">Short Form Health Survey </w:t>
      </w:r>
      <w:r>
        <w:rPr>
          <w:lang w:val="de-DE"/>
        </w:rPr>
        <w:t>(SF 36) unterstützen diese Befunde. Statistisch signifikante Werte wurden unter Behandlung mit 40 mg jede zweite Woche für die körperliche Funktionsfähigkeit (</w:t>
      </w:r>
      <w:r>
        <w:rPr>
          <w:i/>
          <w:iCs/>
          <w:lang w:val="de-DE"/>
        </w:rPr>
        <w:t>Physical Component Summary</w:t>
      </w:r>
      <w:r>
        <w:rPr>
          <w:lang w:val="de-DE"/>
        </w:rPr>
        <w:t>, PCS) sowie für den Bereich Schmerz und Vitalität (</w:t>
      </w:r>
      <w:r>
        <w:rPr>
          <w:i/>
          <w:iCs/>
          <w:lang w:val="de-DE"/>
        </w:rPr>
        <w:t>Pain and Vitality Scores</w:t>
      </w:r>
      <w:r>
        <w:rPr>
          <w:lang w:val="de-DE"/>
        </w:rPr>
        <w:t xml:space="preserve">) gefunden. Eine statistisch signifikante Verringerung der Abgeschlagenheit, gemessen anhand des </w:t>
      </w:r>
      <w:r>
        <w:rPr>
          <w:i/>
          <w:iCs/>
          <w:lang w:val="de-DE"/>
        </w:rPr>
        <w:t xml:space="preserve">Functional-Assessment-of-Chronic-Illness-Therapy </w:t>
      </w:r>
      <w:r>
        <w:rPr>
          <w:lang w:val="de-DE"/>
        </w:rPr>
        <w:t>(FACIT)-</w:t>
      </w:r>
      <w:r>
        <w:rPr>
          <w:i/>
          <w:iCs/>
          <w:lang w:val="de-DE"/>
        </w:rPr>
        <w:t>Score</w:t>
      </w:r>
      <w:r>
        <w:rPr>
          <w:lang w:val="de-DE"/>
        </w:rPr>
        <w:t>, wurde in allen drei Studien beobachtet, in denen dieser Punkt bewertet wurde (RA-Studien I, III, IV).</w:t>
      </w:r>
    </w:p>
    <w:p w14:paraId="56E6AEA9" w14:textId="77777777" w:rsidR="00FE291A" w:rsidRDefault="00FE291A">
      <w:pPr>
        <w:widowControl/>
        <w:kinsoku w:val="0"/>
        <w:overflowPunct w:val="0"/>
        <w:rPr>
          <w:sz w:val="22"/>
          <w:szCs w:val="22"/>
          <w:lang w:val="de-DE"/>
        </w:rPr>
      </w:pPr>
    </w:p>
    <w:p w14:paraId="6AC762DB" w14:textId="77777777" w:rsidR="00FE291A" w:rsidRDefault="00C8738F">
      <w:pPr>
        <w:pStyle w:val="BodyText"/>
        <w:widowControl/>
        <w:kinsoku w:val="0"/>
        <w:overflowPunct w:val="0"/>
        <w:ind w:left="0"/>
        <w:rPr>
          <w:lang w:val="de-DE"/>
        </w:rPr>
      </w:pPr>
      <w:r>
        <w:rPr>
          <w:lang w:val="de-DE"/>
        </w:rPr>
        <w:t>In der RA-Studie III wurde bei den meisten Patienten, bei denen sich die körperliche Funktionsfähigkeit verbesserte und die die Therapie fortsetzten, im Rahmen der offenen Fortsetzungsphase die Verbesserung über den Behandlungszeitraum von 520 Wochen (120 Monate) aufrechterhalten. Die Verbesserung der Lebensqualität wurde bis zu 156 Wochen (36 Monate) bestimmt, und die Verbesserung hielt über diesen Zeitraum an.</w:t>
      </w:r>
    </w:p>
    <w:p w14:paraId="7E28671D" w14:textId="77777777" w:rsidR="00FE291A" w:rsidRDefault="00FE291A">
      <w:pPr>
        <w:widowControl/>
        <w:kinsoku w:val="0"/>
        <w:overflowPunct w:val="0"/>
        <w:rPr>
          <w:sz w:val="22"/>
          <w:szCs w:val="22"/>
          <w:lang w:val="de-DE"/>
        </w:rPr>
      </w:pPr>
    </w:p>
    <w:p w14:paraId="6F08B19A" w14:textId="77777777" w:rsidR="00FE291A" w:rsidRDefault="00C8738F">
      <w:pPr>
        <w:pStyle w:val="BodyText"/>
        <w:widowControl/>
        <w:kinsoku w:val="0"/>
        <w:overflowPunct w:val="0"/>
        <w:ind w:left="0"/>
        <w:rPr>
          <w:lang w:val="de-DE"/>
        </w:rPr>
      </w:pPr>
      <w:r>
        <w:rPr>
          <w:lang w:val="de-DE"/>
        </w:rPr>
        <w:t>In der RA-Studie V zeigten die Patienten unter der Kombinationstherapie mit Adalimumab und Methotrexat nach 52 Wochen eine im Vergleich zur Methotrexat- und Adalimumab-Monotherapie stärkere Verbesserung (p &lt; 0,001) des Index zur körperlichen Funktionseinschränkung (HAQ) und der physischen Komponente des SF 36, die über 104 Wochen anhielt. Bei den 250 Patienten, die die offene Fortsetzungsphase abschlossen, konnten die Verbesserungen hinsichtlich der körperlichen Funktionsfähigkeit über den 10-jährigen Behandlungszeitraum aufrechterhalten werden.</w:t>
      </w:r>
    </w:p>
    <w:p w14:paraId="3B925AB4" w14:textId="77777777" w:rsidR="00FE291A" w:rsidRDefault="00FE291A">
      <w:pPr>
        <w:widowControl/>
        <w:kinsoku w:val="0"/>
        <w:overflowPunct w:val="0"/>
        <w:rPr>
          <w:sz w:val="22"/>
          <w:szCs w:val="22"/>
          <w:lang w:val="de-DE"/>
        </w:rPr>
      </w:pPr>
    </w:p>
    <w:p w14:paraId="78AE8BAC" w14:textId="77777777" w:rsidR="00FE291A" w:rsidRDefault="00C8738F">
      <w:pPr>
        <w:keepNext/>
        <w:widowControl/>
        <w:kinsoku w:val="0"/>
        <w:overflowPunct w:val="0"/>
        <w:rPr>
          <w:i/>
          <w:iCs/>
          <w:sz w:val="22"/>
          <w:szCs w:val="22"/>
          <w:lang w:val="de-DE"/>
        </w:rPr>
      </w:pPr>
      <w:r>
        <w:rPr>
          <w:i/>
          <w:iCs/>
          <w:sz w:val="22"/>
          <w:szCs w:val="22"/>
          <w:lang w:val="de-DE"/>
        </w:rPr>
        <w:t xml:space="preserve">Axiale Spondyloarthritis </w:t>
      </w:r>
    </w:p>
    <w:p w14:paraId="5B312EFB" w14:textId="77777777" w:rsidR="00FE291A" w:rsidRDefault="00FE291A">
      <w:pPr>
        <w:keepNext/>
        <w:widowControl/>
        <w:kinsoku w:val="0"/>
        <w:overflowPunct w:val="0"/>
        <w:rPr>
          <w:iCs/>
          <w:sz w:val="22"/>
          <w:szCs w:val="22"/>
          <w:lang w:val="de-DE"/>
        </w:rPr>
      </w:pPr>
    </w:p>
    <w:p w14:paraId="08E449CC" w14:textId="77777777" w:rsidR="00FE291A" w:rsidRDefault="00C8738F">
      <w:pPr>
        <w:keepNext/>
        <w:widowControl/>
        <w:kinsoku w:val="0"/>
        <w:overflowPunct w:val="0"/>
        <w:rPr>
          <w:sz w:val="22"/>
          <w:szCs w:val="22"/>
          <w:lang w:val="de-DE"/>
        </w:rPr>
      </w:pPr>
      <w:r>
        <w:rPr>
          <w:i/>
          <w:iCs/>
          <w:sz w:val="22"/>
          <w:szCs w:val="22"/>
          <w:u w:val="single"/>
          <w:lang w:val="de-DE"/>
        </w:rPr>
        <w:t>Ankylosierende Spondylitis (AS)</w:t>
      </w:r>
    </w:p>
    <w:p w14:paraId="38EFDF31" w14:textId="77777777" w:rsidR="00FE291A" w:rsidRDefault="00FE291A">
      <w:pPr>
        <w:keepNext/>
        <w:widowControl/>
        <w:kinsoku w:val="0"/>
        <w:overflowPunct w:val="0"/>
        <w:rPr>
          <w:sz w:val="22"/>
          <w:szCs w:val="22"/>
          <w:lang w:val="de-DE"/>
        </w:rPr>
      </w:pPr>
    </w:p>
    <w:p w14:paraId="65522A99" w14:textId="77777777" w:rsidR="00FE291A" w:rsidRDefault="00C8738F">
      <w:pPr>
        <w:pStyle w:val="BodyText"/>
        <w:widowControl/>
        <w:kinsoku w:val="0"/>
        <w:overflowPunct w:val="0"/>
        <w:ind w:left="0"/>
        <w:rPr>
          <w:lang w:val="de-DE"/>
        </w:rPr>
      </w:pPr>
      <w:r>
        <w:rPr>
          <w:lang w:val="de-DE"/>
        </w:rPr>
        <w:t>Adalimumab wurde in zwei randomisierten, doppelblinden placebokontrollierten Studien in einer Dosierung von 40 mg jede zweite Woche bei 393 Patienten mit aktiver ankylosierender Spondylitis, die unzureichend auf eine konventionelle Therapie angesprochen hatten, über einen Zeitraum von 24 Wochen untersucht (mittlerer Ausgangswert der Krankheitsaktivität [</w:t>
      </w:r>
      <w:r>
        <w:rPr>
          <w:i/>
          <w:iCs/>
          <w:lang w:val="de-DE"/>
        </w:rPr>
        <w:t xml:space="preserve">Bath Ankylosing Spondylitis Disease Activity Index </w:t>
      </w:r>
      <w:r>
        <w:rPr>
          <w:lang w:val="de-DE"/>
        </w:rPr>
        <w:t xml:space="preserve">(BASDAI)] war in allen Gruppen 6,3). Als Begleittherapie erhielten 79 (20,1 %) Patienten krankheitsmodifizierende Antirheumatika und 37 (9,4 %) Patienten Kortikosteroide. Der verblindeten Periode folgte eine offene Fortsetzungsphase, während der die Patienten über bis zu 28 zusätzliche Wochen jede zweite Woche Adalimumab 40 mg subkutan erhielten. Patienten (n = 215; 54,7 %), die kein ASAS-20-Ansprechen in Woche 12 oder 16 oder 20 erreichten, wurden in einen </w:t>
      </w:r>
      <w:r>
        <w:rPr>
          <w:i/>
          <w:iCs/>
          <w:lang w:val="de-DE"/>
        </w:rPr>
        <w:t>Early-Escape</w:t>
      </w:r>
      <w:r>
        <w:rPr>
          <w:lang w:val="de-DE"/>
        </w:rPr>
        <w:t xml:space="preserve">-Arm überführt, in dem sie offen Adalimumab 40 mg jede zweite Woche subkutan erhielten. Diese Patienten wurden nachfolgend in den doppelblinden statistischen Analysen als </w:t>
      </w:r>
      <w:r>
        <w:rPr>
          <w:i/>
          <w:iCs/>
          <w:lang w:val="de-DE"/>
        </w:rPr>
        <w:t>Non</w:t>
      </w:r>
      <w:r>
        <w:rPr>
          <w:i/>
          <w:iCs/>
          <w:lang w:val="de-DE"/>
        </w:rPr>
        <w:noBreakHyphen/>
        <w:t xml:space="preserve">Responder </w:t>
      </w:r>
      <w:r>
        <w:rPr>
          <w:lang w:val="de-DE"/>
        </w:rPr>
        <w:t>behandelt.</w:t>
      </w:r>
    </w:p>
    <w:p w14:paraId="1C391A95" w14:textId="77777777" w:rsidR="00FE291A" w:rsidRDefault="00FE291A">
      <w:pPr>
        <w:widowControl/>
        <w:kinsoku w:val="0"/>
        <w:overflowPunct w:val="0"/>
        <w:rPr>
          <w:sz w:val="22"/>
          <w:szCs w:val="22"/>
          <w:lang w:val="de-DE"/>
        </w:rPr>
      </w:pPr>
    </w:p>
    <w:p w14:paraId="55BD884A" w14:textId="77777777" w:rsidR="00FE291A" w:rsidRDefault="00C8738F">
      <w:pPr>
        <w:pStyle w:val="BodyText"/>
        <w:widowControl/>
        <w:kinsoku w:val="0"/>
        <w:overflowPunct w:val="0"/>
        <w:ind w:left="0"/>
        <w:rPr>
          <w:lang w:val="de-DE"/>
        </w:rPr>
      </w:pPr>
      <w:r>
        <w:rPr>
          <w:lang w:val="de-DE"/>
        </w:rPr>
        <w:t>In der größeren AS-Studie I mit 315 Patienten zeigten die Ergebnisse eine statistisch signifikante Verbesserung der klinischen Anzeichen und Symptome der ankylosierenden Spondylitis bei mit Adalimumab behandelten Patienten im Vergleich zu Placebo. Ein signifikantes Ansprechen wurde zuerst in Woche 2 beobachtet und über 24 Wochen aufrechterhalten (Tabelle 12).</w:t>
      </w:r>
    </w:p>
    <w:p w14:paraId="632267A1" w14:textId="77777777" w:rsidR="00FE291A" w:rsidRDefault="00FE291A">
      <w:pPr>
        <w:widowControl/>
        <w:kinsoku w:val="0"/>
        <w:overflowPunct w:val="0"/>
        <w:rPr>
          <w:sz w:val="22"/>
          <w:szCs w:val="22"/>
          <w:lang w:val="de-DE"/>
        </w:rPr>
      </w:pPr>
    </w:p>
    <w:p w14:paraId="39EE8925" w14:textId="77777777" w:rsidR="00FE291A" w:rsidRDefault="00C8738F">
      <w:pPr>
        <w:pStyle w:val="Heading1"/>
        <w:keepNext/>
        <w:keepLines/>
        <w:widowControl/>
        <w:kinsoku w:val="0"/>
        <w:overflowPunct w:val="0"/>
        <w:ind w:left="0"/>
        <w:rPr>
          <w:lang w:val="de-DE"/>
        </w:rPr>
      </w:pPr>
      <w:r>
        <w:rPr>
          <w:lang w:val="de-DE"/>
        </w:rPr>
        <w:t>Tabelle 12: Ansprechen bezüglich Wirksamkeit in der placebokontrollierten AS-Studie – Studie I Verringerung der klinischen Anzeichen und Symptome</w:t>
      </w:r>
    </w:p>
    <w:p w14:paraId="0F101B5F" w14:textId="77777777" w:rsidR="00FE291A" w:rsidRDefault="00FE291A">
      <w:pPr>
        <w:keepNext/>
        <w:keepLines/>
        <w:widowControl/>
        <w:kinsoku w:val="0"/>
        <w:overflowPunct w:val="0"/>
        <w:rPr>
          <w:sz w:val="22"/>
          <w:lang w:val="de-DE"/>
        </w:rPr>
      </w:pPr>
    </w:p>
    <w:tbl>
      <w:tblPr>
        <w:tblW w:w="0" w:type="auto"/>
        <w:tblInd w:w="5" w:type="dxa"/>
        <w:tblLayout w:type="fixed"/>
        <w:tblCellMar>
          <w:left w:w="0" w:type="dxa"/>
          <w:right w:w="0" w:type="dxa"/>
        </w:tblCellMar>
        <w:tblLook w:val="04A0" w:firstRow="1" w:lastRow="0" w:firstColumn="1" w:lastColumn="0" w:noHBand="0" w:noVBand="1"/>
      </w:tblPr>
      <w:tblGrid>
        <w:gridCol w:w="2748"/>
        <w:gridCol w:w="3206"/>
        <w:gridCol w:w="3118"/>
      </w:tblGrid>
      <w:tr w:rsidR="00FE291A" w14:paraId="77A6AAC2" w14:textId="77777777">
        <w:trPr>
          <w:trHeight w:hRule="exact" w:val="528"/>
          <w:tblHeader/>
        </w:trPr>
        <w:tc>
          <w:tcPr>
            <w:tcW w:w="2748" w:type="dxa"/>
            <w:tcBorders>
              <w:top w:val="single" w:sz="4" w:space="0" w:color="000000"/>
              <w:left w:val="single" w:sz="4" w:space="0" w:color="000000"/>
              <w:bottom w:val="single" w:sz="4" w:space="0" w:color="000000"/>
              <w:right w:val="single" w:sz="4" w:space="0" w:color="000000"/>
            </w:tcBorders>
          </w:tcPr>
          <w:p w14:paraId="77F6D790" w14:textId="77777777" w:rsidR="00FE291A" w:rsidRDefault="00C8738F">
            <w:pPr>
              <w:pStyle w:val="TableParagraph"/>
              <w:keepNext/>
              <w:keepLines/>
              <w:widowControl/>
              <w:kinsoku w:val="0"/>
              <w:overflowPunct w:val="0"/>
              <w:rPr>
                <w:sz w:val="22"/>
                <w:lang w:val="de-DE"/>
              </w:rPr>
            </w:pPr>
            <w:r>
              <w:rPr>
                <w:b/>
                <w:bCs/>
                <w:sz w:val="22"/>
                <w:szCs w:val="22"/>
                <w:lang w:val="de-DE"/>
              </w:rPr>
              <w:t>Ansprechen</w:t>
            </w:r>
          </w:p>
        </w:tc>
        <w:tc>
          <w:tcPr>
            <w:tcW w:w="3206" w:type="dxa"/>
            <w:tcBorders>
              <w:top w:val="single" w:sz="4" w:space="0" w:color="000000"/>
              <w:left w:val="single" w:sz="4" w:space="0" w:color="000000"/>
              <w:bottom w:val="single" w:sz="4" w:space="0" w:color="000000"/>
              <w:right w:val="single" w:sz="4" w:space="0" w:color="000000"/>
            </w:tcBorders>
          </w:tcPr>
          <w:p w14:paraId="53B8972A" w14:textId="77777777" w:rsidR="00FE291A" w:rsidRDefault="00C8738F">
            <w:pPr>
              <w:pStyle w:val="TableParagraph"/>
              <w:keepNext/>
              <w:keepLines/>
              <w:widowControl/>
              <w:kinsoku w:val="0"/>
              <w:overflowPunct w:val="0"/>
              <w:jc w:val="center"/>
              <w:rPr>
                <w:b/>
                <w:bCs/>
                <w:sz w:val="22"/>
                <w:szCs w:val="22"/>
                <w:lang w:val="de-DE"/>
              </w:rPr>
            </w:pPr>
            <w:r>
              <w:rPr>
                <w:b/>
                <w:bCs/>
                <w:sz w:val="22"/>
                <w:szCs w:val="22"/>
                <w:lang w:val="de-DE"/>
              </w:rPr>
              <w:t>Placebo</w:t>
            </w:r>
          </w:p>
          <w:p w14:paraId="6B8BF6CE" w14:textId="77777777" w:rsidR="00FE291A" w:rsidRDefault="00C8738F">
            <w:pPr>
              <w:pStyle w:val="TableParagraph"/>
              <w:keepNext/>
              <w:keepLines/>
              <w:widowControl/>
              <w:kinsoku w:val="0"/>
              <w:overflowPunct w:val="0"/>
              <w:jc w:val="center"/>
              <w:rPr>
                <w:sz w:val="22"/>
                <w:lang w:val="de-DE"/>
              </w:rPr>
            </w:pPr>
            <w:r>
              <w:rPr>
                <w:b/>
                <w:bCs/>
                <w:sz w:val="22"/>
                <w:szCs w:val="22"/>
                <w:lang w:val="de-DE"/>
              </w:rPr>
              <w:t>N = 107</w:t>
            </w:r>
          </w:p>
        </w:tc>
        <w:tc>
          <w:tcPr>
            <w:tcW w:w="3118" w:type="dxa"/>
            <w:tcBorders>
              <w:top w:val="single" w:sz="4" w:space="0" w:color="000000"/>
              <w:left w:val="single" w:sz="4" w:space="0" w:color="000000"/>
              <w:bottom w:val="single" w:sz="4" w:space="0" w:color="000000"/>
              <w:right w:val="single" w:sz="4" w:space="0" w:color="000000"/>
            </w:tcBorders>
          </w:tcPr>
          <w:p w14:paraId="738820CA" w14:textId="77777777" w:rsidR="00FE291A" w:rsidRDefault="00C8738F">
            <w:pPr>
              <w:pStyle w:val="TableParagraph"/>
              <w:keepNext/>
              <w:keepLines/>
              <w:widowControl/>
              <w:kinsoku w:val="0"/>
              <w:overflowPunct w:val="0"/>
              <w:jc w:val="center"/>
              <w:rPr>
                <w:b/>
                <w:bCs/>
                <w:sz w:val="22"/>
                <w:szCs w:val="22"/>
                <w:lang w:val="de-DE"/>
              </w:rPr>
            </w:pPr>
            <w:r>
              <w:rPr>
                <w:b/>
                <w:bCs/>
                <w:sz w:val="22"/>
                <w:szCs w:val="22"/>
                <w:lang w:val="de-DE"/>
              </w:rPr>
              <w:t>Adalimumab</w:t>
            </w:r>
          </w:p>
          <w:p w14:paraId="485ECB36" w14:textId="77777777" w:rsidR="00FE291A" w:rsidRDefault="00C8738F">
            <w:pPr>
              <w:pStyle w:val="TableParagraph"/>
              <w:keepNext/>
              <w:keepLines/>
              <w:widowControl/>
              <w:kinsoku w:val="0"/>
              <w:overflowPunct w:val="0"/>
              <w:jc w:val="center"/>
              <w:rPr>
                <w:sz w:val="22"/>
                <w:lang w:val="de-DE"/>
              </w:rPr>
            </w:pPr>
            <w:r>
              <w:rPr>
                <w:b/>
                <w:bCs/>
                <w:sz w:val="22"/>
                <w:szCs w:val="22"/>
                <w:lang w:val="de-DE"/>
              </w:rPr>
              <w:t>N = 208</w:t>
            </w:r>
          </w:p>
        </w:tc>
      </w:tr>
      <w:tr w:rsidR="00FE291A" w14:paraId="065654F5" w14:textId="77777777">
        <w:trPr>
          <w:trHeight w:hRule="exact" w:val="393"/>
        </w:trPr>
        <w:tc>
          <w:tcPr>
            <w:tcW w:w="2748" w:type="dxa"/>
            <w:tcBorders>
              <w:top w:val="single" w:sz="4" w:space="0" w:color="000000"/>
              <w:left w:val="single" w:sz="4" w:space="0" w:color="000000"/>
              <w:bottom w:val="single" w:sz="4" w:space="0" w:color="000000"/>
              <w:right w:val="single" w:sz="4" w:space="0" w:color="000000"/>
            </w:tcBorders>
          </w:tcPr>
          <w:p w14:paraId="4FF1D401" w14:textId="77777777" w:rsidR="00FE291A" w:rsidRDefault="00C8738F">
            <w:pPr>
              <w:pStyle w:val="TableParagraph"/>
              <w:keepNext/>
              <w:keepLines/>
              <w:widowControl/>
              <w:kinsoku w:val="0"/>
              <w:overflowPunct w:val="0"/>
              <w:rPr>
                <w:sz w:val="22"/>
                <w:lang w:val="de-DE"/>
              </w:rPr>
            </w:pPr>
            <w:r>
              <w:rPr>
                <w:sz w:val="22"/>
                <w:szCs w:val="22"/>
                <w:lang w:val="de-DE"/>
              </w:rPr>
              <w:t>ASAS</w:t>
            </w:r>
            <w:r>
              <w:rPr>
                <w:sz w:val="22"/>
                <w:szCs w:val="22"/>
                <w:vertAlign w:val="superscript"/>
                <w:lang w:val="de-DE"/>
              </w:rPr>
              <w:t>a</w:t>
            </w:r>
            <w:r>
              <w:rPr>
                <w:sz w:val="22"/>
                <w:szCs w:val="22"/>
                <w:lang w:val="de-DE"/>
              </w:rPr>
              <w:t>-20</w:t>
            </w:r>
          </w:p>
        </w:tc>
        <w:tc>
          <w:tcPr>
            <w:tcW w:w="3206" w:type="dxa"/>
            <w:tcBorders>
              <w:top w:val="single" w:sz="4" w:space="0" w:color="000000"/>
              <w:left w:val="single" w:sz="4" w:space="0" w:color="000000"/>
              <w:bottom w:val="single" w:sz="4" w:space="0" w:color="000000"/>
              <w:right w:val="single" w:sz="4" w:space="0" w:color="000000"/>
            </w:tcBorders>
          </w:tcPr>
          <w:p w14:paraId="0B5F0A33" w14:textId="77777777" w:rsidR="00FE291A" w:rsidRDefault="00FE291A">
            <w:pPr>
              <w:keepNext/>
              <w:keepLines/>
              <w:widowControl/>
              <w:jc w:val="center"/>
              <w:rPr>
                <w:sz w:val="22"/>
                <w:lang w:val="de-DE"/>
              </w:rPr>
            </w:pPr>
          </w:p>
        </w:tc>
        <w:tc>
          <w:tcPr>
            <w:tcW w:w="3118" w:type="dxa"/>
            <w:tcBorders>
              <w:top w:val="single" w:sz="4" w:space="0" w:color="000000"/>
              <w:left w:val="single" w:sz="4" w:space="0" w:color="000000"/>
              <w:bottom w:val="single" w:sz="4" w:space="0" w:color="000000"/>
              <w:right w:val="single" w:sz="4" w:space="0" w:color="000000"/>
            </w:tcBorders>
          </w:tcPr>
          <w:p w14:paraId="58170637" w14:textId="77777777" w:rsidR="00FE291A" w:rsidRDefault="00FE291A">
            <w:pPr>
              <w:keepNext/>
              <w:keepLines/>
              <w:widowControl/>
              <w:jc w:val="center"/>
              <w:rPr>
                <w:sz w:val="22"/>
                <w:lang w:val="de-DE"/>
              </w:rPr>
            </w:pPr>
          </w:p>
        </w:tc>
      </w:tr>
      <w:tr w:rsidR="00FE291A" w14:paraId="1104BDAF" w14:textId="77777777">
        <w:trPr>
          <w:trHeight w:hRule="exact" w:val="269"/>
        </w:trPr>
        <w:tc>
          <w:tcPr>
            <w:tcW w:w="2748" w:type="dxa"/>
            <w:tcBorders>
              <w:top w:val="single" w:sz="4" w:space="0" w:color="000000"/>
              <w:left w:val="single" w:sz="4" w:space="0" w:color="000000"/>
              <w:bottom w:val="single" w:sz="4" w:space="0" w:color="000000"/>
              <w:right w:val="single" w:sz="4" w:space="0" w:color="000000"/>
            </w:tcBorders>
          </w:tcPr>
          <w:p w14:paraId="390600D6" w14:textId="77777777" w:rsidR="00FE291A" w:rsidRDefault="00C8738F">
            <w:pPr>
              <w:pStyle w:val="TableParagraph"/>
              <w:keepNext/>
              <w:keepLines/>
              <w:widowControl/>
              <w:kinsoku w:val="0"/>
              <w:overflowPunct w:val="0"/>
              <w:ind w:firstLine="600"/>
              <w:rPr>
                <w:sz w:val="22"/>
                <w:lang w:val="de-DE"/>
              </w:rPr>
            </w:pPr>
            <w:r>
              <w:rPr>
                <w:sz w:val="22"/>
                <w:szCs w:val="22"/>
                <w:lang w:val="de-DE"/>
              </w:rPr>
              <w:t>Woche 2</w:t>
            </w:r>
          </w:p>
        </w:tc>
        <w:tc>
          <w:tcPr>
            <w:tcW w:w="3206" w:type="dxa"/>
            <w:tcBorders>
              <w:top w:val="single" w:sz="4" w:space="0" w:color="000000"/>
              <w:left w:val="single" w:sz="4" w:space="0" w:color="000000"/>
              <w:bottom w:val="single" w:sz="4" w:space="0" w:color="000000"/>
              <w:right w:val="single" w:sz="4" w:space="0" w:color="000000"/>
            </w:tcBorders>
          </w:tcPr>
          <w:p w14:paraId="365AF6AC" w14:textId="77777777" w:rsidR="00FE291A" w:rsidRDefault="00C8738F">
            <w:pPr>
              <w:pStyle w:val="TableParagraph"/>
              <w:keepNext/>
              <w:keepLines/>
              <w:widowControl/>
              <w:kinsoku w:val="0"/>
              <w:overflowPunct w:val="0"/>
              <w:jc w:val="center"/>
              <w:rPr>
                <w:sz w:val="22"/>
                <w:lang w:val="de-DE"/>
              </w:rPr>
            </w:pPr>
            <w:r>
              <w:rPr>
                <w:sz w:val="22"/>
                <w:szCs w:val="22"/>
                <w:lang w:val="de-DE"/>
              </w:rPr>
              <w:t>16 %</w:t>
            </w:r>
          </w:p>
        </w:tc>
        <w:tc>
          <w:tcPr>
            <w:tcW w:w="3118" w:type="dxa"/>
            <w:tcBorders>
              <w:top w:val="single" w:sz="4" w:space="0" w:color="000000"/>
              <w:left w:val="single" w:sz="4" w:space="0" w:color="000000"/>
              <w:bottom w:val="single" w:sz="4" w:space="0" w:color="000000"/>
              <w:right w:val="single" w:sz="4" w:space="0" w:color="000000"/>
            </w:tcBorders>
          </w:tcPr>
          <w:p w14:paraId="5AB5F1A9" w14:textId="77777777" w:rsidR="00FE291A" w:rsidRDefault="00C8738F">
            <w:pPr>
              <w:pStyle w:val="TableParagraph"/>
              <w:keepNext/>
              <w:keepLines/>
              <w:widowControl/>
              <w:kinsoku w:val="0"/>
              <w:overflowPunct w:val="0"/>
              <w:jc w:val="center"/>
              <w:rPr>
                <w:sz w:val="22"/>
                <w:lang w:val="de-DE"/>
              </w:rPr>
            </w:pPr>
            <w:r>
              <w:rPr>
                <w:sz w:val="22"/>
                <w:szCs w:val="22"/>
                <w:lang w:val="de-DE"/>
              </w:rPr>
              <w:t>42 %***</w:t>
            </w:r>
          </w:p>
        </w:tc>
      </w:tr>
      <w:tr w:rsidR="00FE291A" w14:paraId="22881087" w14:textId="77777777">
        <w:trPr>
          <w:trHeight w:hRule="exact" w:val="269"/>
        </w:trPr>
        <w:tc>
          <w:tcPr>
            <w:tcW w:w="2748" w:type="dxa"/>
            <w:tcBorders>
              <w:top w:val="single" w:sz="4" w:space="0" w:color="000000"/>
              <w:left w:val="single" w:sz="4" w:space="0" w:color="000000"/>
              <w:bottom w:val="single" w:sz="4" w:space="0" w:color="000000"/>
              <w:right w:val="single" w:sz="4" w:space="0" w:color="000000"/>
            </w:tcBorders>
          </w:tcPr>
          <w:p w14:paraId="7DED9B84" w14:textId="77777777" w:rsidR="00FE291A" w:rsidRDefault="00C8738F">
            <w:pPr>
              <w:pStyle w:val="TableParagraph"/>
              <w:widowControl/>
              <w:kinsoku w:val="0"/>
              <w:overflowPunct w:val="0"/>
              <w:ind w:firstLine="600"/>
              <w:rPr>
                <w:sz w:val="22"/>
                <w:lang w:val="de-DE"/>
              </w:rPr>
            </w:pPr>
            <w:r>
              <w:rPr>
                <w:sz w:val="22"/>
                <w:szCs w:val="22"/>
                <w:lang w:val="de-DE"/>
              </w:rPr>
              <w:t>Woche 12</w:t>
            </w:r>
          </w:p>
        </w:tc>
        <w:tc>
          <w:tcPr>
            <w:tcW w:w="3206" w:type="dxa"/>
            <w:tcBorders>
              <w:top w:val="single" w:sz="4" w:space="0" w:color="000000"/>
              <w:left w:val="single" w:sz="4" w:space="0" w:color="000000"/>
              <w:bottom w:val="single" w:sz="4" w:space="0" w:color="000000"/>
              <w:right w:val="single" w:sz="4" w:space="0" w:color="000000"/>
            </w:tcBorders>
          </w:tcPr>
          <w:p w14:paraId="1F7418F5" w14:textId="77777777" w:rsidR="00FE291A" w:rsidRDefault="00C8738F">
            <w:pPr>
              <w:pStyle w:val="TableParagraph"/>
              <w:widowControl/>
              <w:kinsoku w:val="0"/>
              <w:overflowPunct w:val="0"/>
              <w:jc w:val="center"/>
              <w:rPr>
                <w:sz w:val="22"/>
                <w:lang w:val="de-DE"/>
              </w:rPr>
            </w:pPr>
            <w:r>
              <w:rPr>
                <w:sz w:val="22"/>
                <w:szCs w:val="22"/>
                <w:lang w:val="de-DE"/>
              </w:rPr>
              <w:t>21 %</w:t>
            </w:r>
          </w:p>
        </w:tc>
        <w:tc>
          <w:tcPr>
            <w:tcW w:w="3118" w:type="dxa"/>
            <w:tcBorders>
              <w:top w:val="single" w:sz="4" w:space="0" w:color="000000"/>
              <w:left w:val="single" w:sz="4" w:space="0" w:color="000000"/>
              <w:bottom w:val="single" w:sz="4" w:space="0" w:color="000000"/>
              <w:right w:val="single" w:sz="4" w:space="0" w:color="000000"/>
            </w:tcBorders>
          </w:tcPr>
          <w:p w14:paraId="43EE282D" w14:textId="77777777" w:rsidR="00FE291A" w:rsidRDefault="00C8738F">
            <w:pPr>
              <w:pStyle w:val="TableParagraph"/>
              <w:widowControl/>
              <w:kinsoku w:val="0"/>
              <w:overflowPunct w:val="0"/>
              <w:jc w:val="center"/>
              <w:rPr>
                <w:sz w:val="22"/>
                <w:lang w:val="de-DE"/>
              </w:rPr>
            </w:pPr>
            <w:r>
              <w:rPr>
                <w:sz w:val="22"/>
                <w:szCs w:val="22"/>
                <w:lang w:val="de-DE"/>
              </w:rPr>
              <w:t>58 %***</w:t>
            </w:r>
          </w:p>
        </w:tc>
      </w:tr>
      <w:tr w:rsidR="00FE291A" w14:paraId="4B1A11C4" w14:textId="77777777">
        <w:trPr>
          <w:trHeight w:hRule="exact" w:val="269"/>
        </w:trPr>
        <w:tc>
          <w:tcPr>
            <w:tcW w:w="2748" w:type="dxa"/>
            <w:tcBorders>
              <w:top w:val="single" w:sz="4" w:space="0" w:color="000000"/>
              <w:left w:val="single" w:sz="4" w:space="0" w:color="000000"/>
              <w:bottom w:val="single" w:sz="4" w:space="0" w:color="000000"/>
              <w:right w:val="single" w:sz="4" w:space="0" w:color="000000"/>
            </w:tcBorders>
          </w:tcPr>
          <w:p w14:paraId="58EEDE23" w14:textId="77777777" w:rsidR="00FE291A" w:rsidRDefault="00C8738F">
            <w:pPr>
              <w:pStyle w:val="TableParagraph"/>
              <w:widowControl/>
              <w:kinsoku w:val="0"/>
              <w:overflowPunct w:val="0"/>
              <w:ind w:firstLine="600"/>
              <w:rPr>
                <w:sz w:val="22"/>
                <w:lang w:val="de-DE"/>
              </w:rPr>
            </w:pPr>
            <w:r>
              <w:rPr>
                <w:sz w:val="22"/>
                <w:szCs w:val="22"/>
                <w:lang w:val="de-DE"/>
              </w:rPr>
              <w:t>Woche 24</w:t>
            </w:r>
          </w:p>
        </w:tc>
        <w:tc>
          <w:tcPr>
            <w:tcW w:w="3206" w:type="dxa"/>
            <w:tcBorders>
              <w:top w:val="single" w:sz="4" w:space="0" w:color="000000"/>
              <w:left w:val="single" w:sz="4" w:space="0" w:color="000000"/>
              <w:bottom w:val="single" w:sz="4" w:space="0" w:color="000000"/>
              <w:right w:val="single" w:sz="4" w:space="0" w:color="000000"/>
            </w:tcBorders>
          </w:tcPr>
          <w:p w14:paraId="5ECCCF69" w14:textId="77777777" w:rsidR="00FE291A" w:rsidRDefault="00C8738F">
            <w:pPr>
              <w:pStyle w:val="TableParagraph"/>
              <w:widowControl/>
              <w:kinsoku w:val="0"/>
              <w:overflowPunct w:val="0"/>
              <w:jc w:val="center"/>
              <w:rPr>
                <w:sz w:val="22"/>
                <w:lang w:val="de-DE"/>
              </w:rPr>
            </w:pPr>
            <w:r>
              <w:rPr>
                <w:sz w:val="22"/>
                <w:szCs w:val="22"/>
                <w:lang w:val="de-DE"/>
              </w:rPr>
              <w:t>19 %</w:t>
            </w:r>
          </w:p>
        </w:tc>
        <w:tc>
          <w:tcPr>
            <w:tcW w:w="3118" w:type="dxa"/>
            <w:tcBorders>
              <w:top w:val="single" w:sz="4" w:space="0" w:color="000000"/>
              <w:left w:val="single" w:sz="4" w:space="0" w:color="000000"/>
              <w:bottom w:val="single" w:sz="4" w:space="0" w:color="000000"/>
              <w:right w:val="single" w:sz="4" w:space="0" w:color="000000"/>
            </w:tcBorders>
          </w:tcPr>
          <w:p w14:paraId="723DE228" w14:textId="77777777" w:rsidR="00FE291A" w:rsidRDefault="00C8738F">
            <w:pPr>
              <w:pStyle w:val="TableParagraph"/>
              <w:widowControl/>
              <w:kinsoku w:val="0"/>
              <w:overflowPunct w:val="0"/>
              <w:jc w:val="center"/>
              <w:rPr>
                <w:sz w:val="22"/>
                <w:lang w:val="de-DE"/>
              </w:rPr>
            </w:pPr>
            <w:r>
              <w:rPr>
                <w:sz w:val="22"/>
                <w:szCs w:val="22"/>
                <w:lang w:val="de-DE"/>
              </w:rPr>
              <w:t>51 %***</w:t>
            </w:r>
          </w:p>
        </w:tc>
      </w:tr>
      <w:tr w:rsidR="00FE291A" w14:paraId="24408746" w14:textId="77777777">
        <w:trPr>
          <w:trHeight w:hRule="exact" w:val="269"/>
        </w:trPr>
        <w:tc>
          <w:tcPr>
            <w:tcW w:w="2748" w:type="dxa"/>
            <w:tcBorders>
              <w:top w:val="single" w:sz="4" w:space="0" w:color="000000"/>
              <w:left w:val="single" w:sz="4" w:space="0" w:color="000000"/>
              <w:bottom w:val="single" w:sz="4" w:space="0" w:color="000000"/>
              <w:right w:val="single" w:sz="4" w:space="0" w:color="000000"/>
            </w:tcBorders>
          </w:tcPr>
          <w:p w14:paraId="42286225" w14:textId="77777777" w:rsidR="00FE291A" w:rsidRDefault="00C8738F">
            <w:pPr>
              <w:pStyle w:val="TableParagraph"/>
              <w:widowControl/>
              <w:kinsoku w:val="0"/>
              <w:overflowPunct w:val="0"/>
              <w:rPr>
                <w:sz w:val="22"/>
                <w:lang w:val="de-DE"/>
              </w:rPr>
            </w:pPr>
            <w:r>
              <w:rPr>
                <w:sz w:val="22"/>
                <w:szCs w:val="22"/>
                <w:lang w:val="de-DE"/>
              </w:rPr>
              <w:t>ASAS-50</w:t>
            </w:r>
          </w:p>
        </w:tc>
        <w:tc>
          <w:tcPr>
            <w:tcW w:w="3206" w:type="dxa"/>
            <w:tcBorders>
              <w:top w:val="single" w:sz="4" w:space="0" w:color="000000"/>
              <w:left w:val="single" w:sz="4" w:space="0" w:color="000000"/>
              <w:bottom w:val="single" w:sz="4" w:space="0" w:color="000000"/>
              <w:right w:val="single" w:sz="4" w:space="0" w:color="000000"/>
            </w:tcBorders>
          </w:tcPr>
          <w:p w14:paraId="224A0C65" w14:textId="77777777" w:rsidR="00FE291A" w:rsidRDefault="00FE291A">
            <w:pPr>
              <w:widowControl/>
              <w:jc w:val="center"/>
              <w:rPr>
                <w:sz w:val="22"/>
                <w:lang w:val="de-DE"/>
              </w:rPr>
            </w:pPr>
          </w:p>
        </w:tc>
        <w:tc>
          <w:tcPr>
            <w:tcW w:w="3118" w:type="dxa"/>
            <w:tcBorders>
              <w:top w:val="single" w:sz="4" w:space="0" w:color="000000"/>
              <w:left w:val="single" w:sz="4" w:space="0" w:color="000000"/>
              <w:bottom w:val="single" w:sz="4" w:space="0" w:color="000000"/>
              <w:right w:val="single" w:sz="4" w:space="0" w:color="000000"/>
            </w:tcBorders>
          </w:tcPr>
          <w:p w14:paraId="0DCA4833" w14:textId="77777777" w:rsidR="00FE291A" w:rsidRDefault="00FE291A">
            <w:pPr>
              <w:widowControl/>
              <w:jc w:val="center"/>
              <w:rPr>
                <w:sz w:val="22"/>
                <w:lang w:val="de-DE"/>
              </w:rPr>
            </w:pPr>
          </w:p>
        </w:tc>
      </w:tr>
      <w:tr w:rsidR="00FE291A" w14:paraId="480ED14E" w14:textId="77777777">
        <w:trPr>
          <w:trHeight w:hRule="exact" w:val="269"/>
        </w:trPr>
        <w:tc>
          <w:tcPr>
            <w:tcW w:w="2748" w:type="dxa"/>
            <w:tcBorders>
              <w:top w:val="single" w:sz="4" w:space="0" w:color="000000"/>
              <w:left w:val="single" w:sz="4" w:space="0" w:color="000000"/>
              <w:bottom w:val="single" w:sz="4" w:space="0" w:color="000000"/>
              <w:right w:val="single" w:sz="4" w:space="0" w:color="000000"/>
            </w:tcBorders>
          </w:tcPr>
          <w:p w14:paraId="5A924B7D" w14:textId="77777777" w:rsidR="00FE291A" w:rsidRDefault="00C8738F">
            <w:pPr>
              <w:pStyle w:val="TableParagraph"/>
              <w:widowControl/>
              <w:kinsoku w:val="0"/>
              <w:overflowPunct w:val="0"/>
              <w:ind w:firstLine="600"/>
              <w:rPr>
                <w:sz w:val="22"/>
                <w:lang w:val="de-DE"/>
              </w:rPr>
            </w:pPr>
            <w:r>
              <w:rPr>
                <w:sz w:val="22"/>
                <w:szCs w:val="22"/>
                <w:lang w:val="de-DE"/>
              </w:rPr>
              <w:t>Woche 2</w:t>
            </w:r>
          </w:p>
        </w:tc>
        <w:tc>
          <w:tcPr>
            <w:tcW w:w="3206" w:type="dxa"/>
            <w:tcBorders>
              <w:top w:val="single" w:sz="4" w:space="0" w:color="000000"/>
              <w:left w:val="single" w:sz="4" w:space="0" w:color="000000"/>
              <w:bottom w:val="single" w:sz="4" w:space="0" w:color="000000"/>
              <w:right w:val="single" w:sz="4" w:space="0" w:color="000000"/>
            </w:tcBorders>
          </w:tcPr>
          <w:p w14:paraId="3966EA0E" w14:textId="77777777" w:rsidR="00FE291A" w:rsidRDefault="00C8738F">
            <w:pPr>
              <w:pStyle w:val="TableParagraph"/>
              <w:widowControl/>
              <w:kinsoku w:val="0"/>
              <w:overflowPunct w:val="0"/>
              <w:jc w:val="center"/>
              <w:rPr>
                <w:sz w:val="22"/>
                <w:lang w:val="de-DE"/>
              </w:rPr>
            </w:pPr>
            <w:r>
              <w:rPr>
                <w:sz w:val="22"/>
                <w:szCs w:val="22"/>
                <w:lang w:val="de-DE"/>
              </w:rPr>
              <w:t>3 %</w:t>
            </w:r>
          </w:p>
        </w:tc>
        <w:tc>
          <w:tcPr>
            <w:tcW w:w="3118" w:type="dxa"/>
            <w:tcBorders>
              <w:top w:val="single" w:sz="4" w:space="0" w:color="000000"/>
              <w:left w:val="single" w:sz="4" w:space="0" w:color="000000"/>
              <w:bottom w:val="single" w:sz="4" w:space="0" w:color="000000"/>
              <w:right w:val="single" w:sz="4" w:space="0" w:color="000000"/>
            </w:tcBorders>
          </w:tcPr>
          <w:p w14:paraId="3C2DE74A" w14:textId="77777777" w:rsidR="00FE291A" w:rsidRDefault="00C8738F">
            <w:pPr>
              <w:pStyle w:val="TableParagraph"/>
              <w:widowControl/>
              <w:kinsoku w:val="0"/>
              <w:overflowPunct w:val="0"/>
              <w:jc w:val="center"/>
              <w:rPr>
                <w:sz w:val="22"/>
                <w:lang w:val="de-DE"/>
              </w:rPr>
            </w:pPr>
            <w:r>
              <w:rPr>
                <w:sz w:val="22"/>
                <w:szCs w:val="22"/>
                <w:lang w:val="de-DE"/>
              </w:rPr>
              <w:t>16 %***</w:t>
            </w:r>
          </w:p>
        </w:tc>
      </w:tr>
      <w:tr w:rsidR="00FE291A" w14:paraId="012DEF30" w14:textId="77777777">
        <w:trPr>
          <w:trHeight w:hRule="exact" w:val="269"/>
        </w:trPr>
        <w:tc>
          <w:tcPr>
            <w:tcW w:w="2748" w:type="dxa"/>
            <w:tcBorders>
              <w:top w:val="single" w:sz="4" w:space="0" w:color="000000"/>
              <w:left w:val="single" w:sz="4" w:space="0" w:color="000000"/>
              <w:bottom w:val="single" w:sz="4" w:space="0" w:color="000000"/>
              <w:right w:val="single" w:sz="4" w:space="0" w:color="000000"/>
            </w:tcBorders>
          </w:tcPr>
          <w:p w14:paraId="7B808BDA" w14:textId="77777777" w:rsidR="00FE291A" w:rsidRDefault="00C8738F">
            <w:pPr>
              <w:pStyle w:val="TableParagraph"/>
              <w:widowControl/>
              <w:kinsoku w:val="0"/>
              <w:overflowPunct w:val="0"/>
              <w:ind w:firstLine="600"/>
              <w:rPr>
                <w:sz w:val="22"/>
                <w:lang w:val="de-DE"/>
              </w:rPr>
            </w:pPr>
            <w:r>
              <w:rPr>
                <w:sz w:val="22"/>
                <w:szCs w:val="22"/>
                <w:lang w:val="de-DE"/>
              </w:rPr>
              <w:t>Woche 12</w:t>
            </w:r>
          </w:p>
        </w:tc>
        <w:tc>
          <w:tcPr>
            <w:tcW w:w="3206" w:type="dxa"/>
            <w:tcBorders>
              <w:top w:val="single" w:sz="4" w:space="0" w:color="000000"/>
              <w:left w:val="single" w:sz="4" w:space="0" w:color="000000"/>
              <w:bottom w:val="single" w:sz="4" w:space="0" w:color="000000"/>
              <w:right w:val="single" w:sz="4" w:space="0" w:color="000000"/>
            </w:tcBorders>
          </w:tcPr>
          <w:p w14:paraId="0D822754" w14:textId="77777777" w:rsidR="00FE291A" w:rsidRDefault="00C8738F">
            <w:pPr>
              <w:pStyle w:val="TableParagraph"/>
              <w:widowControl/>
              <w:kinsoku w:val="0"/>
              <w:overflowPunct w:val="0"/>
              <w:jc w:val="center"/>
              <w:rPr>
                <w:sz w:val="22"/>
                <w:lang w:val="de-DE"/>
              </w:rPr>
            </w:pPr>
            <w:r>
              <w:rPr>
                <w:sz w:val="22"/>
                <w:szCs w:val="22"/>
                <w:lang w:val="de-DE"/>
              </w:rPr>
              <w:t>10 %</w:t>
            </w:r>
          </w:p>
        </w:tc>
        <w:tc>
          <w:tcPr>
            <w:tcW w:w="3118" w:type="dxa"/>
            <w:tcBorders>
              <w:top w:val="single" w:sz="4" w:space="0" w:color="000000"/>
              <w:left w:val="single" w:sz="4" w:space="0" w:color="000000"/>
              <w:bottom w:val="single" w:sz="4" w:space="0" w:color="000000"/>
              <w:right w:val="single" w:sz="4" w:space="0" w:color="000000"/>
            </w:tcBorders>
          </w:tcPr>
          <w:p w14:paraId="552B822E" w14:textId="77777777" w:rsidR="00FE291A" w:rsidRDefault="00C8738F">
            <w:pPr>
              <w:pStyle w:val="TableParagraph"/>
              <w:widowControl/>
              <w:kinsoku w:val="0"/>
              <w:overflowPunct w:val="0"/>
              <w:jc w:val="center"/>
              <w:rPr>
                <w:sz w:val="22"/>
                <w:lang w:val="de-DE"/>
              </w:rPr>
            </w:pPr>
            <w:r>
              <w:rPr>
                <w:sz w:val="22"/>
                <w:szCs w:val="22"/>
                <w:lang w:val="de-DE"/>
              </w:rPr>
              <w:t>38 %***</w:t>
            </w:r>
          </w:p>
        </w:tc>
      </w:tr>
      <w:tr w:rsidR="00FE291A" w14:paraId="6B2B97E6" w14:textId="77777777">
        <w:trPr>
          <w:trHeight w:hRule="exact" w:val="269"/>
        </w:trPr>
        <w:tc>
          <w:tcPr>
            <w:tcW w:w="2748" w:type="dxa"/>
            <w:tcBorders>
              <w:top w:val="single" w:sz="4" w:space="0" w:color="000000"/>
              <w:left w:val="single" w:sz="4" w:space="0" w:color="000000"/>
              <w:bottom w:val="single" w:sz="4" w:space="0" w:color="000000"/>
              <w:right w:val="single" w:sz="4" w:space="0" w:color="000000"/>
            </w:tcBorders>
          </w:tcPr>
          <w:p w14:paraId="5A3DBB0F" w14:textId="77777777" w:rsidR="00FE291A" w:rsidRDefault="00C8738F">
            <w:pPr>
              <w:pStyle w:val="TableParagraph"/>
              <w:widowControl/>
              <w:kinsoku w:val="0"/>
              <w:overflowPunct w:val="0"/>
              <w:ind w:firstLine="600"/>
              <w:rPr>
                <w:sz w:val="22"/>
                <w:lang w:val="de-DE"/>
              </w:rPr>
            </w:pPr>
            <w:r>
              <w:rPr>
                <w:sz w:val="22"/>
                <w:szCs w:val="22"/>
                <w:lang w:val="de-DE"/>
              </w:rPr>
              <w:t>Woche 24</w:t>
            </w:r>
          </w:p>
        </w:tc>
        <w:tc>
          <w:tcPr>
            <w:tcW w:w="3206" w:type="dxa"/>
            <w:tcBorders>
              <w:top w:val="single" w:sz="4" w:space="0" w:color="000000"/>
              <w:left w:val="single" w:sz="4" w:space="0" w:color="000000"/>
              <w:bottom w:val="single" w:sz="4" w:space="0" w:color="000000"/>
              <w:right w:val="single" w:sz="4" w:space="0" w:color="000000"/>
            </w:tcBorders>
          </w:tcPr>
          <w:p w14:paraId="0D3E1841" w14:textId="77777777" w:rsidR="00FE291A" w:rsidRDefault="00C8738F">
            <w:pPr>
              <w:pStyle w:val="TableParagraph"/>
              <w:widowControl/>
              <w:kinsoku w:val="0"/>
              <w:overflowPunct w:val="0"/>
              <w:jc w:val="center"/>
              <w:rPr>
                <w:sz w:val="22"/>
                <w:lang w:val="de-DE"/>
              </w:rPr>
            </w:pPr>
            <w:r>
              <w:rPr>
                <w:sz w:val="22"/>
                <w:szCs w:val="22"/>
                <w:lang w:val="de-DE"/>
              </w:rPr>
              <w:t>11 %</w:t>
            </w:r>
          </w:p>
        </w:tc>
        <w:tc>
          <w:tcPr>
            <w:tcW w:w="3118" w:type="dxa"/>
            <w:tcBorders>
              <w:top w:val="single" w:sz="4" w:space="0" w:color="000000"/>
              <w:left w:val="single" w:sz="4" w:space="0" w:color="000000"/>
              <w:bottom w:val="single" w:sz="4" w:space="0" w:color="000000"/>
              <w:right w:val="single" w:sz="4" w:space="0" w:color="000000"/>
            </w:tcBorders>
          </w:tcPr>
          <w:p w14:paraId="22352079" w14:textId="77777777" w:rsidR="00FE291A" w:rsidRDefault="00C8738F">
            <w:pPr>
              <w:pStyle w:val="TableParagraph"/>
              <w:widowControl/>
              <w:kinsoku w:val="0"/>
              <w:overflowPunct w:val="0"/>
              <w:jc w:val="center"/>
              <w:rPr>
                <w:sz w:val="22"/>
                <w:lang w:val="de-DE"/>
              </w:rPr>
            </w:pPr>
            <w:r>
              <w:rPr>
                <w:sz w:val="22"/>
                <w:szCs w:val="22"/>
                <w:lang w:val="de-DE"/>
              </w:rPr>
              <w:t>35 %***</w:t>
            </w:r>
          </w:p>
        </w:tc>
      </w:tr>
      <w:tr w:rsidR="00FE291A" w14:paraId="2DFEBFEB" w14:textId="77777777">
        <w:trPr>
          <w:trHeight w:hRule="exact" w:val="269"/>
        </w:trPr>
        <w:tc>
          <w:tcPr>
            <w:tcW w:w="2748" w:type="dxa"/>
            <w:tcBorders>
              <w:top w:val="single" w:sz="4" w:space="0" w:color="000000"/>
              <w:left w:val="single" w:sz="4" w:space="0" w:color="000000"/>
              <w:bottom w:val="single" w:sz="4" w:space="0" w:color="000000"/>
              <w:right w:val="single" w:sz="4" w:space="0" w:color="000000"/>
            </w:tcBorders>
          </w:tcPr>
          <w:p w14:paraId="026F3983" w14:textId="77777777" w:rsidR="00FE291A" w:rsidRDefault="00C8738F">
            <w:pPr>
              <w:pStyle w:val="TableParagraph"/>
              <w:widowControl/>
              <w:kinsoku w:val="0"/>
              <w:overflowPunct w:val="0"/>
              <w:rPr>
                <w:sz w:val="22"/>
                <w:lang w:val="de-DE"/>
              </w:rPr>
            </w:pPr>
            <w:r>
              <w:rPr>
                <w:sz w:val="22"/>
                <w:szCs w:val="22"/>
                <w:lang w:val="de-DE"/>
              </w:rPr>
              <w:t>ASAS-70</w:t>
            </w:r>
          </w:p>
        </w:tc>
        <w:tc>
          <w:tcPr>
            <w:tcW w:w="3206" w:type="dxa"/>
            <w:tcBorders>
              <w:top w:val="single" w:sz="4" w:space="0" w:color="000000"/>
              <w:left w:val="single" w:sz="4" w:space="0" w:color="000000"/>
              <w:bottom w:val="single" w:sz="4" w:space="0" w:color="000000"/>
              <w:right w:val="single" w:sz="4" w:space="0" w:color="000000"/>
            </w:tcBorders>
          </w:tcPr>
          <w:p w14:paraId="7FFDF9E1" w14:textId="77777777" w:rsidR="00FE291A" w:rsidRDefault="00FE291A">
            <w:pPr>
              <w:widowControl/>
              <w:jc w:val="center"/>
              <w:rPr>
                <w:sz w:val="22"/>
                <w:lang w:val="de-DE"/>
              </w:rPr>
            </w:pPr>
          </w:p>
        </w:tc>
        <w:tc>
          <w:tcPr>
            <w:tcW w:w="3118" w:type="dxa"/>
            <w:tcBorders>
              <w:top w:val="single" w:sz="4" w:space="0" w:color="000000"/>
              <w:left w:val="single" w:sz="4" w:space="0" w:color="000000"/>
              <w:bottom w:val="single" w:sz="4" w:space="0" w:color="000000"/>
              <w:right w:val="single" w:sz="4" w:space="0" w:color="000000"/>
            </w:tcBorders>
          </w:tcPr>
          <w:p w14:paraId="4D681BC9" w14:textId="77777777" w:rsidR="00FE291A" w:rsidRDefault="00FE291A">
            <w:pPr>
              <w:widowControl/>
              <w:jc w:val="center"/>
              <w:rPr>
                <w:sz w:val="22"/>
                <w:lang w:val="de-DE"/>
              </w:rPr>
            </w:pPr>
          </w:p>
        </w:tc>
      </w:tr>
      <w:tr w:rsidR="00FE291A" w14:paraId="7AA5D031" w14:textId="77777777">
        <w:trPr>
          <w:trHeight w:hRule="exact" w:val="269"/>
        </w:trPr>
        <w:tc>
          <w:tcPr>
            <w:tcW w:w="2748" w:type="dxa"/>
            <w:tcBorders>
              <w:top w:val="single" w:sz="4" w:space="0" w:color="000000"/>
              <w:left w:val="single" w:sz="4" w:space="0" w:color="000000"/>
              <w:bottom w:val="single" w:sz="4" w:space="0" w:color="000000"/>
              <w:right w:val="single" w:sz="4" w:space="0" w:color="000000"/>
            </w:tcBorders>
          </w:tcPr>
          <w:p w14:paraId="2115624E" w14:textId="77777777" w:rsidR="00FE291A" w:rsidRDefault="00C8738F">
            <w:pPr>
              <w:pStyle w:val="TableParagraph"/>
              <w:widowControl/>
              <w:kinsoku w:val="0"/>
              <w:overflowPunct w:val="0"/>
              <w:ind w:firstLine="600"/>
              <w:rPr>
                <w:sz w:val="22"/>
                <w:lang w:val="de-DE"/>
              </w:rPr>
            </w:pPr>
            <w:r>
              <w:rPr>
                <w:sz w:val="22"/>
                <w:szCs w:val="22"/>
                <w:lang w:val="de-DE"/>
              </w:rPr>
              <w:t>Woche 2</w:t>
            </w:r>
          </w:p>
        </w:tc>
        <w:tc>
          <w:tcPr>
            <w:tcW w:w="3206" w:type="dxa"/>
            <w:tcBorders>
              <w:top w:val="single" w:sz="4" w:space="0" w:color="000000"/>
              <w:left w:val="single" w:sz="4" w:space="0" w:color="000000"/>
              <w:bottom w:val="single" w:sz="4" w:space="0" w:color="000000"/>
              <w:right w:val="single" w:sz="4" w:space="0" w:color="000000"/>
            </w:tcBorders>
          </w:tcPr>
          <w:p w14:paraId="4C690C33" w14:textId="77777777" w:rsidR="00FE291A" w:rsidRDefault="00C8738F">
            <w:pPr>
              <w:pStyle w:val="TableParagraph"/>
              <w:widowControl/>
              <w:kinsoku w:val="0"/>
              <w:overflowPunct w:val="0"/>
              <w:jc w:val="center"/>
              <w:rPr>
                <w:sz w:val="22"/>
                <w:lang w:val="de-DE"/>
              </w:rPr>
            </w:pPr>
            <w:r>
              <w:rPr>
                <w:sz w:val="22"/>
                <w:szCs w:val="22"/>
                <w:lang w:val="de-DE"/>
              </w:rPr>
              <w:t>0 %</w:t>
            </w:r>
          </w:p>
        </w:tc>
        <w:tc>
          <w:tcPr>
            <w:tcW w:w="3118" w:type="dxa"/>
            <w:tcBorders>
              <w:top w:val="single" w:sz="4" w:space="0" w:color="000000"/>
              <w:left w:val="single" w:sz="4" w:space="0" w:color="000000"/>
              <w:bottom w:val="single" w:sz="4" w:space="0" w:color="000000"/>
              <w:right w:val="single" w:sz="4" w:space="0" w:color="000000"/>
            </w:tcBorders>
          </w:tcPr>
          <w:p w14:paraId="7505CD67" w14:textId="77777777" w:rsidR="00FE291A" w:rsidRDefault="00C8738F">
            <w:pPr>
              <w:pStyle w:val="TableParagraph"/>
              <w:widowControl/>
              <w:kinsoku w:val="0"/>
              <w:overflowPunct w:val="0"/>
              <w:jc w:val="center"/>
              <w:rPr>
                <w:sz w:val="22"/>
                <w:lang w:val="de-DE"/>
              </w:rPr>
            </w:pPr>
            <w:r>
              <w:rPr>
                <w:sz w:val="22"/>
                <w:szCs w:val="22"/>
                <w:lang w:val="de-DE"/>
              </w:rPr>
              <w:t>7 %**</w:t>
            </w:r>
          </w:p>
        </w:tc>
      </w:tr>
      <w:tr w:rsidR="00FE291A" w14:paraId="4E7FA94F" w14:textId="77777777">
        <w:trPr>
          <w:trHeight w:hRule="exact" w:val="269"/>
        </w:trPr>
        <w:tc>
          <w:tcPr>
            <w:tcW w:w="2748" w:type="dxa"/>
            <w:tcBorders>
              <w:top w:val="single" w:sz="4" w:space="0" w:color="000000"/>
              <w:left w:val="single" w:sz="4" w:space="0" w:color="000000"/>
              <w:bottom w:val="single" w:sz="4" w:space="0" w:color="000000"/>
              <w:right w:val="single" w:sz="4" w:space="0" w:color="000000"/>
            </w:tcBorders>
          </w:tcPr>
          <w:p w14:paraId="4630D7AB" w14:textId="77777777" w:rsidR="00FE291A" w:rsidRDefault="00C8738F">
            <w:pPr>
              <w:pStyle w:val="TableParagraph"/>
              <w:widowControl/>
              <w:kinsoku w:val="0"/>
              <w:overflowPunct w:val="0"/>
              <w:ind w:firstLine="600"/>
              <w:rPr>
                <w:sz w:val="22"/>
                <w:lang w:val="de-DE"/>
              </w:rPr>
            </w:pPr>
            <w:r>
              <w:rPr>
                <w:sz w:val="22"/>
                <w:szCs w:val="22"/>
                <w:lang w:val="de-DE"/>
              </w:rPr>
              <w:t>Woche 12</w:t>
            </w:r>
          </w:p>
        </w:tc>
        <w:tc>
          <w:tcPr>
            <w:tcW w:w="3206" w:type="dxa"/>
            <w:tcBorders>
              <w:top w:val="single" w:sz="4" w:space="0" w:color="000000"/>
              <w:left w:val="single" w:sz="4" w:space="0" w:color="000000"/>
              <w:bottom w:val="single" w:sz="4" w:space="0" w:color="000000"/>
              <w:right w:val="single" w:sz="4" w:space="0" w:color="000000"/>
            </w:tcBorders>
          </w:tcPr>
          <w:p w14:paraId="5ACE9C4D" w14:textId="77777777" w:rsidR="00FE291A" w:rsidRDefault="00C8738F">
            <w:pPr>
              <w:pStyle w:val="TableParagraph"/>
              <w:widowControl/>
              <w:kinsoku w:val="0"/>
              <w:overflowPunct w:val="0"/>
              <w:jc w:val="center"/>
              <w:rPr>
                <w:sz w:val="22"/>
                <w:lang w:val="de-DE"/>
              </w:rPr>
            </w:pPr>
            <w:r>
              <w:rPr>
                <w:sz w:val="22"/>
                <w:szCs w:val="22"/>
                <w:lang w:val="de-DE"/>
              </w:rPr>
              <w:t>5 %</w:t>
            </w:r>
          </w:p>
        </w:tc>
        <w:tc>
          <w:tcPr>
            <w:tcW w:w="3118" w:type="dxa"/>
            <w:tcBorders>
              <w:top w:val="single" w:sz="4" w:space="0" w:color="000000"/>
              <w:left w:val="single" w:sz="4" w:space="0" w:color="000000"/>
              <w:bottom w:val="single" w:sz="4" w:space="0" w:color="000000"/>
              <w:right w:val="single" w:sz="4" w:space="0" w:color="000000"/>
            </w:tcBorders>
          </w:tcPr>
          <w:p w14:paraId="434F265D" w14:textId="77777777" w:rsidR="00FE291A" w:rsidRDefault="00C8738F">
            <w:pPr>
              <w:pStyle w:val="TableParagraph"/>
              <w:widowControl/>
              <w:kinsoku w:val="0"/>
              <w:overflowPunct w:val="0"/>
              <w:jc w:val="center"/>
              <w:rPr>
                <w:sz w:val="22"/>
                <w:lang w:val="de-DE"/>
              </w:rPr>
            </w:pPr>
            <w:r>
              <w:rPr>
                <w:sz w:val="22"/>
                <w:szCs w:val="22"/>
                <w:lang w:val="de-DE"/>
              </w:rPr>
              <w:t>23 %***</w:t>
            </w:r>
          </w:p>
        </w:tc>
      </w:tr>
      <w:tr w:rsidR="00FE291A" w14:paraId="6CC70367" w14:textId="77777777">
        <w:trPr>
          <w:trHeight w:hRule="exact" w:val="269"/>
        </w:trPr>
        <w:tc>
          <w:tcPr>
            <w:tcW w:w="2748" w:type="dxa"/>
            <w:tcBorders>
              <w:top w:val="single" w:sz="4" w:space="0" w:color="000000"/>
              <w:left w:val="single" w:sz="4" w:space="0" w:color="000000"/>
              <w:bottom w:val="single" w:sz="4" w:space="0" w:color="000000"/>
              <w:right w:val="single" w:sz="4" w:space="0" w:color="000000"/>
            </w:tcBorders>
          </w:tcPr>
          <w:p w14:paraId="128F0847" w14:textId="77777777" w:rsidR="00FE291A" w:rsidRDefault="00C8738F">
            <w:pPr>
              <w:pStyle w:val="TableParagraph"/>
              <w:widowControl/>
              <w:kinsoku w:val="0"/>
              <w:overflowPunct w:val="0"/>
              <w:ind w:firstLine="600"/>
              <w:rPr>
                <w:sz w:val="22"/>
                <w:lang w:val="de-DE"/>
              </w:rPr>
            </w:pPr>
            <w:r>
              <w:rPr>
                <w:sz w:val="22"/>
                <w:szCs w:val="22"/>
                <w:lang w:val="de-DE"/>
              </w:rPr>
              <w:t>Woche 24</w:t>
            </w:r>
          </w:p>
        </w:tc>
        <w:tc>
          <w:tcPr>
            <w:tcW w:w="3206" w:type="dxa"/>
            <w:tcBorders>
              <w:top w:val="single" w:sz="4" w:space="0" w:color="000000"/>
              <w:left w:val="single" w:sz="4" w:space="0" w:color="000000"/>
              <w:bottom w:val="single" w:sz="4" w:space="0" w:color="000000"/>
              <w:right w:val="single" w:sz="4" w:space="0" w:color="000000"/>
            </w:tcBorders>
          </w:tcPr>
          <w:p w14:paraId="143D57B3" w14:textId="77777777" w:rsidR="00FE291A" w:rsidRDefault="00C8738F">
            <w:pPr>
              <w:pStyle w:val="TableParagraph"/>
              <w:widowControl/>
              <w:kinsoku w:val="0"/>
              <w:overflowPunct w:val="0"/>
              <w:jc w:val="center"/>
              <w:rPr>
                <w:sz w:val="22"/>
                <w:lang w:val="de-DE"/>
              </w:rPr>
            </w:pPr>
            <w:r>
              <w:rPr>
                <w:sz w:val="22"/>
                <w:szCs w:val="22"/>
                <w:lang w:val="de-DE"/>
              </w:rPr>
              <w:t>8 %</w:t>
            </w:r>
          </w:p>
        </w:tc>
        <w:tc>
          <w:tcPr>
            <w:tcW w:w="3118" w:type="dxa"/>
            <w:tcBorders>
              <w:top w:val="single" w:sz="4" w:space="0" w:color="000000"/>
              <w:left w:val="single" w:sz="4" w:space="0" w:color="000000"/>
              <w:bottom w:val="single" w:sz="4" w:space="0" w:color="000000"/>
              <w:right w:val="single" w:sz="4" w:space="0" w:color="000000"/>
            </w:tcBorders>
          </w:tcPr>
          <w:p w14:paraId="105A2195" w14:textId="77777777" w:rsidR="00FE291A" w:rsidRDefault="00C8738F">
            <w:pPr>
              <w:pStyle w:val="TableParagraph"/>
              <w:widowControl/>
              <w:kinsoku w:val="0"/>
              <w:overflowPunct w:val="0"/>
              <w:jc w:val="center"/>
              <w:rPr>
                <w:sz w:val="22"/>
                <w:lang w:val="de-DE"/>
              </w:rPr>
            </w:pPr>
            <w:r>
              <w:rPr>
                <w:sz w:val="22"/>
                <w:szCs w:val="22"/>
                <w:lang w:val="de-DE"/>
              </w:rPr>
              <w:t>24 %***</w:t>
            </w:r>
          </w:p>
        </w:tc>
      </w:tr>
      <w:tr w:rsidR="00FE291A" w14:paraId="5D08CC1E" w14:textId="77777777">
        <w:trPr>
          <w:trHeight w:val="185"/>
        </w:trPr>
        <w:tc>
          <w:tcPr>
            <w:tcW w:w="2748" w:type="dxa"/>
            <w:tcBorders>
              <w:top w:val="single" w:sz="4" w:space="0" w:color="000000"/>
              <w:left w:val="single" w:sz="4" w:space="0" w:color="000000"/>
              <w:bottom w:val="single" w:sz="4" w:space="0" w:color="000000"/>
              <w:right w:val="single" w:sz="4" w:space="0" w:color="000000"/>
            </w:tcBorders>
          </w:tcPr>
          <w:p w14:paraId="29DA820D" w14:textId="77777777" w:rsidR="00FE291A" w:rsidRDefault="00C8738F">
            <w:pPr>
              <w:pStyle w:val="TableParagraph"/>
              <w:widowControl/>
              <w:kinsoku w:val="0"/>
              <w:overflowPunct w:val="0"/>
              <w:rPr>
                <w:sz w:val="22"/>
                <w:lang w:val="de-DE"/>
              </w:rPr>
            </w:pPr>
            <w:r>
              <w:rPr>
                <w:sz w:val="22"/>
                <w:szCs w:val="22"/>
                <w:lang w:val="de-DE"/>
              </w:rPr>
              <w:t>BASDAI</w:t>
            </w:r>
            <w:r>
              <w:rPr>
                <w:sz w:val="22"/>
                <w:szCs w:val="22"/>
                <w:vertAlign w:val="superscript"/>
                <w:lang w:val="de-DE"/>
              </w:rPr>
              <w:t>b</w:t>
            </w:r>
            <w:r>
              <w:rPr>
                <w:sz w:val="22"/>
                <w:szCs w:val="22"/>
                <w:lang w:val="de-DE"/>
              </w:rPr>
              <w:t>-50</w:t>
            </w:r>
          </w:p>
        </w:tc>
        <w:tc>
          <w:tcPr>
            <w:tcW w:w="3206" w:type="dxa"/>
            <w:tcBorders>
              <w:top w:val="single" w:sz="4" w:space="0" w:color="000000"/>
              <w:left w:val="single" w:sz="4" w:space="0" w:color="000000"/>
              <w:bottom w:val="single" w:sz="4" w:space="0" w:color="000000"/>
              <w:right w:val="single" w:sz="4" w:space="0" w:color="000000"/>
            </w:tcBorders>
          </w:tcPr>
          <w:p w14:paraId="3EBBFB79" w14:textId="77777777" w:rsidR="00FE291A" w:rsidRDefault="00FE291A">
            <w:pPr>
              <w:widowControl/>
              <w:jc w:val="center"/>
              <w:rPr>
                <w:sz w:val="22"/>
                <w:lang w:val="de-DE"/>
              </w:rPr>
            </w:pPr>
          </w:p>
        </w:tc>
        <w:tc>
          <w:tcPr>
            <w:tcW w:w="3118" w:type="dxa"/>
            <w:tcBorders>
              <w:top w:val="single" w:sz="4" w:space="0" w:color="000000"/>
              <w:left w:val="single" w:sz="4" w:space="0" w:color="000000"/>
              <w:bottom w:val="single" w:sz="4" w:space="0" w:color="000000"/>
              <w:right w:val="single" w:sz="4" w:space="0" w:color="000000"/>
            </w:tcBorders>
          </w:tcPr>
          <w:p w14:paraId="4CAB2720" w14:textId="77777777" w:rsidR="00FE291A" w:rsidRDefault="00FE291A">
            <w:pPr>
              <w:widowControl/>
              <w:jc w:val="center"/>
              <w:rPr>
                <w:sz w:val="22"/>
                <w:lang w:val="de-DE"/>
              </w:rPr>
            </w:pPr>
          </w:p>
        </w:tc>
      </w:tr>
      <w:tr w:rsidR="00FE291A" w14:paraId="12559574" w14:textId="77777777">
        <w:trPr>
          <w:trHeight w:hRule="exact" w:val="269"/>
        </w:trPr>
        <w:tc>
          <w:tcPr>
            <w:tcW w:w="2748" w:type="dxa"/>
            <w:tcBorders>
              <w:top w:val="single" w:sz="4" w:space="0" w:color="000000"/>
              <w:left w:val="single" w:sz="4" w:space="0" w:color="000000"/>
              <w:bottom w:val="single" w:sz="4" w:space="0" w:color="000000"/>
              <w:right w:val="single" w:sz="4" w:space="0" w:color="000000"/>
            </w:tcBorders>
          </w:tcPr>
          <w:p w14:paraId="358B7E67" w14:textId="77777777" w:rsidR="00FE291A" w:rsidRDefault="00C8738F">
            <w:pPr>
              <w:pStyle w:val="TableParagraph"/>
              <w:widowControl/>
              <w:kinsoku w:val="0"/>
              <w:overflowPunct w:val="0"/>
              <w:ind w:firstLine="600"/>
              <w:rPr>
                <w:sz w:val="22"/>
                <w:lang w:val="de-DE"/>
              </w:rPr>
            </w:pPr>
            <w:r>
              <w:rPr>
                <w:sz w:val="22"/>
                <w:szCs w:val="22"/>
                <w:lang w:val="de-DE"/>
              </w:rPr>
              <w:t>Woche 2</w:t>
            </w:r>
          </w:p>
        </w:tc>
        <w:tc>
          <w:tcPr>
            <w:tcW w:w="3206" w:type="dxa"/>
            <w:tcBorders>
              <w:top w:val="single" w:sz="4" w:space="0" w:color="000000"/>
              <w:left w:val="single" w:sz="4" w:space="0" w:color="000000"/>
              <w:bottom w:val="single" w:sz="4" w:space="0" w:color="000000"/>
              <w:right w:val="single" w:sz="4" w:space="0" w:color="000000"/>
            </w:tcBorders>
          </w:tcPr>
          <w:p w14:paraId="437D17A6" w14:textId="77777777" w:rsidR="00FE291A" w:rsidRDefault="00C8738F">
            <w:pPr>
              <w:pStyle w:val="TableParagraph"/>
              <w:widowControl/>
              <w:kinsoku w:val="0"/>
              <w:overflowPunct w:val="0"/>
              <w:jc w:val="center"/>
              <w:rPr>
                <w:sz w:val="22"/>
                <w:lang w:val="de-DE"/>
              </w:rPr>
            </w:pPr>
            <w:r>
              <w:rPr>
                <w:sz w:val="22"/>
                <w:szCs w:val="22"/>
                <w:lang w:val="de-DE"/>
              </w:rPr>
              <w:t>4 %</w:t>
            </w:r>
          </w:p>
        </w:tc>
        <w:tc>
          <w:tcPr>
            <w:tcW w:w="3118" w:type="dxa"/>
            <w:tcBorders>
              <w:top w:val="single" w:sz="4" w:space="0" w:color="000000"/>
              <w:left w:val="single" w:sz="4" w:space="0" w:color="000000"/>
              <w:bottom w:val="single" w:sz="4" w:space="0" w:color="000000"/>
              <w:right w:val="single" w:sz="4" w:space="0" w:color="000000"/>
            </w:tcBorders>
          </w:tcPr>
          <w:p w14:paraId="31011A2A" w14:textId="77777777" w:rsidR="00FE291A" w:rsidRDefault="00C8738F">
            <w:pPr>
              <w:pStyle w:val="TableParagraph"/>
              <w:widowControl/>
              <w:kinsoku w:val="0"/>
              <w:overflowPunct w:val="0"/>
              <w:jc w:val="center"/>
              <w:rPr>
                <w:sz w:val="22"/>
                <w:lang w:val="de-DE"/>
              </w:rPr>
            </w:pPr>
            <w:r>
              <w:rPr>
                <w:sz w:val="22"/>
                <w:szCs w:val="22"/>
                <w:lang w:val="de-DE"/>
              </w:rPr>
              <w:t>20 %***</w:t>
            </w:r>
          </w:p>
        </w:tc>
      </w:tr>
      <w:tr w:rsidR="00FE291A" w14:paraId="3DD016DC" w14:textId="77777777">
        <w:trPr>
          <w:trHeight w:hRule="exact" w:val="269"/>
        </w:trPr>
        <w:tc>
          <w:tcPr>
            <w:tcW w:w="2748" w:type="dxa"/>
            <w:tcBorders>
              <w:top w:val="single" w:sz="4" w:space="0" w:color="000000"/>
              <w:left w:val="single" w:sz="4" w:space="0" w:color="000000"/>
              <w:bottom w:val="single" w:sz="4" w:space="0" w:color="000000"/>
              <w:right w:val="single" w:sz="4" w:space="0" w:color="000000"/>
            </w:tcBorders>
          </w:tcPr>
          <w:p w14:paraId="78532E99" w14:textId="77777777" w:rsidR="00FE291A" w:rsidRDefault="00C8738F">
            <w:pPr>
              <w:pStyle w:val="TableParagraph"/>
              <w:widowControl/>
              <w:kinsoku w:val="0"/>
              <w:overflowPunct w:val="0"/>
              <w:ind w:firstLine="600"/>
              <w:rPr>
                <w:sz w:val="22"/>
                <w:lang w:val="de-DE"/>
              </w:rPr>
            </w:pPr>
            <w:r>
              <w:rPr>
                <w:sz w:val="22"/>
                <w:szCs w:val="22"/>
                <w:lang w:val="de-DE"/>
              </w:rPr>
              <w:t>Woche 12</w:t>
            </w:r>
          </w:p>
        </w:tc>
        <w:tc>
          <w:tcPr>
            <w:tcW w:w="3206" w:type="dxa"/>
            <w:tcBorders>
              <w:top w:val="single" w:sz="4" w:space="0" w:color="000000"/>
              <w:left w:val="single" w:sz="4" w:space="0" w:color="000000"/>
              <w:bottom w:val="single" w:sz="4" w:space="0" w:color="000000"/>
              <w:right w:val="single" w:sz="4" w:space="0" w:color="000000"/>
            </w:tcBorders>
          </w:tcPr>
          <w:p w14:paraId="2A2F8AE9" w14:textId="77777777" w:rsidR="00FE291A" w:rsidRDefault="00C8738F">
            <w:pPr>
              <w:pStyle w:val="TableParagraph"/>
              <w:widowControl/>
              <w:kinsoku w:val="0"/>
              <w:overflowPunct w:val="0"/>
              <w:jc w:val="center"/>
              <w:rPr>
                <w:sz w:val="22"/>
                <w:lang w:val="de-DE"/>
              </w:rPr>
            </w:pPr>
            <w:r>
              <w:rPr>
                <w:sz w:val="22"/>
                <w:szCs w:val="22"/>
                <w:lang w:val="de-DE"/>
              </w:rPr>
              <w:t>16 %</w:t>
            </w:r>
          </w:p>
        </w:tc>
        <w:tc>
          <w:tcPr>
            <w:tcW w:w="3118" w:type="dxa"/>
            <w:tcBorders>
              <w:top w:val="single" w:sz="4" w:space="0" w:color="000000"/>
              <w:left w:val="single" w:sz="4" w:space="0" w:color="000000"/>
              <w:bottom w:val="single" w:sz="4" w:space="0" w:color="000000"/>
              <w:right w:val="single" w:sz="4" w:space="0" w:color="000000"/>
            </w:tcBorders>
          </w:tcPr>
          <w:p w14:paraId="7CF0D2B3" w14:textId="77777777" w:rsidR="00FE291A" w:rsidRDefault="00C8738F">
            <w:pPr>
              <w:pStyle w:val="TableParagraph"/>
              <w:widowControl/>
              <w:kinsoku w:val="0"/>
              <w:overflowPunct w:val="0"/>
              <w:jc w:val="center"/>
              <w:rPr>
                <w:sz w:val="22"/>
                <w:lang w:val="de-DE"/>
              </w:rPr>
            </w:pPr>
            <w:r>
              <w:rPr>
                <w:sz w:val="22"/>
                <w:szCs w:val="22"/>
                <w:lang w:val="de-DE"/>
              </w:rPr>
              <w:t>45 %***</w:t>
            </w:r>
          </w:p>
        </w:tc>
      </w:tr>
      <w:tr w:rsidR="00FE291A" w14:paraId="7315C6A5" w14:textId="77777777">
        <w:trPr>
          <w:trHeight w:hRule="exact" w:val="269"/>
        </w:trPr>
        <w:tc>
          <w:tcPr>
            <w:tcW w:w="2748" w:type="dxa"/>
            <w:tcBorders>
              <w:top w:val="single" w:sz="4" w:space="0" w:color="000000"/>
              <w:left w:val="single" w:sz="4" w:space="0" w:color="000000"/>
              <w:bottom w:val="single" w:sz="4" w:space="0" w:color="000000"/>
              <w:right w:val="single" w:sz="4" w:space="0" w:color="000000"/>
            </w:tcBorders>
          </w:tcPr>
          <w:p w14:paraId="7309DD3F" w14:textId="77777777" w:rsidR="00FE291A" w:rsidRDefault="00C8738F">
            <w:pPr>
              <w:pStyle w:val="TableParagraph"/>
              <w:widowControl/>
              <w:kinsoku w:val="0"/>
              <w:overflowPunct w:val="0"/>
              <w:ind w:firstLine="600"/>
              <w:rPr>
                <w:sz w:val="22"/>
                <w:lang w:val="de-DE"/>
              </w:rPr>
            </w:pPr>
            <w:r>
              <w:rPr>
                <w:sz w:val="22"/>
                <w:szCs w:val="22"/>
                <w:lang w:val="de-DE"/>
              </w:rPr>
              <w:t>Woche 24</w:t>
            </w:r>
          </w:p>
        </w:tc>
        <w:tc>
          <w:tcPr>
            <w:tcW w:w="3206" w:type="dxa"/>
            <w:tcBorders>
              <w:top w:val="single" w:sz="4" w:space="0" w:color="000000"/>
              <w:left w:val="single" w:sz="4" w:space="0" w:color="000000"/>
              <w:bottom w:val="single" w:sz="4" w:space="0" w:color="000000"/>
              <w:right w:val="single" w:sz="4" w:space="0" w:color="000000"/>
            </w:tcBorders>
          </w:tcPr>
          <w:p w14:paraId="5C79A63B" w14:textId="77777777" w:rsidR="00FE291A" w:rsidRDefault="00C8738F">
            <w:pPr>
              <w:pStyle w:val="TableParagraph"/>
              <w:widowControl/>
              <w:kinsoku w:val="0"/>
              <w:overflowPunct w:val="0"/>
              <w:jc w:val="center"/>
              <w:rPr>
                <w:sz w:val="22"/>
                <w:lang w:val="de-DE"/>
              </w:rPr>
            </w:pPr>
            <w:r>
              <w:rPr>
                <w:sz w:val="22"/>
                <w:szCs w:val="22"/>
                <w:lang w:val="de-DE"/>
              </w:rPr>
              <w:t>15 %</w:t>
            </w:r>
          </w:p>
        </w:tc>
        <w:tc>
          <w:tcPr>
            <w:tcW w:w="3118" w:type="dxa"/>
            <w:tcBorders>
              <w:top w:val="single" w:sz="4" w:space="0" w:color="000000"/>
              <w:left w:val="single" w:sz="4" w:space="0" w:color="000000"/>
              <w:bottom w:val="single" w:sz="4" w:space="0" w:color="000000"/>
              <w:right w:val="single" w:sz="4" w:space="0" w:color="000000"/>
            </w:tcBorders>
          </w:tcPr>
          <w:p w14:paraId="41EB1873" w14:textId="77777777" w:rsidR="00FE291A" w:rsidRDefault="00C8738F">
            <w:pPr>
              <w:pStyle w:val="TableParagraph"/>
              <w:widowControl/>
              <w:kinsoku w:val="0"/>
              <w:overflowPunct w:val="0"/>
              <w:jc w:val="center"/>
              <w:rPr>
                <w:sz w:val="22"/>
                <w:lang w:val="de-DE"/>
              </w:rPr>
            </w:pPr>
            <w:r>
              <w:rPr>
                <w:sz w:val="22"/>
                <w:szCs w:val="22"/>
                <w:lang w:val="de-DE"/>
              </w:rPr>
              <w:t>42 %***</w:t>
            </w:r>
          </w:p>
        </w:tc>
      </w:tr>
    </w:tbl>
    <w:p w14:paraId="2572A419" w14:textId="77777777" w:rsidR="00FE291A" w:rsidRDefault="00C8738F">
      <w:pPr>
        <w:pStyle w:val="BodyText"/>
        <w:widowControl/>
        <w:kinsoku w:val="0"/>
        <w:overflowPunct w:val="0"/>
        <w:ind w:left="0"/>
        <w:rPr>
          <w:sz w:val="20"/>
          <w:szCs w:val="20"/>
          <w:lang w:val="de-DE"/>
        </w:rPr>
      </w:pPr>
      <w:r>
        <w:rPr>
          <w:sz w:val="20"/>
          <w:szCs w:val="20"/>
          <w:lang w:val="de-DE"/>
        </w:rPr>
        <w:t>***, ** statistisch signifikant mit p &lt; 0,001; &lt; 0,01 für alle Vergleiche von Adalimumab mit Placebo in den Wochen 2, 12 und 24</w:t>
      </w:r>
    </w:p>
    <w:p w14:paraId="3A0E2C2C" w14:textId="77777777" w:rsidR="00FE291A" w:rsidRDefault="00C8738F">
      <w:pPr>
        <w:widowControl/>
        <w:tabs>
          <w:tab w:val="left" w:pos="1536"/>
        </w:tabs>
        <w:kinsoku w:val="0"/>
        <w:overflowPunct w:val="0"/>
        <w:rPr>
          <w:sz w:val="20"/>
          <w:szCs w:val="20"/>
          <w:lang w:val="en-US"/>
        </w:rPr>
      </w:pPr>
      <w:r>
        <w:rPr>
          <w:iCs/>
          <w:sz w:val="20"/>
          <w:szCs w:val="20"/>
          <w:vertAlign w:val="superscript"/>
          <w:lang w:val="en-US"/>
        </w:rPr>
        <w:t>a</w:t>
      </w:r>
      <w:r>
        <w:rPr>
          <w:i/>
          <w:iCs/>
          <w:sz w:val="20"/>
          <w:szCs w:val="20"/>
          <w:lang w:val="en-US"/>
        </w:rPr>
        <w:t xml:space="preserve"> Assessments in Ankylosing Spondylitis</w:t>
      </w:r>
    </w:p>
    <w:p w14:paraId="4CC16CB3" w14:textId="77777777" w:rsidR="00FE291A" w:rsidRDefault="00C8738F">
      <w:pPr>
        <w:widowControl/>
        <w:tabs>
          <w:tab w:val="left" w:pos="1536"/>
        </w:tabs>
        <w:kinsoku w:val="0"/>
        <w:overflowPunct w:val="0"/>
        <w:rPr>
          <w:sz w:val="20"/>
          <w:szCs w:val="20"/>
          <w:lang w:val="en-US"/>
        </w:rPr>
      </w:pPr>
      <w:r>
        <w:rPr>
          <w:iCs/>
          <w:sz w:val="20"/>
          <w:szCs w:val="20"/>
          <w:vertAlign w:val="superscript"/>
          <w:lang w:val="en-US"/>
        </w:rPr>
        <w:t>b</w:t>
      </w:r>
      <w:r>
        <w:rPr>
          <w:i/>
          <w:iCs/>
          <w:sz w:val="20"/>
          <w:szCs w:val="20"/>
          <w:lang w:val="en-US"/>
        </w:rPr>
        <w:t xml:space="preserve"> Bath Ankylosing Spondylitis Disease Activity Index</w:t>
      </w:r>
    </w:p>
    <w:p w14:paraId="3373EB44" w14:textId="77777777" w:rsidR="00FE291A" w:rsidRDefault="00FE291A">
      <w:pPr>
        <w:widowControl/>
        <w:kinsoku w:val="0"/>
        <w:overflowPunct w:val="0"/>
        <w:rPr>
          <w:sz w:val="22"/>
          <w:szCs w:val="22"/>
          <w:lang w:val="en-US"/>
        </w:rPr>
      </w:pPr>
    </w:p>
    <w:p w14:paraId="01155A30" w14:textId="77777777" w:rsidR="00FE291A" w:rsidRPr="00211AE1" w:rsidRDefault="00C8738F">
      <w:pPr>
        <w:pStyle w:val="BodyText"/>
        <w:widowControl/>
        <w:kinsoku w:val="0"/>
        <w:overflowPunct w:val="0"/>
        <w:ind w:left="0"/>
        <w:rPr>
          <w:lang w:val="de-DE"/>
        </w:rPr>
      </w:pPr>
      <w:r w:rsidRPr="00211AE1">
        <w:rPr>
          <w:lang w:val="de-DE"/>
        </w:rPr>
        <w:t>Mit Adalimumab behandelte Patienten zeigten eine signifikant größere Verbesserung in Woche 12, die über 24 Wochen aufrechterhalten wurde, sowohl im SF 36 als auch im Fragebogen zur Lebensqualität bei ankylosierender Spondylitis [</w:t>
      </w:r>
      <w:r w:rsidRPr="00211AE1">
        <w:rPr>
          <w:i/>
          <w:iCs/>
          <w:lang w:val="de-DE"/>
        </w:rPr>
        <w:t xml:space="preserve">Ankylosing Spondylitis Quality of Life Questionnaire </w:t>
      </w:r>
      <w:r w:rsidRPr="00211AE1">
        <w:rPr>
          <w:lang w:val="de-DE"/>
        </w:rPr>
        <w:t>(ASQoL)].</w:t>
      </w:r>
    </w:p>
    <w:p w14:paraId="2B3185AE" w14:textId="77777777" w:rsidR="00FE291A" w:rsidRPr="00211AE1" w:rsidRDefault="00FE291A">
      <w:pPr>
        <w:widowControl/>
        <w:kinsoku w:val="0"/>
        <w:overflowPunct w:val="0"/>
        <w:rPr>
          <w:sz w:val="22"/>
          <w:szCs w:val="22"/>
          <w:lang w:val="de-DE"/>
        </w:rPr>
      </w:pPr>
    </w:p>
    <w:p w14:paraId="25E23E6D" w14:textId="77777777" w:rsidR="00FE291A" w:rsidRDefault="00C8738F">
      <w:pPr>
        <w:pStyle w:val="BodyText"/>
        <w:widowControl/>
        <w:kinsoku w:val="0"/>
        <w:overflowPunct w:val="0"/>
        <w:ind w:left="0"/>
        <w:rPr>
          <w:lang w:val="de-DE"/>
        </w:rPr>
      </w:pPr>
      <w:r>
        <w:rPr>
          <w:lang w:val="de-DE"/>
        </w:rPr>
        <w:t>Ähnliche Verläufe (nicht alle mit statistischer Signifikanz) wurden in der kleineren randomisierten, doppelblinden placebokontrollierten AS-Studie II mit 82 erwachsenen Patienten mit aktiver ankylosierender Spondylitis beobachtet.</w:t>
      </w:r>
    </w:p>
    <w:p w14:paraId="7381B53F" w14:textId="77777777" w:rsidR="00FE291A" w:rsidRDefault="00FE291A">
      <w:pPr>
        <w:widowControl/>
        <w:kinsoku w:val="0"/>
        <w:overflowPunct w:val="0"/>
        <w:rPr>
          <w:sz w:val="22"/>
          <w:szCs w:val="22"/>
          <w:lang w:val="de-DE"/>
        </w:rPr>
      </w:pPr>
    </w:p>
    <w:p w14:paraId="52132BAF" w14:textId="77777777" w:rsidR="00FE291A" w:rsidRDefault="00C8738F">
      <w:pPr>
        <w:keepNext/>
        <w:widowControl/>
        <w:kinsoku w:val="0"/>
        <w:overflowPunct w:val="0"/>
        <w:rPr>
          <w:sz w:val="22"/>
          <w:szCs w:val="22"/>
          <w:lang w:val="de-DE"/>
        </w:rPr>
      </w:pPr>
      <w:r>
        <w:rPr>
          <w:i/>
          <w:iCs/>
          <w:sz w:val="22"/>
          <w:szCs w:val="22"/>
          <w:u w:val="single"/>
          <w:lang w:val="de-DE"/>
        </w:rPr>
        <w:t>Axiale Spondyloarthritis ohne Röntgennachweis einer AS</w:t>
      </w:r>
    </w:p>
    <w:p w14:paraId="447FA91F" w14:textId="77777777" w:rsidR="00FE291A" w:rsidRDefault="00FE291A">
      <w:pPr>
        <w:pStyle w:val="BodyText"/>
        <w:keepNext/>
        <w:widowControl/>
        <w:kinsoku w:val="0"/>
        <w:overflowPunct w:val="0"/>
        <w:ind w:left="0"/>
        <w:rPr>
          <w:lang w:val="de-DE"/>
        </w:rPr>
      </w:pPr>
    </w:p>
    <w:p w14:paraId="7087EE37" w14:textId="77777777" w:rsidR="00FE291A" w:rsidRDefault="00C8738F">
      <w:pPr>
        <w:pStyle w:val="BodyText"/>
        <w:widowControl/>
        <w:kinsoku w:val="0"/>
        <w:overflowPunct w:val="0"/>
        <w:ind w:left="0"/>
        <w:rPr>
          <w:lang w:val="de-DE"/>
        </w:rPr>
      </w:pPr>
      <w:r>
        <w:rPr>
          <w:lang w:val="de-DE"/>
        </w:rPr>
        <w:t>Die Sicherheit und Wirksamkeit von Adalimumab wurden in zwei randomisierten, doppelblinden, placebokontrollierten Studien bei Patienten mit nicht röntgenologischer axialer Spondyloarthritis (nr</w:t>
      </w:r>
      <w:r>
        <w:rPr>
          <w:lang w:val="de-DE"/>
        </w:rPr>
        <w:noBreakHyphen/>
        <w:t>axSpA) untersucht. In der nr</w:t>
      </w:r>
      <w:r>
        <w:rPr>
          <w:lang w:val="de-DE"/>
        </w:rPr>
        <w:noBreakHyphen/>
        <w:t>axSpA-Studie I wurden Patienten mit aktiver nr</w:t>
      </w:r>
      <w:r>
        <w:rPr>
          <w:lang w:val="de-DE"/>
        </w:rPr>
        <w:noBreakHyphen/>
        <w:t>axSpA eingeschlossen. Bei der nr</w:t>
      </w:r>
      <w:r>
        <w:rPr>
          <w:lang w:val="de-DE"/>
        </w:rPr>
        <w:noBreakHyphen/>
        <w:t>axSpA-Studie II handelte es sich um eine Studie, in der die Behandlung mit Adalimumab bei Patienten mit aktiver nr</w:t>
      </w:r>
      <w:r>
        <w:rPr>
          <w:lang w:val="de-DE"/>
        </w:rPr>
        <w:noBreakHyphen/>
        <w:t xml:space="preserve">axSpA abgesetzt wurde, wenn diese während der offenen Fortsetzungsphase eine Remission erreichten. </w:t>
      </w:r>
    </w:p>
    <w:p w14:paraId="29CA99A9" w14:textId="77777777" w:rsidR="00FE291A" w:rsidRDefault="00FE291A">
      <w:pPr>
        <w:pStyle w:val="BodyText"/>
        <w:widowControl/>
        <w:kinsoku w:val="0"/>
        <w:overflowPunct w:val="0"/>
        <w:ind w:left="0"/>
        <w:rPr>
          <w:lang w:val="de-DE"/>
        </w:rPr>
      </w:pPr>
    </w:p>
    <w:p w14:paraId="5C75AE9A" w14:textId="77777777" w:rsidR="00FE291A" w:rsidRDefault="00C8738F">
      <w:pPr>
        <w:pStyle w:val="BodyText"/>
        <w:keepNext/>
        <w:widowControl/>
        <w:kinsoku w:val="0"/>
        <w:overflowPunct w:val="0"/>
        <w:ind w:left="0"/>
        <w:rPr>
          <w:lang w:val="de-DE"/>
        </w:rPr>
      </w:pPr>
      <w:r>
        <w:rPr>
          <w:lang w:val="de-DE"/>
        </w:rPr>
        <w:t>nr</w:t>
      </w:r>
      <w:r>
        <w:rPr>
          <w:lang w:val="de-DE"/>
        </w:rPr>
        <w:noBreakHyphen/>
        <w:t>axSpA-Studie I</w:t>
      </w:r>
    </w:p>
    <w:p w14:paraId="29B82B5B" w14:textId="77777777" w:rsidR="00FE291A" w:rsidRDefault="00FE291A">
      <w:pPr>
        <w:pStyle w:val="BodyText"/>
        <w:keepNext/>
        <w:widowControl/>
        <w:kinsoku w:val="0"/>
        <w:overflowPunct w:val="0"/>
        <w:ind w:left="0"/>
        <w:rPr>
          <w:lang w:val="de-DE"/>
        </w:rPr>
      </w:pPr>
    </w:p>
    <w:p w14:paraId="1963FAA2" w14:textId="77777777" w:rsidR="00FE291A" w:rsidRDefault="00C8738F">
      <w:pPr>
        <w:pStyle w:val="BodyText"/>
        <w:widowControl/>
        <w:kinsoku w:val="0"/>
        <w:overflowPunct w:val="0"/>
        <w:ind w:left="0"/>
        <w:rPr>
          <w:lang w:val="de-DE"/>
        </w:rPr>
      </w:pPr>
      <w:r>
        <w:rPr>
          <w:lang w:val="de-DE"/>
        </w:rPr>
        <w:t>In der randomisierten, 12-wöchigen, doppelblinden placebokontrollierten nr</w:t>
      </w:r>
      <w:r>
        <w:rPr>
          <w:lang w:val="de-DE"/>
        </w:rPr>
        <w:noBreakHyphen/>
        <w:t>axSpA-Studie I wurde Adalimumab in einer Dosierung von 40 mg jede zweite Woche bei 185 Patienten mit aktiver nr</w:t>
      </w:r>
      <w:r>
        <w:rPr>
          <w:lang w:val="de-DE"/>
        </w:rPr>
        <w:noBreakHyphen/>
        <w:t>axSpA untersucht, die auf ≥ 1 nicht steroidales Antirheumatikum (NSAR) unzureichend angesprochen haben oder bei denen eine Unverträglichkeit oder Kontraindikation gegenüber diesen vorlag. (Mittlerer Ausgangswert der Krankheitsaktivität [</w:t>
      </w:r>
      <w:r>
        <w:rPr>
          <w:i/>
          <w:iCs/>
          <w:lang w:val="de-DE"/>
        </w:rPr>
        <w:t xml:space="preserve">Bath Ankylosing Spondylitis Disease Activity Index </w:t>
      </w:r>
      <w:r>
        <w:rPr>
          <w:lang w:val="de-DE"/>
        </w:rPr>
        <w:t>(BASDAI)] war 6,4 bei Patienten, die mit Adalimumab behandelt wurden, und 6,5 bei Placebopatienten.)</w:t>
      </w:r>
    </w:p>
    <w:p w14:paraId="2B92D1A6" w14:textId="77777777" w:rsidR="00FE291A" w:rsidRDefault="00FE291A">
      <w:pPr>
        <w:widowControl/>
        <w:kinsoku w:val="0"/>
        <w:overflowPunct w:val="0"/>
        <w:rPr>
          <w:sz w:val="22"/>
          <w:szCs w:val="22"/>
          <w:lang w:val="de-DE"/>
        </w:rPr>
      </w:pPr>
    </w:p>
    <w:p w14:paraId="3A819B02" w14:textId="77777777" w:rsidR="00FE291A" w:rsidRDefault="00C8738F">
      <w:pPr>
        <w:pStyle w:val="BodyText"/>
        <w:widowControl/>
        <w:kinsoku w:val="0"/>
        <w:overflowPunct w:val="0"/>
        <w:ind w:left="0"/>
        <w:rPr>
          <w:lang w:val="de-DE"/>
        </w:rPr>
      </w:pPr>
      <w:r>
        <w:rPr>
          <w:lang w:val="de-DE"/>
        </w:rPr>
        <w:t>Zu Studienbeginn wurden 33 (18 %) Patienten gleichzeitig mit krankheitsmodifizierenden Antirheumatika behandelt und 146 (79 %) Patienten mit NSARs. Auf die doppelblinde Periode folgte eine offene Fortsetzungsstudie, während der die Patienten jede zweite Woche subkutan Adalimumab 40 mg für bis zu weitere 144 Wochen erhielten. Im Vergleich zu Placebo zeigten die Ergebnisse in Woche 12 bei Patienten, die mit Adalimumab behandelt wurden, eine statistisch signifikante Verbesserung der Anzeichen und Symptome der aktiven nr</w:t>
      </w:r>
      <w:r>
        <w:rPr>
          <w:lang w:val="de-DE"/>
        </w:rPr>
        <w:noBreakHyphen/>
        <w:t>axSpA (Tabelle 13).</w:t>
      </w:r>
    </w:p>
    <w:p w14:paraId="19245D11" w14:textId="77777777" w:rsidR="00FE291A" w:rsidRDefault="00FE291A">
      <w:pPr>
        <w:widowControl/>
        <w:kinsoku w:val="0"/>
        <w:overflowPunct w:val="0"/>
        <w:rPr>
          <w:sz w:val="22"/>
          <w:szCs w:val="22"/>
          <w:lang w:val="de-DE"/>
        </w:rPr>
      </w:pPr>
    </w:p>
    <w:p w14:paraId="231317A4" w14:textId="77777777" w:rsidR="00FE291A" w:rsidRDefault="00C8738F">
      <w:pPr>
        <w:pStyle w:val="Heading1"/>
        <w:keepNext/>
        <w:widowControl/>
        <w:kinsoku w:val="0"/>
        <w:overflowPunct w:val="0"/>
        <w:ind w:left="0"/>
        <w:rPr>
          <w:lang w:val="de-DE"/>
        </w:rPr>
      </w:pPr>
      <w:r>
        <w:rPr>
          <w:lang w:val="de-DE"/>
        </w:rPr>
        <w:t>Tabelle 13: Ansprechraten bezüglich Wirksamkeit bei placebokontrollierter nr</w:t>
      </w:r>
      <w:r>
        <w:rPr>
          <w:lang w:val="de-DE"/>
        </w:rPr>
        <w:noBreakHyphen/>
        <w:t>axSpA-Studie I</w:t>
      </w:r>
    </w:p>
    <w:p w14:paraId="2E7EA67A" w14:textId="77777777" w:rsidR="00FE291A" w:rsidRDefault="00FE291A">
      <w:pPr>
        <w:keepNext/>
        <w:widowControl/>
        <w:kinsoku w:val="0"/>
        <w:overflowPunct w:val="0"/>
        <w:rPr>
          <w:sz w:val="22"/>
          <w:lang w:val="de-DE"/>
        </w:rPr>
      </w:pPr>
    </w:p>
    <w:tbl>
      <w:tblPr>
        <w:tblW w:w="9072" w:type="dxa"/>
        <w:tblInd w:w="5" w:type="dxa"/>
        <w:tblLayout w:type="fixed"/>
        <w:tblCellMar>
          <w:left w:w="0" w:type="dxa"/>
          <w:right w:w="0" w:type="dxa"/>
        </w:tblCellMar>
        <w:tblLook w:val="04A0" w:firstRow="1" w:lastRow="0" w:firstColumn="1" w:lastColumn="0" w:noHBand="0" w:noVBand="1"/>
      </w:tblPr>
      <w:tblGrid>
        <w:gridCol w:w="3544"/>
        <w:gridCol w:w="2693"/>
        <w:gridCol w:w="2835"/>
      </w:tblGrid>
      <w:tr w:rsidR="00FE291A" w14:paraId="3F30EE9E" w14:textId="77777777">
        <w:trPr>
          <w:trHeight w:hRule="exact" w:val="679"/>
          <w:tblHeader/>
        </w:trPr>
        <w:tc>
          <w:tcPr>
            <w:tcW w:w="3544" w:type="dxa"/>
            <w:tcBorders>
              <w:top w:val="single" w:sz="4" w:space="0" w:color="000000"/>
              <w:left w:val="single" w:sz="4" w:space="0" w:color="000000"/>
              <w:bottom w:val="single" w:sz="4" w:space="0" w:color="000000"/>
              <w:right w:val="single" w:sz="4" w:space="0" w:color="000000"/>
            </w:tcBorders>
          </w:tcPr>
          <w:p w14:paraId="4BC55D21" w14:textId="77777777" w:rsidR="00FE291A" w:rsidRDefault="00C8738F">
            <w:pPr>
              <w:pStyle w:val="TableParagraph"/>
              <w:keepNext/>
              <w:widowControl/>
              <w:kinsoku w:val="0"/>
              <w:overflowPunct w:val="0"/>
              <w:rPr>
                <w:sz w:val="22"/>
                <w:lang w:val="de-DE"/>
              </w:rPr>
            </w:pPr>
            <w:r>
              <w:rPr>
                <w:b/>
                <w:bCs/>
                <w:sz w:val="22"/>
                <w:szCs w:val="22"/>
                <w:lang w:val="de-DE"/>
              </w:rPr>
              <w:t>Ansprechen in Woche 12 (doppelblind)</w:t>
            </w:r>
          </w:p>
        </w:tc>
        <w:tc>
          <w:tcPr>
            <w:tcW w:w="2693" w:type="dxa"/>
            <w:tcBorders>
              <w:top w:val="single" w:sz="4" w:space="0" w:color="000000"/>
              <w:left w:val="single" w:sz="4" w:space="0" w:color="000000"/>
              <w:bottom w:val="single" w:sz="4" w:space="0" w:color="000000"/>
              <w:right w:val="single" w:sz="4" w:space="0" w:color="000000"/>
            </w:tcBorders>
          </w:tcPr>
          <w:p w14:paraId="6D92876A" w14:textId="77777777" w:rsidR="00FE291A" w:rsidRDefault="00C8738F">
            <w:pPr>
              <w:pStyle w:val="TableParagraph"/>
              <w:widowControl/>
              <w:kinsoku w:val="0"/>
              <w:overflowPunct w:val="0"/>
              <w:jc w:val="center"/>
              <w:rPr>
                <w:b/>
                <w:bCs/>
                <w:sz w:val="22"/>
                <w:szCs w:val="22"/>
                <w:lang w:val="de-DE"/>
              </w:rPr>
            </w:pPr>
            <w:r>
              <w:rPr>
                <w:b/>
                <w:bCs/>
                <w:sz w:val="22"/>
                <w:szCs w:val="22"/>
                <w:lang w:val="de-DE"/>
              </w:rPr>
              <w:t>Placebo</w:t>
            </w:r>
          </w:p>
          <w:p w14:paraId="2961D1D7" w14:textId="77777777" w:rsidR="00FE291A" w:rsidRDefault="00C8738F">
            <w:pPr>
              <w:pStyle w:val="TableParagraph"/>
              <w:widowControl/>
              <w:kinsoku w:val="0"/>
              <w:overflowPunct w:val="0"/>
              <w:jc w:val="center"/>
              <w:rPr>
                <w:sz w:val="22"/>
                <w:lang w:val="de-DE"/>
              </w:rPr>
            </w:pPr>
            <w:r>
              <w:rPr>
                <w:b/>
                <w:bCs/>
                <w:sz w:val="22"/>
                <w:szCs w:val="22"/>
                <w:lang w:val="de-DE"/>
              </w:rPr>
              <w:t>N = 94</w:t>
            </w:r>
          </w:p>
        </w:tc>
        <w:tc>
          <w:tcPr>
            <w:tcW w:w="2835" w:type="dxa"/>
            <w:tcBorders>
              <w:top w:val="single" w:sz="4" w:space="0" w:color="000000"/>
              <w:left w:val="single" w:sz="4" w:space="0" w:color="000000"/>
              <w:bottom w:val="single" w:sz="4" w:space="0" w:color="000000"/>
              <w:right w:val="single" w:sz="4" w:space="0" w:color="000000"/>
            </w:tcBorders>
          </w:tcPr>
          <w:p w14:paraId="28BBE0FA" w14:textId="77777777" w:rsidR="00FE291A" w:rsidRDefault="00C8738F">
            <w:pPr>
              <w:pStyle w:val="TableParagraph"/>
              <w:widowControl/>
              <w:kinsoku w:val="0"/>
              <w:overflowPunct w:val="0"/>
              <w:jc w:val="center"/>
              <w:rPr>
                <w:b/>
                <w:bCs/>
                <w:sz w:val="22"/>
                <w:szCs w:val="22"/>
                <w:lang w:val="de-DE"/>
              </w:rPr>
            </w:pPr>
            <w:r>
              <w:rPr>
                <w:b/>
                <w:bCs/>
                <w:sz w:val="22"/>
                <w:szCs w:val="22"/>
                <w:lang w:val="de-DE"/>
              </w:rPr>
              <w:t>Adalimumab</w:t>
            </w:r>
          </w:p>
          <w:p w14:paraId="4AB28F51" w14:textId="77777777" w:rsidR="00FE291A" w:rsidRDefault="00C8738F">
            <w:pPr>
              <w:pStyle w:val="TableParagraph"/>
              <w:widowControl/>
              <w:kinsoku w:val="0"/>
              <w:overflowPunct w:val="0"/>
              <w:jc w:val="center"/>
              <w:rPr>
                <w:sz w:val="22"/>
                <w:lang w:val="de-DE"/>
              </w:rPr>
            </w:pPr>
            <w:r>
              <w:rPr>
                <w:b/>
                <w:bCs/>
                <w:sz w:val="22"/>
                <w:szCs w:val="22"/>
                <w:lang w:val="de-DE" w:eastAsia="zh-TW"/>
              </w:rPr>
              <w:t>N </w:t>
            </w:r>
            <w:r>
              <w:rPr>
                <w:b/>
                <w:bCs/>
                <w:sz w:val="22"/>
                <w:szCs w:val="22"/>
                <w:lang w:val="de-DE"/>
              </w:rPr>
              <w:t>= 91</w:t>
            </w:r>
          </w:p>
        </w:tc>
      </w:tr>
      <w:tr w:rsidR="00FE291A" w14:paraId="60A15018" w14:textId="77777777">
        <w:trPr>
          <w:trHeight w:hRule="exact" w:val="291"/>
        </w:trPr>
        <w:tc>
          <w:tcPr>
            <w:tcW w:w="3544" w:type="dxa"/>
            <w:tcBorders>
              <w:top w:val="single" w:sz="4" w:space="0" w:color="000000"/>
              <w:left w:val="single" w:sz="4" w:space="0" w:color="000000"/>
              <w:bottom w:val="single" w:sz="4" w:space="0" w:color="000000"/>
              <w:right w:val="single" w:sz="4" w:space="0" w:color="000000"/>
            </w:tcBorders>
          </w:tcPr>
          <w:p w14:paraId="533EF538" w14:textId="77777777" w:rsidR="00FE291A" w:rsidRDefault="00C8738F">
            <w:pPr>
              <w:pStyle w:val="TableParagraph"/>
              <w:keepNext/>
              <w:widowControl/>
              <w:kinsoku w:val="0"/>
              <w:overflowPunct w:val="0"/>
              <w:rPr>
                <w:sz w:val="22"/>
                <w:lang w:val="de-DE"/>
              </w:rPr>
            </w:pPr>
            <w:r>
              <w:rPr>
                <w:sz w:val="22"/>
                <w:szCs w:val="22"/>
                <w:lang w:val="de-DE"/>
              </w:rPr>
              <w:t>ASAS</w:t>
            </w:r>
            <w:r>
              <w:rPr>
                <w:sz w:val="22"/>
                <w:szCs w:val="22"/>
                <w:vertAlign w:val="superscript"/>
                <w:lang w:val="de-DE"/>
              </w:rPr>
              <w:t>a</w:t>
            </w:r>
            <w:r>
              <w:rPr>
                <w:sz w:val="22"/>
                <w:szCs w:val="22"/>
                <w:lang w:val="de-DE"/>
              </w:rPr>
              <w:t>-40</w:t>
            </w:r>
          </w:p>
        </w:tc>
        <w:tc>
          <w:tcPr>
            <w:tcW w:w="2693" w:type="dxa"/>
            <w:tcBorders>
              <w:top w:val="single" w:sz="4" w:space="0" w:color="000000"/>
              <w:left w:val="single" w:sz="4" w:space="0" w:color="000000"/>
              <w:bottom w:val="single" w:sz="4" w:space="0" w:color="000000"/>
              <w:right w:val="single" w:sz="4" w:space="0" w:color="000000"/>
            </w:tcBorders>
          </w:tcPr>
          <w:p w14:paraId="31524CAC" w14:textId="77777777" w:rsidR="00FE291A" w:rsidRDefault="00C8738F">
            <w:pPr>
              <w:pStyle w:val="TableParagraph"/>
              <w:widowControl/>
              <w:kinsoku w:val="0"/>
              <w:overflowPunct w:val="0"/>
              <w:jc w:val="center"/>
              <w:rPr>
                <w:sz w:val="22"/>
                <w:lang w:val="de-DE"/>
              </w:rPr>
            </w:pPr>
            <w:r>
              <w:rPr>
                <w:sz w:val="22"/>
                <w:szCs w:val="22"/>
                <w:lang w:val="de-DE"/>
              </w:rPr>
              <w:t>15 %</w:t>
            </w:r>
          </w:p>
        </w:tc>
        <w:tc>
          <w:tcPr>
            <w:tcW w:w="2835" w:type="dxa"/>
            <w:tcBorders>
              <w:top w:val="single" w:sz="4" w:space="0" w:color="000000"/>
              <w:left w:val="single" w:sz="4" w:space="0" w:color="000000"/>
              <w:bottom w:val="single" w:sz="4" w:space="0" w:color="000000"/>
              <w:right w:val="single" w:sz="4" w:space="0" w:color="000000"/>
            </w:tcBorders>
          </w:tcPr>
          <w:p w14:paraId="3D542878" w14:textId="77777777" w:rsidR="00FE291A" w:rsidRDefault="00C8738F">
            <w:pPr>
              <w:pStyle w:val="TableParagraph"/>
              <w:widowControl/>
              <w:kinsoku w:val="0"/>
              <w:overflowPunct w:val="0"/>
              <w:jc w:val="center"/>
              <w:rPr>
                <w:sz w:val="22"/>
                <w:lang w:val="de-DE"/>
              </w:rPr>
            </w:pPr>
            <w:r>
              <w:rPr>
                <w:sz w:val="22"/>
                <w:szCs w:val="22"/>
                <w:lang w:val="de-DE"/>
              </w:rPr>
              <w:t>36 %***</w:t>
            </w:r>
          </w:p>
        </w:tc>
      </w:tr>
      <w:tr w:rsidR="00FE291A" w14:paraId="22337FA4" w14:textId="77777777">
        <w:trPr>
          <w:trHeight w:hRule="exact" w:val="269"/>
        </w:trPr>
        <w:tc>
          <w:tcPr>
            <w:tcW w:w="3544" w:type="dxa"/>
            <w:tcBorders>
              <w:top w:val="single" w:sz="4" w:space="0" w:color="000000"/>
              <w:left w:val="single" w:sz="4" w:space="0" w:color="000000"/>
              <w:bottom w:val="single" w:sz="4" w:space="0" w:color="000000"/>
              <w:right w:val="single" w:sz="4" w:space="0" w:color="000000"/>
            </w:tcBorders>
          </w:tcPr>
          <w:p w14:paraId="278A9405" w14:textId="77777777" w:rsidR="00FE291A" w:rsidRDefault="00C8738F">
            <w:pPr>
              <w:pStyle w:val="TableParagraph"/>
              <w:keepNext/>
              <w:widowControl/>
              <w:kinsoku w:val="0"/>
              <w:overflowPunct w:val="0"/>
              <w:rPr>
                <w:sz w:val="22"/>
                <w:lang w:val="de-DE"/>
              </w:rPr>
            </w:pPr>
            <w:r>
              <w:rPr>
                <w:sz w:val="22"/>
                <w:szCs w:val="22"/>
                <w:lang w:val="de-DE"/>
              </w:rPr>
              <w:t>ASAS-20</w:t>
            </w:r>
          </w:p>
        </w:tc>
        <w:tc>
          <w:tcPr>
            <w:tcW w:w="2693" w:type="dxa"/>
            <w:tcBorders>
              <w:top w:val="single" w:sz="4" w:space="0" w:color="000000"/>
              <w:left w:val="single" w:sz="4" w:space="0" w:color="000000"/>
              <w:bottom w:val="single" w:sz="4" w:space="0" w:color="000000"/>
              <w:right w:val="single" w:sz="4" w:space="0" w:color="000000"/>
            </w:tcBorders>
          </w:tcPr>
          <w:p w14:paraId="0A5D3B7E" w14:textId="77777777" w:rsidR="00FE291A" w:rsidRDefault="00C8738F">
            <w:pPr>
              <w:pStyle w:val="TableParagraph"/>
              <w:widowControl/>
              <w:kinsoku w:val="0"/>
              <w:overflowPunct w:val="0"/>
              <w:jc w:val="center"/>
              <w:rPr>
                <w:sz w:val="22"/>
                <w:lang w:val="de-DE"/>
              </w:rPr>
            </w:pPr>
            <w:r>
              <w:rPr>
                <w:sz w:val="22"/>
                <w:szCs w:val="22"/>
                <w:lang w:val="de-DE"/>
              </w:rPr>
              <w:t>31 %</w:t>
            </w:r>
          </w:p>
        </w:tc>
        <w:tc>
          <w:tcPr>
            <w:tcW w:w="2835" w:type="dxa"/>
            <w:tcBorders>
              <w:top w:val="single" w:sz="4" w:space="0" w:color="000000"/>
              <w:left w:val="single" w:sz="4" w:space="0" w:color="000000"/>
              <w:bottom w:val="single" w:sz="4" w:space="0" w:color="000000"/>
              <w:right w:val="single" w:sz="4" w:space="0" w:color="000000"/>
            </w:tcBorders>
          </w:tcPr>
          <w:p w14:paraId="35C002AD" w14:textId="77777777" w:rsidR="00FE291A" w:rsidRDefault="00C8738F">
            <w:pPr>
              <w:pStyle w:val="TableParagraph"/>
              <w:widowControl/>
              <w:kinsoku w:val="0"/>
              <w:overflowPunct w:val="0"/>
              <w:jc w:val="center"/>
              <w:rPr>
                <w:sz w:val="22"/>
                <w:lang w:val="de-DE"/>
              </w:rPr>
            </w:pPr>
            <w:r>
              <w:rPr>
                <w:sz w:val="22"/>
                <w:szCs w:val="22"/>
                <w:lang w:val="de-DE"/>
              </w:rPr>
              <w:t>52 %**</w:t>
            </w:r>
          </w:p>
        </w:tc>
      </w:tr>
      <w:tr w:rsidR="00FE291A" w14:paraId="565B6738" w14:textId="77777777">
        <w:trPr>
          <w:trHeight w:hRule="exact" w:val="269"/>
        </w:trPr>
        <w:tc>
          <w:tcPr>
            <w:tcW w:w="3544" w:type="dxa"/>
            <w:tcBorders>
              <w:top w:val="single" w:sz="4" w:space="0" w:color="000000"/>
              <w:left w:val="single" w:sz="4" w:space="0" w:color="000000"/>
              <w:bottom w:val="single" w:sz="4" w:space="0" w:color="000000"/>
              <w:right w:val="single" w:sz="4" w:space="0" w:color="000000"/>
            </w:tcBorders>
          </w:tcPr>
          <w:p w14:paraId="2CB4736C" w14:textId="77777777" w:rsidR="00FE291A" w:rsidRDefault="00C8738F">
            <w:pPr>
              <w:pStyle w:val="TableParagraph"/>
              <w:keepNext/>
              <w:widowControl/>
              <w:kinsoku w:val="0"/>
              <w:overflowPunct w:val="0"/>
              <w:rPr>
                <w:sz w:val="22"/>
                <w:lang w:val="de-DE"/>
              </w:rPr>
            </w:pPr>
            <w:r>
              <w:rPr>
                <w:sz w:val="22"/>
                <w:szCs w:val="22"/>
                <w:lang w:val="de-DE"/>
              </w:rPr>
              <w:t>ASAS-5/6</w:t>
            </w:r>
          </w:p>
        </w:tc>
        <w:tc>
          <w:tcPr>
            <w:tcW w:w="2693" w:type="dxa"/>
            <w:tcBorders>
              <w:top w:val="single" w:sz="4" w:space="0" w:color="000000"/>
              <w:left w:val="single" w:sz="4" w:space="0" w:color="000000"/>
              <w:bottom w:val="single" w:sz="4" w:space="0" w:color="000000"/>
              <w:right w:val="single" w:sz="4" w:space="0" w:color="000000"/>
            </w:tcBorders>
          </w:tcPr>
          <w:p w14:paraId="21BCBC98" w14:textId="77777777" w:rsidR="00FE291A" w:rsidRDefault="00C8738F">
            <w:pPr>
              <w:pStyle w:val="TableParagraph"/>
              <w:widowControl/>
              <w:kinsoku w:val="0"/>
              <w:overflowPunct w:val="0"/>
              <w:jc w:val="center"/>
              <w:rPr>
                <w:sz w:val="22"/>
                <w:lang w:val="de-DE"/>
              </w:rPr>
            </w:pPr>
            <w:r>
              <w:rPr>
                <w:sz w:val="22"/>
                <w:szCs w:val="22"/>
                <w:lang w:val="de-DE"/>
              </w:rPr>
              <w:t>6 %</w:t>
            </w:r>
          </w:p>
        </w:tc>
        <w:tc>
          <w:tcPr>
            <w:tcW w:w="2835" w:type="dxa"/>
            <w:tcBorders>
              <w:top w:val="single" w:sz="4" w:space="0" w:color="000000"/>
              <w:left w:val="single" w:sz="4" w:space="0" w:color="000000"/>
              <w:bottom w:val="single" w:sz="4" w:space="0" w:color="000000"/>
              <w:right w:val="single" w:sz="4" w:space="0" w:color="000000"/>
            </w:tcBorders>
          </w:tcPr>
          <w:p w14:paraId="609BDC32" w14:textId="77777777" w:rsidR="00FE291A" w:rsidRDefault="00C8738F">
            <w:pPr>
              <w:pStyle w:val="TableParagraph"/>
              <w:widowControl/>
              <w:kinsoku w:val="0"/>
              <w:overflowPunct w:val="0"/>
              <w:jc w:val="center"/>
              <w:rPr>
                <w:sz w:val="22"/>
                <w:lang w:val="de-DE"/>
              </w:rPr>
            </w:pPr>
            <w:r>
              <w:rPr>
                <w:sz w:val="22"/>
                <w:szCs w:val="22"/>
                <w:lang w:val="de-DE"/>
              </w:rPr>
              <w:t>31 %***</w:t>
            </w:r>
          </w:p>
        </w:tc>
      </w:tr>
      <w:tr w:rsidR="00FE291A" w14:paraId="1D1EA1F2" w14:textId="77777777">
        <w:trPr>
          <w:trHeight w:hRule="exact" w:val="269"/>
        </w:trPr>
        <w:tc>
          <w:tcPr>
            <w:tcW w:w="3544" w:type="dxa"/>
            <w:tcBorders>
              <w:top w:val="single" w:sz="4" w:space="0" w:color="000000"/>
              <w:left w:val="single" w:sz="4" w:space="0" w:color="000000"/>
              <w:bottom w:val="single" w:sz="4" w:space="0" w:color="000000"/>
              <w:right w:val="single" w:sz="4" w:space="0" w:color="000000"/>
            </w:tcBorders>
          </w:tcPr>
          <w:p w14:paraId="0B93AF41" w14:textId="77777777" w:rsidR="00FE291A" w:rsidRDefault="00C8738F">
            <w:pPr>
              <w:pStyle w:val="TableParagraph"/>
              <w:keepNext/>
              <w:widowControl/>
              <w:kinsoku w:val="0"/>
              <w:overflowPunct w:val="0"/>
              <w:rPr>
                <w:sz w:val="22"/>
                <w:lang w:val="de-DE"/>
              </w:rPr>
            </w:pPr>
            <w:r>
              <w:rPr>
                <w:sz w:val="22"/>
                <w:szCs w:val="22"/>
                <w:lang w:val="de-DE"/>
              </w:rPr>
              <w:t>ASAS partielle Remission</w:t>
            </w:r>
          </w:p>
        </w:tc>
        <w:tc>
          <w:tcPr>
            <w:tcW w:w="2693" w:type="dxa"/>
            <w:tcBorders>
              <w:top w:val="single" w:sz="4" w:space="0" w:color="000000"/>
              <w:left w:val="single" w:sz="4" w:space="0" w:color="000000"/>
              <w:bottom w:val="single" w:sz="4" w:space="0" w:color="000000"/>
              <w:right w:val="single" w:sz="4" w:space="0" w:color="000000"/>
            </w:tcBorders>
          </w:tcPr>
          <w:p w14:paraId="3BB71745" w14:textId="77777777" w:rsidR="00FE291A" w:rsidRDefault="00C8738F">
            <w:pPr>
              <w:pStyle w:val="TableParagraph"/>
              <w:widowControl/>
              <w:kinsoku w:val="0"/>
              <w:overflowPunct w:val="0"/>
              <w:jc w:val="center"/>
              <w:rPr>
                <w:sz w:val="22"/>
                <w:lang w:val="de-DE"/>
              </w:rPr>
            </w:pPr>
            <w:r>
              <w:rPr>
                <w:sz w:val="22"/>
                <w:szCs w:val="22"/>
                <w:lang w:val="de-DE"/>
              </w:rPr>
              <w:t>5 %</w:t>
            </w:r>
          </w:p>
        </w:tc>
        <w:tc>
          <w:tcPr>
            <w:tcW w:w="2835" w:type="dxa"/>
            <w:tcBorders>
              <w:top w:val="single" w:sz="4" w:space="0" w:color="000000"/>
              <w:left w:val="single" w:sz="4" w:space="0" w:color="000000"/>
              <w:bottom w:val="single" w:sz="4" w:space="0" w:color="000000"/>
              <w:right w:val="single" w:sz="4" w:space="0" w:color="000000"/>
            </w:tcBorders>
          </w:tcPr>
          <w:p w14:paraId="7A0496EB" w14:textId="77777777" w:rsidR="00FE291A" w:rsidRDefault="00C8738F">
            <w:pPr>
              <w:pStyle w:val="TableParagraph"/>
              <w:widowControl/>
              <w:kinsoku w:val="0"/>
              <w:overflowPunct w:val="0"/>
              <w:jc w:val="center"/>
              <w:rPr>
                <w:sz w:val="22"/>
                <w:lang w:val="de-DE"/>
              </w:rPr>
            </w:pPr>
            <w:r>
              <w:rPr>
                <w:sz w:val="22"/>
                <w:szCs w:val="22"/>
                <w:lang w:val="de-DE"/>
              </w:rPr>
              <w:t>16 %*</w:t>
            </w:r>
          </w:p>
        </w:tc>
      </w:tr>
      <w:tr w:rsidR="00FE291A" w14:paraId="4004963C" w14:textId="77777777">
        <w:trPr>
          <w:trHeight w:val="315"/>
        </w:trPr>
        <w:tc>
          <w:tcPr>
            <w:tcW w:w="3544" w:type="dxa"/>
            <w:tcBorders>
              <w:top w:val="single" w:sz="4" w:space="0" w:color="000000"/>
              <w:left w:val="single" w:sz="4" w:space="0" w:color="000000"/>
              <w:bottom w:val="single" w:sz="4" w:space="0" w:color="000000"/>
              <w:right w:val="single" w:sz="4" w:space="0" w:color="000000"/>
            </w:tcBorders>
          </w:tcPr>
          <w:p w14:paraId="3B377C08" w14:textId="77777777" w:rsidR="00FE291A" w:rsidRDefault="00C8738F">
            <w:pPr>
              <w:pStyle w:val="TableParagraph"/>
              <w:keepNext/>
              <w:widowControl/>
              <w:kinsoku w:val="0"/>
              <w:overflowPunct w:val="0"/>
              <w:rPr>
                <w:sz w:val="22"/>
                <w:lang w:val="de-DE"/>
              </w:rPr>
            </w:pPr>
            <w:r>
              <w:rPr>
                <w:sz w:val="22"/>
                <w:szCs w:val="22"/>
                <w:lang w:val="de-DE"/>
              </w:rPr>
              <w:t>BASDAI</w:t>
            </w:r>
            <w:r>
              <w:rPr>
                <w:sz w:val="22"/>
                <w:szCs w:val="22"/>
                <w:vertAlign w:val="superscript"/>
                <w:lang w:val="de-DE"/>
              </w:rPr>
              <w:t>b</w:t>
            </w:r>
            <w:r>
              <w:rPr>
                <w:sz w:val="22"/>
                <w:szCs w:val="22"/>
                <w:lang w:val="de-DE"/>
              </w:rPr>
              <w:t>-50</w:t>
            </w:r>
          </w:p>
        </w:tc>
        <w:tc>
          <w:tcPr>
            <w:tcW w:w="2693" w:type="dxa"/>
            <w:tcBorders>
              <w:top w:val="single" w:sz="4" w:space="0" w:color="000000"/>
              <w:left w:val="single" w:sz="4" w:space="0" w:color="000000"/>
              <w:bottom w:val="single" w:sz="4" w:space="0" w:color="000000"/>
              <w:right w:val="single" w:sz="4" w:space="0" w:color="000000"/>
            </w:tcBorders>
          </w:tcPr>
          <w:p w14:paraId="5A9E24CF" w14:textId="77777777" w:rsidR="00FE291A" w:rsidRDefault="00C8738F">
            <w:pPr>
              <w:pStyle w:val="TableParagraph"/>
              <w:widowControl/>
              <w:kinsoku w:val="0"/>
              <w:overflowPunct w:val="0"/>
              <w:jc w:val="center"/>
              <w:rPr>
                <w:sz w:val="22"/>
                <w:lang w:val="de-DE"/>
              </w:rPr>
            </w:pPr>
            <w:r>
              <w:rPr>
                <w:sz w:val="22"/>
                <w:szCs w:val="22"/>
                <w:lang w:val="de-DE"/>
              </w:rPr>
              <w:t>15 %</w:t>
            </w:r>
          </w:p>
        </w:tc>
        <w:tc>
          <w:tcPr>
            <w:tcW w:w="2835" w:type="dxa"/>
            <w:tcBorders>
              <w:top w:val="single" w:sz="4" w:space="0" w:color="000000"/>
              <w:left w:val="single" w:sz="4" w:space="0" w:color="000000"/>
              <w:bottom w:val="single" w:sz="4" w:space="0" w:color="000000"/>
              <w:right w:val="single" w:sz="4" w:space="0" w:color="000000"/>
            </w:tcBorders>
          </w:tcPr>
          <w:p w14:paraId="7FF6F43C" w14:textId="77777777" w:rsidR="00FE291A" w:rsidRDefault="00C8738F">
            <w:pPr>
              <w:pStyle w:val="TableParagraph"/>
              <w:widowControl/>
              <w:kinsoku w:val="0"/>
              <w:overflowPunct w:val="0"/>
              <w:jc w:val="center"/>
              <w:rPr>
                <w:sz w:val="22"/>
                <w:lang w:val="de-DE"/>
              </w:rPr>
            </w:pPr>
            <w:r>
              <w:rPr>
                <w:sz w:val="22"/>
                <w:szCs w:val="22"/>
                <w:lang w:val="de-DE"/>
              </w:rPr>
              <w:t>35 %**</w:t>
            </w:r>
          </w:p>
        </w:tc>
      </w:tr>
      <w:tr w:rsidR="00FE291A" w14:paraId="773F1C2B" w14:textId="77777777">
        <w:trPr>
          <w:trHeight w:val="369"/>
        </w:trPr>
        <w:tc>
          <w:tcPr>
            <w:tcW w:w="3544" w:type="dxa"/>
            <w:tcBorders>
              <w:top w:val="single" w:sz="4" w:space="0" w:color="000000"/>
              <w:left w:val="single" w:sz="4" w:space="0" w:color="000000"/>
              <w:bottom w:val="single" w:sz="4" w:space="0" w:color="000000"/>
              <w:right w:val="single" w:sz="4" w:space="0" w:color="000000"/>
            </w:tcBorders>
          </w:tcPr>
          <w:p w14:paraId="0B046021" w14:textId="77777777" w:rsidR="00FE291A" w:rsidRDefault="00C8738F">
            <w:pPr>
              <w:pStyle w:val="TableParagraph"/>
              <w:keepNext/>
              <w:widowControl/>
              <w:kinsoku w:val="0"/>
              <w:overflowPunct w:val="0"/>
              <w:rPr>
                <w:sz w:val="22"/>
                <w:lang w:val="de-DE"/>
              </w:rPr>
            </w:pPr>
            <w:r>
              <w:rPr>
                <w:position w:val="-10"/>
                <w:sz w:val="22"/>
                <w:szCs w:val="22"/>
                <w:lang w:val="de-DE"/>
              </w:rPr>
              <w:t>ASDAS</w:t>
            </w:r>
            <w:r>
              <w:rPr>
                <w:position w:val="-10"/>
                <w:sz w:val="22"/>
                <w:szCs w:val="22"/>
                <w:vertAlign w:val="superscript"/>
                <w:lang w:val="de-DE"/>
              </w:rPr>
              <w:t>c,d,e</w:t>
            </w:r>
          </w:p>
        </w:tc>
        <w:tc>
          <w:tcPr>
            <w:tcW w:w="2693" w:type="dxa"/>
            <w:tcBorders>
              <w:top w:val="single" w:sz="4" w:space="0" w:color="000000"/>
              <w:left w:val="single" w:sz="4" w:space="0" w:color="000000"/>
              <w:bottom w:val="single" w:sz="4" w:space="0" w:color="000000"/>
              <w:right w:val="single" w:sz="4" w:space="0" w:color="000000"/>
            </w:tcBorders>
          </w:tcPr>
          <w:p w14:paraId="41E88DC8" w14:textId="77777777" w:rsidR="00FE291A" w:rsidRDefault="00C8738F">
            <w:pPr>
              <w:pStyle w:val="TableParagraph"/>
              <w:widowControl/>
              <w:kinsoku w:val="0"/>
              <w:overflowPunct w:val="0"/>
              <w:jc w:val="center"/>
              <w:rPr>
                <w:sz w:val="22"/>
                <w:lang w:val="de-DE"/>
              </w:rPr>
            </w:pPr>
            <w:r>
              <w:rPr>
                <w:sz w:val="22"/>
                <w:szCs w:val="22"/>
                <w:lang w:val="de-DE"/>
              </w:rPr>
              <w:t>-0,3</w:t>
            </w:r>
          </w:p>
        </w:tc>
        <w:tc>
          <w:tcPr>
            <w:tcW w:w="2835" w:type="dxa"/>
            <w:tcBorders>
              <w:top w:val="single" w:sz="4" w:space="0" w:color="000000"/>
              <w:left w:val="single" w:sz="4" w:space="0" w:color="000000"/>
              <w:bottom w:val="single" w:sz="4" w:space="0" w:color="000000"/>
              <w:right w:val="single" w:sz="4" w:space="0" w:color="000000"/>
            </w:tcBorders>
          </w:tcPr>
          <w:p w14:paraId="1194098D" w14:textId="77777777" w:rsidR="00FE291A" w:rsidRDefault="00C8738F">
            <w:pPr>
              <w:pStyle w:val="TableParagraph"/>
              <w:widowControl/>
              <w:kinsoku w:val="0"/>
              <w:overflowPunct w:val="0"/>
              <w:jc w:val="center"/>
              <w:rPr>
                <w:sz w:val="22"/>
                <w:lang w:val="de-DE"/>
              </w:rPr>
            </w:pPr>
            <w:r>
              <w:rPr>
                <w:sz w:val="22"/>
                <w:szCs w:val="22"/>
                <w:lang w:val="de-DE"/>
              </w:rPr>
              <w:t>-1,0***</w:t>
            </w:r>
          </w:p>
        </w:tc>
      </w:tr>
      <w:tr w:rsidR="00FE291A" w14:paraId="7F117C0C" w14:textId="77777777">
        <w:trPr>
          <w:trHeight w:hRule="exact" w:val="269"/>
        </w:trPr>
        <w:tc>
          <w:tcPr>
            <w:tcW w:w="3544" w:type="dxa"/>
            <w:tcBorders>
              <w:top w:val="single" w:sz="4" w:space="0" w:color="000000"/>
              <w:left w:val="single" w:sz="4" w:space="0" w:color="000000"/>
              <w:bottom w:val="single" w:sz="4" w:space="0" w:color="000000"/>
              <w:right w:val="single" w:sz="4" w:space="0" w:color="000000"/>
            </w:tcBorders>
          </w:tcPr>
          <w:p w14:paraId="4B28956E" w14:textId="77777777" w:rsidR="00FE291A" w:rsidRDefault="00C8738F">
            <w:pPr>
              <w:pStyle w:val="TableParagraph"/>
              <w:keepNext/>
              <w:widowControl/>
              <w:kinsoku w:val="0"/>
              <w:overflowPunct w:val="0"/>
              <w:rPr>
                <w:sz w:val="22"/>
                <w:lang w:val="de-DE"/>
              </w:rPr>
            </w:pPr>
            <w:r>
              <w:rPr>
                <w:sz w:val="22"/>
                <w:szCs w:val="22"/>
                <w:lang w:val="de-DE"/>
              </w:rPr>
              <w:t>ASDAS Inactive Disease</w:t>
            </w:r>
          </w:p>
        </w:tc>
        <w:tc>
          <w:tcPr>
            <w:tcW w:w="2693" w:type="dxa"/>
            <w:tcBorders>
              <w:top w:val="single" w:sz="4" w:space="0" w:color="000000"/>
              <w:left w:val="single" w:sz="4" w:space="0" w:color="000000"/>
              <w:bottom w:val="single" w:sz="4" w:space="0" w:color="000000"/>
              <w:right w:val="single" w:sz="4" w:space="0" w:color="000000"/>
            </w:tcBorders>
          </w:tcPr>
          <w:p w14:paraId="6EF987E2" w14:textId="77777777" w:rsidR="00FE291A" w:rsidRDefault="00C8738F">
            <w:pPr>
              <w:pStyle w:val="TableParagraph"/>
              <w:widowControl/>
              <w:kinsoku w:val="0"/>
              <w:overflowPunct w:val="0"/>
              <w:jc w:val="center"/>
              <w:rPr>
                <w:sz w:val="22"/>
                <w:lang w:val="de-DE"/>
              </w:rPr>
            </w:pPr>
            <w:r>
              <w:rPr>
                <w:sz w:val="22"/>
                <w:szCs w:val="22"/>
                <w:lang w:val="de-DE"/>
              </w:rPr>
              <w:t>4 %</w:t>
            </w:r>
          </w:p>
        </w:tc>
        <w:tc>
          <w:tcPr>
            <w:tcW w:w="2835" w:type="dxa"/>
            <w:tcBorders>
              <w:top w:val="single" w:sz="4" w:space="0" w:color="000000"/>
              <w:left w:val="single" w:sz="4" w:space="0" w:color="000000"/>
              <w:bottom w:val="single" w:sz="4" w:space="0" w:color="000000"/>
              <w:right w:val="single" w:sz="4" w:space="0" w:color="000000"/>
            </w:tcBorders>
          </w:tcPr>
          <w:p w14:paraId="75DECAA8" w14:textId="77777777" w:rsidR="00FE291A" w:rsidRDefault="00C8738F">
            <w:pPr>
              <w:pStyle w:val="TableParagraph"/>
              <w:widowControl/>
              <w:kinsoku w:val="0"/>
              <w:overflowPunct w:val="0"/>
              <w:jc w:val="center"/>
              <w:rPr>
                <w:sz w:val="22"/>
                <w:lang w:val="de-DE"/>
              </w:rPr>
            </w:pPr>
            <w:r>
              <w:rPr>
                <w:sz w:val="22"/>
                <w:szCs w:val="22"/>
                <w:lang w:val="de-DE"/>
              </w:rPr>
              <w:t>24 %***</w:t>
            </w:r>
          </w:p>
        </w:tc>
      </w:tr>
      <w:tr w:rsidR="00FE291A" w14:paraId="6486BE50" w14:textId="77777777">
        <w:trPr>
          <w:trHeight w:hRule="exact" w:val="387"/>
        </w:trPr>
        <w:tc>
          <w:tcPr>
            <w:tcW w:w="3544" w:type="dxa"/>
            <w:tcBorders>
              <w:top w:val="single" w:sz="4" w:space="0" w:color="000000"/>
              <w:left w:val="single" w:sz="4" w:space="0" w:color="000000"/>
              <w:bottom w:val="single" w:sz="4" w:space="0" w:color="000000"/>
              <w:right w:val="single" w:sz="4" w:space="0" w:color="000000"/>
            </w:tcBorders>
          </w:tcPr>
          <w:p w14:paraId="5CD0E3A6" w14:textId="77777777" w:rsidR="00FE291A" w:rsidRDefault="00C8738F">
            <w:pPr>
              <w:pStyle w:val="TableParagraph"/>
              <w:keepNext/>
              <w:widowControl/>
              <w:kinsoku w:val="0"/>
              <w:overflowPunct w:val="0"/>
              <w:rPr>
                <w:sz w:val="22"/>
                <w:lang w:val="de-DE"/>
              </w:rPr>
            </w:pPr>
            <w:r>
              <w:rPr>
                <w:sz w:val="22"/>
                <w:szCs w:val="22"/>
                <w:lang w:val="de-DE"/>
              </w:rPr>
              <w:t>hs-CRP</w:t>
            </w:r>
            <w:r>
              <w:rPr>
                <w:sz w:val="22"/>
                <w:szCs w:val="22"/>
                <w:vertAlign w:val="superscript"/>
                <w:lang w:val="de-DE"/>
              </w:rPr>
              <w:t>d,f,g</w:t>
            </w:r>
          </w:p>
        </w:tc>
        <w:tc>
          <w:tcPr>
            <w:tcW w:w="2693" w:type="dxa"/>
            <w:tcBorders>
              <w:top w:val="single" w:sz="4" w:space="0" w:color="000000"/>
              <w:left w:val="single" w:sz="4" w:space="0" w:color="000000"/>
              <w:bottom w:val="single" w:sz="4" w:space="0" w:color="000000"/>
              <w:right w:val="single" w:sz="4" w:space="0" w:color="000000"/>
            </w:tcBorders>
          </w:tcPr>
          <w:p w14:paraId="54BA4AEB" w14:textId="77777777" w:rsidR="00FE291A" w:rsidRDefault="00C8738F">
            <w:pPr>
              <w:pStyle w:val="TableParagraph"/>
              <w:widowControl/>
              <w:kinsoku w:val="0"/>
              <w:overflowPunct w:val="0"/>
              <w:jc w:val="center"/>
              <w:rPr>
                <w:sz w:val="22"/>
                <w:lang w:val="de-DE"/>
              </w:rPr>
            </w:pPr>
            <w:r>
              <w:rPr>
                <w:sz w:val="22"/>
                <w:szCs w:val="22"/>
                <w:lang w:val="de-DE"/>
              </w:rPr>
              <w:t>-0,3</w:t>
            </w:r>
          </w:p>
        </w:tc>
        <w:tc>
          <w:tcPr>
            <w:tcW w:w="2835" w:type="dxa"/>
            <w:tcBorders>
              <w:top w:val="single" w:sz="4" w:space="0" w:color="000000"/>
              <w:left w:val="single" w:sz="4" w:space="0" w:color="000000"/>
              <w:bottom w:val="single" w:sz="4" w:space="0" w:color="000000"/>
              <w:right w:val="single" w:sz="4" w:space="0" w:color="000000"/>
            </w:tcBorders>
          </w:tcPr>
          <w:p w14:paraId="09D8FDA1" w14:textId="77777777" w:rsidR="00FE291A" w:rsidRDefault="00C8738F">
            <w:pPr>
              <w:pStyle w:val="TableParagraph"/>
              <w:widowControl/>
              <w:kinsoku w:val="0"/>
              <w:overflowPunct w:val="0"/>
              <w:jc w:val="center"/>
              <w:rPr>
                <w:sz w:val="22"/>
                <w:lang w:val="de-DE"/>
              </w:rPr>
            </w:pPr>
            <w:r>
              <w:rPr>
                <w:sz w:val="22"/>
                <w:szCs w:val="22"/>
                <w:lang w:val="de-DE"/>
              </w:rPr>
              <w:t>-4,7***</w:t>
            </w:r>
          </w:p>
        </w:tc>
      </w:tr>
      <w:tr w:rsidR="00FE291A" w14:paraId="220B19FF" w14:textId="77777777">
        <w:trPr>
          <w:trHeight w:hRule="exact" w:val="436"/>
        </w:trPr>
        <w:tc>
          <w:tcPr>
            <w:tcW w:w="3544" w:type="dxa"/>
            <w:tcBorders>
              <w:top w:val="single" w:sz="4" w:space="0" w:color="000000"/>
              <w:left w:val="single" w:sz="4" w:space="0" w:color="000000"/>
              <w:bottom w:val="single" w:sz="4" w:space="0" w:color="000000"/>
              <w:right w:val="single" w:sz="4" w:space="0" w:color="000000"/>
            </w:tcBorders>
          </w:tcPr>
          <w:p w14:paraId="203FDF14" w14:textId="77777777" w:rsidR="00FE291A" w:rsidRDefault="00C8738F">
            <w:pPr>
              <w:pStyle w:val="TableParagraph"/>
              <w:keepNext/>
              <w:widowControl/>
              <w:kinsoku w:val="0"/>
              <w:overflowPunct w:val="0"/>
              <w:rPr>
                <w:sz w:val="22"/>
                <w:lang w:val="en-US"/>
              </w:rPr>
            </w:pPr>
            <w:r>
              <w:rPr>
                <w:sz w:val="22"/>
                <w:szCs w:val="22"/>
                <w:lang w:val="en-US"/>
              </w:rPr>
              <w:t>SPARCC</w:t>
            </w:r>
            <w:r>
              <w:rPr>
                <w:sz w:val="22"/>
                <w:szCs w:val="22"/>
                <w:vertAlign w:val="superscript"/>
                <w:lang w:val="en-US"/>
              </w:rPr>
              <w:t>h</w:t>
            </w:r>
            <w:r>
              <w:rPr>
                <w:sz w:val="22"/>
                <w:szCs w:val="22"/>
                <w:lang w:val="en-US"/>
              </w:rPr>
              <w:t xml:space="preserve"> MRI Sacroiliac Joints</w:t>
            </w:r>
            <w:r>
              <w:rPr>
                <w:sz w:val="22"/>
                <w:szCs w:val="22"/>
                <w:vertAlign w:val="superscript"/>
                <w:lang w:val="en-US"/>
              </w:rPr>
              <w:t>d,i</w:t>
            </w:r>
          </w:p>
        </w:tc>
        <w:tc>
          <w:tcPr>
            <w:tcW w:w="2693" w:type="dxa"/>
            <w:tcBorders>
              <w:top w:val="single" w:sz="4" w:space="0" w:color="000000"/>
              <w:left w:val="single" w:sz="4" w:space="0" w:color="000000"/>
              <w:bottom w:val="single" w:sz="4" w:space="0" w:color="000000"/>
              <w:right w:val="single" w:sz="4" w:space="0" w:color="000000"/>
            </w:tcBorders>
          </w:tcPr>
          <w:p w14:paraId="4D5DB7D7" w14:textId="77777777" w:rsidR="00FE291A" w:rsidRDefault="00C8738F">
            <w:pPr>
              <w:pStyle w:val="TableParagraph"/>
              <w:widowControl/>
              <w:kinsoku w:val="0"/>
              <w:overflowPunct w:val="0"/>
              <w:jc w:val="center"/>
              <w:rPr>
                <w:sz w:val="22"/>
                <w:lang w:val="de-DE"/>
              </w:rPr>
            </w:pPr>
            <w:r>
              <w:rPr>
                <w:sz w:val="22"/>
                <w:szCs w:val="22"/>
                <w:lang w:val="de-DE"/>
              </w:rPr>
              <w:t>-0,6</w:t>
            </w:r>
          </w:p>
        </w:tc>
        <w:tc>
          <w:tcPr>
            <w:tcW w:w="2835" w:type="dxa"/>
            <w:tcBorders>
              <w:top w:val="single" w:sz="4" w:space="0" w:color="000000"/>
              <w:left w:val="single" w:sz="4" w:space="0" w:color="000000"/>
              <w:bottom w:val="single" w:sz="4" w:space="0" w:color="000000"/>
              <w:right w:val="single" w:sz="4" w:space="0" w:color="000000"/>
            </w:tcBorders>
          </w:tcPr>
          <w:p w14:paraId="1F628814" w14:textId="77777777" w:rsidR="00FE291A" w:rsidRDefault="00C8738F">
            <w:pPr>
              <w:pStyle w:val="TableParagraph"/>
              <w:widowControl/>
              <w:kinsoku w:val="0"/>
              <w:overflowPunct w:val="0"/>
              <w:jc w:val="center"/>
              <w:rPr>
                <w:sz w:val="22"/>
                <w:lang w:val="de-DE"/>
              </w:rPr>
            </w:pPr>
            <w:r>
              <w:rPr>
                <w:sz w:val="22"/>
                <w:szCs w:val="22"/>
                <w:lang w:val="de-DE"/>
              </w:rPr>
              <w:t>-3,2**</w:t>
            </w:r>
          </w:p>
        </w:tc>
      </w:tr>
      <w:tr w:rsidR="00FE291A" w14:paraId="279F2C20" w14:textId="77777777">
        <w:trPr>
          <w:trHeight w:hRule="exact" w:val="414"/>
        </w:trPr>
        <w:tc>
          <w:tcPr>
            <w:tcW w:w="3544" w:type="dxa"/>
            <w:tcBorders>
              <w:top w:val="single" w:sz="4" w:space="0" w:color="000000"/>
              <w:left w:val="single" w:sz="4" w:space="0" w:color="000000"/>
              <w:bottom w:val="single" w:sz="4" w:space="0" w:color="000000"/>
              <w:right w:val="single" w:sz="4" w:space="0" w:color="000000"/>
            </w:tcBorders>
          </w:tcPr>
          <w:p w14:paraId="1EF0FDFE" w14:textId="77777777" w:rsidR="00FE291A" w:rsidRDefault="00C8738F">
            <w:pPr>
              <w:pStyle w:val="TableParagraph"/>
              <w:keepNext/>
              <w:widowControl/>
              <w:kinsoku w:val="0"/>
              <w:overflowPunct w:val="0"/>
              <w:rPr>
                <w:sz w:val="22"/>
                <w:lang w:val="de-DE"/>
              </w:rPr>
            </w:pPr>
            <w:r>
              <w:rPr>
                <w:sz w:val="22"/>
                <w:szCs w:val="22"/>
                <w:lang w:val="de-DE"/>
              </w:rPr>
              <w:t>SPARCC MRI Spine</w:t>
            </w:r>
            <w:r>
              <w:rPr>
                <w:sz w:val="22"/>
                <w:szCs w:val="22"/>
                <w:vertAlign w:val="superscript"/>
                <w:lang w:val="de-DE"/>
              </w:rPr>
              <w:t>d,j</w:t>
            </w:r>
          </w:p>
        </w:tc>
        <w:tc>
          <w:tcPr>
            <w:tcW w:w="2693" w:type="dxa"/>
            <w:tcBorders>
              <w:top w:val="single" w:sz="4" w:space="0" w:color="000000"/>
              <w:left w:val="single" w:sz="4" w:space="0" w:color="000000"/>
              <w:bottom w:val="single" w:sz="4" w:space="0" w:color="000000"/>
              <w:right w:val="single" w:sz="4" w:space="0" w:color="000000"/>
            </w:tcBorders>
          </w:tcPr>
          <w:p w14:paraId="1E4CAF26" w14:textId="77777777" w:rsidR="00FE291A" w:rsidRDefault="00C8738F">
            <w:pPr>
              <w:pStyle w:val="TableParagraph"/>
              <w:widowControl/>
              <w:kinsoku w:val="0"/>
              <w:overflowPunct w:val="0"/>
              <w:jc w:val="center"/>
              <w:rPr>
                <w:sz w:val="22"/>
                <w:lang w:val="de-DE"/>
              </w:rPr>
            </w:pPr>
            <w:r>
              <w:rPr>
                <w:sz w:val="22"/>
                <w:szCs w:val="22"/>
                <w:lang w:val="de-DE"/>
              </w:rPr>
              <w:t>-0,2</w:t>
            </w:r>
          </w:p>
        </w:tc>
        <w:tc>
          <w:tcPr>
            <w:tcW w:w="2835" w:type="dxa"/>
            <w:tcBorders>
              <w:top w:val="single" w:sz="4" w:space="0" w:color="000000"/>
              <w:left w:val="single" w:sz="4" w:space="0" w:color="000000"/>
              <w:bottom w:val="single" w:sz="4" w:space="0" w:color="000000"/>
              <w:right w:val="single" w:sz="4" w:space="0" w:color="000000"/>
            </w:tcBorders>
          </w:tcPr>
          <w:p w14:paraId="7EE80F48" w14:textId="77777777" w:rsidR="00FE291A" w:rsidRDefault="00C8738F">
            <w:pPr>
              <w:pStyle w:val="TableParagraph"/>
              <w:widowControl/>
              <w:kinsoku w:val="0"/>
              <w:overflowPunct w:val="0"/>
              <w:jc w:val="center"/>
              <w:rPr>
                <w:sz w:val="22"/>
                <w:lang w:val="de-DE"/>
              </w:rPr>
            </w:pPr>
            <w:r>
              <w:rPr>
                <w:sz w:val="22"/>
                <w:szCs w:val="22"/>
                <w:lang w:val="de-DE"/>
              </w:rPr>
              <w:t>-1,8**</w:t>
            </w:r>
          </w:p>
        </w:tc>
      </w:tr>
    </w:tbl>
    <w:p w14:paraId="206CA1EA" w14:textId="77777777" w:rsidR="00FE291A" w:rsidRDefault="00C8738F">
      <w:pPr>
        <w:pStyle w:val="BodyText"/>
        <w:keepNext/>
        <w:widowControl/>
        <w:kinsoku w:val="0"/>
        <w:overflowPunct w:val="0"/>
        <w:ind w:left="0"/>
        <w:rPr>
          <w:sz w:val="20"/>
          <w:szCs w:val="20"/>
          <w:lang w:val="en-US"/>
        </w:rPr>
      </w:pPr>
      <w:r>
        <w:rPr>
          <w:sz w:val="20"/>
          <w:szCs w:val="20"/>
          <w:vertAlign w:val="superscript"/>
          <w:lang w:val="en-US"/>
        </w:rPr>
        <w:t>a</w:t>
      </w:r>
      <w:r>
        <w:rPr>
          <w:sz w:val="20"/>
          <w:szCs w:val="20"/>
          <w:lang w:val="en-US"/>
        </w:rPr>
        <w:t xml:space="preserve"> </w:t>
      </w:r>
      <w:r>
        <w:rPr>
          <w:i/>
          <w:sz w:val="20"/>
          <w:szCs w:val="20"/>
          <w:lang w:val="en-US"/>
        </w:rPr>
        <w:t>Assessment of SpondyloArthritis International Society</w:t>
      </w:r>
    </w:p>
    <w:p w14:paraId="028C6321" w14:textId="77777777" w:rsidR="00FE291A" w:rsidRDefault="00C8738F">
      <w:pPr>
        <w:pStyle w:val="BodyText"/>
        <w:keepNext/>
        <w:widowControl/>
        <w:kinsoku w:val="0"/>
        <w:overflowPunct w:val="0"/>
        <w:ind w:left="0"/>
        <w:rPr>
          <w:sz w:val="20"/>
          <w:szCs w:val="20"/>
          <w:lang w:val="en-US"/>
        </w:rPr>
      </w:pPr>
      <w:r>
        <w:rPr>
          <w:sz w:val="20"/>
          <w:szCs w:val="20"/>
          <w:vertAlign w:val="superscript"/>
          <w:lang w:val="en-US"/>
        </w:rPr>
        <w:t>b</w:t>
      </w:r>
      <w:r>
        <w:rPr>
          <w:sz w:val="20"/>
          <w:szCs w:val="20"/>
          <w:lang w:val="en-US"/>
        </w:rPr>
        <w:t xml:space="preserve"> </w:t>
      </w:r>
      <w:r>
        <w:rPr>
          <w:i/>
          <w:sz w:val="20"/>
          <w:szCs w:val="20"/>
          <w:lang w:val="en-US"/>
        </w:rPr>
        <w:t>Bath Ankylosing Spondylitis Disease Activity Index</w:t>
      </w:r>
    </w:p>
    <w:p w14:paraId="5EC3A9A6" w14:textId="77777777" w:rsidR="00FE291A" w:rsidRDefault="00C8738F">
      <w:pPr>
        <w:pStyle w:val="BodyText"/>
        <w:keepNext/>
        <w:widowControl/>
        <w:kinsoku w:val="0"/>
        <w:overflowPunct w:val="0"/>
        <w:ind w:left="0"/>
        <w:rPr>
          <w:sz w:val="20"/>
          <w:szCs w:val="20"/>
          <w:lang w:val="en-US"/>
        </w:rPr>
      </w:pPr>
      <w:r>
        <w:rPr>
          <w:sz w:val="20"/>
          <w:szCs w:val="20"/>
          <w:vertAlign w:val="superscript"/>
          <w:lang w:val="en-US"/>
        </w:rPr>
        <w:t>c</w:t>
      </w:r>
      <w:r>
        <w:rPr>
          <w:sz w:val="20"/>
          <w:szCs w:val="20"/>
          <w:lang w:val="en-US"/>
        </w:rPr>
        <w:t xml:space="preserve"> </w:t>
      </w:r>
      <w:r>
        <w:rPr>
          <w:i/>
          <w:sz w:val="20"/>
          <w:szCs w:val="20"/>
          <w:lang w:val="en-US"/>
        </w:rPr>
        <w:t>Ankylosing Spondylitis Disease Activity Score</w:t>
      </w:r>
    </w:p>
    <w:p w14:paraId="13503C25" w14:textId="77777777" w:rsidR="00FE291A" w:rsidRDefault="00C8738F">
      <w:pPr>
        <w:pStyle w:val="BodyText"/>
        <w:keepNext/>
        <w:widowControl/>
        <w:kinsoku w:val="0"/>
        <w:overflowPunct w:val="0"/>
        <w:ind w:left="0"/>
        <w:rPr>
          <w:sz w:val="20"/>
          <w:szCs w:val="20"/>
          <w:lang w:val="de-DE"/>
        </w:rPr>
      </w:pPr>
      <w:r>
        <w:rPr>
          <w:sz w:val="20"/>
          <w:szCs w:val="20"/>
          <w:vertAlign w:val="superscript"/>
          <w:lang w:val="de-DE"/>
        </w:rPr>
        <w:t>d</w:t>
      </w:r>
      <w:r>
        <w:rPr>
          <w:sz w:val="20"/>
          <w:szCs w:val="20"/>
          <w:lang w:val="de-DE"/>
        </w:rPr>
        <w:t xml:space="preserve"> Mittlere Veränderung gegenüber </w:t>
      </w:r>
      <w:r>
        <w:rPr>
          <w:i/>
          <w:iCs/>
          <w:sz w:val="20"/>
          <w:szCs w:val="20"/>
          <w:lang w:val="de-DE"/>
        </w:rPr>
        <w:t>Baseline</w:t>
      </w:r>
    </w:p>
    <w:p w14:paraId="08202512" w14:textId="77777777" w:rsidR="00FE291A" w:rsidRDefault="00C8738F">
      <w:pPr>
        <w:pStyle w:val="BodyText"/>
        <w:keepNext/>
        <w:widowControl/>
        <w:kinsoku w:val="0"/>
        <w:overflowPunct w:val="0"/>
        <w:ind w:left="0"/>
        <w:rPr>
          <w:sz w:val="20"/>
          <w:szCs w:val="20"/>
          <w:lang w:val="de-DE"/>
        </w:rPr>
      </w:pPr>
      <w:r>
        <w:rPr>
          <w:sz w:val="20"/>
          <w:szCs w:val="20"/>
          <w:vertAlign w:val="superscript"/>
          <w:lang w:val="de-DE"/>
        </w:rPr>
        <w:t>e</w:t>
      </w:r>
      <w:r>
        <w:rPr>
          <w:sz w:val="20"/>
          <w:szCs w:val="20"/>
          <w:lang w:val="de-DE"/>
        </w:rPr>
        <w:t xml:space="preserve"> n = 91 Placebo und n = 87 Adalimumab </w:t>
      </w:r>
    </w:p>
    <w:p w14:paraId="543ADDE8" w14:textId="77777777" w:rsidR="00FE291A" w:rsidRDefault="00C8738F">
      <w:pPr>
        <w:pStyle w:val="BodyText"/>
        <w:keepNext/>
        <w:widowControl/>
        <w:kinsoku w:val="0"/>
        <w:overflowPunct w:val="0"/>
        <w:ind w:left="0"/>
        <w:rPr>
          <w:sz w:val="20"/>
          <w:szCs w:val="20"/>
          <w:lang w:val="de-DE"/>
        </w:rPr>
      </w:pPr>
      <w:r>
        <w:rPr>
          <w:sz w:val="20"/>
          <w:szCs w:val="20"/>
          <w:vertAlign w:val="superscript"/>
          <w:lang w:val="de-DE"/>
        </w:rPr>
        <w:t>f</w:t>
      </w:r>
      <w:r>
        <w:rPr>
          <w:sz w:val="20"/>
          <w:szCs w:val="20"/>
          <w:lang w:val="de-DE"/>
        </w:rPr>
        <w:t xml:space="preserve"> hochsensitives C-reaktives Protein (mg/l)</w:t>
      </w:r>
    </w:p>
    <w:p w14:paraId="715FFA39" w14:textId="77777777" w:rsidR="00FE291A" w:rsidRPr="00C85130" w:rsidRDefault="00C8738F">
      <w:pPr>
        <w:pStyle w:val="BodyText"/>
        <w:keepNext/>
        <w:widowControl/>
        <w:kinsoku w:val="0"/>
        <w:overflowPunct w:val="0"/>
        <w:ind w:left="0"/>
        <w:rPr>
          <w:sz w:val="20"/>
          <w:szCs w:val="20"/>
          <w:lang w:val="de-DE"/>
          <w:rPrChange w:id="10" w:author="Author">
            <w:rPr>
              <w:sz w:val="20"/>
              <w:szCs w:val="20"/>
              <w:lang w:val="pt-BR"/>
            </w:rPr>
          </w:rPrChange>
        </w:rPr>
      </w:pPr>
      <w:r w:rsidRPr="00C85130">
        <w:rPr>
          <w:sz w:val="20"/>
          <w:szCs w:val="20"/>
          <w:vertAlign w:val="superscript"/>
          <w:lang w:val="de-DE"/>
          <w:rPrChange w:id="11" w:author="Author">
            <w:rPr>
              <w:sz w:val="20"/>
              <w:szCs w:val="20"/>
              <w:vertAlign w:val="superscript"/>
              <w:lang w:val="pt-BR"/>
            </w:rPr>
          </w:rPrChange>
        </w:rPr>
        <w:t>g</w:t>
      </w:r>
      <w:r w:rsidRPr="00C85130">
        <w:rPr>
          <w:sz w:val="20"/>
          <w:szCs w:val="20"/>
          <w:lang w:val="de-DE"/>
          <w:rPrChange w:id="12" w:author="Author">
            <w:rPr>
              <w:sz w:val="20"/>
              <w:szCs w:val="20"/>
              <w:lang w:val="pt-BR"/>
            </w:rPr>
          </w:rPrChange>
        </w:rPr>
        <w:t xml:space="preserve"> n = 73 Placebo und n = 70 Adalimumab</w:t>
      </w:r>
    </w:p>
    <w:p w14:paraId="0A0F60F6" w14:textId="77777777" w:rsidR="00FE291A" w:rsidRPr="00C85130" w:rsidRDefault="00C8738F">
      <w:pPr>
        <w:pStyle w:val="BodyText"/>
        <w:keepNext/>
        <w:widowControl/>
        <w:kinsoku w:val="0"/>
        <w:overflowPunct w:val="0"/>
        <w:ind w:left="0"/>
        <w:rPr>
          <w:sz w:val="20"/>
          <w:szCs w:val="20"/>
          <w:lang w:val="de-DE"/>
          <w:rPrChange w:id="13" w:author="Author">
            <w:rPr>
              <w:sz w:val="20"/>
              <w:szCs w:val="20"/>
              <w:lang w:val="en-US"/>
            </w:rPr>
          </w:rPrChange>
        </w:rPr>
      </w:pPr>
      <w:r w:rsidRPr="00C85130">
        <w:rPr>
          <w:sz w:val="20"/>
          <w:szCs w:val="20"/>
          <w:vertAlign w:val="superscript"/>
          <w:lang w:val="de-DE"/>
          <w:rPrChange w:id="14" w:author="Author">
            <w:rPr>
              <w:sz w:val="20"/>
              <w:szCs w:val="20"/>
              <w:vertAlign w:val="superscript"/>
              <w:lang w:val="en-US"/>
            </w:rPr>
          </w:rPrChange>
        </w:rPr>
        <w:t>h</w:t>
      </w:r>
      <w:r w:rsidRPr="00C85130">
        <w:rPr>
          <w:sz w:val="20"/>
          <w:szCs w:val="20"/>
          <w:lang w:val="de-DE"/>
          <w:rPrChange w:id="15" w:author="Author">
            <w:rPr>
              <w:sz w:val="20"/>
              <w:szCs w:val="20"/>
              <w:lang w:val="en-US"/>
            </w:rPr>
          </w:rPrChange>
        </w:rPr>
        <w:t xml:space="preserve"> </w:t>
      </w:r>
      <w:r w:rsidRPr="00C85130">
        <w:rPr>
          <w:i/>
          <w:sz w:val="20"/>
          <w:szCs w:val="20"/>
          <w:lang w:val="de-DE"/>
          <w:rPrChange w:id="16" w:author="Author">
            <w:rPr>
              <w:i/>
              <w:sz w:val="20"/>
              <w:szCs w:val="20"/>
              <w:lang w:val="en-US"/>
            </w:rPr>
          </w:rPrChange>
        </w:rPr>
        <w:t>Spondyloarthritis Research Consortium of Canada</w:t>
      </w:r>
    </w:p>
    <w:p w14:paraId="0B076169" w14:textId="77777777" w:rsidR="00FE291A" w:rsidRPr="00C85130" w:rsidRDefault="00C8738F">
      <w:pPr>
        <w:pStyle w:val="BodyText"/>
        <w:keepNext/>
        <w:widowControl/>
        <w:kinsoku w:val="0"/>
        <w:overflowPunct w:val="0"/>
        <w:ind w:left="0"/>
        <w:rPr>
          <w:sz w:val="20"/>
          <w:szCs w:val="20"/>
          <w:lang w:val="de-DE"/>
          <w:rPrChange w:id="17" w:author="Author">
            <w:rPr>
              <w:sz w:val="20"/>
              <w:szCs w:val="20"/>
              <w:lang w:val="en-US"/>
            </w:rPr>
          </w:rPrChange>
        </w:rPr>
      </w:pPr>
      <w:r w:rsidRPr="00C85130">
        <w:rPr>
          <w:sz w:val="20"/>
          <w:szCs w:val="20"/>
          <w:vertAlign w:val="superscript"/>
          <w:lang w:val="de-DE"/>
          <w:rPrChange w:id="18" w:author="Author">
            <w:rPr>
              <w:sz w:val="20"/>
              <w:szCs w:val="20"/>
              <w:vertAlign w:val="superscript"/>
              <w:lang w:val="en-US"/>
            </w:rPr>
          </w:rPrChange>
        </w:rPr>
        <w:t>i</w:t>
      </w:r>
      <w:r w:rsidRPr="00C85130">
        <w:rPr>
          <w:sz w:val="20"/>
          <w:szCs w:val="20"/>
          <w:lang w:val="de-DE"/>
          <w:rPrChange w:id="19" w:author="Author">
            <w:rPr>
              <w:sz w:val="20"/>
              <w:szCs w:val="20"/>
              <w:lang w:val="en-US"/>
            </w:rPr>
          </w:rPrChange>
        </w:rPr>
        <w:t xml:space="preserve"> n = 84 Placebo und Adalimumab</w:t>
      </w:r>
    </w:p>
    <w:p w14:paraId="3530BAC8" w14:textId="77777777" w:rsidR="00FE291A" w:rsidRPr="00C85130" w:rsidRDefault="00C8738F">
      <w:pPr>
        <w:pStyle w:val="BodyText"/>
        <w:keepNext/>
        <w:widowControl/>
        <w:kinsoku w:val="0"/>
        <w:overflowPunct w:val="0"/>
        <w:ind w:left="0"/>
        <w:rPr>
          <w:sz w:val="20"/>
          <w:szCs w:val="20"/>
          <w:lang w:val="de-DE"/>
          <w:rPrChange w:id="20" w:author="Author">
            <w:rPr>
              <w:sz w:val="20"/>
              <w:szCs w:val="20"/>
              <w:lang w:val="en-US"/>
            </w:rPr>
          </w:rPrChange>
        </w:rPr>
      </w:pPr>
      <w:r w:rsidRPr="00C85130">
        <w:rPr>
          <w:sz w:val="20"/>
          <w:szCs w:val="20"/>
          <w:vertAlign w:val="superscript"/>
          <w:lang w:val="de-DE"/>
          <w:rPrChange w:id="21" w:author="Author">
            <w:rPr>
              <w:sz w:val="20"/>
              <w:szCs w:val="20"/>
              <w:vertAlign w:val="superscript"/>
              <w:lang w:val="en-US"/>
            </w:rPr>
          </w:rPrChange>
        </w:rPr>
        <w:t>j</w:t>
      </w:r>
      <w:r w:rsidRPr="00C85130">
        <w:rPr>
          <w:sz w:val="20"/>
          <w:szCs w:val="20"/>
          <w:lang w:val="de-DE"/>
          <w:rPrChange w:id="22" w:author="Author">
            <w:rPr>
              <w:sz w:val="20"/>
              <w:szCs w:val="20"/>
              <w:lang w:val="en-US"/>
            </w:rPr>
          </w:rPrChange>
        </w:rPr>
        <w:t xml:space="preserve"> n = 82 Placebo und n = 85 Adalimumab</w:t>
      </w:r>
    </w:p>
    <w:p w14:paraId="297A68FE" w14:textId="77777777" w:rsidR="00FE291A" w:rsidRDefault="00C8738F">
      <w:pPr>
        <w:pStyle w:val="BodyText"/>
        <w:keepNext/>
        <w:widowControl/>
        <w:kinsoku w:val="0"/>
        <w:overflowPunct w:val="0"/>
        <w:ind w:left="0"/>
        <w:rPr>
          <w:sz w:val="20"/>
          <w:szCs w:val="20"/>
          <w:lang w:val="de-DE"/>
        </w:rPr>
      </w:pPr>
      <w:r>
        <w:rPr>
          <w:sz w:val="20"/>
          <w:szCs w:val="20"/>
          <w:lang w:val="de-DE"/>
        </w:rPr>
        <w:t>***, **, * statistisch signifikant mit p &lt; 0,001; &lt; 0,01 bzw. &lt; 0,05 für alle Vergleiche von Adalimumab mit Placebo</w:t>
      </w:r>
    </w:p>
    <w:p w14:paraId="581AA60C" w14:textId="77777777" w:rsidR="00FE291A" w:rsidRDefault="00FE291A">
      <w:pPr>
        <w:widowControl/>
        <w:kinsoku w:val="0"/>
        <w:overflowPunct w:val="0"/>
        <w:rPr>
          <w:sz w:val="22"/>
          <w:szCs w:val="22"/>
          <w:lang w:val="de-DE"/>
        </w:rPr>
      </w:pPr>
    </w:p>
    <w:p w14:paraId="11610908" w14:textId="77777777" w:rsidR="00FE291A" w:rsidRDefault="00C8738F">
      <w:pPr>
        <w:widowControl/>
        <w:kinsoku w:val="0"/>
        <w:overflowPunct w:val="0"/>
        <w:rPr>
          <w:sz w:val="22"/>
          <w:szCs w:val="22"/>
          <w:lang w:val="de-DE"/>
        </w:rPr>
      </w:pPr>
      <w:r>
        <w:rPr>
          <w:sz w:val="22"/>
          <w:szCs w:val="22"/>
          <w:lang w:val="de-DE"/>
        </w:rPr>
        <w:t>In der offenen Fortsetzungsstudie konnte die Verbesserung der Anzeichen und Symptome unter der Behandlung mit Adalimumab bis Woche 156 aufrechterhalten werden.</w:t>
      </w:r>
    </w:p>
    <w:p w14:paraId="52A4363F" w14:textId="77777777" w:rsidR="00FE291A" w:rsidRDefault="00FE291A">
      <w:pPr>
        <w:widowControl/>
        <w:kinsoku w:val="0"/>
        <w:overflowPunct w:val="0"/>
        <w:rPr>
          <w:sz w:val="22"/>
          <w:szCs w:val="22"/>
          <w:lang w:val="de-DE"/>
        </w:rPr>
      </w:pPr>
    </w:p>
    <w:p w14:paraId="00C1ED86" w14:textId="77777777" w:rsidR="00FE291A" w:rsidRDefault="00C8738F">
      <w:pPr>
        <w:keepNext/>
        <w:widowControl/>
        <w:kinsoku w:val="0"/>
        <w:overflowPunct w:val="0"/>
        <w:rPr>
          <w:sz w:val="22"/>
          <w:szCs w:val="22"/>
          <w:u w:val="single"/>
          <w:lang w:val="de-DE"/>
        </w:rPr>
      </w:pPr>
      <w:r>
        <w:rPr>
          <w:sz w:val="22"/>
          <w:szCs w:val="22"/>
          <w:u w:val="single"/>
          <w:lang w:val="de-DE"/>
        </w:rPr>
        <w:t>Hemmung der Entzündung</w:t>
      </w:r>
    </w:p>
    <w:p w14:paraId="2AC1F0F8" w14:textId="77777777" w:rsidR="00FE291A" w:rsidRDefault="00FE291A">
      <w:pPr>
        <w:keepNext/>
        <w:widowControl/>
        <w:kinsoku w:val="0"/>
        <w:overflowPunct w:val="0"/>
        <w:rPr>
          <w:sz w:val="22"/>
          <w:szCs w:val="22"/>
          <w:lang w:val="de-DE"/>
        </w:rPr>
      </w:pPr>
    </w:p>
    <w:p w14:paraId="6D4611EA" w14:textId="77777777" w:rsidR="00FE291A" w:rsidRDefault="00C8738F">
      <w:pPr>
        <w:pStyle w:val="BodyText"/>
        <w:widowControl/>
        <w:kinsoku w:val="0"/>
        <w:overflowPunct w:val="0"/>
        <w:ind w:left="0"/>
        <w:rPr>
          <w:lang w:val="de-DE"/>
        </w:rPr>
      </w:pPr>
      <w:r>
        <w:rPr>
          <w:lang w:val="de-DE"/>
        </w:rPr>
        <w:t>Eine signifikante Verbesserung der Anzeichen der Entzündung beider Iliosakralgelenke und der Wirbelsäule, gemessen mittels hs-CRP-Wert und MRT, konnte bei den mit Adalimumab behandelten Patienten bis Woche 156 bzw. 104 aufrechterhalten werden.</w:t>
      </w:r>
    </w:p>
    <w:p w14:paraId="342A2FB6" w14:textId="77777777" w:rsidR="00FE291A" w:rsidRDefault="00FE291A">
      <w:pPr>
        <w:widowControl/>
        <w:kinsoku w:val="0"/>
        <w:overflowPunct w:val="0"/>
        <w:rPr>
          <w:sz w:val="22"/>
          <w:szCs w:val="22"/>
          <w:lang w:val="de-DE"/>
        </w:rPr>
      </w:pPr>
    </w:p>
    <w:p w14:paraId="5175385A" w14:textId="77777777" w:rsidR="00FE291A" w:rsidRDefault="00C8738F">
      <w:pPr>
        <w:pStyle w:val="BodyText"/>
        <w:keepNext/>
        <w:widowControl/>
        <w:kinsoku w:val="0"/>
        <w:overflowPunct w:val="0"/>
        <w:ind w:left="0"/>
        <w:rPr>
          <w:u w:val="single"/>
          <w:lang w:val="de-DE"/>
        </w:rPr>
      </w:pPr>
      <w:r>
        <w:rPr>
          <w:u w:val="single"/>
          <w:lang w:val="de-DE"/>
        </w:rPr>
        <w:t>Lebensqualität und körperliche Funktionsfähigkeit</w:t>
      </w:r>
    </w:p>
    <w:p w14:paraId="18FFA95E" w14:textId="77777777" w:rsidR="00FE291A" w:rsidRDefault="00FE291A">
      <w:pPr>
        <w:keepNext/>
        <w:widowControl/>
        <w:kinsoku w:val="0"/>
        <w:overflowPunct w:val="0"/>
        <w:rPr>
          <w:sz w:val="22"/>
          <w:szCs w:val="22"/>
          <w:lang w:val="de-DE"/>
        </w:rPr>
      </w:pPr>
    </w:p>
    <w:p w14:paraId="2311385E" w14:textId="77777777" w:rsidR="00FE291A" w:rsidRDefault="00C8738F">
      <w:pPr>
        <w:pStyle w:val="BodyText"/>
        <w:widowControl/>
        <w:kinsoku w:val="0"/>
        <w:overflowPunct w:val="0"/>
        <w:ind w:left="0"/>
        <w:rPr>
          <w:lang w:val="de-DE"/>
        </w:rPr>
      </w:pPr>
      <w:r>
        <w:rPr>
          <w:lang w:val="de-DE"/>
        </w:rPr>
        <w:t>Die gesundheitsbezogene Lebensqualität und körperliche Funktionsfähigkeit wurden unter Anwendung der HAQ-S- und SF-36-Fragebögen geprüft. Im Vergleich zu Placebo zeigte Adalimumab von Studienbeginn bis Woche 12 eine statistisch signifikant stärkere Verbesserung im HAQ-S-Gesamtscore und der körperlichen Funktionsfähigkeit (SF-36 Physical Component Score (PCS)). Die Verbesserung der gesundheitsbezogenen Lebensqualität und der körperlichen Funktionsfähigkeit konnte in der offenen Fortsetzungsstudie bis Woche 156 aufrechterhalten werden.</w:t>
      </w:r>
    </w:p>
    <w:p w14:paraId="66AC30FC" w14:textId="77777777" w:rsidR="00FE291A" w:rsidRDefault="00FE291A">
      <w:pPr>
        <w:widowControl/>
        <w:kinsoku w:val="0"/>
        <w:overflowPunct w:val="0"/>
        <w:rPr>
          <w:sz w:val="22"/>
          <w:szCs w:val="22"/>
          <w:lang w:val="de-DE"/>
        </w:rPr>
      </w:pPr>
    </w:p>
    <w:p w14:paraId="76E00E48" w14:textId="77777777" w:rsidR="00FE291A" w:rsidRDefault="00C8738F">
      <w:pPr>
        <w:keepNext/>
        <w:widowControl/>
        <w:tabs>
          <w:tab w:val="left" w:pos="562"/>
        </w:tabs>
        <w:suppressAutoHyphens/>
        <w:autoSpaceDE/>
        <w:autoSpaceDN/>
        <w:adjustRightInd/>
        <w:rPr>
          <w:rFonts w:eastAsia="Times New Roman"/>
          <w:sz w:val="22"/>
          <w:szCs w:val="22"/>
          <w:lang w:val="de-DE" w:eastAsia="en-US"/>
        </w:rPr>
      </w:pPr>
      <w:r>
        <w:rPr>
          <w:rFonts w:eastAsia="Times New Roman"/>
          <w:sz w:val="22"/>
          <w:szCs w:val="20"/>
          <w:lang w:val="de-DE" w:eastAsia="en-US"/>
        </w:rPr>
        <w:t>nr</w:t>
      </w:r>
      <w:r>
        <w:rPr>
          <w:rFonts w:eastAsia="Times New Roman"/>
          <w:sz w:val="22"/>
          <w:szCs w:val="20"/>
          <w:lang w:val="de-DE" w:eastAsia="en-US"/>
        </w:rPr>
        <w:noBreakHyphen/>
        <w:t>axSpA-Studie II</w:t>
      </w:r>
    </w:p>
    <w:p w14:paraId="0C90DF17" w14:textId="77777777" w:rsidR="00FE291A" w:rsidRDefault="00FE291A">
      <w:pPr>
        <w:keepNext/>
        <w:widowControl/>
        <w:tabs>
          <w:tab w:val="left" w:pos="562"/>
        </w:tabs>
        <w:suppressAutoHyphens/>
        <w:autoSpaceDE/>
        <w:autoSpaceDN/>
        <w:adjustRightInd/>
        <w:rPr>
          <w:rFonts w:eastAsia="Times New Roman"/>
          <w:sz w:val="22"/>
          <w:szCs w:val="22"/>
          <w:lang w:val="de-DE" w:eastAsia="en-US"/>
        </w:rPr>
      </w:pPr>
    </w:p>
    <w:p w14:paraId="2CCB1D72" w14:textId="77777777" w:rsidR="00FE291A" w:rsidRDefault="00C8738F">
      <w:pPr>
        <w:widowControl/>
        <w:tabs>
          <w:tab w:val="left" w:pos="562"/>
        </w:tabs>
        <w:suppressAutoHyphens/>
        <w:autoSpaceDE/>
        <w:autoSpaceDN/>
        <w:adjustRightInd/>
        <w:rPr>
          <w:rFonts w:eastAsia="Times New Roman"/>
          <w:sz w:val="22"/>
          <w:szCs w:val="22"/>
          <w:lang w:val="de-DE" w:eastAsia="en-US"/>
        </w:rPr>
      </w:pPr>
      <w:r>
        <w:rPr>
          <w:rFonts w:eastAsia="Times New Roman"/>
          <w:sz w:val="22"/>
          <w:szCs w:val="20"/>
          <w:lang w:val="de-DE" w:eastAsia="en-US"/>
        </w:rPr>
        <w:t>673 Patienten mit aktiver nr</w:t>
      </w:r>
      <w:r>
        <w:rPr>
          <w:rFonts w:eastAsia="Times New Roman"/>
          <w:sz w:val="22"/>
          <w:szCs w:val="20"/>
          <w:lang w:val="de-DE" w:eastAsia="en-US"/>
        </w:rPr>
        <w:noBreakHyphen/>
        <w:t xml:space="preserve">axSpA (mittlerer Ausgangswert der Krankheitsaktivität [BASDAI] war 7,0), die auf </w:t>
      </w:r>
      <w:r>
        <w:rPr>
          <w:rFonts w:ascii="Symbol" w:eastAsia="Times New Roman" w:hAnsi="Symbol"/>
          <w:sz w:val="22"/>
          <w:szCs w:val="22"/>
          <w:lang w:val="de-DE" w:eastAsia="en-US"/>
        </w:rPr>
        <w:sym w:font="Symbol" w:char="F0B3"/>
      </w:r>
      <w:r>
        <w:rPr>
          <w:rFonts w:eastAsia="Times New Roman"/>
          <w:sz w:val="22"/>
          <w:szCs w:val="20"/>
          <w:lang w:val="de-DE" w:eastAsia="en-US"/>
        </w:rPr>
        <w:t> 2 NSAR unzureichend angesprochen haben oder bei denen eine Unverträglichkeit oder Kontraindikation gegenüber diesen vorlag, wurden in die offene Fortsetzungsphase der nr</w:t>
      </w:r>
      <w:r>
        <w:rPr>
          <w:rFonts w:eastAsia="Times New Roman"/>
          <w:sz w:val="22"/>
          <w:szCs w:val="20"/>
          <w:lang w:val="de-DE" w:eastAsia="en-US"/>
        </w:rPr>
        <w:noBreakHyphen/>
        <w:t>axSpA-Studie II aufgenommen. Die Patienten erhielten jede zweite Woche Adalimumab 40 mg für 28 Wochen. Alle Patienten hatten Anzeichen einer Entzündung des Iliosakralgelenkes oder der Wirbelsäule, die mittels MRT nachgewiesen wurden, oder erhöhte hs-CRP-Werte. Patienten, die während der offenen Fortsetzungsphase eine über mindestens 12 Wochen anhaltende Remission erreichten (N = 305) (ASDAS &lt; 1,3 in Woche 16, 20, 24 und 28), wurden daraufhin randomisiert. Sie erhielten in einer doppelblinden, placebokontrollierten Phase weitere 40 Wochen lang (Gesamtdauer der Studie 68 Wochen) entweder weiterhin jede zweite Woche Adalimumab 40 mg (n = 152) oder Placebo (n = 153). Studienteilnehmer, die in der doppelblinden Phase einen Schub bekamen, konnten für mindestens 12 Wochen eine Rescue-Therapie mit Adalimumab 40 mg jede zweite Woche erhalten.</w:t>
      </w:r>
    </w:p>
    <w:p w14:paraId="073558B6" w14:textId="77777777" w:rsidR="00FE291A" w:rsidRDefault="00FE291A">
      <w:pPr>
        <w:widowControl/>
        <w:tabs>
          <w:tab w:val="left" w:pos="562"/>
        </w:tabs>
        <w:suppressAutoHyphens/>
        <w:autoSpaceDE/>
        <w:autoSpaceDN/>
        <w:adjustRightInd/>
        <w:rPr>
          <w:rFonts w:eastAsia="Times New Roman"/>
          <w:sz w:val="22"/>
          <w:szCs w:val="20"/>
          <w:lang w:val="de-DE" w:eastAsia="en-US"/>
        </w:rPr>
      </w:pPr>
    </w:p>
    <w:p w14:paraId="2498FDBC" w14:textId="77777777" w:rsidR="00FE291A" w:rsidRDefault="00C8738F">
      <w:pPr>
        <w:widowControl/>
        <w:tabs>
          <w:tab w:val="left" w:pos="562"/>
        </w:tabs>
        <w:suppressAutoHyphens/>
        <w:autoSpaceDE/>
        <w:autoSpaceDN/>
        <w:adjustRightInd/>
        <w:rPr>
          <w:rFonts w:eastAsia="Times New Roman"/>
          <w:sz w:val="22"/>
          <w:szCs w:val="20"/>
          <w:lang w:val="de-DE" w:eastAsia="en-US"/>
        </w:rPr>
      </w:pPr>
      <w:r>
        <w:rPr>
          <w:rFonts w:eastAsia="Times New Roman"/>
          <w:sz w:val="22"/>
          <w:szCs w:val="20"/>
          <w:lang w:val="de-DE" w:eastAsia="en-US"/>
        </w:rPr>
        <w:t xml:space="preserve">Der primäre Wirksamkeitsendpunkt der Studie war der Anteil an Patienten ohne Schub bis Woche 68. Ein Schub war definiert als ASDAS ≥ 2,1 bei zwei aufeinanderfolgenden Visiten im Abstand von vier Wochen. In der doppelblinden Phase hatte ein höherer Anteil der Patienten unter Adalimumab im Vergleich zu Patienten unter Placebo keinen Schub (70,4 % gegenüber 47,1 %, p &lt; 0,001) (Abbildung 1). </w:t>
      </w:r>
    </w:p>
    <w:p w14:paraId="1C4AD0F1" w14:textId="77777777" w:rsidR="00FE291A" w:rsidRDefault="00FE291A">
      <w:pPr>
        <w:keepNext/>
        <w:widowControl/>
        <w:tabs>
          <w:tab w:val="left" w:pos="562"/>
        </w:tabs>
        <w:suppressAutoHyphens/>
        <w:autoSpaceDE/>
        <w:autoSpaceDN/>
        <w:adjustRightInd/>
        <w:jc w:val="center"/>
        <w:rPr>
          <w:rFonts w:eastAsia="Times New Roman"/>
          <w:sz w:val="22"/>
          <w:szCs w:val="20"/>
          <w:lang w:val="de-DE" w:eastAsia="en-US"/>
        </w:rPr>
      </w:pPr>
    </w:p>
    <w:p w14:paraId="7D3E7780" w14:textId="77777777" w:rsidR="00FE291A" w:rsidRDefault="00C8738F">
      <w:pPr>
        <w:keepNext/>
        <w:widowControl/>
        <w:tabs>
          <w:tab w:val="left" w:pos="562"/>
        </w:tabs>
        <w:suppressAutoHyphens/>
        <w:autoSpaceDE/>
        <w:autoSpaceDN/>
        <w:adjustRightInd/>
        <w:rPr>
          <w:rFonts w:eastAsia="Times New Roman"/>
          <w:sz w:val="22"/>
          <w:szCs w:val="20"/>
          <w:lang w:val="de-DE" w:eastAsia="en-US"/>
        </w:rPr>
      </w:pPr>
      <w:r>
        <w:rPr>
          <w:rFonts w:eastAsia="Times New Roman"/>
          <w:b/>
          <w:sz w:val="22"/>
          <w:szCs w:val="20"/>
          <w:lang w:val="de-DE" w:eastAsia="en-US"/>
        </w:rPr>
        <w:t>Abbildung 1: Kaplan-Meier-Kurven zur Darstellung der Dauer bis zum Schub in der</w:t>
      </w:r>
    </w:p>
    <w:p w14:paraId="607B746A" w14:textId="77777777" w:rsidR="00FE291A" w:rsidRDefault="00C8738F">
      <w:pPr>
        <w:keepNext/>
        <w:widowControl/>
        <w:tabs>
          <w:tab w:val="left" w:pos="562"/>
        </w:tabs>
        <w:suppressAutoHyphens/>
        <w:autoSpaceDE/>
        <w:autoSpaceDN/>
        <w:adjustRightInd/>
        <w:rPr>
          <w:rFonts w:eastAsia="Times New Roman"/>
          <w:b/>
          <w:sz w:val="22"/>
          <w:szCs w:val="20"/>
          <w:lang w:val="de-DE" w:eastAsia="en-US"/>
        </w:rPr>
      </w:pPr>
      <w:r>
        <w:rPr>
          <w:rFonts w:eastAsia="Times New Roman"/>
          <w:b/>
          <w:sz w:val="22"/>
          <w:szCs w:val="20"/>
          <w:lang w:val="de-DE" w:eastAsia="en-US"/>
        </w:rPr>
        <w:t>nr</w:t>
      </w:r>
      <w:r>
        <w:rPr>
          <w:rFonts w:eastAsia="Times New Roman"/>
          <w:b/>
          <w:sz w:val="22"/>
          <w:szCs w:val="20"/>
          <w:lang w:val="de-DE" w:eastAsia="en-US"/>
        </w:rPr>
        <w:noBreakHyphen/>
        <w:t>axSpA-Studie II</w:t>
      </w:r>
    </w:p>
    <w:p w14:paraId="7B2DFDB7" w14:textId="77777777" w:rsidR="00FE291A" w:rsidRDefault="00FE291A">
      <w:pPr>
        <w:keepNext/>
        <w:widowControl/>
        <w:tabs>
          <w:tab w:val="left" w:pos="562"/>
        </w:tabs>
        <w:suppressAutoHyphens/>
        <w:autoSpaceDE/>
        <w:autoSpaceDN/>
        <w:adjustRightInd/>
        <w:rPr>
          <w:rFonts w:eastAsia="Times New Roman"/>
          <w:sz w:val="22"/>
          <w:szCs w:val="20"/>
          <w:lang w:val="de-DE" w:eastAsia="en-US"/>
        </w:rPr>
      </w:pPr>
    </w:p>
    <w:tbl>
      <w:tblPr>
        <w:tblW w:w="9561" w:type="dxa"/>
        <w:tblLayout w:type="fixed"/>
        <w:tblLook w:val="04A0" w:firstRow="1" w:lastRow="0" w:firstColumn="1" w:lastColumn="0" w:noHBand="0" w:noVBand="1"/>
      </w:tblPr>
      <w:tblGrid>
        <w:gridCol w:w="602"/>
        <w:gridCol w:w="8959"/>
      </w:tblGrid>
      <w:tr w:rsidR="00FE291A" w14:paraId="3793B491" w14:textId="77777777">
        <w:trPr>
          <w:cantSplit/>
          <w:trHeight w:val="1134"/>
        </w:trPr>
        <w:tc>
          <w:tcPr>
            <w:tcW w:w="602" w:type="dxa"/>
            <w:textDirection w:val="btLr"/>
            <w:vAlign w:val="center"/>
          </w:tcPr>
          <w:p w14:paraId="2E6B554F" w14:textId="77777777" w:rsidR="00FE291A" w:rsidRDefault="00C8738F">
            <w:pPr>
              <w:widowControl/>
              <w:tabs>
                <w:tab w:val="left" w:pos="562"/>
              </w:tabs>
              <w:suppressAutoHyphens/>
              <w:autoSpaceDE/>
              <w:autoSpaceDN/>
              <w:adjustRightInd/>
              <w:ind w:left="113" w:right="113"/>
              <w:jc w:val="center"/>
              <w:rPr>
                <w:rFonts w:eastAsia="Times New Roman"/>
                <w:b/>
                <w:color w:val="000000"/>
                <w:sz w:val="20"/>
                <w:szCs w:val="20"/>
                <w:lang w:val="de-DE" w:eastAsia="en-US"/>
              </w:rPr>
            </w:pPr>
            <w:r>
              <w:rPr>
                <w:rFonts w:eastAsia="Calibri" w:cs="Arial"/>
                <w:b/>
                <w:color w:val="000000"/>
                <w:sz w:val="20"/>
                <w:szCs w:val="20"/>
                <w:lang w:val="de-DE" w:eastAsia="en-US"/>
              </w:rPr>
              <w:t xml:space="preserve">                   WAHRSCHEINLICHKEIT, KEINEN SCHUB ZU ERLEIDEN</w:t>
            </w:r>
          </w:p>
        </w:tc>
        <w:tc>
          <w:tcPr>
            <w:tcW w:w="8959" w:type="dxa"/>
          </w:tcPr>
          <w:p w14:paraId="66B48D0A" w14:textId="6EBC6860" w:rsidR="00FE291A" w:rsidRDefault="009C5B62">
            <w:pPr>
              <w:widowControl/>
              <w:tabs>
                <w:tab w:val="left" w:pos="562"/>
              </w:tabs>
              <w:suppressAutoHyphens/>
              <w:autoSpaceDE/>
              <w:autoSpaceDN/>
              <w:adjustRightInd/>
              <w:rPr>
                <w:rFonts w:eastAsia="Times New Roman"/>
                <w:color w:val="000000"/>
                <w:sz w:val="20"/>
                <w:szCs w:val="20"/>
                <w:lang w:val="de-DE" w:eastAsia="en-US"/>
              </w:rPr>
            </w:pPr>
            <w:r>
              <w:rPr>
                <w:rFonts w:eastAsia="Calibri" w:cs="Arial"/>
                <w:noProof/>
                <w:color w:val="000000"/>
                <w:sz w:val="20"/>
                <w:szCs w:val="20"/>
                <w:lang w:val="de-DE" w:eastAsia="en-GB"/>
              </w:rPr>
              <w:drawing>
                <wp:inline distT="0" distB="0" distL="0" distR="0" wp14:anchorId="579861F0" wp14:editId="2EC8F71A">
                  <wp:extent cx="5646420" cy="2971800"/>
                  <wp:effectExtent l="0" t="0" r="0" b="0"/>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6420" cy="2971800"/>
                          </a:xfrm>
                          <a:prstGeom prst="rect">
                            <a:avLst/>
                          </a:prstGeom>
                          <a:noFill/>
                          <a:ln>
                            <a:noFill/>
                          </a:ln>
                        </pic:spPr>
                      </pic:pic>
                    </a:graphicData>
                  </a:graphic>
                </wp:inline>
              </w:drawing>
            </w:r>
          </w:p>
        </w:tc>
      </w:tr>
      <w:tr w:rsidR="00FE291A" w14:paraId="78DB2C38" w14:textId="77777777">
        <w:tc>
          <w:tcPr>
            <w:tcW w:w="602" w:type="dxa"/>
          </w:tcPr>
          <w:p w14:paraId="3882E2C9" w14:textId="77777777" w:rsidR="00FE291A" w:rsidRDefault="00FE291A">
            <w:pPr>
              <w:widowControl/>
              <w:tabs>
                <w:tab w:val="left" w:pos="562"/>
              </w:tabs>
              <w:suppressAutoHyphens/>
              <w:autoSpaceDE/>
              <w:autoSpaceDN/>
              <w:adjustRightInd/>
              <w:rPr>
                <w:rFonts w:eastAsia="Times New Roman"/>
                <w:color w:val="000000"/>
                <w:sz w:val="20"/>
                <w:szCs w:val="20"/>
                <w:lang w:val="de-DE" w:eastAsia="en-GB"/>
              </w:rPr>
            </w:pPr>
          </w:p>
        </w:tc>
        <w:tc>
          <w:tcPr>
            <w:tcW w:w="8959" w:type="dxa"/>
            <w:vAlign w:val="center"/>
          </w:tcPr>
          <w:p w14:paraId="10431722" w14:textId="77777777" w:rsidR="00FE291A" w:rsidRDefault="00C8738F">
            <w:pPr>
              <w:widowControl/>
              <w:tabs>
                <w:tab w:val="left" w:pos="562"/>
              </w:tabs>
              <w:suppressAutoHyphens/>
              <w:autoSpaceDE/>
              <w:autoSpaceDN/>
              <w:adjustRightInd/>
              <w:jc w:val="center"/>
              <w:rPr>
                <w:rFonts w:eastAsia="Times New Roman"/>
                <w:b/>
                <w:color w:val="000000"/>
                <w:sz w:val="20"/>
                <w:szCs w:val="20"/>
                <w:lang w:val="de-DE" w:eastAsia="en-US"/>
              </w:rPr>
            </w:pPr>
            <w:r>
              <w:rPr>
                <w:rFonts w:eastAsia="Calibri" w:cs="Arial"/>
                <w:b/>
                <w:color w:val="000000"/>
                <w:sz w:val="20"/>
                <w:szCs w:val="20"/>
                <w:lang w:val="de-DE" w:eastAsia="en-US"/>
              </w:rPr>
              <w:t>ZEIT (WOCHEN)</w:t>
            </w:r>
          </w:p>
        </w:tc>
      </w:tr>
      <w:tr w:rsidR="00FE291A" w14:paraId="258A559B" w14:textId="77777777">
        <w:tc>
          <w:tcPr>
            <w:tcW w:w="9561" w:type="dxa"/>
            <w:gridSpan w:val="2"/>
          </w:tcPr>
          <w:p w14:paraId="0B3C5B61" w14:textId="003AFAFF" w:rsidR="00FE291A" w:rsidRDefault="00C8738F">
            <w:pPr>
              <w:widowControl/>
              <w:tabs>
                <w:tab w:val="left" w:pos="562"/>
              </w:tabs>
              <w:suppressAutoHyphens/>
              <w:autoSpaceDE/>
              <w:autoSpaceDN/>
              <w:adjustRightInd/>
              <w:rPr>
                <w:rFonts w:eastAsia="Times New Roman"/>
                <w:color w:val="000000"/>
                <w:sz w:val="20"/>
                <w:szCs w:val="20"/>
                <w:lang w:val="de-DE" w:eastAsia="en-US"/>
              </w:rPr>
            </w:pPr>
            <w:r>
              <w:rPr>
                <w:rFonts w:eastAsia="Calibri" w:cs="Arial"/>
                <w:color w:val="000000"/>
                <w:sz w:val="20"/>
                <w:szCs w:val="20"/>
                <w:lang w:val="de-DE" w:eastAsia="en-US"/>
              </w:rPr>
              <w:t xml:space="preserve">                                  Behandlung</w:t>
            </w:r>
            <w:r>
              <w:rPr>
                <w:rFonts w:eastAsia="Calibri" w:cs="Arial"/>
                <w:color w:val="000000"/>
                <w:sz w:val="20"/>
                <w:szCs w:val="20"/>
                <w:lang w:val="de-DE" w:eastAsia="en-US"/>
              </w:rPr>
              <w:tab/>
            </w:r>
            <w:r w:rsidR="009C5B62">
              <w:rPr>
                <w:noProof/>
              </w:rPr>
              <mc:AlternateContent>
                <mc:Choice Requires="wps">
                  <w:drawing>
                    <wp:inline distT="0" distB="0" distL="0" distR="0" wp14:anchorId="768E19D5" wp14:editId="6D0F54F4">
                      <wp:extent cx="381000" cy="635"/>
                      <wp:effectExtent l="19050" t="19050" r="19050" b="18415"/>
                      <wp:docPr id="1278833764"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635"/>
                              </a:xfrm>
                              <a:prstGeom prst="line">
                                <a:avLst/>
                              </a:prstGeom>
                              <a:noFill/>
                              <a:ln w="28575">
                                <a:solidFill>
                                  <a:srgbClr val="595959"/>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33E710E3" id="Line 189" o:spid="_x0000_s1026" style="visibility:visible;mso-wrap-style:square;mso-left-percent:-10001;mso-top-percent:-10001;mso-position-horizontal:absolute;mso-position-horizontal-relative:char;mso-position-vertical:absolute;mso-position-vertical-relative:line;mso-left-percent:-10001;mso-top-percent:-10001" from="0,0" to="3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" strokecolor="#595959" strokeweight="2.25pt">
                      <v:stroke dashstyle="1 1"/>
                      <w10:anchorlock/>
                    </v:line>
                  </w:pict>
                </mc:Fallback>
              </mc:AlternateContent>
            </w:r>
            <w:r>
              <w:rPr>
                <w:rFonts w:eastAsia="Calibri" w:cs="Arial"/>
                <w:color w:val="000000"/>
                <w:sz w:val="20"/>
                <w:szCs w:val="20"/>
                <w:lang w:val="de-DE" w:eastAsia="en-US"/>
              </w:rPr>
              <w:t xml:space="preserve"> Placebo</w:t>
            </w:r>
            <w:r>
              <w:rPr>
                <w:rFonts w:eastAsia="Calibri" w:cs="Arial"/>
                <w:color w:val="000000"/>
                <w:sz w:val="20"/>
                <w:szCs w:val="20"/>
                <w:lang w:val="de-DE" w:eastAsia="en-US"/>
              </w:rPr>
              <w:tab/>
            </w:r>
            <w:r w:rsidR="009C5B62">
              <w:rPr>
                <w:noProof/>
              </w:rPr>
              <mc:AlternateContent>
                <mc:Choice Requires="wps">
                  <w:drawing>
                    <wp:inline distT="0" distB="0" distL="0" distR="0" wp14:anchorId="52EF520C" wp14:editId="6289F2FF">
                      <wp:extent cx="401320" cy="635"/>
                      <wp:effectExtent l="9525" t="9525" r="17780" b="18415"/>
                      <wp:docPr id="393895818"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320" cy="635"/>
                              </a:xfrm>
                              <a:prstGeom prst="line">
                                <a:avLst/>
                              </a:prstGeom>
                              <a:noFill/>
                              <a:ln w="19050">
                                <a:solidFill>
                                  <a:srgbClr val="40404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7EC927A1" id="Line 188" o:spid="_x0000_s1026" style="visibility:visible;mso-wrap-style:square;mso-left-percent:-10001;mso-top-percent:-10001;mso-position-horizontal:absolute;mso-position-horizontal-relative:char;mso-position-vertical:absolute;mso-position-vertical-relative:line;mso-left-percent:-10001;mso-top-percent:-10001" from="0,0" to="31.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" strokecolor="#404040" strokeweight="1.5pt">
                      <w10:anchorlock/>
                    </v:line>
                  </w:pict>
                </mc:Fallback>
              </mc:AlternateContent>
            </w:r>
            <w:r>
              <w:rPr>
                <w:rFonts w:eastAsia="Calibri" w:cs="Arial"/>
                <w:color w:val="000000"/>
                <w:sz w:val="20"/>
                <w:szCs w:val="20"/>
                <w:lang w:val="de-DE" w:eastAsia="en-US"/>
              </w:rPr>
              <w:t xml:space="preserve"> Adalimumab</w:t>
            </w:r>
            <w:r>
              <w:rPr>
                <w:rFonts w:eastAsia="Calibri" w:cs="Arial"/>
                <w:color w:val="000000"/>
                <w:sz w:val="20"/>
                <w:szCs w:val="20"/>
                <w:lang w:val="de-DE" w:eastAsia="en-US"/>
              </w:rPr>
              <w:tab/>
              <w:t>∆ zensiert</w:t>
            </w:r>
          </w:p>
        </w:tc>
      </w:tr>
    </w:tbl>
    <w:p w14:paraId="4702EC15" w14:textId="77777777" w:rsidR="00FE291A" w:rsidRDefault="00FE291A">
      <w:pPr>
        <w:widowControl/>
        <w:autoSpaceDE/>
        <w:autoSpaceDN/>
        <w:adjustRightInd/>
        <w:rPr>
          <w:rFonts w:eastAsia="Calibri"/>
          <w:color w:val="000000"/>
          <w:sz w:val="22"/>
          <w:szCs w:val="22"/>
          <w:lang w:val="de-DE" w:eastAsia="en-US"/>
        </w:rPr>
      </w:pPr>
    </w:p>
    <w:p w14:paraId="5627B420" w14:textId="77777777" w:rsidR="00FE291A" w:rsidRDefault="00C8738F">
      <w:pPr>
        <w:widowControl/>
        <w:autoSpaceDE/>
        <w:autoSpaceDN/>
        <w:adjustRightInd/>
        <w:rPr>
          <w:rFonts w:eastAsia="Calibri"/>
          <w:color w:val="000000"/>
          <w:sz w:val="22"/>
          <w:szCs w:val="22"/>
          <w:lang w:val="de-DE" w:eastAsia="en-US"/>
        </w:rPr>
      </w:pPr>
      <w:r>
        <w:rPr>
          <w:rFonts w:eastAsia="Calibri" w:cs="Arial"/>
          <w:color w:val="000000"/>
          <w:sz w:val="22"/>
          <w:szCs w:val="22"/>
          <w:lang w:val="de-DE" w:eastAsia="en-US"/>
        </w:rPr>
        <w:t>Hinweis: P = Placebo (Anzahl Risikopatienten (Schub)); A = Adalimumab (Anzahl Risikopatienten (Schub))</w:t>
      </w:r>
    </w:p>
    <w:p w14:paraId="4C3608F0" w14:textId="77777777" w:rsidR="00FE291A" w:rsidRDefault="00FE291A">
      <w:pPr>
        <w:widowControl/>
        <w:autoSpaceDE/>
        <w:autoSpaceDN/>
        <w:adjustRightInd/>
        <w:rPr>
          <w:rFonts w:eastAsia="Calibri"/>
          <w:color w:val="000000"/>
          <w:sz w:val="22"/>
          <w:szCs w:val="22"/>
          <w:lang w:val="de-DE" w:eastAsia="en-US"/>
        </w:rPr>
      </w:pPr>
    </w:p>
    <w:p w14:paraId="5001CCCF" w14:textId="77777777" w:rsidR="00FE291A" w:rsidRDefault="00C8738F">
      <w:pPr>
        <w:widowControl/>
        <w:tabs>
          <w:tab w:val="left" w:pos="562"/>
        </w:tabs>
        <w:suppressAutoHyphens/>
        <w:autoSpaceDE/>
        <w:autoSpaceDN/>
        <w:adjustRightInd/>
        <w:rPr>
          <w:rFonts w:eastAsia="Times New Roman"/>
          <w:sz w:val="22"/>
          <w:szCs w:val="20"/>
          <w:lang w:val="de-DE" w:eastAsia="en-US"/>
        </w:rPr>
      </w:pPr>
      <w:r>
        <w:rPr>
          <w:rFonts w:eastAsia="Times New Roman"/>
          <w:sz w:val="22"/>
          <w:szCs w:val="20"/>
          <w:lang w:val="de-DE" w:eastAsia="en-US"/>
        </w:rPr>
        <w:t xml:space="preserve">Von den 68 Patienten, die nach dem Absetzen einen Krankheitsschub erlitten, schlossen 65 Patienten die 12 Wochen der Rescue-Therapie mit Adalimumab ab. Davon waren nach 12 Wochen erneuter Behandlung während der offenen Fortsetzungsphase 37 Patienten (56,9 %) wieder in Remission (ASDAS &lt; 1,3). </w:t>
      </w:r>
    </w:p>
    <w:p w14:paraId="701AF112" w14:textId="77777777" w:rsidR="00FE291A" w:rsidRDefault="00FE291A">
      <w:pPr>
        <w:widowControl/>
        <w:autoSpaceDE/>
        <w:autoSpaceDN/>
        <w:adjustRightInd/>
        <w:rPr>
          <w:rFonts w:eastAsia="Calibri"/>
          <w:color w:val="000000"/>
          <w:sz w:val="22"/>
          <w:szCs w:val="22"/>
          <w:lang w:val="de-DE" w:eastAsia="en-US"/>
        </w:rPr>
      </w:pPr>
    </w:p>
    <w:p w14:paraId="549F3181" w14:textId="77777777" w:rsidR="00FE291A" w:rsidRDefault="00C8738F">
      <w:pPr>
        <w:widowControl/>
        <w:autoSpaceDE/>
        <w:autoSpaceDN/>
        <w:adjustRightInd/>
        <w:rPr>
          <w:rFonts w:eastAsia="Calibri"/>
          <w:color w:val="000000"/>
          <w:sz w:val="22"/>
          <w:szCs w:val="22"/>
          <w:lang w:val="de-DE" w:eastAsia="en-US"/>
        </w:rPr>
      </w:pPr>
      <w:r>
        <w:rPr>
          <w:rFonts w:eastAsia="Calibri" w:cs="Arial"/>
          <w:color w:val="000000"/>
          <w:sz w:val="22"/>
          <w:szCs w:val="22"/>
          <w:lang w:val="de-DE" w:eastAsia="en-US"/>
        </w:rPr>
        <w:t>Während der doppelblinden Phase zeigten in Woche 68 die Patienten unter durchgehender Adalimumab-Behandlung gegenüber Patienten, die Adalimumab abgesetzt hatten, eine statistisch signifikant größere Verbesserung der Anzeichen und Symptome der aktiven nr</w:t>
      </w:r>
      <w:r>
        <w:rPr>
          <w:rFonts w:eastAsia="Calibri" w:cs="Arial"/>
          <w:color w:val="000000"/>
          <w:sz w:val="22"/>
          <w:szCs w:val="22"/>
          <w:lang w:val="de-DE" w:eastAsia="en-US"/>
        </w:rPr>
        <w:noBreakHyphen/>
        <w:t>axSpA (Tabelle 14).</w:t>
      </w:r>
    </w:p>
    <w:p w14:paraId="7A3B0657" w14:textId="77777777" w:rsidR="00FE291A" w:rsidRDefault="00FE291A">
      <w:pPr>
        <w:widowControl/>
        <w:autoSpaceDE/>
        <w:autoSpaceDN/>
        <w:adjustRightInd/>
        <w:rPr>
          <w:rFonts w:eastAsia="Calibri"/>
          <w:color w:val="000000"/>
          <w:sz w:val="22"/>
          <w:szCs w:val="22"/>
          <w:lang w:val="de-DE" w:eastAsia="en-US"/>
        </w:rPr>
      </w:pPr>
    </w:p>
    <w:p w14:paraId="456F27B3" w14:textId="77777777" w:rsidR="00FE291A" w:rsidRDefault="00C8738F">
      <w:pPr>
        <w:keepNext/>
        <w:keepLines/>
        <w:widowControl/>
        <w:tabs>
          <w:tab w:val="left" w:pos="562"/>
        </w:tabs>
        <w:suppressAutoHyphens/>
        <w:autoSpaceDE/>
        <w:autoSpaceDN/>
        <w:adjustRightInd/>
        <w:rPr>
          <w:rFonts w:eastAsia="Times New Roman"/>
          <w:b/>
          <w:sz w:val="22"/>
          <w:szCs w:val="20"/>
          <w:lang w:val="de-DE" w:eastAsia="en-US"/>
        </w:rPr>
      </w:pPr>
      <w:r>
        <w:rPr>
          <w:rFonts w:eastAsia="Times New Roman"/>
          <w:b/>
          <w:sz w:val="22"/>
          <w:szCs w:val="20"/>
          <w:lang w:val="de-DE" w:eastAsia="en-US"/>
        </w:rPr>
        <w:t>Tabelle 14: Ansprechraten bezüglich Wirksamkeit bei placebokontrollierter Phase der nr</w:t>
      </w:r>
      <w:r>
        <w:rPr>
          <w:rFonts w:eastAsia="Times New Roman"/>
          <w:b/>
          <w:sz w:val="22"/>
          <w:szCs w:val="20"/>
          <w:lang w:val="de-DE" w:eastAsia="en-US"/>
        </w:rPr>
        <w:noBreakHyphen/>
        <w:t>axSpA-Studie II</w:t>
      </w:r>
    </w:p>
    <w:p w14:paraId="5452CDAD" w14:textId="77777777" w:rsidR="00FE291A" w:rsidRDefault="00FE291A">
      <w:pPr>
        <w:keepNext/>
        <w:keepLines/>
        <w:widowControl/>
        <w:tabs>
          <w:tab w:val="left" w:pos="562"/>
        </w:tabs>
        <w:suppressAutoHyphens/>
        <w:autoSpaceDE/>
        <w:autoSpaceDN/>
        <w:adjustRightInd/>
        <w:ind w:left="720"/>
        <w:rPr>
          <w:rFonts w:eastAsia="Times New Roman"/>
          <w:b/>
          <w:sz w:val="22"/>
          <w:szCs w:val="20"/>
          <w:lang w:val="de-DE"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58"/>
        <w:gridCol w:w="1682"/>
        <w:gridCol w:w="1821"/>
      </w:tblGrid>
      <w:tr w:rsidR="00FE291A" w14:paraId="72059E13" w14:textId="77777777">
        <w:trPr>
          <w:jc w:val="center"/>
        </w:trPr>
        <w:tc>
          <w:tcPr>
            <w:tcW w:w="3067" w:type="pct"/>
          </w:tcPr>
          <w:p w14:paraId="07A942EA" w14:textId="77777777" w:rsidR="00FE291A" w:rsidRDefault="00C8738F">
            <w:pPr>
              <w:keepNext/>
              <w:widowControl/>
              <w:autoSpaceDE/>
              <w:autoSpaceDN/>
              <w:adjustRightInd/>
              <w:rPr>
                <w:rFonts w:eastAsia="Calibri"/>
                <w:b/>
                <w:bCs/>
                <w:color w:val="000000"/>
                <w:sz w:val="22"/>
                <w:szCs w:val="22"/>
                <w:lang w:val="de-DE" w:eastAsia="en-US"/>
              </w:rPr>
            </w:pPr>
            <w:r>
              <w:rPr>
                <w:rFonts w:eastAsia="Calibri" w:cs="Arial"/>
                <w:b/>
                <w:bCs/>
                <w:color w:val="000000"/>
                <w:sz w:val="22"/>
                <w:szCs w:val="22"/>
                <w:lang w:val="de-DE" w:eastAsia="en-US"/>
              </w:rPr>
              <w:t>Doppelblinde Phase</w:t>
            </w:r>
          </w:p>
          <w:p w14:paraId="0378AF0D" w14:textId="77777777" w:rsidR="00FE291A" w:rsidRDefault="00C8738F">
            <w:pPr>
              <w:keepNext/>
              <w:widowControl/>
              <w:autoSpaceDE/>
              <w:autoSpaceDN/>
              <w:adjustRightInd/>
              <w:rPr>
                <w:rFonts w:eastAsia="Calibri"/>
                <w:b/>
                <w:bCs/>
                <w:color w:val="000000"/>
                <w:sz w:val="22"/>
                <w:szCs w:val="22"/>
                <w:lang w:val="de-DE" w:eastAsia="en-US"/>
              </w:rPr>
            </w:pPr>
            <w:r>
              <w:rPr>
                <w:rFonts w:eastAsia="Calibri" w:cs="Arial"/>
                <w:b/>
                <w:bCs/>
                <w:color w:val="000000"/>
                <w:sz w:val="22"/>
                <w:szCs w:val="22"/>
                <w:lang w:val="de-DE" w:eastAsia="en-US"/>
              </w:rPr>
              <w:t>Ansprechen in Woche 68</w:t>
            </w:r>
          </w:p>
        </w:tc>
        <w:tc>
          <w:tcPr>
            <w:tcW w:w="928" w:type="pct"/>
          </w:tcPr>
          <w:p w14:paraId="47E0475C" w14:textId="77777777" w:rsidR="00FE291A" w:rsidRDefault="00C8738F">
            <w:pPr>
              <w:keepNext/>
              <w:widowControl/>
              <w:autoSpaceDE/>
              <w:autoSpaceDN/>
              <w:adjustRightInd/>
              <w:jc w:val="center"/>
              <w:rPr>
                <w:rFonts w:eastAsia="Calibri"/>
                <w:b/>
                <w:bCs/>
                <w:color w:val="000000"/>
                <w:sz w:val="22"/>
                <w:szCs w:val="22"/>
                <w:lang w:val="de-DE" w:eastAsia="en-US"/>
              </w:rPr>
            </w:pPr>
            <w:r>
              <w:rPr>
                <w:rFonts w:eastAsia="Calibri" w:cs="Arial"/>
                <w:b/>
                <w:bCs/>
                <w:color w:val="000000"/>
                <w:sz w:val="22"/>
                <w:szCs w:val="22"/>
                <w:lang w:val="de-DE" w:eastAsia="en-US"/>
              </w:rPr>
              <w:t>Placebo</w:t>
            </w:r>
          </w:p>
          <w:p w14:paraId="021E72C3" w14:textId="77777777" w:rsidR="00FE291A" w:rsidRDefault="00C8738F">
            <w:pPr>
              <w:keepNext/>
              <w:widowControl/>
              <w:autoSpaceDE/>
              <w:autoSpaceDN/>
              <w:adjustRightInd/>
              <w:jc w:val="center"/>
              <w:rPr>
                <w:rFonts w:eastAsia="Calibri"/>
                <w:b/>
                <w:bCs/>
                <w:color w:val="000000"/>
                <w:sz w:val="22"/>
                <w:szCs w:val="22"/>
                <w:lang w:val="de-DE" w:eastAsia="en-US"/>
              </w:rPr>
            </w:pPr>
            <w:r>
              <w:rPr>
                <w:rFonts w:eastAsia="Calibri" w:cs="Arial"/>
                <w:b/>
                <w:bCs/>
                <w:color w:val="000000"/>
                <w:sz w:val="22"/>
                <w:szCs w:val="22"/>
                <w:lang w:val="de-DE" w:eastAsia="en-US"/>
              </w:rPr>
              <w:t>n = 153</w:t>
            </w:r>
          </w:p>
        </w:tc>
        <w:tc>
          <w:tcPr>
            <w:tcW w:w="1005" w:type="pct"/>
          </w:tcPr>
          <w:p w14:paraId="65254A40" w14:textId="77777777" w:rsidR="00FE291A" w:rsidRDefault="00C8738F">
            <w:pPr>
              <w:keepNext/>
              <w:widowControl/>
              <w:autoSpaceDE/>
              <w:autoSpaceDN/>
              <w:adjustRightInd/>
              <w:jc w:val="center"/>
              <w:rPr>
                <w:rFonts w:eastAsia="Calibri"/>
                <w:b/>
                <w:bCs/>
                <w:color w:val="000000"/>
                <w:sz w:val="22"/>
                <w:szCs w:val="22"/>
                <w:lang w:val="de-DE" w:eastAsia="en-US"/>
              </w:rPr>
            </w:pPr>
            <w:r>
              <w:rPr>
                <w:rFonts w:eastAsia="Calibri"/>
                <w:b/>
                <w:bCs/>
                <w:color w:val="000000"/>
                <w:sz w:val="22"/>
                <w:szCs w:val="22"/>
                <w:lang w:val="de-DE" w:eastAsia="en-US"/>
              </w:rPr>
              <w:t>Adalimumab</w:t>
            </w:r>
          </w:p>
          <w:p w14:paraId="629E67EB" w14:textId="77777777" w:rsidR="00FE291A" w:rsidRDefault="00C8738F">
            <w:pPr>
              <w:keepNext/>
              <w:widowControl/>
              <w:autoSpaceDE/>
              <w:autoSpaceDN/>
              <w:adjustRightInd/>
              <w:jc w:val="center"/>
              <w:rPr>
                <w:rFonts w:eastAsia="Calibri"/>
                <w:b/>
                <w:bCs/>
                <w:color w:val="000000"/>
                <w:sz w:val="22"/>
                <w:szCs w:val="22"/>
                <w:lang w:val="de-DE" w:eastAsia="en-US"/>
              </w:rPr>
            </w:pPr>
            <w:r>
              <w:rPr>
                <w:rFonts w:eastAsia="Calibri" w:cs="Arial"/>
                <w:b/>
                <w:bCs/>
                <w:color w:val="000000"/>
                <w:sz w:val="22"/>
                <w:szCs w:val="22"/>
                <w:lang w:val="de-DE" w:eastAsia="en-US"/>
              </w:rPr>
              <w:t>n = 152</w:t>
            </w:r>
          </w:p>
        </w:tc>
      </w:tr>
      <w:tr w:rsidR="00FE291A" w14:paraId="2E11875A" w14:textId="77777777">
        <w:trPr>
          <w:jc w:val="center"/>
        </w:trPr>
        <w:tc>
          <w:tcPr>
            <w:tcW w:w="3067" w:type="pct"/>
          </w:tcPr>
          <w:p w14:paraId="5C8E3AD5" w14:textId="77777777" w:rsidR="00FE291A" w:rsidRDefault="00C8738F">
            <w:pPr>
              <w:keepNext/>
              <w:widowControl/>
              <w:autoSpaceDE/>
              <w:autoSpaceDN/>
              <w:adjustRightInd/>
              <w:rPr>
                <w:rFonts w:eastAsia="Calibri"/>
                <w:color w:val="000000"/>
                <w:sz w:val="22"/>
                <w:szCs w:val="22"/>
                <w:lang w:val="de-DE" w:eastAsia="en-US"/>
              </w:rPr>
            </w:pPr>
            <w:r>
              <w:rPr>
                <w:rFonts w:eastAsia="Calibri" w:cs="Arial"/>
                <w:color w:val="000000"/>
                <w:sz w:val="22"/>
                <w:szCs w:val="22"/>
                <w:lang w:val="de-DE" w:eastAsia="en-US"/>
              </w:rPr>
              <w:t>ASAS</w:t>
            </w:r>
            <w:r>
              <w:rPr>
                <w:rFonts w:eastAsia="Calibri" w:cs="Arial"/>
                <w:color w:val="000000"/>
                <w:sz w:val="22"/>
                <w:szCs w:val="22"/>
                <w:vertAlign w:val="superscript"/>
                <w:lang w:val="de-DE" w:eastAsia="en-US"/>
              </w:rPr>
              <w:t>a,b</w:t>
            </w:r>
            <w:r>
              <w:rPr>
                <w:rFonts w:eastAsia="Calibri" w:cs="Arial"/>
                <w:color w:val="000000"/>
                <w:sz w:val="22"/>
                <w:szCs w:val="22"/>
                <w:lang w:val="de-DE" w:eastAsia="en-US"/>
              </w:rPr>
              <w:t>-20</w:t>
            </w:r>
          </w:p>
        </w:tc>
        <w:tc>
          <w:tcPr>
            <w:tcW w:w="928" w:type="pct"/>
          </w:tcPr>
          <w:p w14:paraId="5773E800" w14:textId="77777777" w:rsidR="00FE291A" w:rsidRDefault="00C8738F">
            <w:pPr>
              <w:keepNext/>
              <w:widowControl/>
              <w:autoSpaceDE/>
              <w:autoSpaceDN/>
              <w:adjustRightInd/>
              <w:jc w:val="center"/>
              <w:rPr>
                <w:rFonts w:eastAsia="Calibri"/>
                <w:color w:val="000000"/>
                <w:sz w:val="22"/>
                <w:szCs w:val="22"/>
                <w:lang w:val="de-DE" w:eastAsia="en-US"/>
              </w:rPr>
            </w:pPr>
            <w:r>
              <w:rPr>
                <w:rFonts w:eastAsia="Calibri" w:cs="Arial"/>
                <w:color w:val="000000"/>
                <w:sz w:val="22"/>
                <w:szCs w:val="22"/>
                <w:lang w:val="de-DE" w:eastAsia="en-US"/>
              </w:rPr>
              <w:t>47,1 %</w:t>
            </w:r>
          </w:p>
        </w:tc>
        <w:tc>
          <w:tcPr>
            <w:tcW w:w="1005" w:type="pct"/>
          </w:tcPr>
          <w:p w14:paraId="1498340D" w14:textId="77777777" w:rsidR="00FE291A" w:rsidRDefault="00C8738F">
            <w:pPr>
              <w:keepNext/>
              <w:widowControl/>
              <w:autoSpaceDE/>
              <w:autoSpaceDN/>
              <w:adjustRightInd/>
              <w:jc w:val="center"/>
              <w:rPr>
                <w:rFonts w:eastAsia="Calibri"/>
                <w:color w:val="000000"/>
                <w:sz w:val="22"/>
                <w:szCs w:val="22"/>
                <w:lang w:val="de-DE" w:eastAsia="en-US"/>
              </w:rPr>
            </w:pPr>
            <w:r>
              <w:rPr>
                <w:rFonts w:eastAsia="Calibri" w:cs="Arial"/>
                <w:color w:val="000000"/>
                <w:sz w:val="22"/>
                <w:szCs w:val="22"/>
                <w:lang w:val="de-DE" w:eastAsia="en-US"/>
              </w:rPr>
              <w:t>70,4 %***</w:t>
            </w:r>
          </w:p>
        </w:tc>
      </w:tr>
      <w:tr w:rsidR="00FE291A" w14:paraId="77438F2E" w14:textId="77777777">
        <w:trPr>
          <w:jc w:val="center"/>
        </w:trPr>
        <w:tc>
          <w:tcPr>
            <w:tcW w:w="3067" w:type="pct"/>
          </w:tcPr>
          <w:p w14:paraId="71825D1C" w14:textId="77777777" w:rsidR="00FE291A" w:rsidRDefault="00C8738F">
            <w:pPr>
              <w:keepNext/>
              <w:widowControl/>
              <w:autoSpaceDE/>
              <w:autoSpaceDN/>
              <w:adjustRightInd/>
              <w:rPr>
                <w:rFonts w:eastAsia="Calibri"/>
                <w:color w:val="000000"/>
                <w:sz w:val="22"/>
                <w:szCs w:val="22"/>
                <w:lang w:val="de-DE" w:eastAsia="en-US"/>
              </w:rPr>
            </w:pPr>
            <w:r>
              <w:rPr>
                <w:rFonts w:eastAsia="Calibri" w:cs="Arial"/>
                <w:color w:val="000000"/>
                <w:sz w:val="22"/>
                <w:szCs w:val="22"/>
                <w:lang w:val="de-DE" w:eastAsia="en-US"/>
              </w:rPr>
              <w:t>ASAS</w:t>
            </w:r>
            <w:r>
              <w:rPr>
                <w:rFonts w:eastAsia="Calibri" w:cs="Arial"/>
                <w:color w:val="000000"/>
                <w:sz w:val="22"/>
                <w:szCs w:val="22"/>
                <w:vertAlign w:val="superscript"/>
                <w:lang w:val="de-DE" w:eastAsia="en-US"/>
              </w:rPr>
              <w:t>a,b</w:t>
            </w:r>
            <w:r>
              <w:rPr>
                <w:rFonts w:eastAsia="Calibri" w:cs="Arial"/>
                <w:color w:val="000000"/>
                <w:sz w:val="22"/>
                <w:szCs w:val="22"/>
                <w:lang w:val="de-DE" w:eastAsia="en-US"/>
              </w:rPr>
              <w:t>-40</w:t>
            </w:r>
          </w:p>
        </w:tc>
        <w:tc>
          <w:tcPr>
            <w:tcW w:w="928" w:type="pct"/>
          </w:tcPr>
          <w:p w14:paraId="313AFE13" w14:textId="77777777" w:rsidR="00FE291A" w:rsidRDefault="00C8738F">
            <w:pPr>
              <w:keepNext/>
              <w:widowControl/>
              <w:autoSpaceDE/>
              <w:autoSpaceDN/>
              <w:adjustRightInd/>
              <w:jc w:val="center"/>
              <w:rPr>
                <w:rFonts w:eastAsia="Calibri"/>
                <w:color w:val="000000"/>
                <w:sz w:val="22"/>
                <w:szCs w:val="22"/>
                <w:lang w:val="de-DE" w:eastAsia="en-US"/>
              </w:rPr>
            </w:pPr>
            <w:r>
              <w:rPr>
                <w:rFonts w:eastAsia="Calibri" w:cs="Arial"/>
                <w:color w:val="000000"/>
                <w:sz w:val="22"/>
                <w:szCs w:val="22"/>
                <w:lang w:val="de-DE" w:eastAsia="en-US"/>
              </w:rPr>
              <w:t>45,8 %</w:t>
            </w:r>
          </w:p>
        </w:tc>
        <w:tc>
          <w:tcPr>
            <w:tcW w:w="1005" w:type="pct"/>
          </w:tcPr>
          <w:p w14:paraId="3F31DEF7" w14:textId="77777777" w:rsidR="00FE291A" w:rsidRDefault="00C8738F">
            <w:pPr>
              <w:keepNext/>
              <w:widowControl/>
              <w:autoSpaceDE/>
              <w:autoSpaceDN/>
              <w:adjustRightInd/>
              <w:jc w:val="center"/>
              <w:rPr>
                <w:rFonts w:eastAsia="Calibri"/>
                <w:color w:val="000000"/>
                <w:sz w:val="22"/>
                <w:szCs w:val="22"/>
                <w:lang w:val="de-DE" w:eastAsia="en-US"/>
              </w:rPr>
            </w:pPr>
            <w:r>
              <w:rPr>
                <w:rFonts w:eastAsia="Calibri" w:cs="Arial"/>
                <w:color w:val="000000"/>
                <w:sz w:val="22"/>
                <w:szCs w:val="22"/>
                <w:lang w:val="de-DE" w:eastAsia="en-US"/>
              </w:rPr>
              <w:t>65,8 %***</w:t>
            </w:r>
          </w:p>
        </w:tc>
      </w:tr>
      <w:tr w:rsidR="00FE291A" w14:paraId="054E26DA" w14:textId="77777777">
        <w:trPr>
          <w:jc w:val="center"/>
        </w:trPr>
        <w:tc>
          <w:tcPr>
            <w:tcW w:w="3067" w:type="pct"/>
          </w:tcPr>
          <w:p w14:paraId="75D8D5AA" w14:textId="77777777" w:rsidR="00FE291A" w:rsidRDefault="00C8738F">
            <w:pPr>
              <w:keepNext/>
              <w:widowControl/>
              <w:autoSpaceDE/>
              <w:autoSpaceDN/>
              <w:adjustRightInd/>
              <w:rPr>
                <w:rFonts w:eastAsia="Calibri"/>
                <w:color w:val="000000"/>
                <w:sz w:val="22"/>
                <w:szCs w:val="22"/>
                <w:lang w:val="de-DE" w:eastAsia="en-US"/>
              </w:rPr>
            </w:pPr>
            <w:r>
              <w:rPr>
                <w:rFonts w:eastAsia="Calibri" w:cs="Arial"/>
                <w:color w:val="000000"/>
                <w:sz w:val="22"/>
                <w:szCs w:val="22"/>
                <w:lang w:val="de-DE" w:eastAsia="en-US"/>
              </w:rPr>
              <w:t>ASAS</w:t>
            </w:r>
            <w:r>
              <w:rPr>
                <w:rFonts w:eastAsia="Calibri" w:cs="Arial"/>
                <w:color w:val="000000"/>
                <w:sz w:val="22"/>
                <w:szCs w:val="22"/>
                <w:vertAlign w:val="superscript"/>
                <w:lang w:val="de-DE" w:eastAsia="en-US"/>
              </w:rPr>
              <w:t>a</w:t>
            </w:r>
            <w:r>
              <w:rPr>
                <w:rFonts w:eastAsia="Calibri" w:cs="Arial"/>
                <w:color w:val="000000"/>
                <w:sz w:val="22"/>
                <w:szCs w:val="22"/>
                <w:lang w:val="de-DE" w:eastAsia="en-US"/>
              </w:rPr>
              <w:t xml:space="preserve"> partielle Remission</w:t>
            </w:r>
          </w:p>
        </w:tc>
        <w:tc>
          <w:tcPr>
            <w:tcW w:w="928" w:type="pct"/>
          </w:tcPr>
          <w:p w14:paraId="1A89C1A3" w14:textId="77777777" w:rsidR="00FE291A" w:rsidRDefault="00C8738F">
            <w:pPr>
              <w:keepNext/>
              <w:widowControl/>
              <w:autoSpaceDE/>
              <w:autoSpaceDN/>
              <w:adjustRightInd/>
              <w:jc w:val="center"/>
              <w:rPr>
                <w:rFonts w:eastAsia="Calibri"/>
                <w:color w:val="000000"/>
                <w:sz w:val="22"/>
                <w:szCs w:val="22"/>
                <w:lang w:val="de-DE" w:eastAsia="en-US"/>
              </w:rPr>
            </w:pPr>
            <w:r>
              <w:rPr>
                <w:rFonts w:eastAsia="Calibri" w:cs="Arial"/>
                <w:color w:val="000000"/>
                <w:sz w:val="22"/>
                <w:szCs w:val="22"/>
                <w:lang w:val="de-DE" w:eastAsia="en-US"/>
              </w:rPr>
              <w:t>26,8 %</w:t>
            </w:r>
          </w:p>
        </w:tc>
        <w:tc>
          <w:tcPr>
            <w:tcW w:w="1005" w:type="pct"/>
          </w:tcPr>
          <w:p w14:paraId="31D64CD4" w14:textId="77777777" w:rsidR="00FE291A" w:rsidRDefault="00C8738F">
            <w:pPr>
              <w:keepNext/>
              <w:widowControl/>
              <w:autoSpaceDE/>
              <w:autoSpaceDN/>
              <w:adjustRightInd/>
              <w:jc w:val="center"/>
              <w:rPr>
                <w:rFonts w:eastAsia="Calibri"/>
                <w:color w:val="000000"/>
                <w:sz w:val="22"/>
                <w:szCs w:val="22"/>
                <w:lang w:val="de-DE" w:eastAsia="en-US"/>
              </w:rPr>
            </w:pPr>
            <w:r>
              <w:rPr>
                <w:rFonts w:eastAsia="Calibri" w:cs="Arial"/>
                <w:color w:val="000000"/>
                <w:sz w:val="22"/>
                <w:szCs w:val="22"/>
                <w:lang w:val="de-DE" w:eastAsia="en-US"/>
              </w:rPr>
              <w:t>42,1 %**</w:t>
            </w:r>
          </w:p>
        </w:tc>
      </w:tr>
      <w:tr w:rsidR="00FE291A" w14:paraId="55FFD90B" w14:textId="77777777">
        <w:trPr>
          <w:jc w:val="center"/>
        </w:trPr>
        <w:tc>
          <w:tcPr>
            <w:tcW w:w="3067" w:type="pct"/>
          </w:tcPr>
          <w:p w14:paraId="223537C3" w14:textId="77777777" w:rsidR="00FE291A" w:rsidRDefault="00C8738F">
            <w:pPr>
              <w:keepNext/>
              <w:widowControl/>
              <w:autoSpaceDE/>
              <w:autoSpaceDN/>
              <w:adjustRightInd/>
              <w:rPr>
                <w:rFonts w:eastAsia="Calibri"/>
                <w:color w:val="000000"/>
                <w:sz w:val="22"/>
                <w:szCs w:val="22"/>
                <w:lang w:val="de-DE" w:eastAsia="en-US"/>
              </w:rPr>
            </w:pPr>
            <w:r>
              <w:rPr>
                <w:rFonts w:eastAsia="Calibri" w:cs="Arial"/>
                <w:color w:val="000000"/>
                <w:sz w:val="22"/>
                <w:szCs w:val="22"/>
                <w:lang w:val="de-DE" w:eastAsia="en-US"/>
              </w:rPr>
              <w:t>ASDAS</w:t>
            </w:r>
            <w:r>
              <w:rPr>
                <w:rFonts w:eastAsia="Calibri" w:cs="Arial"/>
                <w:color w:val="000000"/>
                <w:sz w:val="22"/>
                <w:szCs w:val="22"/>
                <w:vertAlign w:val="superscript"/>
                <w:lang w:val="de-DE" w:eastAsia="en-US"/>
              </w:rPr>
              <w:t>c</w:t>
            </w:r>
            <w:r>
              <w:rPr>
                <w:rFonts w:eastAsia="Calibri" w:cs="Arial"/>
                <w:color w:val="000000"/>
                <w:sz w:val="22"/>
                <w:szCs w:val="22"/>
                <w:lang w:val="de-DE" w:eastAsia="en-US"/>
              </w:rPr>
              <w:t xml:space="preserve"> </w:t>
            </w:r>
            <w:r>
              <w:rPr>
                <w:rFonts w:eastAsia="Calibri" w:cs="Arial"/>
                <w:i/>
                <w:color w:val="000000"/>
                <w:sz w:val="22"/>
                <w:szCs w:val="22"/>
                <w:lang w:val="de-DE" w:eastAsia="en-US"/>
              </w:rPr>
              <w:t>Inactive Disease</w:t>
            </w:r>
          </w:p>
        </w:tc>
        <w:tc>
          <w:tcPr>
            <w:tcW w:w="928" w:type="pct"/>
          </w:tcPr>
          <w:p w14:paraId="6EA90103" w14:textId="77777777" w:rsidR="00FE291A" w:rsidRDefault="00C8738F">
            <w:pPr>
              <w:keepNext/>
              <w:widowControl/>
              <w:autoSpaceDE/>
              <w:autoSpaceDN/>
              <w:adjustRightInd/>
              <w:jc w:val="center"/>
              <w:rPr>
                <w:rFonts w:eastAsia="Calibri"/>
                <w:color w:val="000000"/>
                <w:sz w:val="22"/>
                <w:szCs w:val="22"/>
                <w:lang w:val="de-DE" w:eastAsia="en-US"/>
              </w:rPr>
            </w:pPr>
            <w:r>
              <w:rPr>
                <w:rFonts w:eastAsia="Calibri" w:cs="Arial"/>
                <w:color w:val="000000"/>
                <w:sz w:val="22"/>
                <w:szCs w:val="22"/>
                <w:lang w:val="de-DE" w:eastAsia="en-US"/>
              </w:rPr>
              <w:t>33,3 %</w:t>
            </w:r>
          </w:p>
        </w:tc>
        <w:tc>
          <w:tcPr>
            <w:tcW w:w="1005" w:type="pct"/>
          </w:tcPr>
          <w:p w14:paraId="6498D3BD" w14:textId="77777777" w:rsidR="00FE291A" w:rsidRDefault="00C8738F">
            <w:pPr>
              <w:keepNext/>
              <w:widowControl/>
              <w:autoSpaceDE/>
              <w:autoSpaceDN/>
              <w:adjustRightInd/>
              <w:jc w:val="center"/>
              <w:rPr>
                <w:rFonts w:eastAsia="Calibri"/>
                <w:color w:val="000000"/>
                <w:sz w:val="22"/>
                <w:szCs w:val="22"/>
                <w:lang w:val="de-DE" w:eastAsia="en-US"/>
              </w:rPr>
            </w:pPr>
            <w:r>
              <w:rPr>
                <w:rFonts w:eastAsia="Calibri" w:cs="Arial"/>
                <w:color w:val="000000"/>
                <w:sz w:val="22"/>
                <w:szCs w:val="22"/>
                <w:lang w:val="de-DE" w:eastAsia="en-US"/>
              </w:rPr>
              <w:t>57,2 %***</w:t>
            </w:r>
          </w:p>
        </w:tc>
      </w:tr>
      <w:tr w:rsidR="00FE291A" w14:paraId="5EC6BB80" w14:textId="77777777">
        <w:trPr>
          <w:jc w:val="center"/>
        </w:trPr>
        <w:tc>
          <w:tcPr>
            <w:tcW w:w="3067" w:type="pct"/>
          </w:tcPr>
          <w:p w14:paraId="53365D9A" w14:textId="77777777" w:rsidR="00FE291A" w:rsidRDefault="00C8738F">
            <w:pPr>
              <w:keepNext/>
              <w:widowControl/>
              <w:autoSpaceDE/>
              <w:autoSpaceDN/>
              <w:adjustRightInd/>
              <w:rPr>
                <w:rFonts w:eastAsia="Calibri"/>
                <w:color w:val="000000"/>
                <w:sz w:val="22"/>
                <w:szCs w:val="22"/>
                <w:lang w:val="de-DE" w:eastAsia="en-US"/>
              </w:rPr>
            </w:pPr>
            <w:r>
              <w:rPr>
                <w:rFonts w:eastAsia="Calibri" w:cs="Arial"/>
                <w:color w:val="000000"/>
                <w:sz w:val="22"/>
                <w:szCs w:val="22"/>
                <w:lang w:val="de-DE" w:eastAsia="en-US"/>
              </w:rPr>
              <w:t>Partieller Schub</w:t>
            </w:r>
            <w:r>
              <w:rPr>
                <w:rFonts w:eastAsia="Calibri" w:cs="Arial"/>
                <w:color w:val="000000"/>
                <w:sz w:val="22"/>
                <w:szCs w:val="22"/>
                <w:vertAlign w:val="superscript"/>
                <w:lang w:val="de-DE" w:eastAsia="en-US"/>
              </w:rPr>
              <w:t>d</w:t>
            </w:r>
          </w:p>
        </w:tc>
        <w:tc>
          <w:tcPr>
            <w:tcW w:w="928" w:type="pct"/>
          </w:tcPr>
          <w:p w14:paraId="67B1B848" w14:textId="77777777" w:rsidR="00FE291A" w:rsidRDefault="00C8738F">
            <w:pPr>
              <w:keepNext/>
              <w:widowControl/>
              <w:autoSpaceDE/>
              <w:autoSpaceDN/>
              <w:adjustRightInd/>
              <w:jc w:val="center"/>
              <w:rPr>
                <w:rFonts w:eastAsia="Calibri"/>
                <w:color w:val="000000"/>
                <w:sz w:val="22"/>
                <w:szCs w:val="22"/>
                <w:lang w:val="de-DE" w:eastAsia="en-US"/>
              </w:rPr>
            </w:pPr>
            <w:r>
              <w:rPr>
                <w:rFonts w:eastAsia="Calibri" w:cs="Arial"/>
                <w:color w:val="000000"/>
                <w:sz w:val="22"/>
                <w:szCs w:val="22"/>
                <w:lang w:val="de-DE" w:eastAsia="en-US"/>
              </w:rPr>
              <w:t>64,1 %</w:t>
            </w:r>
          </w:p>
        </w:tc>
        <w:tc>
          <w:tcPr>
            <w:tcW w:w="1005" w:type="pct"/>
          </w:tcPr>
          <w:p w14:paraId="27F78C1B" w14:textId="77777777" w:rsidR="00FE291A" w:rsidRDefault="00C8738F">
            <w:pPr>
              <w:keepNext/>
              <w:widowControl/>
              <w:autoSpaceDE/>
              <w:autoSpaceDN/>
              <w:adjustRightInd/>
              <w:jc w:val="center"/>
              <w:rPr>
                <w:rFonts w:eastAsia="Calibri"/>
                <w:color w:val="000000"/>
                <w:sz w:val="22"/>
                <w:szCs w:val="22"/>
                <w:lang w:val="de-DE" w:eastAsia="en-US"/>
              </w:rPr>
            </w:pPr>
            <w:r>
              <w:rPr>
                <w:rFonts w:eastAsia="Calibri" w:cs="Arial"/>
                <w:color w:val="000000"/>
                <w:sz w:val="22"/>
                <w:szCs w:val="22"/>
                <w:lang w:val="de-DE" w:eastAsia="en-US"/>
              </w:rPr>
              <w:t>40,8 %***</w:t>
            </w:r>
          </w:p>
        </w:tc>
      </w:tr>
      <w:tr w:rsidR="00FE291A" w:rsidRPr="00723069" w14:paraId="612B44CA" w14:textId="77777777">
        <w:trPr>
          <w:jc w:val="center"/>
        </w:trPr>
        <w:tc>
          <w:tcPr>
            <w:tcW w:w="5000" w:type="pct"/>
            <w:gridSpan w:val="3"/>
            <w:tcBorders>
              <w:left w:val="nil"/>
              <w:bottom w:val="nil"/>
              <w:right w:val="nil"/>
            </w:tcBorders>
          </w:tcPr>
          <w:p w14:paraId="09141996" w14:textId="77777777" w:rsidR="00FE291A" w:rsidRDefault="00C8738F">
            <w:pPr>
              <w:widowControl/>
              <w:rPr>
                <w:rFonts w:eastAsia="Calibri"/>
                <w:color w:val="000000"/>
                <w:sz w:val="20"/>
                <w:szCs w:val="20"/>
                <w:lang w:val="en-US" w:eastAsia="en-US"/>
              </w:rPr>
            </w:pPr>
            <w:r>
              <w:rPr>
                <w:rFonts w:eastAsia="Calibri" w:cs="Arial"/>
                <w:color w:val="000000"/>
                <w:sz w:val="20"/>
                <w:szCs w:val="20"/>
                <w:vertAlign w:val="superscript"/>
                <w:lang w:val="en-US" w:eastAsia="en-US"/>
              </w:rPr>
              <w:t>a</w:t>
            </w:r>
            <w:r>
              <w:rPr>
                <w:rFonts w:eastAsia="Calibri" w:cs="Arial"/>
                <w:color w:val="000000"/>
                <w:sz w:val="20"/>
                <w:szCs w:val="20"/>
                <w:lang w:val="en-US" w:eastAsia="en-US"/>
              </w:rPr>
              <w:t xml:space="preserve"> </w:t>
            </w:r>
            <w:r>
              <w:rPr>
                <w:rFonts w:eastAsia="Calibri" w:cs="Arial"/>
                <w:i/>
                <w:color w:val="000000"/>
                <w:sz w:val="20"/>
                <w:szCs w:val="20"/>
                <w:lang w:val="en-US" w:eastAsia="en-US"/>
              </w:rPr>
              <w:t>Assessment of SpondyloArthritis International Society</w:t>
            </w:r>
          </w:p>
          <w:p w14:paraId="63263B2C" w14:textId="77777777" w:rsidR="00FE291A" w:rsidRDefault="00C8738F">
            <w:pPr>
              <w:widowControl/>
              <w:tabs>
                <w:tab w:val="left" w:pos="562"/>
              </w:tabs>
              <w:suppressAutoHyphens/>
              <w:autoSpaceDE/>
              <w:autoSpaceDN/>
              <w:adjustRightInd/>
              <w:rPr>
                <w:rFonts w:eastAsia="Times New Roman"/>
                <w:sz w:val="20"/>
                <w:szCs w:val="20"/>
                <w:vertAlign w:val="superscript"/>
                <w:lang w:val="de-DE" w:eastAsia="en-US"/>
              </w:rPr>
            </w:pPr>
            <w:r>
              <w:rPr>
                <w:rFonts w:eastAsia="Times New Roman"/>
                <w:sz w:val="20"/>
                <w:szCs w:val="20"/>
                <w:vertAlign w:val="superscript"/>
                <w:lang w:val="de-DE" w:eastAsia="en-US"/>
              </w:rPr>
              <w:t>b</w:t>
            </w:r>
            <w:r>
              <w:rPr>
                <w:rFonts w:eastAsia="Times New Roman"/>
                <w:sz w:val="20"/>
                <w:szCs w:val="20"/>
                <w:lang w:val="de-DE" w:eastAsia="en-US"/>
              </w:rPr>
              <w:t xml:space="preserve"> Als Ausgangswert gilt bei Patienten mit aktiver Erkrankung der Wert bei Beginn der offenen Phase.</w:t>
            </w:r>
          </w:p>
          <w:p w14:paraId="4CB90337" w14:textId="77777777" w:rsidR="00FE291A" w:rsidRDefault="00C8738F">
            <w:pPr>
              <w:widowControl/>
              <w:tabs>
                <w:tab w:val="left" w:pos="562"/>
              </w:tabs>
              <w:suppressAutoHyphens/>
              <w:autoSpaceDE/>
              <w:autoSpaceDN/>
              <w:adjustRightInd/>
              <w:rPr>
                <w:rFonts w:eastAsia="Times New Roman"/>
                <w:sz w:val="20"/>
                <w:szCs w:val="20"/>
                <w:vertAlign w:val="superscript"/>
                <w:lang w:val="en-US" w:eastAsia="en-US"/>
              </w:rPr>
            </w:pPr>
            <w:r>
              <w:rPr>
                <w:rFonts w:eastAsia="Times New Roman"/>
                <w:sz w:val="20"/>
                <w:szCs w:val="20"/>
                <w:vertAlign w:val="superscript"/>
                <w:lang w:val="en-US" w:eastAsia="en-US"/>
              </w:rPr>
              <w:t>c</w:t>
            </w:r>
            <w:r>
              <w:rPr>
                <w:rFonts w:eastAsia="Times New Roman"/>
                <w:sz w:val="20"/>
                <w:szCs w:val="20"/>
                <w:lang w:val="en-US" w:eastAsia="en-US"/>
              </w:rPr>
              <w:t xml:space="preserve"> </w:t>
            </w:r>
            <w:r>
              <w:rPr>
                <w:rFonts w:eastAsia="Times New Roman"/>
                <w:i/>
                <w:sz w:val="20"/>
                <w:szCs w:val="20"/>
                <w:lang w:val="en-US" w:eastAsia="en-US"/>
              </w:rPr>
              <w:t>Ankylosing Spondylitis Disease Activity Score</w:t>
            </w:r>
          </w:p>
          <w:p w14:paraId="70BD34F6" w14:textId="77777777" w:rsidR="00FE291A" w:rsidRDefault="00C8738F">
            <w:pPr>
              <w:widowControl/>
              <w:rPr>
                <w:rFonts w:eastAsia="Calibri"/>
                <w:color w:val="000000"/>
                <w:sz w:val="20"/>
                <w:szCs w:val="20"/>
                <w:lang w:val="de-DE" w:eastAsia="en-US"/>
              </w:rPr>
            </w:pPr>
            <w:r>
              <w:rPr>
                <w:rFonts w:eastAsia="Calibri" w:cs="Arial"/>
                <w:color w:val="000000"/>
                <w:sz w:val="20"/>
                <w:szCs w:val="20"/>
                <w:vertAlign w:val="superscript"/>
                <w:lang w:val="de-DE" w:eastAsia="en-US"/>
              </w:rPr>
              <w:t>d</w:t>
            </w:r>
            <w:r>
              <w:rPr>
                <w:rFonts w:eastAsia="Calibri" w:cs="Arial"/>
                <w:color w:val="000000"/>
                <w:sz w:val="20"/>
                <w:szCs w:val="20"/>
                <w:lang w:val="de-DE" w:eastAsia="en-US"/>
              </w:rPr>
              <w:t xml:space="preserve"> Ein partieller Schub ist definiert als ASDAS von ≥ 1,3 aber &lt; 2,1 bei zwei aufeinanderfolgenden Visiten.</w:t>
            </w:r>
          </w:p>
          <w:p w14:paraId="25A5B55C" w14:textId="77777777" w:rsidR="00FE291A" w:rsidRDefault="00C8738F">
            <w:pPr>
              <w:keepNext/>
              <w:widowControl/>
              <w:tabs>
                <w:tab w:val="left" w:pos="562"/>
              </w:tabs>
              <w:suppressAutoHyphens/>
              <w:autoSpaceDE/>
              <w:autoSpaceDN/>
              <w:adjustRightInd/>
              <w:rPr>
                <w:rFonts w:eastAsia="Times New Roman"/>
                <w:sz w:val="22"/>
                <w:szCs w:val="20"/>
                <w:lang w:val="de-DE" w:eastAsia="en-US"/>
              </w:rPr>
            </w:pPr>
            <w:r>
              <w:rPr>
                <w:rFonts w:eastAsia="Times New Roman"/>
                <w:sz w:val="20"/>
                <w:szCs w:val="20"/>
                <w:lang w:val="de-DE" w:eastAsia="en-US"/>
              </w:rPr>
              <w:t>***, ** Statistisch signifikant mit p &lt; 0,001 bzw. &lt; 0,01 für alle Vergleiche von Adalimumab mit Placebo.</w:t>
            </w:r>
          </w:p>
        </w:tc>
      </w:tr>
    </w:tbl>
    <w:p w14:paraId="53FAE654" w14:textId="77777777" w:rsidR="00FE291A" w:rsidRDefault="00FE291A">
      <w:pPr>
        <w:widowControl/>
        <w:kinsoku w:val="0"/>
        <w:overflowPunct w:val="0"/>
        <w:rPr>
          <w:i/>
          <w:iCs/>
          <w:sz w:val="22"/>
          <w:szCs w:val="22"/>
          <w:lang w:val="de-DE"/>
        </w:rPr>
      </w:pPr>
    </w:p>
    <w:p w14:paraId="5B630266" w14:textId="77777777" w:rsidR="00FE291A" w:rsidRDefault="00C8738F">
      <w:pPr>
        <w:keepNext/>
        <w:widowControl/>
        <w:kinsoku w:val="0"/>
        <w:overflowPunct w:val="0"/>
        <w:rPr>
          <w:i/>
          <w:sz w:val="22"/>
          <w:szCs w:val="22"/>
          <w:lang w:val="de-DE"/>
        </w:rPr>
      </w:pPr>
      <w:r>
        <w:rPr>
          <w:i/>
          <w:iCs/>
          <w:sz w:val="22"/>
          <w:szCs w:val="22"/>
          <w:lang w:val="de-DE"/>
        </w:rPr>
        <w:t>Psoriasis-Arthritis</w:t>
      </w:r>
    </w:p>
    <w:p w14:paraId="005FF3C0" w14:textId="77777777" w:rsidR="00FE291A" w:rsidRDefault="00FE291A">
      <w:pPr>
        <w:keepNext/>
        <w:widowControl/>
        <w:kinsoku w:val="0"/>
        <w:overflowPunct w:val="0"/>
        <w:rPr>
          <w:sz w:val="22"/>
          <w:szCs w:val="22"/>
          <w:lang w:val="de-DE"/>
        </w:rPr>
      </w:pPr>
    </w:p>
    <w:p w14:paraId="7C16C76A" w14:textId="77777777" w:rsidR="00FE291A" w:rsidRDefault="00C8738F">
      <w:pPr>
        <w:pStyle w:val="BodyText"/>
        <w:widowControl/>
        <w:kinsoku w:val="0"/>
        <w:overflowPunct w:val="0"/>
        <w:ind w:left="0"/>
        <w:rPr>
          <w:lang w:val="de-DE"/>
        </w:rPr>
      </w:pPr>
      <w:r>
        <w:rPr>
          <w:lang w:val="de-DE"/>
        </w:rPr>
        <w:t>Adalimumab wurde bei Patienten mit mäßiger bis schwerer aktiver Psoriasis-Arthritis in einer Dosierung von 40 mg jede zweite Woche in zwei placebokontrollierten Studien, PsA-Studien I und II, untersucht. In der PsA-Studie I wurden 313 erwachsene Patienten mit unzureichendem Ansprechen auf die Therapie mit nicht steroidalen Antirheumatika über 24 Wochen behandelt. Annähernd 50 % dieser Patienten erhielten Methotrexat. In der PsA-Studie II wurden 100 Patienten mit unzureichendem Ansprechen auf krankheitsmodifizierende Antirheumatika (DMARDs) über 12 Wochen behandelt. Nach Beendigung beider Studien traten 383 Patienten in eine offene Fortsetzungsstudie ein, in der 40 mg Adalimumab jede zweite Woche verabreicht wurde.</w:t>
      </w:r>
    </w:p>
    <w:p w14:paraId="10ED3655" w14:textId="77777777" w:rsidR="00FE291A" w:rsidRDefault="00FE291A">
      <w:pPr>
        <w:widowControl/>
        <w:kinsoku w:val="0"/>
        <w:overflowPunct w:val="0"/>
        <w:rPr>
          <w:sz w:val="22"/>
          <w:szCs w:val="22"/>
          <w:lang w:val="de-DE"/>
        </w:rPr>
      </w:pPr>
    </w:p>
    <w:p w14:paraId="774A104D" w14:textId="77777777" w:rsidR="00FE291A" w:rsidRDefault="00C8738F">
      <w:pPr>
        <w:pStyle w:val="BodyText"/>
        <w:widowControl/>
        <w:kinsoku w:val="0"/>
        <w:overflowPunct w:val="0"/>
        <w:ind w:left="0"/>
        <w:rPr>
          <w:lang w:val="de-DE"/>
        </w:rPr>
      </w:pPr>
      <w:r>
        <w:rPr>
          <w:lang w:val="de-DE"/>
        </w:rPr>
        <w:t>Aufgrund der geringen Anzahl untersuchter Patienten gibt es nur unzureichende Belege zur Wirksamkeit von Adalimumab bei Patienten mit einer der ankylosierenden Spondylitis ähnlichen Psoriasis-Arthropathie.</w:t>
      </w:r>
    </w:p>
    <w:p w14:paraId="6F60475E" w14:textId="77777777" w:rsidR="00FE291A" w:rsidRDefault="00FE291A">
      <w:pPr>
        <w:widowControl/>
        <w:kinsoku w:val="0"/>
        <w:overflowPunct w:val="0"/>
        <w:rPr>
          <w:sz w:val="22"/>
          <w:szCs w:val="22"/>
          <w:lang w:val="de-DE"/>
        </w:rPr>
      </w:pPr>
    </w:p>
    <w:p w14:paraId="5B9EC27B" w14:textId="77777777" w:rsidR="00FE291A" w:rsidRDefault="00C8738F">
      <w:pPr>
        <w:pStyle w:val="Heading1"/>
        <w:keepNext/>
        <w:keepLines/>
        <w:widowControl/>
        <w:kinsoku w:val="0"/>
        <w:overflowPunct w:val="0"/>
        <w:ind w:left="0"/>
        <w:rPr>
          <w:lang w:val="de-DE"/>
        </w:rPr>
      </w:pPr>
      <w:r>
        <w:rPr>
          <w:lang w:val="de-DE"/>
        </w:rPr>
        <w:t>Tabelle 15: ACR-Ansprechraten in placebokontrollierten Psoriasis-Arthritis-Studien (prozentualer Anteil der Patienten)</w:t>
      </w:r>
    </w:p>
    <w:p w14:paraId="7497C0B9" w14:textId="77777777" w:rsidR="00FE291A" w:rsidRDefault="00FE291A">
      <w:pPr>
        <w:keepNext/>
        <w:keepLines/>
        <w:widowControl/>
        <w:kinsoku w:val="0"/>
        <w:overflowPunct w:val="0"/>
        <w:rPr>
          <w:sz w:val="22"/>
          <w:lang w:val="de-DE"/>
        </w:rPr>
      </w:pPr>
    </w:p>
    <w:tbl>
      <w:tblPr>
        <w:tblW w:w="9356" w:type="dxa"/>
        <w:tblInd w:w="5" w:type="dxa"/>
        <w:tblLayout w:type="fixed"/>
        <w:tblCellMar>
          <w:left w:w="0" w:type="dxa"/>
          <w:right w:w="0" w:type="dxa"/>
        </w:tblCellMar>
        <w:tblLook w:val="04A0" w:firstRow="1" w:lastRow="0" w:firstColumn="1" w:lastColumn="0" w:noHBand="0" w:noVBand="1"/>
      </w:tblPr>
      <w:tblGrid>
        <w:gridCol w:w="2173"/>
        <w:gridCol w:w="1796"/>
        <w:gridCol w:w="1560"/>
        <w:gridCol w:w="2126"/>
        <w:gridCol w:w="1701"/>
      </w:tblGrid>
      <w:tr w:rsidR="00FE291A" w14:paraId="40B98AE5" w14:textId="77777777">
        <w:trPr>
          <w:cantSplit/>
          <w:trHeight w:hRule="exact" w:val="353"/>
        </w:trPr>
        <w:tc>
          <w:tcPr>
            <w:tcW w:w="2173" w:type="dxa"/>
            <w:tcBorders>
              <w:top w:val="single" w:sz="4" w:space="0" w:color="000000"/>
              <w:left w:val="single" w:sz="4" w:space="0" w:color="000000"/>
              <w:bottom w:val="single" w:sz="4" w:space="0" w:color="000000"/>
              <w:right w:val="single" w:sz="4" w:space="0" w:color="000000"/>
            </w:tcBorders>
          </w:tcPr>
          <w:p w14:paraId="7CC96374" w14:textId="77777777" w:rsidR="00FE291A" w:rsidRDefault="00FE291A">
            <w:pPr>
              <w:keepNext/>
              <w:widowControl/>
              <w:jc w:val="center"/>
              <w:rPr>
                <w:b/>
                <w:sz w:val="22"/>
                <w:lang w:val="de-DE"/>
              </w:rPr>
            </w:pPr>
          </w:p>
        </w:tc>
        <w:tc>
          <w:tcPr>
            <w:tcW w:w="3356" w:type="dxa"/>
            <w:gridSpan w:val="2"/>
            <w:tcBorders>
              <w:top w:val="single" w:sz="4" w:space="0" w:color="000000"/>
              <w:left w:val="single" w:sz="4" w:space="0" w:color="000000"/>
              <w:bottom w:val="single" w:sz="4" w:space="0" w:color="000000"/>
              <w:right w:val="single" w:sz="4" w:space="0" w:color="000000"/>
            </w:tcBorders>
          </w:tcPr>
          <w:p w14:paraId="54F948DC" w14:textId="77777777" w:rsidR="00FE291A" w:rsidRDefault="00C8738F">
            <w:pPr>
              <w:pStyle w:val="TableParagraph"/>
              <w:keepNext/>
              <w:widowControl/>
              <w:kinsoku w:val="0"/>
              <w:overflowPunct w:val="0"/>
              <w:jc w:val="center"/>
              <w:rPr>
                <w:b/>
                <w:sz w:val="22"/>
                <w:lang w:val="de-DE"/>
              </w:rPr>
            </w:pPr>
            <w:r>
              <w:rPr>
                <w:b/>
                <w:sz w:val="22"/>
                <w:szCs w:val="22"/>
                <w:lang w:val="de-DE"/>
              </w:rPr>
              <w:t>PsA-Studie I</w:t>
            </w:r>
          </w:p>
        </w:tc>
        <w:tc>
          <w:tcPr>
            <w:tcW w:w="3827" w:type="dxa"/>
            <w:gridSpan w:val="2"/>
            <w:tcBorders>
              <w:top w:val="single" w:sz="4" w:space="0" w:color="000000"/>
              <w:left w:val="single" w:sz="4" w:space="0" w:color="000000"/>
              <w:bottom w:val="single" w:sz="4" w:space="0" w:color="000000"/>
              <w:right w:val="single" w:sz="4" w:space="0" w:color="000000"/>
            </w:tcBorders>
          </w:tcPr>
          <w:p w14:paraId="7A6CF32A" w14:textId="77777777" w:rsidR="00FE291A" w:rsidRDefault="00C8738F">
            <w:pPr>
              <w:pStyle w:val="TableParagraph"/>
              <w:keepNext/>
              <w:widowControl/>
              <w:kinsoku w:val="0"/>
              <w:overflowPunct w:val="0"/>
              <w:jc w:val="center"/>
              <w:rPr>
                <w:b/>
                <w:sz w:val="22"/>
                <w:lang w:val="de-DE"/>
              </w:rPr>
            </w:pPr>
            <w:r>
              <w:rPr>
                <w:b/>
                <w:sz w:val="22"/>
                <w:szCs w:val="22"/>
                <w:lang w:val="de-DE"/>
              </w:rPr>
              <w:t>PsA-Studie II</w:t>
            </w:r>
          </w:p>
        </w:tc>
      </w:tr>
      <w:tr w:rsidR="00FE291A" w14:paraId="0C0CBD87" w14:textId="77777777">
        <w:trPr>
          <w:cantSplit/>
          <w:trHeight w:hRule="exact" w:val="686"/>
        </w:trPr>
        <w:tc>
          <w:tcPr>
            <w:tcW w:w="2173" w:type="dxa"/>
            <w:tcBorders>
              <w:top w:val="single" w:sz="4" w:space="0" w:color="000000"/>
              <w:left w:val="single" w:sz="4" w:space="0" w:color="000000"/>
              <w:bottom w:val="single" w:sz="4" w:space="0" w:color="auto"/>
              <w:right w:val="single" w:sz="4" w:space="0" w:color="000000"/>
            </w:tcBorders>
          </w:tcPr>
          <w:p w14:paraId="291237C1" w14:textId="77777777" w:rsidR="00FE291A" w:rsidRDefault="00FE291A">
            <w:pPr>
              <w:pStyle w:val="TableParagraph"/>
              <w:keepNext/>
              <w:widowControl/>
              <w:kinsoku w:val="0"/>
              <w:overflowPunct w:val="0"/>
              <w:rPr>
                <w:b/>
                <w:sz w:val="22"/>
                <w:szCs w:val="22"/>
                <w:lang w:val="de-DE"/>
              </w:rPr>
            </w:pPr>
          </w:p>
          <w:p w14:paraId="3AF1A24F" w14:textId="77777777" w:rsidR="00FE291A" w:rsidRDefault="00C8738F">
            <w:pPr>
              <w:pStyle w:val="TableParagraph"/>
              <w:keepNext/>
              <w:widowControl/>
              <w:kinsoku w:val="0"/>
              <w:overflowPunct w:val="0"/>
              <w:rPr>
                <w:b/>
                <w:sz w:val="22"/>
                <w:lang w:val="de-DE"/>
              </w:rPr>
            </w:pPr>
            <w:r>
              <w:rPr>
                <w:b/>
                <w:sz w:val="22"/>
                <w:szCs w:val="22"/>
                <w:lang w:val="de-DE"/>
              </w:rPr>
              <w:t>Ansprechen</w:t>
            </w:r>
          </w:p>
        </w:tc>
        <w:tc>
          <w:tcPr>
            <w:tcW w:w="1796" w:type="dxa"/>
            <w:tcBorders>
              <w:top w:val="single" w:sz="4" w:space="0" w:color="000000"/>
              <w:left w:val="single" w:sz="4" w:space="0" w:color="000000"/>
              <w:bottom w:val="single" w:sz="4" w:space="0" w:color="auto"/>
              <w:right w:val="single" w:sz="4" w:space="0" w:color="000000"/>
            </w:tcBorders>
          </w:tcPr>
          <w:p w14:paraId="62EC7734" w14:textId="77777777" w:rsidR="00FE291A" w:rsidRDefault="00C8738F">
            <w:pPr>
              <w:pStyle w:val="TableParagraph"/>
              <w:keepNext/>
              <w:widowControl/>
              <w:kinsoku w:val="0"/>
              <w:overflowPunct w:val="0"/>
              <w:jc w:val="center"/>
              <w:rPr>
                <w:b/>
                <w:sz w:val="22"/>
                <w:szCs w:val="22"/>
                <w:lang w:val="de-DE"/>
              </w:rPr>
            </w:pPr>
            <w:r>
              <w:rPr>
                <w:b/>
                <w:sz w:val="22"/>
                <w:szCs w:val="22"/>
                <w:lang w:val="de-DE"/>
              </w:rPr>
              <w:t>Placebo</w:t>
            </w:r>
          </w:p>
          <w:p w14:paraId="24A6032C" w14:textId="77777777" w:rsidR="00FE291A" w:rsidRDefault="00C8738F">
            <w:pPr>
              <w:pStyle w:val="TableParagraph"/>
              <w:keepNext/>
              <w:widowControl/>
              <w:kinsoku w:val="0"/>
              <w:overflowPunct w:val="0"/>
              <w:jc w:val="center"/>
              <w:rPr>
                <w:b/>
                <w:sz w:val="22"/>
                <w:lang w:val="de-DE"/>
              </w:rPr>
            </w:pPr>
            <w:r>
              <w:rPr>
                <w:b/>
                <w:sz w:val="22"/>
                <w:szCs w:val="22"/>
                <w:lang w:val="de-DE"/>
              </w:rPr>
              <w:t>N = 162</w:t>
            </w:r>
          </w:p>
        </w:tc>
        <w:tc>
          <w:tcPr>
            <w:tcW w:w="1560" w:type="dxa"/>
            <w:tcBorders>
              <w:top w:val="single" w:sz="4" w:space="0" w:color="000000"/>
              <w:left w:val="single" w:sz="4" w:space="0" w:color="000000"/>
              <w:bottom w:val="single" w:sz="4" w:space="0" w:color="auto"/>
              <w:right w:val="single" w:sz="4" w:space="0" w:color="000000"/>
            </w:tcBorders>
          </w:tcPr>
          <w:p w14:paraId="0FD47D70" w14:textId="77777777" w:rsidR="00FE291A" w:rsidRDefault="00C8738F">
            <w:pPr>
              <w:pStyle w:val="TableParagraph"/>
              <w:keepNext/>
              <w:widowControl/>
              <w:kinsoku w:val="0"/>
              <w:overflowPunct w:val="0"/>
              <w:jc w:val="center"/>
              <w:rPr>
                <w:b/>
                <w:sz w:val="22"/>
                <w:szCs w:val="22"/>
                <w:lang w:val="de-DE"/>
              </w:rPr>
            </w:pPr>
            <w:r>
              <w:rPr>
                <w:b/>
                <w:sz w:val="22"/>
                <w:szCs w:val="22"/>
                <w:lang w:val="de-DE"/>
              </w:rPr>
              <w:t>Adalimumab</w:t>
            </w:r>
          </w:p>
          <w:p w14:paraId="65DCEBFB" w14:textId="77777777" w:rsidR="00FE291A" w:rsidRDefault="00C8738F">
            <w:pPr>
              <w:pStyle w:val="TableParagraph"/>
              <w:keepNext/>
              <w:widowControl/>
              <w:kinsoku w:val="0"/>
              <w:overflowPunct w:val="0"/>
              <w:jc w:val="center"/>
              <w:rPr>
                <w:b/>
                <w:sz w:val="22"/>
                <w:lang w:val="de-DE"/>
              </w:rPr>
            </w:pPr>
            <w:r>
              <w:rPr>
                <w:b/>
                <w:sz w:val="22"/>
                <w:szCs w:val="22"/>
                <w:lang w:val="de-DE"/>
              </w:rPr>
              <w:t>N = 151</w:t>
            </w:r>
          </w:p>
        </w:tc>
        <w:tc>
          <w:tcPr>
            <w:tcW w:w="2126" w:type="dxa"/>
            <w:tcBorders>
              <w:top w:val="single" w:sz="4" w:space="0" w:color="000000"/>
              <w:left w:val="single" w:sz="4" w:space="0" w:color="000000"/>
              <w:bottom w:val="single" w:sz="4" w:space="0" w:color="auto"/>
              <w:right w:val="single" w:sz="4" w:space="0" w:color="000000"/>
            </w:tcBorders>
          </w:tcPr>
          <w:p w14:paraId="6755E229" w14:textId="77777777" w:rsidR="00FE291A" w:rsidRDefault="00C8738F">
            <w:pPr>
              <w:pStyle w:val="TableParagraph"/>
              <w:keepNext/>
              <w:widowControl/>
              <w:kinsoku w:val="0"/>
              <w:overflowPunct w:val="0"/>
              <w:jc w:val="center"/>
              <w:rPr>
                <w:b/>
                <w:sz w:val="22"/>
                <w:szCs w:val="22"/>
                <w:lang w:val="de-DE"/>
              </w:rPr>
            </w:pPr>
            <w:r>
              <w:rPr>
                <w:b/>
                <w:sz w:val="22"/>
                <w:szCs w:val="22"/>
                <w:lang w:val="de-DE"/>
              </w:rPr>
              <w:t>Placebo</w:t>
            </w:r>
          </w:p>
          <w:p w14:paraId="64D220E6" w14:textId="77777777" w:rsidR="00FE291A" w:rsidRDefault="00C8738F">
            <w:pPr>
              <w:pStyle w:val="TableParagraph"/>
              <w:keepNext/>
              <w:widowControl/>
              <w:kinsoku w:val="0"/>
              <w:overflowPunct w:val="0"/>
              <w:jc w:val="center"/>
              <w:rPr>
                <w:b/>
                <w:sz w:val="22"/>
                <w:lang w:val="de-DE"/>
              </w:rPr>
            </w:pPr>
            <w:r>
              <w:rPr>
                <w:b/>
                <w:sz w:val="22"/>
                <w:szCs w:val="22"/>
                <w:lang w:val="de-DE"/>
              </w:rPr>
              <w:t>N =</w:t>
            </w:r>
            <w:r>
              <w:rPr>
                <w:b/>
                <w:sz w:val="22"/>
                <w:szCs w:val="22"/>
                <w:lang w:val="de-DE" w:eastAsia="zh-TW"/>
              </w:rPr>
              <w:t> </w:t>
            </w:r>
            <w:r>
              <w:rPr>
                <w:b/>
                <w:sz w:val="22"/>
                <w:szCs w:val="22"/>
                <w:lang w:val="de-DE"/>
              </w:rPr>
              <w:t>49</w:t>
            </w:r>
          </w:p>
        </w:tc>
        <w:tc>
          <w:tcPr>
            <w:tcW w:w="1701" w:type="dxa"/>
            <w:tcBorders>
              <w:top w:val="single" w:sz="4" w:space="0" w:color="000000"/>
              <w:left w:val="single" w:sz="4" w:space="0" w:color="000000"/>
              <w:bottom w:val="single" w:sz="4" w:space="0" w:color="auto"/>
              <w:right w:val="single" w:sz="4" w:space="0" w:color="000000"/>
            </w:tcBorders>
          </w:tcPr>
          <w:p w14:paraId="6C4507DF" w14:textId="77777777" w:rsidR="00FE291A" w:rsidRDefault="00C8738F">
            <w:pPr>
              <w:pStyle w:val="TableParagraph"/>
              <w:keepNext/>
              <w:widowControl/>
              <w:kinsoku w:val="0"/>
              <w:overflowPunct w:val="0"/>
              <w:jc w:val="center"/>
              <w:rPr>
                <w:b/>
                <w:sz w:val="22"/>
                <w:szCs w:val="22"/>
                <w:lang w:val="de-DE"/>
              </w:rPr>
            </w:pPr>
            <w:r>
              <w:rPr>
                <w:b/>
                <w:sz w:val="22"/>
                <w:szCs w:val="22"/>
                <w:lang w:val="de-DE"/>
              </w:rPr>
              <w:t>Adalimumab</w:t>
            </w:r>
          </w:p>
          <w:p w14:paraId="2F4BDA91" w14:textId="77777777" w:rsidR="00FE291A" w:rsidRDefault="00C8738F">
            <w:pPr>
              <w:pStyle w:val="TableParagraph"/>
              <w:keepNext/>
              <w:widowControl/>
              <w:kinsoku w:val="0"/>
              <w:overflowPunct w:val="0"/>
              <w:jc w:val="center"/>
              <w:rPr>
                <w:b/>
                <w:sz w:val="22"/>
                <w:lang w:val="de-DE"/>
              </w:rPr>
            </w:pPr>
            <w:r>
              <w:rPr>
                <w:b/>
                <w:sz w:val="22"/>
                <w:szCs w:val="22"/>
                <w:lang w:val="de-DE"/>
              </w:rPr>
              <w:t>N = 51</w:t>
            </w:r>
          </w:p>
        </w:tc>
      </w:tr>
      <w:tr w:rsidR="00FE291A" w14:paraId="5B3798C0" w14:textId="77777777">
        <w:trPr>
          <w:cantSplit/>
          <w:trHeight w:hRule="exact" w:val="256"/>
        </w:trPr>
        <w:tc>
          <w:tcPr>
            <w:tcW w:w="2173" w:type="dxa"/>
            <w:tcBorders>
              <w:top w:val="single" w:sz="4" w:space="0" w:color="auto"/>
              <w:left w:val="single" w:sz="4" w:space="0" w:color="auto"/>
              <w:bottom w:val="single" w:sz="4" w:space="0" w:color="auto"/>
              <w:right w:val="single" w:sz="4" w:space="0" w:color="auto"/>
            </w:tcBorders>
          </w:tcPr>
          <w:p w14:paraId="5FCF9724" w14:textId="77777777" w:rsidR="00FE291A" w:rsidRDefault="00C8738F">
            <w:pPr>
              <w:pStyle w:val="TableParagraph"/>
              <w:keepNext/>
              <w:widowControl/>
              <w:kinsoku w:val="0"/>
              <w:overflowPunct w:val="0"/>
              <w:rPr>
                <w:sz w:val="22"/>
                <w:lang w:val="de-DE"/>
              </w:rPr>
            </w:pPr>
            <w:r>
              <w:rPr>
                <w:sz w:val="22"/>
                <w:szCs w:val="22"/>
                <w:lang w:val="de-DE"/>
              </w:rPr>
              <w:t>ACR-20</w:t>
            </w:r>
          </w:p>
        </w:tc>
        <w:tc>
          <w:tcPr>
            <w:tcW w:w="1796" w:type="dxa"/>
            <w:tcBorders>
              <w:top w:val="single" w:sz="4" w:space="0" w:color="auto"/>
              <w:left w:val="single" w:sz="4" w:space="0" w:color="auto"/>
              <w:bottom w:val="single" w:sz="4" w:space="0" w:color="auto"/>
              <w:right w:val="single" w:sz="4" w:space="0" w:color="auto"/>
            </w:tcBorders>
          </w:tcPr>
          <w:p w14:paraId="39E63BA3" w14:textId="77777777" w:rsidR="00FE291A" w:rsidRDefault="00FE291A">
            <w:pPr>
              <w:pStyle w:val="TableParagraph"/>
              <w:keepNext/>
              <w:widowControl/>
              <w:kinsoku w:val="0"/>
              <w:overflowPunct w:val="0"/>
              <w:jc w:val="center"/>
              <w:rPr>
                <w:sz w:val="22"/>
                <w:szCs w:val="22"/>
                <w:lang w:val="de-DE"/>
              </w:rPr>
            </w:pPr>
          </w:p>
        </w:tc>
        <w:tc>
          <w:tcPr>
            <w:tcW w:w="1560" w:type="dxa"/>
            <w:tcBorders>
              <w:top w:val="single" w:sz="4" w:space="0" w:color="auto"/>
              <w:left w:val="single" w:sz="4" w:space="0" w:color="auto"/>
              <w:bottom w:val="single" w:sz="4" w:space="0" w:color="auto"/>
              <w:right w:val="single" w:sz="4" w:space="0" w:color="auto"/>
            </w:tcBorders>
          </w:tcPr>
          <w:p w14:paraId="508AA3D8" w14:textId="77777777" w:rsidR="00FE291A" w:rsidRDefault="00FE291A">
            <w:pPr>
              <w:pStyle w:val="TableParagraph"/>
              <w:keepNext/>
              <w:widowControl/>
              <w:kinsoku w:val="0"/>
              <w:overflowPunct w:val="0"/>
              <w:jc w:val="center"/>
              <w:rPr>
                <w:sz w:val="22"/>
                <w:szCs w:val="22"/>
                <w:lang w:val="de-DE"/>
              </w:rPr>
            </w:pPr>
          </w:p>
        </w:tc>
        <w:tc>
          <w:tcPr>
            <w:tcW w:w="2126" w:type="dxa"/>
            <w:tcBorders>
              <w:top w:val="single" w:sz="4" w:space="0" w:color="auto"/>
              <w:left w:val="single" w:sz="4" w:space="0" w:color="auto"/>
              <w:bottom w:val="single" w:sz="4" w:space="0" w:color="auto"/>
              <w:right w:val="single" w:sz="4" w:space="0" w:color="auto"/>
            </w:tcBorders>
          </w:tcPr>
          <w:p w14:paraId="71BC882E" w14:textId="77777777" w:rsidR="00FE291A" w:rsidRDefault="00FE291A">
            <w:pPr>
              <w:pStyle w:val="TableParagraph"/>
              <w:keepNext/>
              <w:widowControl/>
              <w:kinsoku w:val="0"/>
              <w:overflowPunct w:val="0"/>
              <w:jc w:val="center"/>
              <w:rPr>
                <w:sz w:val="22"/>
                <w:szCs w:val="22"/>
                <w:lang w:val="de-DE"/>
              </w:rPr>
            </w:pPr>
          </w:p>
        </w:tc>
        <w:tc>
          <w:tcPr>
            <w:tcW w:w="1701" w:type="dxa"/>
            <w:tcBorders>
              <w:top w:val="single" w:sz="4" w:space="0" w:color="auto"/>
              <w:left w:val="single" w:sz="4" w:space="0" w:color="auto"/>
              <w:bottom w:val="single" w:sz="4" w:space="0" w:color="auto"/>
              <w:right w:val="single" w:sz="4" w:space="0" w:color="auto"/>
            </w:tcBorders>
          </w:tcPr>
          <w:p w14:paraId="68C1506F" w14:textId="77777777" w:rsidR="00FE291A" w:rsidRDefault="00FE291A">
            <w:pPr>
              <w:pStyle w:val="TableParagraph"/>
              <w:keepNext/>
              <w:widowControl/>
              <w:kinsoku w:val="0"/>
              <w:overflowPunct w:val="0"/>
              <w:jc w:val="center"/>
              <w:rPr>
                <w:sz w:val="22"/>
                <w:szCs w:val="22"/>
                <w:lang w:val="de-DE"/>
              </w:rPr>
            </w:pPr>
          </w:p>
        </w:tc>
      </w:tr>
      <w:tr w:rsidR="00FE291A" w14:paraId="48DE4280" w14:textId="77777777">
        <w:trPr>
          <w:cantSplit/>
          <w:trHeight w:hRule="exact" w:val="259"/>
        </w:trPr>
        <w:tc>
          <w:tcPr>
            <w:tcW w:w="2173" w:type="dxa"/>
            <w:tcBorders>
              <w:top w:val="single" w:sz="4" w:space="0" w:color="auto"/>
              <w:left w:val="single" w:sz="4" w:space="0" w:color="auto"/>
              <w:bottom w:val="single" w:sz="4" w:space="0" w:color="auto"/>
              <w:right w:val="single" w:sz="4" w:space="0" w:color="auto"/>
            </w:tcBorders>
          </w:tcPr>
          <w:p w14:paraId="7EEBE333" w14:textId="77777777" w:rsidR="00FE291A" w:rsidRDefault="00C8738F">
            <w:pPr>
              <w:pStyle w:val="TableParagraph"/>
              <w:keepNext/>
              <w:widowControl/>
              <w:kinsoku w:val="0"/>
              <w:overflowPunct w:val="0"/>
              <w:ind w:firstLine="428"/>
              <w:rPr>
                <w:sz w:val="22"/>
                <w:lang w:val="de-DE"/>
              </w:rPr>
            </w:pPr>
            <w:r>
              <w:rPr>
                <w:sz w:val="22"/>
                <w:szCs w:val="22"/>
                <w:lang w:val="de-DE"/>
              </w:rPr>
              <w:t>Woche 12</w:t>
            </w:r>
          </w:p>
        </w:tc>
        <w:tc>
          <w:tcPr>
            <w:tcW w:w="1796" w:type="dxa"/>
            <w:tcBorders>
              <w:top w:val="single" w:sz="4" w:space="0" w:color="auto"/>
              <w:left w:val="single" w:sz="4" w:space="0" w:color="auto"/>
              <w:bottom w:val="single" w:sz="4" w:space="0" w:color="auto"/>
              <w:right w:val="single" w:sz="4" w:space="0" w:color="auto"/>
            </w:tcBorders>
          </w:tcPr>
          <w:p w14:paraId="3A78197C" w14:textId="77777777" w:rsidR="00FE291A" w:rsidRDefault="00C8738F">
            <w:pPr>
              <w:pStyle w:val="TableParagraph"/>
              <w:keepNext/>
              <w:widowControl/>
              <w:kinsoku w:val="0"/>
              <w:overflowPunct w:val="0"/>
              <w:jc w:val="center"/>
              <w:rPr>
                <w:sz w:val="22"/>
                <w:szCs w:val="22"/>
                <w:lang w:val="de-DE"/>
              </w:rPr>
            </w:pPr>
            <w:r>
              <w:rPr>
                <w:sz w:val="22"/>
                <w:szCs w:val="22"/>
                <w:lang w:val="de-DE"/>
              </w:rPr>
              <w:t>14 %</w:t>
            </w:r>
          </w:p>
        </w:tc>
        <w:tc>
          <w:tcPr>
            <w:tcW w:w="1560" w:type="dxa"/>
            <w:tcBorders>
              <w:top w:val="single" w:sz="4" w:space="0" w:color="auto"/>
              <w:left w:val="single" w:sz="4" w:space="0" w:color="auto"/>
              <w:bottom w:val="single" w:sz="4" w:space="0" w:color="auto"/>
              <w:right w:val="single" w:sz="4" w:space="0" w:color="auto"/>
            </w:tcBorders>
          </w:tcPr>
          <w:p w14:paraId="2C766A90" w14:textId="77777777" w:rsidR="00FE291A" w:rsidRDefault="00C8738F">
            <w:pPr>
              <w:pStyle w:val="TableParagraph"/>
              <w:keepNext/>
              <w:widowControl/>
              <w:kinsoku w:val="0"/>
              <w:overflowPunct w:val="0"/>
              <w:jc w:val="center"/>
              <w:rPr>
                <w:sz w:val="22"/>
                <w:szCs w:val="22"/>
                <w:lang w:val="de-DE"/>
              </w:rPr>
            </w:pPr>
            <w:r>
              <w:rPr>
                <w:sz w:val="22"/>
                <w:szCs w:val="22"/>
                <w:lang w:val="de-DE"/>
              </w:rPr>
              <w:t>58 %***</w:t>
            </w:r>
          </w:p>
        </w:tc>
        <w:tc>
          <w:tcPr>
            <w:tcW w:w="2126" w:type="dxa"/>
            <w:tcBorders>
              <w:top w:val="single" w:sz="4" w:space="0" w:color="auto"/>
              <w:left w:val="single" w:sz="4" w:space="0" w:color="auto"/>
              <w:bottom w:val="single" w:sz="4" w:space="0" w:color="auto"/>
              <w:right w:val="single" w:sz="4" w:space="0" w:color="auto"/>
            </w:tcBorders>
          </w:tcPr>
          <w:p w14:paraId="55E2D8D9" w14:textId="77777777" w:rsidR="00FE291A" w:rsidRDefault="00C8738F">
            <w:pPr>
              <w:pStyle w:val="TableParagraph"/>
              <w:keepNext/>
              <w:widowControl/>
              <w:kinsoku w:val="0"/>
              <w:overflowPunct w:val="0"/>
              <w:jc w:val="center"/>
              <w:rPr>
                <w:sz w:val="22"/>
                <w:szCs w:val="22"/>
                <w:lang w:val="de-DE"/>
              </w:rPr>
            </w:pPr>
            <w:r>
              <w:rPr>
                <w:sz w:val="22"/>
                <w:szCs w:val="22"/>
                <w:lang w:val="de-DE"/>
              </w:rPr>
              <w:t>16 %</w:t>
            </w:r>
          </w:p>
        </w:tc>
        <w:tc>
          <w:tcPr>
            <w:tcW w:w="1701" w:type="dxa"/>
            <w:tcBorders>
              <w:top w:val="single" w:sz="4" w:space="0" w:color="auto"/>
              <w:left w:val="single" w:sz="4" w:space="0" w:color="auto"/>
              <w:bottom w:val="single" w:sz="4" w:space="0" w:color="auto"/>
              <w:right w:val="single" w:sz="4" w:space="0" w:color="auto"/>
            </w:tcBorders>
          </w:tcPr>
          <w:p w14:paraId="7AA5E20F" w14:textId="77777777" w:rsidR="00FE291A" w:rsidRDefault="00C8738F">
            <w:pPr>
              <w:pStyle w:val="TableParagraph"/>
              <w:keepNext/>
              <w:widowControl/>
              <w:kinsoku w:val="0"/>
              <w:overflowPunct w:val="0"/>
              <w:jc w:val="center"/>
              <w:rPr>
                <w:sz w:val="22"/>
                <w:szCs w:val="22"/>
                <w:lang w:val="de-DE"/>
              </w:rPr>
            </w:pPr>
            <w:r>
              <w:rPr>
                <w:sz w:val="22"/>
                <w:szCs w:val="22"/>
                <w:lang w:val="de-DE"/>
              </w:rPr>
              <w:t>39 %*</w:t>
            </w:r>
          </w:p>
        </w:tc>
      </w:tr>
      <w:tr w:rsidR="00FE291A" w14:paraId="1AE50FA4" w14:textId="77777777">
        <w:trPr>
          <w:cantSplit/>
          <w:trHeight w:hRule="exact" w:val="277"/>
        </w:trPr>
        <w:tc>
          <w:tcPr>
            <w:tcW w:w="2173" w:type="dxa"/>
            <w:tcBorders>
              <w:top w:val="single" w:sz="4" w:space="0" w:color="auto"/>
              <w:left w:val="single" w:sz="4" w:space="0" w:color="auto"/>
              <w:bottom w:val="single" w:sz="4" w:space="0" w:color="auto"/>
              <w:right w:val="single" w:sz="4" w:space="0" w:color="auto"/>
            </w:tcBorders>
          </w:tcPr>
          <w:p w14:paraId="11A9F574" w14:textId="77777777" w:rsidR="00FE291A" w:rsidRDefault="00C8738F">
            <w:pPr>
              <w:pStyle w:val="TableParagraph"/>
              <w:keepNext/>
              <w:widowControl/>
              <w:kinsoku w:val="0"/>
              <w:overflowPunct w:val="0"/>
              <w:ind w:firstLine="428"/>
              <w:rPr>
                <w:sz w:val="22"/>
                <w:lang w:val="de-DE"/>
              </w:rPr>
            </w:pPr>
            <w:r>
              <w:rPr>
                <w:sz w:val="22"/>
                <w:szCs w:val="22"/>
                <w:lang w:val="de-DE"/>
              </w:rPr>
              <w:t>Woche 24</w:t>
            </w:r>
          </w:p>
        </w:tc>
        <w:tc>
          <w:tcPr>
            <w:tcW w:w="1796" w:type="dxa"/>
            <w:tcBorders>
              <w:top w:val="single" w:sz="4" w:space="0" w:color="auto"/>
              <w:left w:val="single" w:sz="4" w:space="0" w:color="auto"/>
              <w:bottom w:val="single" w:sz="4" w:space="0" w:color="auto"/>
              <w:right w:val="single" w:sz="4" w:space="0" w:color="auto"/>
            </w:tcBorders>
          </w:tcPr>
          <w:p w14:paraId="403A2B86" w14:textId="77777777" w:rsidR="00FE291A" w:rsidRDefault="00C8738F">
            <w:pPr>
              <w:pStyle w:val="TableParagraph"/>
              <w:keepNext/>
              <w:widowControl/>
              <w:kinsoku w:val="0"/>
              <w:overflowPunct w:val="0"/>
              <w:jc w:val="center"/>
              <w:rPr>
                <w:sz w:val="22"/>
                <w:szCs w:val="22"/>
                <w:lang w:val="de-DE"/>
              </w:rPr>
            </w:pPr>
            <w:r>
              <w:rPr>
                <w:sz w:val="22"/>
                <w:szCs w:val="22"/>
                <w:lang w:val="de-DE"/>
              </w:rPr>
              <w:t>15 %</w:t>
            </w:r>
          </w:p>
        </w:tc>
        <w:tc>
          <w:tcPr>
            <w:tcW w:w="1560" w:type="dxa"/>
            <w:tcBorders>
              <w:top w:val="single" w:sz="4" w:space="0" w:color="auto"/>
              <w:left w:val="single" w:sz="4" w:space="0" w:color="auto"/>
              <w:bottom w:val="single" w:sz="4" w:space="0" w:color="auto"/>
              <w:right w:val="single" w:sz="4" w:space="0" w:color="auto"/>
            </w:tcBorders>
          </w:tcPr>
          <w:p w14:paraId="12A478FE" w14:textId="77777777" w:rsidR="00FE291A" w:rsidRDefault="00C8738F">
            <w:pPr>
              <w:pStyle w:val="TableParagraph"/>
              <w:keepNext/>
              <w:widowControl/>
              <w:kinsoku w:val="0"/>
              <w:overflowPunct w:val="0"/>
              <w:jc w:val="center"/>
              <w:rPr>
                <w:sz w:val="22"/>
                <w:szCs w:val="22"/>
                <w:lang w:val="de-DE"/>
              </w:rPr>
            </w:pPr>
            <w:r>
              <w:rPr>
                <w:sz w:val="22"/>
                <w:szCs w:val="22"/>
                <w:lang w:val="de-DE"/>
              </w:rPr>
              <w:t>57 %***</w:t>
            </w:r>
          </w:p>
        </w:tc>
        <w:tc>
          <w:tcPr>
            <w:tcW w:w="2126" w:type="dxa"/>
            <w:tcBorders>
              <w:top w:val="single" w:sz="4" w:space="0" w:color="auto"/>
              <w:left w:val="single" w:sz="4" w:space="0" w:color="auto"/>
              <w:bottom w:val="single" w:sz="4" w:space="0" w:color="auto"/>
              <w:right w:val="single" w:sz="4" w:space="0" w:color="auto"/>
            </w:tcBorders>
          </w:tcPr>
          <w:p w14:paraId="4AC25C6C" w14:textId="77777777" w:rsidR="00FE291A" w:rsidRDefault="00C8738F">
            <w:pPr>
              <w:pStyle w:val="TableParagraph"/>
              <w:keepNext/>
              <w:widowControl/>
              <w:kinsoku w:val="0"/>
              <w:overflowPunct w:val="0"/>
              <w:jc w:val="center"/>
              <w:rPr>
                <w:sz w:val="22"/>
                <w:szCs w:val="22"/>
                <w:lang w:val="de-DE"/>
              </w:rPr>
            </w:pPr>
            <w:r>
              <w:rPr>
                <w:sz w:val="22"/>
                <w:szCs w:val="22"/>
                <w:lang w:val="de-DE"/>
              </w:rPr>
              <w:t>entfällt</w:t>
            </w:r>
          </w:p>
        </w:tc>
        <w:tc>
          <w:tcPr>
            <w:tcW w:w="1701" w:type="dxa"/>
            <w:tcBorders>
              <w:top w:val="single" w:sz="4" w:space="0" w:color="auto"/>
              <w:left w:val="single" w:sz="4" w:space="0" w:color="auto"/>
              <w:bottom w:val="single" w:sz="4" w:space="0" w:color="auto"/>
              <w:right w:val="single" w:sz="4" w:space="0" w:color="auto"/>
            </w:tcBorders>
          </w:tcPr>
          <w:p w14:paraId="1D608543" w14:textId="77777777" w:rsidR="00FE291A" w:rsidRDefault="00C8738F">
            <w:pPr>
              <w:pStyle w:val="TableParagraph"/>
              <w:keepNext/>
              <w:widowControl/>
              <w:kinsoku w:val="0"/>
              <w:overflowPunct w:val="0"/>
              <w:jc w:val="center"/>
              <w:rPr>
                <w:sz w:val="22"/>
                <w:szCs w:val="22"/>
                <w:lang w:val="de-DE"/>
              </w:rPr>
            </w:pPr>
            <w:r>
              <w:rPr>
                <w:sz w:val="22"/>
                <w:szCs w:val="22"/>
                <w:lang w:val="de-DE"/>
              </w:rPr>
              <w:t>entfällt</w:t>
            </w:r>
          </w:p>
        </w:tc>
      </w:tr>
      <w:tr w:rsidR="00FE291A" w14:paraId="5EFDD61D" w14:textId="77777777">
        <w:trPr>
          <w:cantSplit/>
          <w:trHeight w:hRule="exact" w:val="242"/>
        </w:trPr>
        <w:tc>
          <w:tcPr>
            <w:tcW w:w="2173" w:type="dxa"/>
            <w:tcBorders>
              <w:top w:val="single" w:sz="4" w:space="0" w:color="auto"/>
              <w:left w:val="single" w:sz="4" w:space="0" w:color="auto"/>
              <w:bottom w:val="single" w:sz="4" w:space="0" w:color="auto"/>
              <w:right w:val="single" w:sz="4" w:space="0" w:color="auto"/>
            </w:tcBorders>
          </w:tcPr>
          <w:p w14:paraId="6095D82C" w14:textId="77777777" w:rsidR="00FE291A" w:rsidRDefault="00C8738F">
            <w:pPr>
              <w:pStyle w:val="TableParagraph"/>
              <w:keepNext/>
              <w:widowControl/>
              <w:kinsoku w:val="0"/>
              <w:overflowPunct w:val="0"/>
              <w:rPr>
                <w:sz w:val="22"/>
                <w:lang w:val="de-DE"/>
              </w:rPr>
            </w:pPr>
            <w:r>
              <w:rPr>
                <w:sz w:val="22"/>
                <w:szCs w:val="22"/>
                <w:lang w:val="de-DE"/>
              </w:rPr>
              <w:t>ACR-50</w:t>
            </w:r>
          </w:p>
        </w:tc>
        <w:tc>
          <w:tcPr>
            <w:tcW w:w="1796" w:type="dxa"/>
            <w:tcBorders>
              <w:top w:val="single" w:sz="4" w:space="0" w:color="auto"/>
              <w:left w:val="single" w:sz="4" w:space="0" w:color="auto"/>
              <w:bottom w:val="single" w:sz="4" w:space="0" w:color="auto"/>
              <w:right w:val="single" w:sz="4" w:space="0" w:color="auto"/>
            </w:tcBorders>
          </w:tcPr>
          <w:p w14:paraId="6F9308C4" w14:textId="77777777" w:rsidR="00FE291A" w:rsidRDefault="00FE291A">
            <w:pPr>
              <w:pStyle w:val="TableParagraph"/>
              <w:keepNext/>
              <w:widowControl/>
              <w:kinsoku w:val="0"/>
              <w:overflowPunct w:val="0"/>
              <w:jc w:val="center"/>
              <w:rPr>
                <w:sz w:val="22"/>
                <w:szCs w:val="22"/>
                <w:lang w:val="de-DE"/>
              </w:rPr>
            </w:pPr>
          </w:p>
        </w:tc>
        <w:tc>
          <w:tcPr>
            <w:tcW w:w="1560" w:type="dxa"/>
            <w:tcBorders>
              <w:top w:val="single" w:sz="4" w:space="0" w:color="auto"/>
              <w:left w:val="single" w:sz="4" w:space="0" w:color="auto"/>
              <w:bottom w:val="single" w:sz="4" w:space="0" w:color="auto"/>
              <w:right w:val="single" w:sz="4" w:space="0" w:color="auto"/>
            </w:tcBorders>
          </w:tcPr>
          <w:p w14:paraId="76C43FE9" w14:textId="77777777" w:rsidR="00FE291A" w:rsidRDefault="00FE291A">
            <w:pPr>
              <w:pStyle w:val="TableParagraph"/>
              <w:keepNext/>
              <w:widowControl/>
              <w:kinsoku w:val="0"/>
              <w:overflowPunct w:val="0"/>
              <w:jc w:val="center"/>
              <w:rPr>
                <w:sz w:val="22"/>
                <w:szCs w:val="22"/>
                <w:lang w:val="de-DE"/>
              </w:rPr>
            </w:pPr>
          </w:p>
        </w:tc>
        <w:tc>
          <w:tcPr>
            <w:tcW w:w="2126" w:type="dxa"/>
            <w:tcBorders>
              <w:top w:val="single" w:sz="4" w:space="0" w:color="auto"/>
              <w:left w:val="single" w:sz="4" w:space="0" w:color="auto"/>
              <w:bottom w:val="single" w:sz="4" w:space="0" w:color="auto"/>
              <w:right w:val="single" w:sz="4" w:space="0" w:color="auto"/>
            </w:tcBorders>
          </w:tcPr>
          <w:p w14:paraId="61D4BF75" w14:textId="77777777" w:rsidR="00FE291A" w:rsidRDefault="00FE291A">
            <w:pPr>
              <w:pStyle w:val="TableParagraph"/>
              <w:keepNext/>
              <w:widowControl/>
              <w:kinsoku w:val="0"/>
              <w:overflowPunct w:val="0"/>
              <w:jc w:val="center"/>
              <w:rPr>
                <w:sz w:val="22"/>
                <w:szCs w:val="22"/>
                <w:lang w:val="de-DE"/>
              </w:rPr>
            </w:pPr>
          </w:p>
        </w:tc>
        <w:tc>
          <w:tcPr>
            <w:tcW w:w="1701" w:type="dxa"/>
            <w:tcBorders>
              <w:top w:val="single" w:sz="4" w:space="0" w:color="auto"/>
              <w:left w:val="single" w:sz="4" w:space="0" w:color="auto"/>
              <w:bottom w:val="single" w:sz="4" w:space="0" w:color="auto"/>
              <w:right w:val="single" w:sz="4" w:space="0" w:color="auto"/>
            </w:tcBorders>
          </w:tcPr>
          <w:p w14:paraId="39C1E869" w14:textId="77777777" w:rsidR="00FE291A" w:rsidRDefault="00FE291A">
            <w:pPr>
              <w:pStyle w:val="TableParagraph"/>
              <w:keepNext/>
              <w:widowControl/>
              <w:kinsoku w:val="0"/>
              <w:overflowPunct w:val="0"/>
              <w:jc w:val="center"/>
              <w:rPr>
                <w:sz w:val="22"/>
                <w:szCs w:val="22"/>
                <w:lang w:val="de-DE"/>
              </w:rPr>
            </w:pPr>
          </w:p>
        </w:tc>
      </w:tr>
      <w:tr w:rsidR="00FE291A" w14:paraId="5F696574" w14:textId="77777777">
        <w:trPr>
          <w:cantSplit/>
          <w:trHeight w:hRule="exact" w:val="259"/>
        </w:trPr>
        <w:tc>
          <w:tcPr>
            <w:tcW w:w="2173" w:type="dxa"/>
            <w:tcBorders>
              <w:top w:val="single" w:sz="4" w:space="0" w:color="auto"/>
              <w:left w:val="single" w:sz="4" w:space="0" w:color="auto"/>
              <w:bottom w:val="single" w:sz="4" w:space="0" w:color="auto"/>
              <w:right w:val="single" w:sz="4" w:space="0" w:color="auto"/>
            </w:tcBorders>
          </w:tcPr>
          <w:p w14:paraId="4B0C0BCC" w14:textId="77777777" w:rsidR="00FE291A" w:rsidRDefault="00C8738F">
            <w:pPr>
              <w:pStyle w:val="TableParagraph"/>
              <w:keepNext/>
              <w:widowControl/>
              <w:kinsoku w:val="0"/>
              <w:overflowPunct w:val="0"/>
              <w:ind w:firstLine="428"/>
              <w:rPr>
                <w:sz w:val="22"/>
                <w:lang w:val="de-DE"/>
              </w:rPr>
            </w:pPr>
            <w:r>
              <w:rPr>
                <w:sz w:val="22"/>
                <w:szCs w:val="22"/>
                <w:lang w:val="de-DE"/>
              </w:rPr>
              <w:t>Woche 12</w:t>
            </w:r>
          </w:p>
        </w:tc>
        <w:tc>
          <w:tcPr>
            <w:tcW w:w="1796" w:type="dxa"/>
            <w:tcBorders>
              <w:top w:val="single" w:sz="4" w:space="0" w:color="auto"/>
              <w:left w:val="single" w:sz="4" w:space="0" w:color="auto"/>
              <w:bottom w:val="single" w:sz="4" w:space="0" w:color="auto"/>
              <w:right w:val="single" w:sz="4" w:space="0" w:color="auto"/>
            </w:tcBorders>
          </w:tcPr>
          <w:p w14:paraId="282D7537" w14:textId="77777777" w:rsidR="00FE291A" w:rsidRDefault="00C8738F">
            <w:pPr>
              <w:pStyle w:val="TableParagraph"/>
              <w:keepNext/>
              <w:widowControl/>
              <w:kinsoku w:val="0"/>
              <w:overflowPunct w:val="0"/>
              <w:jc w:val="center"/>
              <w:rPr>
                <w:sz w:val="22"/>
                <w:szCs w:val="22"/>
                <w:lang w:val="de-DE"/>
              </w:rPr>
            </w:pPr>
            <w:r>
              <w:rPr>
                <w:sz w:val="22"/>
                <w:szCs w:val="22"/>
                <w:lang w:val="de-DE"/>
              </w:rPr>
              <w:t>4 %</w:t>
            </w:r>
          </w:p>
        </w:tc>
        <w:tc>
          <w:tcPr>
            <w:tcW w:w="1560" w:type="dxa"/>
            <w:tcBorders>
              <w:top w:val="single" w:sz="4" w:space="0" w:color="auto"/>
              <w:left w:val="single" w:sz="4" w:space="0" w:color="auto"/>
              <w:bottom w:val="single" w:sz="4" w:space="0" w:color="auto"/>
              <w:right w:val="single" w:sz="4" w:space="0" w:color="auto"/>
            </w:tcBorders>
          </w:tcPr>
          <w:p w14:paraId="72F68C3B" w14:textId="77777777" w:rsidR="00FE291A" w:rsidRDefault="00C8738F">
            <w:pPr>
              <w:pStyle w:val="TableParagraph"/>
              <w:keepNext/>
              <w:widowControl/>
              <w:kinsoku w:val="0"/>
              <w:overflowPunct w:val="0"/>
              <w:jc w:val="center"/>
              <w:rPr>
                <w:sz w:val="22"/>
                <w:szCs w:val="22"/>
                <w:lang w:val="de-DE"/>
              </w:rPr>
            </w:pPr>
            <w:r>
              <w:rPr>
                <w:sz w:val="22"/>
                <w:szCs w:val="22"/>
                <w:lang w:val="de-DE"/>
              </w:rPr>
              <w:t>36 %***</w:t>
            </w:r>
          </w:p>
        </w:tc>
        <w:tc>
          <w:tcPr>
            <w:tcW w:w="2126" w:type="dxa"/>
            <w:tcBorders>
              <w:top w:val="single" w:sz="4" w:space="0" w:color="auto"/>
              <w:left w:val="single" w:sz="4" w:space="0" w:color="auto"/>
              <w:bottom w:val="single" w:sz="4" w:space="0" w:color="auto"/>
              <w:right w:val="single" w:sz="4" w:space="0" w:color="auto"/>
            </w:tcBorders>
          </w:tcPr>
          <w:p w14:paraId="776E97AF" w14:textId="77777777" w:rsidR="00FE291A" w:rsidRDefault="00C8738F">
            <w:pPr>
              <w:pStyle w:val="TableParagraph"/>
              <w:keepNext/>
              <w:widowControl/>
              <w:kinsoku w:val="0"/>
              <w:overflowPunct w:val="0"/>
              <w:jc w:val="center"/>
              <w:rPr>
                <w:sz w:val="22"/>
                <w:szCs w:val="22"/>
                <w:lang w:val="de-DE"/>
              </w:rPr>
            </w:pPr>
            <w:r>
              <w:rPr>
                <w:sz w:val="22"/>
                <w:szCs w:val="22"/>
                <w:lang w:val="de-DE"/>
              </w:rPr>
              <w:t>2 %</w:t>
            </w:r>
          </w:p>
        </w:tc>
        <w:tc>
          <w:tcPr>
            <w:tcW w:w="1701" w:type="dxa"/>
            <w:tcBorders>
              <w:top w:val="single" w:sz="4" w:space="0" w:color="auto"/>
              <w:left w:val="single" w:sz="4" w:space="0" w:color="auto"/>
              <w:bottom w:val="single" w:sz="4" w:space="0" w:color="auto"/>
              <w:right w:val="single" w:sz="4" w:space="0" w:color="auto"/>
            </w:tcBorders>
          </w:tcPr>
          <w:p w14:paraId="68BE1646" w14:textId="77777777" w:rsidR="00FE291A" w:rsidRDefault="00C8738F">
            <w:pPr>
              <w:pStyle w:val="TableParagraph"/>
              <w:keepNext/>
              <w:widowControl/>
              <w:kinsoku w:val="0"/>
              <w:overflowPunct w:val="0"/>
              <w:jc w:val="center"/>
              <w:rPr>
                <w:sz w:val="22"/>
                <w:szCs w:val="22"/>
                <w:lang w:val="de-DE"/>
              </w:rPr>
            </w:pPr>
            <w:r>
              <w:rPr>
                <w:sz w:val="22"/>
                <w:szCs w:val="22"/>
                <w:lang w:val="de-DE"/>
              </w:rPr>
              <w:t>25 %***</w:t>
            </w:r>
          </w:p>
        </w:tc>
      </w:tr>
      <w:tr w:rsidR="00FE291A" w14:paraId="34BF8D59" w14:textId="77777777">
        <w:trPr>
          <w:cantSplit/>
          <w:trHeight w:hRule="exact" w:val="277"/>
        </w:trPr>
        <w:tc>
          <w:tcPr>
            <w:tcW w:w="2173" w:type="dxa"/>
            <w:tcBorders>
              <w:top w:val="single" w:sz="4" w:space="0" w:color="auto"/>
              <w:left w:val="single" w:sz="4" w:space="0" w:color="auto"/>
              <w:bottom w:val="single" w:sz="4" w:space="0" w:color="auto"/>
              <w:right w:val="single" w:sz="4" w:space="0" w:color="auto"/>
            </w:tcBorders>
          </w:tcPr>
          <w:p w14:paraId="6965EDCD" w14:textId="77777777" w:rsidR="00FE291A" w:rsidRDefault="00C8738F">
            <w:pPr>
              <w:pStyle w:val="TableParagraph"/>
              <w:keepNext/>
              <w:widowControl/>
              <w:kinsoku w:val="0"/>
              <w:overflowPunct w:val="0"/>
              <w:ind w:firstLine="428"/>
              <w:rPr>
                <w:sz w:val="22"/>
                <w:lang w:val="de-DE"/>
              </w:rPr>
            </w:pPr>
            <w:r>
              <w:rPr>
                <w:sz w:val="22"/>
                <w:szCs w:val="22"/>
                <w:lang w:val="de-DE"/>
              </w:rPr>
              <w:t>Woche 24</w:t>
            </w:r>
          </w:p>
        </w:tc>
        <w:tc>
          <w:tcPr>
            <w:tcW w:w="1796" w:type="dxa"/>
            <w:tcBorders>
              <w:top w:val="single" w:sz="4" w:space="0" w:color="auto"/>
              <w:left w:val="single" w:sz="4" w:space="0" w:color="auto"/>
              <w:bottom w:val="single" w:sz="4" w:space="0" w:color="auto"/>
              <w:right w:val="single" w:sz="4" w:space="0" w:color="auto"/>
            </w:tcBorders>
          </w:tcPr>
          <w:p w14:paraId="0660C970" w14:textId="77777777" w:rsidR="00FE291A" w:rsidRDefault="00C8738F">
            <w:pPr>
              <w:pStyle w:val="TableParagraph"/>
              <w:keepNext/>
              <w:widowControl/>
              <w:kinsoku w:val="0"/>
              <w:overflowPunct w:val="0"/>
              <w:jc w:val="center"/>
              <w:rPr>
                <w:sz w:val="22"/>
                <w:szCs w:val="22"/>
                <w:lang w:val="de-DE"/>
              </w:rPr>
            </w:pPr>
            <w:r>
              <w:rPr>
                <w:sz w:val="22"/>
                <w:szCs w:val="22"/>
                <w:lang w:val="de-DE"/>
              </w:rPr>
              <w:t>6 %</w:t>
            </w:r>
          </w:p>
        </w:tc>
        <w:tc>
          <w:tcPr>
            <w:tcW w:w="1560" w:type="dxa"/>
            <w:tcBorders>
              <w:top w:val="single" w:sz="4" w:space="0" w:color="auto"/>
              <w:left w:val="single" w:sz="4" w:space="0" w:color="auto"/>
              <w:bottom w:val="single" w:sz="4" w:space="0" w:color="auto"/>
              <w:right w:val="single" w:sz="4" w:space="0" w:color="auto"/>
            </w:tcBorders>
          </w:tcPr>
          <w:p w14:paraId="4A1C79BF" w14:textId="77777777" w:rsidR="00FE291A" w:rsidRDefault="00C8738F">
            <w:pPr>
              <w:pStyle w:val="TableParagraph"/>
              <w:keepNext/>
              <w:widowControl/>
              <w:kinsoku w:val="0"/>
              <w:overflowPunct w:val="0"/>
              <w:jc w:val="center"/>
              <w:rPr>
                <w:sz w:val="22"/>
                <w:szCs w:val="22"/>
                <w:lang w:val="de-DE"/>
              </w:rPr>
            </w:pPr>
            <w:r>
              <w:rPr>
                <w:sz w:val="22"/>
                <w:szCs w:val="22"/>
                <w:lang w:val="de-DE"/>
              </w:rPr>
              <w:t>39 %***</w:t>
            </w:r>
          </w:p>
        </w:tc>
        <w:tc>
          <w:tcPr>
            <w:tcW w:w="2126" w:type="dxa"/>
            <w:tcBorders>
              <w:top w:val="single" w:sz="4" w:space="0" w:color="auto"/>
              <w:left w:val="single" w:sz="4" w:space="0" w:color="auto"/>
              <w:bottom w:val="single" w:sz="4" w:space="0" w:color="auto"/>
              <w:right w:val="single" w:sz="4" w:space="0" w:color="auto"/>
            </w:tcBorders>
          </w:tcPr>
          <w:p w14:paraId="417766BC" w14:textId="77777777" w:rsidR="00FE291A" w:rsidRDefault="00C8738F">
            <w:pPr>
              <w:pStyle w:val="TableParagraph"/>
              <w:keepNext/>
              <w:widowControl/>
              <w:kinsoku w:val="0"/>
              <w:overflowPunct w:val="0"/>
              <w:jc w:val="center"/>
              <w:rPr>
                <w:sz w:val="22"/>
                <w:szCs w:val="22"/>
                <w:lang w:val="de-DE"/>
              </w:rPr>
            </w:pPr>
            <w:r>
              <w:rPr>
                <w:sz w:val="22"/>
                <w:szCs w:val="22"/>
                <w:lang w:val="de-DE"/>
              </w:rPr>
              <w:t>entfällt</w:t>
            </w:r>
          </w:p>
        </w:tc>
        <w:tc>
          <w:tcPr>
            <w:tcW w:w="1701" w:type="dxa"/>
            <w:tcBorders>
              <w:top w:val="single" w:sz="4" w:space="0" w:color="auto"/>
              <w:left w:val="single" w:sz="4" w:space="0" w:color="auto"/>
              <w:bottom w:val="single" w:sz="4" w:space="0" w:color="auto"/>
              <w:right w:val="single" w:sz="4" w:space="0" w:color="auto"/>
            </w:tcBorders>
          </w:tcPr>
          <w:p w14:paraId="1CAD05AD" w14:textId="77777777" w:rsidR="00FE291A" w:rsidRDefault="00C8738F">
            <w:pPr>
              <w:pStyle w:val="TableParagraph"/>
              <w:keepNext/>
              <w:widowControl/>
              <w:kinsoku w:val="0"/>
              <w:overflowPunct w:val="0"/>
              <w:jc w:val="center"/>
              <w:rPr>
                <w:sz w:val="22"/>
                <w:szCs w:val="22"/>
                <w:lang w:val="de-DE"/>
              </w:rPr>
            </w:pPr>
            <w:r>
              <w:rPr>
                <w:sz w:val="22"/>
                <w:szCs w:val="22"/>
                <w:lang w:val="de-DE"/>
              </w:rPr>
              <w:t>entfällt</w:t>
            </w:r>
          </w:p>
        </w:tc>
      </w:tr>
      <w:tr w:rsidR="00FE291A" w14:paraId="3308431F" w14:textId="77777777">
        <w:trPr>
          <w:cantSplit/>
          <w:trHeight w:hRule="exact" w:val="242"/>
        </w:trPr>
        <w:tc>
          <w:tcPr>
            <w:tcW w:w="2173" w:type="dxa"/>
            <w:tcBorders>
              <w:top w:val="single" w:sz="4" w:space="0" w:color="auto"/>
              <w:left w:val="single" w:sz="4" w:space="0" w:color="auto"/>
              <w:bottom w:val="single" w:sz="4" w:space="0" w:color="auto"/>
              <w:right w:val="single" w:sz="4" w:space="0" w:color="auto"/>
            </w:tcBorders>
          </w:tcPr>
          <w:p w14:paraId="339E5E75" w14:textId="77777777" w:rsidR="00FE291A" w:rsidRDefault="00C8738F">
            <w:pPr>
              <w:pStyle w:val="TableParagraph"/>
              <w:keepNext/>
              <w:widowControl/>
              <w:kinsoku w:val="0"/>
              <w:overflowPunct w:val="0"/>
              <w:rPr>
                <w:sz w:val="22"/>
                <w:lang w:val="de-DE"/>
              </w:rPr>
            </w:pPr>
            <w:r>
              <w:rPr>
                <w:sz w:val="22"/>
                <w:szCs w:val="22"/>
                <w:lang w:val="de-DE"/>
              </w:rPr>
              <w:t>ACR-70</w:t>
            </w:r>
          </w:p>
        </w:tc>
        <w:tc>
          <w:tcPr>
            <w:tcW w:w="1796" w:type="dxa"/>
            <w:tcBorders>
              <w:top w:val="single" w:sz="4" w:space="0" w:color="auto"/>
              <w:left w:val="single" w:sz="4" w:space="0" w:color="auto"/>
              <w:bottom w:val="single" w:sz="4" w:space="0" w:color="auto"/>
              <w:right w:val="single" w:sz="4" w:space="0" w:color="auto"/>
            </w:tcBorders>
          </w:tcPr>
          <w:p w14:paraId="5D9A8126" w14:textId="77777777" w:rsidR="00FE291A" w:rsidRDefault="00FE291A">
            <w:pPr>
              <w:pStyle w:val="TableParagraph"/>
              <w:keepNext/>
              <w:widowControl/>
              <w:kinsoku w:val="0"/>
              <w:overflowPunct w:val="0"/>
              <w:jc w:val="center"/>
              <w:rPr>
                <w:sz w:val="22"/>
                <w:szCs w:val="22"/>
                <w:lang w:val="de-DE"/>
              </w:rPr>
            </w:pPr>
          </w:p>
        </w:tc>
        <w:tc>
          <w:tcPr>
            <w:tcW w:w="1560" w:type="dxa"/>
            <w:tcBorders>
              <w:top w:val="single" w:sz="4" w:space="0" w:color="auto"/>
              <w:left w:val="single" w:sz="4" w:space="0" w:color="auto"/>
              <w:bottom w:val="single" w:sz="4" w:space="0" w:color="auto"/>
              <w:right w:val="single" w:sz="4" w:space="0" w:color="auto"/>
            </w:tcBorders>
          </w:tcPr>
          <w:p w14:paraId="0B59760F" w14:textId="77777777" w:rsidR="00FE291A" w:rsidRDefault="00FE291A">
            <w:pPr>
              <w:pStyle w:val="TableParagraph"/>
              <w:keepNext/>
              <w:widowControl/>
              <w:kinsoku w:val="0"/>
              <w:overflowPunct w:val="0"/>
              <w:jc w:val="center"/>
              <w:rPr>
                <w:sz w:val="22"/>
                <w:szCs w:val="22"/>
                <w:lang w:val="de-DE"/>
              </w:rPr>
            </w:pPr>
          </w:p>
        </w:tc>
        <w:tc>
          <w:tcPr>
            <w:tcW w:w="2126" w:type="dxa"/>
            <w:tcBorders>
              <w:top w:val="single" w:sz="4" w:space="0" w:color="auto"/>
              <w:left w:val="single" w:sz="4" w:space="0" w:color="auto"/>
              <w:bottom w:val="single" w:sz="4" w:space="0" w:color="auto"/>
              <w:right w:val="single" w:sz="4" w:space="0" w:color="auto"/>
            </w:tcBorders>
          </w:tcPr>
          <w:p w14:paraId="0212DC78" w14:textId="77777777" w:rsidR="00FE291A" w:rsidRDefault="00FE291A">
            <w:pPr>
              <w:pStyle w:val="TableParagraph"/>
              <w:keepNext/>
              <w:widowControl/>
              <w:kinsoku w:val="0"/>
              <w:overflowPunct w:val="0"/>
              <w:jc w:val="center"/>
              <w:rPr>
                <w:sz w:val="22"/>
                <w:szCs w:val="22"/>
                <w:lang w:val="de-DE"/>
              </w:rPr>
            </w:pPr>
          </w:p>
        </w:tc>
        <w:tc>
          <w:tcPr>
            <w:tcW w:w="1701" w:type="dxa"/>
            <w:tcBorders>
              <w:top w:val="single" w:sz="4" w:space="0" w:color="auto"/>
              <w:left w:val="single" w:sz="4" w:space="0" w:color="auto"/>
              <w:bottom w:val="single" w:sz="4" w:space="0" w:color="auto"/>
              <w:right w:val="single" w:sz="4" w:space="0" w:color="auto"/>
            </w:tcBorders>
          </w:tcPr>
          <w:p w14:paraId="28A091DB" w14:textId="77777777" w:rsidR="00FE291A" w:rsidRDefault="00FE291A">
            <w:pPr>
              <w:pStyle w:val="TableParagraph"/>
              <w:keepNext/>
              <w:widowControl/>
              <w:kinsoku w:val="0"/>
              <w:overflowPunct w:val="0"/>
              <w:jc w:val="center"/>
              <w:rPr>
                <w:sz w:val="22"/>
                <w:szCs w:val="22"/>
                <w:lang w:val="de-DE"/>
              </w:rPr>
            </w:pPr>
          </w:p>
        </w:tc>
      </w:tr>
      <w:tr w:rsidR="00FE291A" w14:paraId="6C119A9E" w14:textId="77777777">
        <w:trPr>
          <w:cantSplit/>
          <w:trHeight w:hRule="exact" w:val="259"/>
        </w:trPr>
        <w:tc>
          <w:tcPr>
            <w:tcW w:w="2173" w:type="dxa"/>
            <w:tcBorders>
              <w:top w:val="single" w:sz="4" w:space="0" w:color="auto"/>
              <w:left w:val="single" w:sz="4" w:space="0" w:color="auto"/>
              <w:bottom w:val="single" w:sz="4" w:space="0" w:color="auto"/>
              <w:right w:val="single" w:sz="4" w:space="0" w:color="auto"/>
            </w:tcBorders>
          </w:tcPr>
          <w:p w14:paraId="5F03CE75" w14:textId="77777777" w:rsidR="00FE291A" w:rsidRDefault="00C8738F">
            <w:pPr>
              <w:pStyle w:val="TableParagraph"/>
              <w:keepNext/>
              <w:widowControl/>
              <w:kinsoku w:val="0"/>
              <w:overflowPunct w:val="0"/>
              <w:ind w:firstLine="428"/>
              <w:rPr>
                <w:sz w:val="22"/>
                <w:lang w:val="de-DE"/>
              </w:rPr>
            </w:pPr>
            <w:r>
              <w:rPr>
                <w:sz w:val="22"/>
                <w:szCs w:val="22"/>
                <w:lang w:val="de-DE"/>
              </w:rPr>
              <w:t>Woche 12</w:t>
            </w:r>
          </w:p>
        </w:tc>
        <w:tc>
          <w:tcPr>
            <w:tcW w:w="1796" w:type="dxa"/>
            <w:tcBorders>
              <w:top w:val="single" w:sz="4" w:space="0" w:color="auto"/>
              <w:left w:val="single" w:sz="4" w:space="0" w:color="auto"/>
              <w:bottom w:val="single" w:sz="4" w:space="0" w:color="auto"/>
              <w:right w:val="single" w:sz="4" w:space="0" w:color="auto"/>
            </w:tcBorders>
          </w:tcPr>
          <w:p w14:paraId="3014424F" w14:textId="77777777" w:rsidR="00FE291A" w:rsidRDefault="00C8738F">
            <w:pPr>
              <w:pStyle w:val="TableParagraph"/>
              <w:keepNext/>
              <w:widowControl/>
              <w:kinsoku w:val="0"/>
              <w:overflowPunct w:val="0"/>
              <w:jc w:val="center"/>
              <w:rPr>
                <w:sz w:val="22"/>
                <w:szCs w:val="22"/>
                <w:lang w:val="de-DE"/>
              </w:rPr>
            </w:pPr>
            <w:r>
              <w:rPr>
                <w:sz w:val="22"/>
                <w:szCs w:val="22"/>
                <w:lang w:val="de-DE"/>
              </w:rPr>
              <w:t>1 %</w:t>
            </w:r>
          </w:p>
        </w:tc>
        <w:tc>
          <w:tcPr>
            <w:tcW w:w="1560" w:type="dxa"/>
            <w:tcBorders>
              <w:top w:val="single" w:sz="4" w:space="0" w:color="auto"/>
              <w:left w:val="single" w:sz="4" w:space="0" w:color="auto"/>
              <w:bottom w:val="single" w:sz="4" w:space="0" w:color="auto"/>
              <w:right w:val="single" w:sz="4" w:space="0" w:color="auto"/>
            </w:tcBorders>
          </w:tcPr>
          <w:p w14:paraId="1440A871" w14:textId="77777777" w:rsidR="00FE291A" w:rsidRDefault="00C8738F">
            <w:pPr>
              <w:pStyle w:val="TableParagraph"/>
              <w:keepNext/>
              <w:widowControl/>
              <w:kinsoku w:val="0"/>
              <w:overflowPunct w:val="0"/>
              <w:jc w:val="center"/>
              <w:rPr>
                <w:sz w:val="22"/>
                <w:szCs w:val="22"/>
                <w:lang w:val="de-DE"/>
              </w:rPr>
            </w:pPr>
            <w:r>
              <w:rPr>
                <w:sz w:val="22"/>
                <w:szCs w:val="22"/>
                <w:lang w:val="de-DE"/>
              </w:rPr>
              <w:t>20 %***</w:t>
            </w:r>
          </w:p>
        </w:tc>
        <w:tc>
          <w:tcPr>
            <w:tcW w:w="2126" w:type="dxa"/>
            <w:tcBorders>
              <w:top w:val="single" w:sz="4" w:space="0" w:color="auto"/>
              <w:left w:val="single" w:sz="4" w:space="0" w:color="auto"/>
              <w:bottom w:val="single" w:sz="4" w:space="0" w:color="auto"/>
              <w:right w:val="single" w:sz="4" w:space="0" w:color="auto"/>
            </w:tcBorders>
          </w:tcPr>
          <w:p w14:paraId="0F8AC56E" w14:textId="77777777" w:rsidR="00FE291A" w:rsidRDefault="00C8738F">
            <w:pPr>
              <w:pStyle w:val="TableParagraph"/>
              <w:keepNext/>
              <w:widowControl/>
              <w:kinsoku w:val="0"/>
              <w:overflowPunct w:val="0"/>
              <w:jc w:val="center"/>
              <w:rPr>
                <w:sz w:val="22"/>
                <w:szCs w:val="22"/>
                <w:lang w:val="de-DE"/>
              </w:rPr>
            </w:pPr>
            <w:r>
              <w:rPr>
                <w:sz w:val="22"/>
                <w:szCs w:val="22"/>
                <w:lang w:val="de-DE"/>
              </w:rPr>
              <w:t>0 %</w:t>
            </w:r>
          </w:p>
        </w:tc>
        <w:tc>
          <w:tcPr>
            <w:tcW w:w="1701" w:type="dxa"/>
            <w:tcBorders>
              <w:top w:val="single" w:sz="4" w:space="0" w:color="auto"/>
              <w:left w:val="single" w:sz="4" w:space="0" w:color="auto"/>
              <w:bottom w:val="single" w:sz="4" w:space="0" w:color="auto"/>
              <w:right w:val="single" w:sz="4" w:space="0" w:color="auto"/>
            </w:tcBorders>
          </w:tcPr>
          <w:p w14:paraId="59C4C049" w14:textId="77777777" w:rsidR="00FE291A" w:rsidRDefault="00C8738F">
            <w:pPr>
              <w:pStyle w:val="TableParagraph"/>
              <w:keepNext/>
              <w:widowControl/>
              <w:kinsoku w:val="0"/>
              <w:overflowPunct w:val="0"/>
              <w:jc w:val="center"/>
              <w:rPr>
                <w:sz w:val="22"/>
                <w:szCs w:val="22"/>
                <w:lang w:val="de-DE"/>
              </w:rPr>
            </w:pPr>
            <w:r>
              <w:rPr>
                <w:sz w:val="22"/>
                <w:szCs w:val="22"/>
                <w:lang w:val="de-DE"/>
              </w:rPr>
              <w:t>14 %*</w:t>
            </w:r>
          </w:p>
        </w:tc>
      </w:tr>
      <w:tr w:rsidR="00FE291A" w14:paraId="0A445453" w14:textId="77777777">
        <w:trPr>
          <w:cantSplit/>
          <w:trHeight w:hRule="exact" w:val="272"/>
        </w:trPr>
        <w:tc>
          <w:tcPr>
            <w:tcW w:w="2173" w:type="dxa"/>
            <w:tcBorders>
              <w:top w:val="single" w:sz="4" w:space="0" w:color="auto"/>
              <w:left w:val="single" w:sz="4" w:space="0" w:color="auto"/>
              <w:bottom w:val="single" w:sz="4" w:space="0" w:color="auto"/>
              <w:right w:val="single" w:sz="4" w:space="0" w:color="auto"/>
            </w:tcBorders>
          </w:tcPr>
          <w:p w14:paraId="7A658107" w14:textId="77777777" w:rsidR="00FE291A" w:rsidRDefault="00C8738F">
            <w:pPr>
              <w:pStyle w:val="TableParagraph"/>
              <w:keepNext/>
              <w:widowControl/>
              <w:kinsoku w:val="0"/>
              <w:overflowPunct w:val="0"/>
              <w:ind w:firstLine="428"/>
              <w:rPr>
                <w:sz w:val="22"/>
                <w:lang w:val="de-DE"/>
              </w:rPr>
            </w:pPr>
            <w:r>
              <w:rPr>
                <w:sz w:val="22"/>
                <w:szCs w:val="22"/>
                <w:lang w:val="de-DE"/>
              </w:rPr>
              <w:t>Woche 24</w:t>
            </w:r>
          </w:p>
        </w:tc>
        <w:tc>
          <w:tcPr>
            <w:tcW w:w="1796" w:type="dxa"/>
            <w:tcBorders>
              <w:top w:val="single" w:sz="4" w:space="0" w:color="auto"/>
              <w:left w:val="single" w:sz="4" w:space="0" w:color="auto"/>
              <w:bottom w:val="single" w:sz="4" w:space="0" w:color="auto"/>
              <w:right w:val="single" w:sz="4" w:space="0" w:color="auto"/>
            </w:tcBorders>
          </w:tcPr>
          <w:p w14:paraId="2313DD76" w14:textId="77777777" w:rsidR="00FE291A" w:rsidRDefault="00C8738F">
            <w:pPr>
              <w:pStyle w:val="TableParagraph"/>
              <w:keepNext/>
              <w:widowControl/>
              <w:kinsoku w:val="0"/>
              <w:overflowPunct w:val="0"/>
              <w:jc w:val="center"/>
              <w:rPr>
                <w:sz w:val="22"/>
                <w:szCs w:val="22"/>
                <w:lang w:val="de-DE"/>
              </w:rPr>
            </w:pPr>
            <w:r>
              <w:rPr>
                <w:sz w:val="22"/>
                <w:szCs w:val="22"/>
                <w:lang w:val="de-DE"/>
              </w:rPr>
              <w:t>1 %</w:t>
            </w:r>
          </w:p>
        </w:tc>
        <w:tc>
          <w:tcPr>
            <w:tcW w:w="1560" w:type="dxa"/>
            <w:tcBorders>
              <w:top w:val="single" w:sz="4" w:space="0" w:color="auto"/>
              <w:left w:val="single" w:sz="4" w:space="0" w:color="auto"/>
              <w:bottom w:val="single" w:sz="4" w:space="0" w:color="auto"/>
              <w:right w:val="single" w:sz="4" w:space="0" w:color="auto"/>
            </w:tcBorders>
          </w:tcPr>
          <w:p w14:paraId="4C23AB58" w14:textId="77777777" w:rsidR="00FE291A" w:rsidRDefault="00C8738F">
            <w:pPr>
              <w:pStyle w:val="TableParagraph"/>
              <w:keepNext/>
              <w:widowControl/>
              <w:kinsoku w:val="0"/>
              <w:overflowPunct w:val="0"/>
              <w:jc w:val="center"/>
              <w:rPr>
                <w:sz w:val="22"/>
                <w:szCs w:val="22"/>
                <w:lang w:val="de-DE"/>
              </w:rPr>
            </w:pPr>
            <w:r>
              <w:rPr>
                <w:sz w:val="22"/>
                <w:szCs w:val="22"/>
                <w:lang w:val="de-DE"/>
              </w:rPr>
              <w:t>23 %***</w:t>
            </w:r>
          </w:p>
        </w:tc>
        <w:tc>
          <w:tcPr>
            <w:tcW w:w="2126" w:type="dxa"/>
            <w:tcBorders>
              <w:top w:val="single" w:sz="4" w:space="0" w:color="auto"/>
              <w:left w:val="single" w:sz="4" w:space="0" w:color="auto"/>
              <w:bottom w:val="single" w:sz="4" w:space="0" w:color="auto"/>
              <w:right w:val="single" w:sz="4" w:space="0" w:color="auto"/>
            </w:tcBorders>
          </w:tcPr>
          <w:p w14:paraId="0F7120A5" w14:textId="77777777" w:rsidR="00FE291A" w:rsidRDefault="00C8738F">
            <w:pPr>
              <w:pStyle w:val="TableParagraph"/>
              <w:keepNext/>
              <w:widowControl/>
              <w:kinsoku w:val="0"/>
              <w:overflowPunct w:val="0"/>
              <w:jc w:val="center"/>
              <w:rPr>
                <w:sz w:val="22"/>
                <w:szCs w:val="22"/>
                <w:lang w:val="de-DE"/>
              </w:rPr>
            </w:pPr>
            <w:r>
              <w:rPr>
                <w:sz w:val="22"/>
                <w:szCs w:val="22"/>
                <w:lang w:val="de-DE"/>
              </w:rPr>
              <w:t>entfällt</w:t>
            </w:r>
          </w:p>
        </w:tc>
        <w:tc>
          <w:tcPr>
            <w:tcW w:w="1701" w:type="dxa"/>
            <w:tcBorders>
              <w:top w:val="single" w:sz="4" w:space="0" w:color="auto"/>
              <w:left w:val="single" w:sz="4" w:space="0" w:color="auto"/>
              <w:bottom w:val="single" w:sz="4" w:space="0" w:color="auto"/>
              <w:right w:val="single" w:sz="4" w:space="0" w:color="auto"/>
            </w:tcBorders>
          </w:tcPr>
          <w:p w14:paraId="01FE0CF9" w14:textId="77777777" w:rsidR="00FE291A" w:rsidRDefault="00C8738F">
            <w:pPr>
              <w:pStyle w:val="TableParagraph"/>
              <w:keepNext/>
              <w:widowControl/>
              <w:kinsoku w:val="0"/>
              <w:overflowPunct w:val="0"/>
              <w:jc w:val="center"/>
              <w:rPr>
                <w:sz w:val="22"/>
                <w:szCs w:val="22"/>
                <w:lang w:val="de-DE"/>
              </w:rPr>
            </w:pPr>
            <w:r>
              <w:rPr>
                <w:sz w:val="22"/>
                <w:szCs w:val="22"/>
                <w:lang w:val="de-DE"/>
              </w:rPr>
              <w:t>entfällt</w:t>
            </w:r>
          </w:p>
        </w:tc>
      </w:tr>
    </w:tbl>
    <w:p w14:paraId="7A63998A" w14:textId="77777777" w:rsidR="00FE291A" w:rsidRDefault="00C8738F">
      <w:pPr>
        <w:pStyle w:val="BodyText"/>
        <w:widowControl/>
        <w:tabs>
          <w:tab w:val="left" w:pos="1673"/>
        </w:tabs>
        <w:kinsoku w:val="0"/>
        <w:overflowPunct w:val="0"/>
        <w:ind w:left="0"/>
        <w:rPr>
          <w:sz w:val="20"/>
          <w:szCs w:val="20"/>
          <w:lang w:val="de-DE"/>
        </w:rPr>
      </w:pPr>
      <w:r>
        <w:rPr>
          <w:sz w:val="20"/>
          <w:szCs w:val="20"/>
          <w:lang w:val="de-DE"/>
        </w:rPr>
        <w:t>*** p &lt; 0,001 für alle Vergleiche von Adalimumab mit Placebo</w:t>
      </w:r>
    </w:p>
    <w:p w14:paraId="5A064C77" w14:textId="77777777" w:rsidR="00FE291A" w:rsidRDefault="00C8738F">
      <w:pPr>
        <w:pStyle w:val="BodyText"/>
        <w:widowControl/>
        <w:tabs>
          <w:tab w:val="left" w:pos="1673"/>
        </w:tabs>
        <w:kinsoku w:val="0"/>
        <w:overflowPunct w:val="0"/>
        <w:ind w:left="0"/>
        <w:rPr>
          <w:sz w:val="20"/>
          <w:szCs w:val="20"/>
          <w:lang w:val="de-DE"/>
        </w:rPr>
      </w:pPr>
      <w:r>
        <w:rPr>
          <w:sz w:val="20"/>
          <w:szCs w:val="20"/>
          <w:lang w:val="de-DE"/>
        </w:rPr>
        <w:t>* p &lt; 0,05 für alle Vergleiche von Adalimumab mit Placebo</w:t>
      </w:r>
    </w:p>
    <w:p w14:paraId="3EB06033" w14:textId="77777777" w:rsidR="00FE291A" w:rsidRDefault="00FE291A">
      <w:pPr>
        <w:widowControl/>
        <w:kinsoku w:val="0"/>
        <w:overflowPunct w:val="0"/>
        <w:rPr>
          <w:sz w:val="22"/>
          <w:szCs w:val="22"/>
          <w:lang w:val="de-DE"/>
        </w:rPr>
      </w:pPr>
    </w:p>
    <w:p w14:paraId="0F675EBF" w14:textId="77777777" w:rsidR="00FE291A" w:rsidRDefault="00C8738F">
      <w:pPr>
        <w:pStyle w:val="BodyText"/>
        <w:widowControl/>
        <w:kinsoku w:val="0"/>
        <w:overflowPunct w:val="0"/>
        <w:ind w:left="0"/>
        <w:rPr>
          <w:lang w:val="de-DE"/>
        </w:rPr>
      </w:pPr>
      <w:r>
        <w:rPr>
          <w:lang w:val="de-DE"/>
        </w:rPr>
        <w:t>In der PsA-Studie I waren die ACR-Ansprechraten in Kombination mit Methotrexat bzw. ohne Methotrexat-Begleittherapie ähnlich. Die ACR-Ansprechraten wurden in der offenen Fortsetzungsstudie bis zu 136 Wochen aufrechterhalten.</w:t>
      </w:r>
    </w:p>
    <w:p w14:paraId="0BAA6D2D" w14:textId="77777777" w:rsidR="00FE291A" w:rsidRDefault="00FE291A">
      <w:pPr>
        <w:pStyle w:val="BodyText"/>
        <w:widowControl/>
        <w:kinsoku w:val="0"/>
        <w:overflowPunct w:val="0"/>
        <w:ind w:left="0"/>
        <w:rPr>
          <w:lang w:val="de-DE"/>
        </w:rPr>
      </w:pPr>
    </w:p>
    <w:p w14:paraId="242B1C22" w14:textId="77777777" w:rsidR="00FE291A" w:rsidRDefault="00C8738F">
      <w:pPr>
        <w:pStyle w:val="BodyText"/>
        <w:widowControl/>
        <w:kinsoku w:val="0"/>
        <w:overflowPunct w:val="0"/>
        <w:ind w:left="0"/>
        <w:rPr>
          <w:lang w:val="de-DE"/>
        </w:rPr>
      </w:pPr>
      <w:r>
        <w:rPr>
          <w:lang w:val="de-DE"/>
        </w:rPr>
        <w:t>In den Studien zur Psoriasis-Arthritis wurden die radiologischen Veränderungen bewertet. Zu Studienbeginn und in Woche 24 während der doppelblinden Studienperiode, als die Patienten entweder Adalimumab oder Placebo erhielten sowie in Woche 48, als alle Patienten offen Adalimumab erhielten, wurden Röntgenaufnahmen der Hände, Handgelenke und Füße angefertigt. Für die Auswertung wurde ein modifizierter Gesamt-</w:t>
      </w:r>
      <w:r>
        <w:rPr>
          <w:i/>
          <w:iCs/>
          <w:lang w:val="de-DE"/>
        </w:rPr>
        <w:t xml:space="preserve">Sharp-Score </w:t>
      </w:r>
      <w:r>
        <w:rPr>
          <w:lang w:val="de-DE"/>
        </w:rPr>
        <w:t>(mTSS) verwendet, der die distalen Interphalangealgelenke mit einschloss (d. h. nicht identisch mit dem TSS, der bei der rheumatoiden Arthritis verwendet wurde).</w:t>
      </w:r>
    </w:p>
    <w:p w14:paraId="24E31474" w14:textId="77777777" w:rsidR="00FE291A" w:rsidRDefault="00FE291A">
      <w:pPr>
        <w:widowControl/>
        <w:kinsoku w:val="0"/>
        <w:overflowPunct w:val="0"/>
        <w:rPr>
          <w:sz w:val="22"/>
          <w:szCs w:val="22"/>
          <w:lang w:val="de-DE"/>
        </w:rPr>
      </w:pPr>
    </w:p>
    <w:p w14:paraId="36946049" w14:textId="77777777" w:rsidR="00FE291A" w:rsidRDefault="00C8738F">
      <w:pPr>
        <w:pStyle w:val="BodyText"/>
        <w:widowControl/>
        <w:kinsoku w:val="0"/>
        <w:overflowPunct w:val="0"/>
        <w:ind w:left="0"/>
        <w:rPr>
          <w:lang w:val="de-DE"/>
        </w:rPr>
      </w:pPr>
      <w:r>
        <w:rPr>
          <w:lang w:val="de-DE"/>
        </w:rPr>
        <w:t>Die Behandlung mit Adalimumab reduzierte das Fortschreiten der peripheren Gelenkzerstörung im Vergleich zu Placebo, gemessen anhand der Veränderung des mTSS zum Ausgangswert (Mittelwert ± Standardabweichung). Diese betrug 0,8 ± 2,5 bei der Placebogruppe (in Woche 24) im Vergleich zu 0,0 ± 1,9 (p &lt; 0,001) bei der Adalimumab-Gruppe (in Woche 48).</w:t>
      </w:r>
    </w:p>
    <w:p w14:paraId="753EA88F" w14:textId="77777777" w:rsidR="00FE291A" w:rsidRDefault="00FE291A">
      <w:pPr>
        <w:widowControl/>
        <w:kinsoku w:val="0"/>
        <w:overflowPunct w:val="0"/>
        <w:rPr>
          <w:sz w:val="22"/>
          <w:szCs w:val="22"/>
          <w:lang w:val="de-DE"/>
        </w:rPr>
      </w:pPr>
    </w:p>
    <w:p w14:paraId="7FD56032" w14:textId="77777777" w:rsidR="00FE291A" w:rsidRDefault="00C8738F">
      <w:pPr>
        <w:pStyle w:val="BodyText"/>
        <w:widowControl/>
        <w:kinsoku w:val="0"/>
        <w:overflowPunct w:val="0"/>
        <w:ind w:left="0"/>
        <w:rPr>
          <w:lang w:val="de-DE"/>
        </w:rPr>
      </w:pPr>
      <w:r>
        <w:rPr>
          <w:lang w:val="de-DE"/>
        </w:rPr>
        <w:t xml:space="preserve">Von den mit Adalimumab behandelten Patienten ohne radiologische Progression von Studienbeginn an bis in Woche 48 (n = 102) zeigten 84 % nach 144 Behandlungswochen immer noch keine radiologischen Veränderungen. Die mit Adalimumab behandelten Patienten zeigten im Vergleich zur Placebogruppe eine statistisch signifikante Verbesserung der körperlichen Funktionsfähigkeit in Woche 24, die mittels HAQ und </w:t>
      </w:r>
      <w:r>
        <w:rPr>
          <w:i/>
          <w:iCs/>
          <w:lang w:val="de-DE"/>
        </w:rPr>
        <w:t xml:space="preserve">Short Form Health Survey </w:t>
      </w:r>
      <w:r>
        <w:rPr>
          <w:lang w:val="de-DE"/>
        </w:rPr>
        <w:t>(SF 36) beurteilt wurde. Die verbesserte körperliche Funktionsfähigkeit hielt während der offenen Fortsetzungsstudie über 136 Wochen an.</w:t>
      </w:r>
    </w:p>
    <w:p w14:paraId="37D84DE2" w14:textId="77777777" w:rsidR="00FE291A" w:rsidRDefault="00FE291A">
      <w:pPr>
        <w:widowControl/>
        <w:kinsoku w:val="0"/>
        <w:overflowPunct w:val="0"/>
        <w:rPr>
          <w:sz w:val="22"/>
          <w:szCs w:val="22"/>
          <w:lang w:val="de-DE"/>
        </w:rPr>
      </w:pPr>
    </w:p>
    <w:p w14:paraId="0030AA5A" w14:textId="77777777" w:rsidR="00FE291A" w:rsidRDefault="00C8738F">
      <w:pPr>
        <w:keepNext/>
        <w:widowControl/>
        <w:kinsoku w:val="0"/>
        <w:overflowPunct w:val="0"/>
        <w:rPr>
          <w:i/>
          <w:sz w:val="22"/>
          <w:szCs w:val="22"/>
          <w:lang w:val="de-DE"/>
        </w:rPr>
      </w:pPr>
      <w:r>
        <w:rPr>
          <w:i/>
          <w:iCs/>
          <w:sz w:val="22"/>
          <w:szCs w:val="22"/>
          <w:lang w:val="de-DE"/>
        </w:rPr>
        <w:t>Psoriasis</w:t>
      </w:r>
    </w:p>
    <w:p w14:paraId="6603EA9A" w14:textId="77777777" w:rsidR="00FE291A" w:rsidRDefault="00FE291A">
      <w:pPr>
        <w:keepNext/>
        <w:widowControl/>
        <w:kinsoku w:val="0"/>
        <w:overflowPunct w:val="0"/>
        <w:rPr>
          <w:sz w:val="22"/>
          <w:szCs w:val="22"/>
          <w:lang w:val="de-DE"/>
        </w:rPr>
      </w:pPr>
    </w:p>
    <w:p w14:paraId="3F4C00B8" w14:textId="77777777" w:rsidR="00FE291A" w:rsidRDefault="00C8738F">
      <w:pPr>
        <w:pStyle w:val="BodyText"/>
        <w:widowControl/>
        <w:kinsoku w:val="0"/>
        <w:overflowPunct w:val="0"/>
        <w:ind w:left="0"/>
        <w:rPr>
          <w:lang w:val="de-DE"/>
        </w:rPr>
      </w:pPr>
      <w:r>
        <w:rPr>
          <w:lang w:val="de-DE"/>
        </w:rPr>
        <w:t xml:space="preserve">Die Sicherheit und Wirksamkeit von Adalimumab wurden bei erwachsenen Patienten mit chronischer Plaque-Psoriasis (≥ 10 % KOF-Beteiligung und </w:t>
      </w:r>
      <w:r>
        <w:rPr>
          <w:i/>
          <w:iCs/>
          <w:lang w:val="de-DE"/>
        </w:rPr>
        <w:t xml:space="preserve">Psoriasis Area and Severity Index </w:t>
      </w:r>
      <w:r>
        <w:rPr>
          <w:lang w:val="de-DE"/>
        </w:rPr>
        <w:t>[PASI] ≥ 12 oder ≥ 10) untersucht, die Kandidaten für eine systemische Therapie oder Phototherapie in randomisierten Doppelblindstudien waren. Von den in die Psoriasisstudien I und II aufgenommenen Patienten hatten 73 % zuvor schon eine systemische Therapie oder Phototherapie erhalten. Die Sicherheit und Wirksamkeit von Adalimumab wurden in einer randomisierten Doppelblindstudie (Psoriasisstudie III) auch an erwachsenen Patienten mit mittelschwerer bis schwerer chronischer Plaque-Psoriasis mit gleichzeitiger Hand- und/oder Fußpsoriasis untersucht, die Kandidaten für eine systemische Therapie waren.</w:t>
      </w:r>
    </w:p>
    <w:p w14:paraId="61C474D9" w14:textId="77777777" w:rsidR="00FE291A" w:rsidRDefault="00FE291A">
      <w:pPr>
        <w:widowControl/>
        <w:kinsoku w:val="0"/>
        <w:overflowPunct w:val="0"/>
        <w:rPr>
          <w:sz w:val="22"/>
          <w:szCs w:val="22"/>
          <w:lang w:val="de-DE"/>
        </w:rPr>
      </w:pPr>
    </w:p>
    <w:p w14:paraId="48C39926" w14:textId="77777777" w:rsidR="00FE291A" w:rsidRDefault="00C8738F">
      <w:pPr>
        <w:pStyle w:val="BodyText"/>
        <w:widowControl/>
        <w:kinsoku w:val="0"/>
        <w:overflowPunct w:val="0"/>
        <w:ind w:left="0"/>
        <w:rPr>
          <w:lang w:val="de-DE"/>
        </w:rPr>
      </w:pPr>
      <w:r>
        <w:rPr>
          <w:lang w:val="de-DE"/>
        </w:rPr>
        <w:t>In der Psoriasisstudie I (REVEAL) wurden 1 212 Patienten innerhalb von drei Behandlungsperioden untersucht. In Periode A erhielten die Patienten Placebo oder eine Induktionsdosis von 80 mg Adalimumab, danach 40 mg jede zweite Woche, zu beginnen eine Woche nach der Induktionsdosis. Nach 16 Behandlungswochen traten Patienten mit mindestens PASI-75-Ansprechen (Verbesserung des PASI-Wertes um mindestens 75 % im Vergleich zum Ausgangswert) in Periode B ein und erhielten 40 mg Adalimumab unverblindet jede zweite Woche. Patienten, die bis Woche 33 mindestens ein PASI</w:t>
      </w:r>
      <w:r>
        <w:rPr>
          <w:lang w:val="de-DE"/>
        </w:rPr>
        <w:noBreakHyphen/>
        <w:t xml:space="preserve">75-Ansprechen aufrechterhielten und ursprünglich in Periode A randomisiert der aktiven Therapie zugeteilt worden waren, wurden in Periode C erneut randomisiert und erhielten 40 mg Adalimumab jede zweite Woche oder Placebo für weitere 19 Wochen. Für alle Behandlungsgruppen zusammen betrug der durchschnittliche Ausgangswert des PASI 18,9, und der Ausgangswert im </w:t>
      </w:r>
      <w:r>
        <w:rPr>
          <w:i/>
          <w:iCs/>
          <w:lang w:val="de-DE"/>
        </w:rPr>
        <w:t xml:space="preserve">Physician’s Global Assessment </w:t>
      </w:r>
      <w:r>
        <w:rPr>
          <w:lang w:val="de-DE"/>
        </w:rPr>
        <w:t>(PGA) lag im Bereich zwischen „mittelschwer“ (53 % der Studienteilnehmer), „schwer“ (41 %) und „sehr schwer“ (6 %).</w:t>
      </w:r>
    </w:p>
    <w:p w14:paraId="12D72B5D" w14:textId="77777777" w:rsidR="00FE291A" w:rsidRDefault="00FE291A">
      <w:pPr>
        <w:widowControl/>
        <w:kinsoku w:val="0"/>
        <w:overflowPunct w:val="0"/>
        <w:rPr>
          <w:sz w:val="22"/>
          <w:szCs w:val="22"/>
          <w:lang w:val="de-DE"/>
        </w:rPr>
      </w:pPr>
    </w:p>
    <w:p w14:paraId="63A7391E" w14:textId="77777777" w:rsidR="00FE291A" w:rsidRDefault="00C8738F">
      <w:pPr>
        <w:pStyle w:val="BodyText"/>
        <w:widowControl/>
        <w:kinsoku w:val="0"/>
        <w:overflowPunct w:val="0"/>
        <w:ind w:left="0"/>
        <w:rPr>
          <w:lang w:val="de-DE"/>
        </w:rPr>
      </w:pPr>
      <w:r>
        <w:rPr>
          <w:lang w:val="de-DE"/>
        </w:rPr>
        <w:t>In der Psoriasisstudie II (CHAMPION) wurden die Wirksamkeit und Sicherheit von Adalimumab im Vergleich zu Methotrexat und Placebo bei 271 Patienten untersucht. Die Patienten erhielten über einen Zeitraum von 16 Wochen entweder Placebo oder Methotrexat in einer Anfangsdosis von 7,5 mg und nachfolgender Dosiseskalation auf eine Maximaldosis von bis zu 25 mg bis Woche 12, oder eine Adalimumab-Induktionsdosis von 80 mg, danach 40 mg jede zweite Woche (zu beginnen eine Woche nach der Induktionsdosis). Es liegen keine Daten eines Vergleichs von Adalimumab und Methotrexat über einen Behandlungszeitraum von mehr als 16 Wochen vor. Patienten, die Methotrexat erhielten und nach 8 und/oder 12 Wochen mindestens ein PASI-50-Ansprechen erreicht hatten, erhielten keine weitere Dosiseskalation. Für alle Behandlungsgruppen zusammen betrug der durchschnittliche Ausgangswert des PASI 19,7 und der Ausgangswert des PGA lag im Bereich zwischen „leicht“ (&lt; 1 %), „mittelschwer“ (48 %), „schwer“ (46 %) und „sehr schwer“ (6 %).</w:t>
      </w:r>
    </w:p>
    <w:p w14:paraId="214725CB" w14:textId="77777777" w:rsidR="00FE291A" w:rsidRDefault="00FE291A">
      <w:pPr>
        <w:widowControl/>
        <w:kinsoku w:val="0"/>
        <w:overflowPunct w:val="0"/>
        <w:rPr>
          <w:sz w:val="22"/>
          <w:szCs w:val="22"/>
          <w:lang w:val="de-DE"/>
        </w:rPr>
      </w:pPr>
    </w:p>
    <w:p w14:paraId="418193D2" w14:textId="77777777" w:rsidR="00FE291A" w:rsidRDefault="00C8738F">
      <w:pPr>
        <w:pStyle w:val="BodyText"/>
        <w:widowControl/>
        <w:kinsoku w:val="0"/>
        <w:overflowPunct w:val="0"/>
        <w:ind w:left="0"/>
        <w:rPr>
          <w:lang w:val="de-DE"/>
        </w:rPr>
      </w:pPr>
      <w:r>
        <w:rPr>
          <w:lang w:val="de-DE"/>
        </w:rPr>
        <w:t>Patienten, die an allen Phase-II- und Phase-III-Psoriasisstudien teilnahmen, konnten in eine offene Fortsetzungsstudie aufgenommen werden, in der Adalimumab mindestens weitere 108 Wochen verabreicht wurde.</w:t>
      </w:r>
    </w:p>
    <w:p w14:paraId="2310A62C" w14:textId="77777777" w:rsidR="00FE291A" w:rsidRDefault="00FE291A">
      <w:pPr>
        <w:widowControl/>
        <w:kinsoku w:val="0"/>
        <w:overflowPunct w:val="0"/>
        <w:rPr>
          <w:sz w:val="22"/>
          <w:szCs w:val="22"/>
          <w:lang w:val="de-DE"/>
        </w:rPr>
      </w:pPr>
    </w:p>
    <w:p w14:paraId="50C3B961" w14:textId="77777777" w:rsidR="00FE291A" w:rsidRDefault="00C8738F">
      <w:pPr>
        <w:pStyle w:val="BodyText"/>
        <w:widowControl/>
        <w:kinsoku w:val="0"/>
        <w:overflowPunct w:val="0"/>
        <w:ind w:left="0"/>
        <w:rPr>
          <w:lang w:val="de-DE"/>
        </w:rPr>
      </w:pPr>
      <w:r>
        <w:rPr>
          <w:lang w:val="de-DE"/>
        </w:rPr>
        <w:t>Ein primärer Endpunkt der Psoriasisstudien I und II war der Anteil der Patienten, die nach 16 Wochen im Vergleich zum Ausgangswert ein PASI-75-Ansprechen erzielten (siehe Tabellen 16 und 17).</w:t>
      </w:r>
    </w:p>
    <w:p w14:paraId="7FAB9E71" w14:textId="77777777" w:rsidR="00FE291A" w:rsidRDefault="00FE291A">
      <w:pPr>
        <w:widowControl/>
        <w:kinsoku w:val="0"/>
        <w:overflowPunct w:val="0"/>
        <w:rPr>
          <w:sz w:val="22"/>
          <w:szCs w:val="22"/>
          <w:lang w:val="de-DE"/>
        </w:rPr>
      </w:pPr>
    </w:p>
    <w:p w14:paraId="75EA5DF1" w14:textId="77777777" w:rsidR="00FE291A" w:rsidRDefault="00C8738F">
      <w:pPr>
        <w:pStyle w:val="Heading1"/>
        <w:keepNext/>
        <w:keepLines/>
        <w:widowControl/>
        <w:kinsoku w:val="0"/>
        <w:overflowPunct w:val="0"/>
        <w:ind w:left="0"/>
        <w:rPr>
          <w:lang w:val="de-DE"/>
        </w:rPr>
      </w:pPr>
      <w:r>
        <w:rPr>
          <w:lang w:val="de-DE"/>
        </w:rPr>
        <w:t>Tabelle</w:t>
      </w:r>
      <w:r>
        <w:rPr>
          <w:lang w:val="de-DE" w:eastAsia="zh-TW"/>
        </w:rPr>
        <w:t> </w:t>
      </w:r>
      <w:r>
        <w:rPr>
          <w:lang w:val="de-DE"/>
        </w:rPr>
        <w:t>16: Psoriasisstudie I (REVEAL) Wirksamkeitsergebnisse nach 16 Wochen</w:t>
      </w:r>
    </w:p>
    <w:p w14:paraId="3B22E15C" w14:textId="77777777" w:rsidR="00FE291A" w:rsidRDefault="00FE291A">
      <w:pPr>
        <w:keepNext/>
        <w:keepLines/>
        <w:widowControl/>
        <w:kinsoku w:val="0"/>
        <w:overflowPunct w:val="0"/>
        <w:rPr>
          <w:sz w:val="22"/>
          <w:lang w:val="de-DE"/>
        </w:rPr>
      </w:pPr>
    </w:p>
    <w:tbl>
      <w:tblPr>
        <w:tblW w:w="0" w:type="auto"/>
        <w:tblInd w:w="5" w:type="dxa"/>
        <w:tblLayout w:type="fixed"/>
        <w:tblCellMar>
          <w:left w:w="0" w:type="dxa"/>
          <w:right w:w="0" w:type="dxa"/>
        </w:tblCellMar>
        <w:tblLook w:val="04A0" w:firstRow="1" w:lastRow="0" w:firstColumn="1" w:lastColumn="0" w:noHBand="0" w:noVBand="1"/>
      </w:tblPr>
      <w:tblGrid>
        <w:gridCol w:w="3339"/>
        <w:gridCol w:w="1418"/>
        <w:gridCol w:w="4207"/>
      </w:tblGrid>
      <w:tr w:rsidR="00FE291A" w14:paraId="523C246C" w14:textId="77777777">
        <w:trPr>
          <w:trHeight w:hRule="exact" w:val="850"/>
        </w:trPr>
        <w:tc>
          <w:tcPr>
            <w:tcW w:w="3339" w:type="dxa"/>
            <w:tcBorders>
              <w:top w:val="single" w:sz="4" w:space="0" w:color="000000"/>
              <w:left w:val="single" w:sz="4" w:space="0" w:color="000000"/>
              <w:bottom w:val="single" w:sz="4" w:space="0" w:color="000000"/>
              <w:right w:val="single" w:sz="4" w:space="0" w:color="000000"/>
            </w:tcBorders>
          </w:tcPr>
          <w:p w14:paraId="442C552C" w14:textId="77777777" w:rsidR="00FE291A" w:rsidRDefault="00FE291A">
            <w:pPr>
              <w:keepNext/>
              <w:keepLines/>
              <w:widowControl/>
              <w:rPr>
                <w:sz w:val="22"/>
                <w:lang w:val="de-DE"/>
              </w:rPr>
            </w:pPr>
          </w:p>
        </w:tc>
        <w:tc>
          <w:tcPr>
            <w:tcW w:w="1418" w:type="dxa"/>
            <w:tcBorders>
              <w:top w:val="single" w:sz="4" w:space="0" w:color="000000"/>
              <w:left w:val="single" w:sz="4" w:space="0" w:color="000000"/>
              <w:bottom w:val="single" w:sz="4" w:space="0" w:color="000000"/>
              <w:right w:val="single" w:sz="4" w:space="0" w:color="000000"/>
            </w:tcBorders>
          </w:tcPr>
          <w:p w14:paraId="73CC4F26" w14:textId="77777777" w:rsidR="00FE291A" w:rsidRDefault="00C8738F">
            <w:pPr>
              <w:pStyle w:val="TableParagraph"/>
              <w:keepNext/>
              <w:keepLines/>
              <w:widowControl/>
              <w:kinsoku w:val="0"/>
              <w:overflowPunct w:val="0"/>
              <w:jc w:val="center"/>
              <w:rPr>
                <w:b/>
                <w:bCs/>
                <w:sz w:val="22"/>
                <w:szCs w:val="22"/>
                <w:lang w:val="de-DE"/>
              </w:rPr>
            </w:pPr>
            <w:r>
              <w:rPr>
                <w:b/>
                <w:bCs/>
                <w:sz w:val="22"/>
                <w:szCs w:val="22"/>
                <w:lang w:val="de-DE"/>
              </w:rPr>
              <w:t>Placebo</w:t>
            </w:r>
          </w:p>
          <w:p w14:paraId="000560AA" w14:textId="77777777" w:rsidR="00FE291A" w:rsidRDefault="00C8738F">
            <w:pPr>
              <w:pStyle w:val="TableParagraph"/>
              <w:keepNext/>
              <w:keepLines/>
              <w:widowControl/>
              <w:kinsoku w:val="0"/>
              <w:overflowPunct w:val="0"/>
              <w:jc w:val="center"/>
              <w:rPr>
                <w:b/>
                <w:bCs/>
                <w:sz w:val="22"/>
                <w:szCs w:val="22"/>
                <w:lang w:val="de-DE"/>
              </w:rPr>
            </w:pPr>
            <w:r>
              <w:rPr>
                <w:b/>
                <w:bCs/>
                <w:sz w:val="22"/>
                <w:szCs w:val="22"/>
                <w:lang w:val="de-DE"/>
              </w:rPr>
              <w:t>N = 398</w:t>
            </w:r>
          </w:p>
          <w:p w14:paraId="695A16F9" w14:textId="77777777" w:rsidR="00FE291A" w:rsidRDefault="00C8738F">
            <w:pPr>
              <w:pStyle w:val="TableParagraph"/>
              <w:keepNext/>
              <w:keepLines/>
              <w:widowControl/>
              <w:kinsoku w:val="0"/>
              <w:overflowPunct w:val="0"/>
              <w:jc w:val="center"/>
              <w:rPr>
                <w:sz w:val="22"/>
                <w:lang w:val="de-DE"/>
              </w:rPr>
            </w:pPr>
            <w:r>
              <w:rPr>
                <w:b/>
                <w:bCs/>
                <w:sz w:val="22"/>
                <w:szCs w:val="22"/>
                <w:lang w:val="de-DE"/>
              </w:rPr>
              <w:t>n (%)</w:t>
            </w:r>
          </w:p>
        </w:tc>
        <w:tc>
          <w:tcPr>
            <w:tcW w:w="4207" w:type="dxa"/>
            <w:tcBorders>
              <w:top w:val="single" w:sz="4" w:space="0" w:color="000000"/>
              <w:left w:val="single" w:sz="4" w:space="0" w:color="000000"/>
              <w:bottom w:val="single" w:sz="4" w:space="0" w:color="000000"/>
              <w:right w:val="single" w:sz="4" w:space="0" w:color="000000"/>
            </w:tcBorders>
          </w:tcPr>
          <w:p w14:paraId="403037A8" w14:textId="77777777" w:rsidR="00FE291A" w:rsidRDefault="00C8738F">
            <w:pPr>
              <w:pStyle w:val="TableParagraph"/>
              <w:keepNext/>
              <w:keepLines/>
              <w:widowControl/>
              <w:kinsoku w:val="0"/>
              <w:overflowPunct w:val="0"/>
              <w:jc w:val="center"/>
              <w:rPr>
                <w:b/>
                <w:bCs/>
                <w:sz w:val="22"/>
                <w:szCs w:val="22"/>
                <w:lang w:val="de-DE"/>
              </w:rPr>
            </w:pPr>
            <w:r>
              <w:rPr>
                <w:b/>
                <w:bCs/>
                <w:sz w:val="22"/>
                <w:szCs w:val="22"/>
                <w:lang w:val="de-DE"/>
              </w:rPr>
              <w:t>Adalimumab 40 mg jede zweite Woche</w:t>
            </w:r>
          </w:p>
          <w:p w14:paraId="14D410A2" w14:textId="77777777" w:rsidR="00FE291A" w:rsidRDefault="00C8738F">
            <w:pPr>
              <w:pStyle w:val="TableParagraph"/>
              <w:keepNext/>
              <w:keepLines/>
              <w:widowControl/>
              <w:kinsoku w:val="0"/>
              <w:overflowPunct w:val="0"/>
              <w:jc w:val="center"/>
              <w:rPr>
                <w:sz w:val="22"/>
                <w:szCs w:val="22"/>
                <w:lang w:val="de-DE"/>
              </w:rPr>
            </w:pPr>
            <w:r>
              <w:rPr>
                <w:b/>
                <w:bCs/>
                <w:sz w:val="22"/>
                <w:szCs w:val="22"/>
                <w:lang w:val="de-DE"/>
              </w:rPr>
              <w:t>N = 814</w:t>
            </w:r>
          </w:p>
          <w:p w14:paraId="268EE035" w14:textId="77777777" w:rsidR="00FE291A" w:rsidRDefault="00C8738F">
            <w:pPr>
              <w:pStyle w:val="TableParagraph"/>
              <w:keepNext/>
              <w:keepLines/>
              <w:widowControl/>
              <w:kinsoku w:val="0"/>
              <w:overflowPunct w:val="0"/>
              <w:jc w:val="center"/>
              <w:rPr>
                <w:sz w:val="22"/>
                <w:lang w:val="de-DE"/>
              </w:rPr>
            </w:pPr>
            <w:r>
              <w:rPr>
                <w:b/>
                <w:bCs/>
                <w:sz w:val="22"/>
                <w:szCs w:val="22"/>
                <w:lang w:val="de-DE"/>
              </w:rPr>
              <w:t>n (%)</w:t>
            </w:r>
          </w:p>
        </w:tc>
      </w:tr>
      <w:tr w:rsidR="00FE291A" w14:paraId="59DF4573" w14:textId="77777777">
        <w:trPr>
          <w:trHeight w:hRule="exact" w:val="278"/>
        </w:trPr>
        <w:tc>
          <w:tcPr>
            <w:tcW w:w="3339" w:type="dxa"/>
            <w:tcBorders>
              <w:top w:val="single" w:sz="4" w:space="0" w:color="000000"/>
              <w:left w:val="single" w:sz="4" w:space="0" w:color="000000"/>
              <w:bottom w:val="single" w:sz="4" w:space="0" w:color="000000"/>
              <w:right w:val="single" w:sz="4" w:space="0" w:color="000000"/>
            </w:tcBorders>
          </w:tcPr>
          <w:p w14:paraId="684E34E6" w14:textId="77777777" w:rsidR="00FE291A" w:rsidRDefault="00C8738F">
            <w:pPr>
              <w:pStyle w:val="TableParagraph"/>
              <w:keepNext/>
              <w:widowControl/>
              <w:kinsoku w:val="0"/>
              <w:overflowPunct w:val="0"/>
              <w:ind w:firstLine="142"/>
              <w:rPr>
                <w:sz w:val="22"/>
                <w:lang w:val="de-DE"/>
              </w:rPr>
            </w:pPr>
            <w:r>
              <w:rPr>
                <w:b/>
                <w:sz w:val="22"/>
                <w:szCs w:val="22"/>
                <w:lang w:val="de-DE"/>
              </w:rPr>
              <w:t xml:space="preserve">≥ </w:t>
            </w:r>
            <w:r>
              <w:rPr>
                <w:b/>
                <w:bCs/>
                <w:sz w:val="22"/>
                <w:szCs w:val="22"/>
                <w:lang w:val="de-DE"/>
              </w:rPr>
              <w:t>PASI-75</w:t>
            </w:r>
            <w:r>
              <w:rPr>
                <w:b/>
                <w:bCs/>
                <w:sz w:val="22"/>
                <w:szCs w:val="22"/>
                <w:vertAlign w:val="superscript"/>
                <w:lang w:val="de-DE"/>
              </w:rPr>
              <w:t>a</w:t>
            </w:r>
          </w:p>
        </w:tc>
        <w:tc>
          <w:tcPr>
            <w:tcW w:w="1418" w:type="dxa"/>
            <w:tcBorders>
              <w:top w:val="single" w:sz="4" w:space="0" w:color="000000"/>
              <w:left w:val="single" w:sz="4" w:space="0" w:color="000000"/>
              <w:bottom w:val="single" w:sz="4" w:space="0" w:color="000000"/>
              <w:right w:val="single" w:sz="4" w:space="0" w:color="000000"/>
            </w:tcBorders>
          </w:tcPr>
          <w:p w14:paraId="1B504A73" w14:textId="77777777" w:rsidR="00FE291A" w:rsidRDefault="00C8738F">
            <w:pPr>
              <w:pStyle w:val="TableParagraph"/>
              <w:keepNext/>
              <w:widowControl/>
              <w:kinsoku w:val="0"/>
              <w:overflowPunct w:val="0"/>
              <w:jc w:val="center"/>
              <w:rPr>
                <w:sz w:val="22"/>
                <w:lang w:val="de-DE"/>
              </w:rPr>
            </w:pPr>
            <w:r>
              <w:rPr>
                <w:sz w:val="22"/>
                <w:szCs w:val="22"/>
                <w:lang w:val="de-DE"/>
              </w:rPr>
              <w:t>26 (6,5)</w:t>
            </w:r>
          </w:p>
        </w:tc>
        <w:tc>
          <w:tcPr>
            <w:tcW w:w="4207" w:type="dxa"/>
            <w:tcBorders>
              <w:top w:val="single" w:sz="4" w:space="0" w:color="000000"/>
              <w:left w:val="single" w:sz="4" w:space="0" w:color="000000"/>
              <w:bottom w:val="single" w:sz="4" w:space="0" w:color="000000"/>
              <w:right w:val="single" w:sz="4" w:space="0" w:color="000000"/>
            </w:tcBorders>
          </w:tcPr>
          <w:p w14:paraId="7244F105" w14:textId="77777777" w:rsidR="00FE291A" w:rsidRDefault="00C8738F">
            <w:pPr>
              <w:pStyle w:val="TableParagraph"/>
              <w:keepNext/>
              <w:widowControl/>
              <w:kinsoku w:val="0"/>
              <w:overflowPunct w:val="0"/>
              <w:jc w:val="center"/>
              <w:rPr>
                <w:sz w:val="22"/>
                <w:lang w:val="de-DE"/>
              </w:rPr>
            </w:pPr>
            <w:r>
              <w:rPr>
                <w:sz w:val="22"/>
                <w:szCs w:val="22"/>
                <w:lang w:val="de-DE"/>
              </w:rPr>
              <w:t>578 (70,9)</w:t>
            </w:r>
            <w:r>
              <w:rPr>
                <w:sz w:val="22"/>
                <w:szCs w:val="22"/>
                <w:vertAlign w:val="superscript"/>
                <w:lang w:val="de-DE"/>
              </w:rPr>
              <w:t>b</w:t>
            </w:r>
          </w:p>
        </w:tc>
      </w:tr>
      <w:tr w:rsidR="00FE291A" w14:paraId="5BE2DAEA" w14:textId="77777777">
        <w:trPr>
          <w:trHeight w:hRule="exact" w:val="269"/>
        </w:trPr>
        <w:tc>
          <w:tcPr>
            <w:tcW w:w="3339" w:type="dxa"/>
            <w:tcBorders>
              <w:top w:val="single" w:sz="4" w:space="0" w:color="000000"/>
              <w:left w:val="single" w:sz="4" w:space="0" w:color="000000"/>
              <w:bottom w:val="single" w:sz="4" w:space="0" w:color="000000"/>
              <w:right w:val="single" w:sz="4" w:space="0" w:color="000000"/>
            </w:tcBorders>
          </w:tcPr>
          <w:p w14:paraId="657837B3" w14:textId="77777777" w:rsidR="00FE291A" w:rsidRDefault="00C8738F">
            <w:pPr>
              <w:pStyle w:val="TableParagraph"/>
              <w:keepNext/>
              <w:widowControl/>
              <w:kinsoku w:val="0"/>
              <w:overflowPunct w:val="0"/>
              <w:ind w:firstLine="142"/>
              <w:rPr>
                <w:sz w:val="22"/>
                <w:lang w:val="de-DE"/>
              </w:rPr>
            </w:pPr>
            <w:r>
              <w:rPr>
                <w:b/>
                <w:bCs/>
                <w:sz w:val="22"/>
                <w:szCs w:val="22"/>
                <w:lang w:val="de-DE"/>
              </w:rPr>
              <w:t>PASI-100</w:t>
            </w:r>
          </w:p>
        </w:tc>
        <w:tc>
          <w:tcPr>
            <w:tcW w:w="1418" w:type="dxa"/>
            <w:tcBorders>
              <w:top w:val="single" w:sz="4" w:space="0" w:color="000000"/>
              <w:left w:val="single" w:sz="4" w:space="0" w:color="000000"/>
              <w:bottom w:val="single" w:sz="4" w:space="0" w:color="000000"/>
              <w:right w:val="single" w:sz="4" w:space="0" w:color="000000"/>
            </w:tcBorders>
          </w:tcPr>
          <w:p w14:paraId="4FFDAF95" w14:textId="77777777" w:rsidR="00FE291A" w:rsidRDefault="00C8738F">
            <w:pPr>
              <w:pStyle w:val="TableParagraph"/>
              <w:keepNext/>
              <w:widowControl/>
              <w:kinsoku w:val="0"/>
              <w:overflowPunct w:val="0"/>
              <w:jc w:val="center"/>
              <w:rPr>
                <w:sz w:val="22"/>
                <w:lang w:val="de-DE"/>
              </w:rPr>
            </w:pPr>
            <w:r>
              <w:rPr>
                <w:sz w:val="22"/>
                <w:szCs w:val="22"/>
                <w:lang w:val="de-DE"/>
              </w:rPr>
              <w:t>3 (0,8)</w:t>
            </w:r>
          </w:p>
        </w:tc>
        <w:tc>
          <w:tcPr>
            <w:tcW w:w="4207" w:type="dxa"/>
            <w:tcBorders>
              <w:top w:val="single" w:sz="4" w:space="0" w:color="000000"/>
              <w:left w:val="single" w:sz="4" w:space="0" w:color="000000"/>
              <w:bottom w:val="single" w:sz="4" w:space="0" w:color="000000"/>
              <w:right w:val="single" w:sz="4" w:space="0" w:color="000000"/>
            </w:tcBorders>
          </w:tcPr>
          <w:p w14:paraId="5245D400" w14:textId="77777777" w:rsidR="00FE291A" w:rsidRDefault="00C8738F">
            <w:pPr>
              <w:pStyle w:val="TableParagraph"/>
              <w:keepNext/>
              <w:widowControl/>
              <w:kinsoku w:val="0"/>
              <w:overflowPunct w:val="0"/>
              <w:jc w:val="center"/>
              <w:rPr>
                <w:sz w:val="22"/>
                <w:lang w:val="de-DE"/>
              </w:rPr>
            </w:pPr>
            <w:r>
              <w:rPr>
                <w:sz w:val="22"/>
                <w:szCs w:val="22"/>
                <w:lang w:val="de-DE"/>
              </w:rPr>
              <w:t>163 (20,0)</w:t>
            </w:r>
            <w:r>
              <w:rPr>
                <w:sz w:val="22"/>
                <w:szCs w:val="22"/>
                <w:vertAlign w:val="superscript"/>
                <w:lang w:val="de-DE"/>
              </w:rPr>
              <w:t>b</w:t>
            </w:r>
          </w:p>
        </w:tc>
      </w:tr>
      <w:tr w:rsidR="00FE291A" w14:paraId="37AC1CD6" w14:textId="77777777">
        <w:trPr>
          <w:trHeight w:hRule="exact" w:val="269"/>
        </w:trPr>
        <w:tc>
          <w:tcPr>
            <w:tcW w:w="3339" w:type="dxa"/>
            <w:tcBorders>
              <w:top w:val="single" w:sz="4" w:space="0" w:color="000000"/>
              <w:left w:val="single" w:sz="4" w:space="0" w:color="000000"/>
              <w:bottom w:val="single" w:sz="4" w:space="0" w:color="auto"/>
              <w:right w:val="single" w:sz="4" w:space="0" w:color="000000"/>
            </w:tcBorders>
          </w:tcPr>
          <w:p w14:paraId="28F537D3" w14:textId="77777777" w:rsidR="00FE291A" w:rsidRDefault="00C8738F">
            <w:pPr>
              <w:pStyle w:val="TableParagraph"/>
              <w:keepNext/>
              <w:widowControl/>
              <w:kinsoku w:val="0"/>
              <w:overflowPunct w:val="0"/>
              <w:ind w:firstLine="142"/>
              <w:rPr>
                <w:sz w:val="22"/>
                <w:lang w:val="de-DE"/>
              </w:rPr>
            </w:pPr>
            <w:r>
              <w:rPr>
                <w:b/>
                <w:bCs/>
                <w:sz w:val="22"/>
                <w:szCs w:val="22"/>
                <w:lang w:val="de-DE"/>
              </w:rPr>
              <w:t>PGA: erscheinungsfrei/minimal</w:t>
            </w:r>
          </w:p>
        </w:tc>
        <w:tc>
          <w:tcPr>
            <w:tcW w:w="1418" w:type="dxa"/>
            <w:tcBorders>
              <w:top w:val="single" w:sz="4" w:space="0" w:color="000000"/>
              <w:left w:val="single" w:sz="4" w:space="0" w:color="000000"/>
              <w:bottom w:val="single" w:sz="4" w:space="0" w:color="auto"/>
              <w:right w:val="single" w:sz="4" w:space="0" w:color="000000"/>
            </w:tcBorders>
          </w:tcPr>
          <w:p w14:paraId="626B53F2" w14:textId="77777777" w:rsidR="00FE291A" w:rsidRDefault="00C8738F">
            <w:pPr>
              <w:pStyle w:val="TableParagraph"/>
              <w:keepNext/>
              <w:widowControl/>
              <w:kinsoku w:val="0"/>
              <w:overflowPunct w:val="0"/>
              <w:jc w:val="center"/>
              <w:rPr>
                <w:sz w:val="22"/>
                <w:lang w:val="de-DE"/>
              </w:rPr>
            </w:pPr>
            <w:r>
              <w:rPr>
                <w:sz w:val="22"/>
                <w:szCs w:val="22"/>
                <w:lang w:val="de-DE"/>
              </w:rPr>
              <w:t>17 (4,3)</w:t>
            </w:r>
          </w:p>
        </w:tc>
        <w:tc>
          <w:tcPr>
            <w:tcW w:w="4207" w:type="dxa"/>
            <w:tcBorders>
              <w:top w:val="single" w:sz="4" w:space="0" w:color="000000"/>
              <w:left w:val="single" w:sz="4" w:space="0" w:color="000000"/>
              <w:bottom w:val="single" w:sz="4" w:space="0" w:color="auto"/>
              <w:right w:val="single" w:sz="4" w:space="0" w:color="000000"/>
            </w:tcBorders>
          </w:tcPr>
          <w:p w14:paraId="4A8050E4" w14:textId="77777777" w:rsidR="00FE291A" w:rsidRDefault="00C8738F">
            <w:pPr>
              <w:pStyle w:val="TableParagraph"/>
              <w:keepNext/>
              <w:widowControl/>
              <w:kinsoku w:val="0"/>
              <w:overflowPunct w:val="0"/>
              <w:jc w:val="center"/>
              <w:rPr>
                <w:sz w:val="22"/>
                <w:lang w:val="de-DE"/>
              </w:rPr>
            </w:pPr>
            <w:r>
              <w:rPr>
                <w:sz w:val="22"/>
                <w:szCs w:val="22"/>
                <w:lang w:val="de-DE"/>
              </w:rPr>
              <w:t>506 (62,2)</w:t>
            </w:r>
            <w:r>
              <w:rPr>
                <w:sz w:val="22"/>
                <w:szCs w:val="22"/>
                <w:vertAlign w:val="superscript"/>
                <w:lang w:val="de-DE"/>
              </w:rPr>
              <w:t>b</w:t>
            </w:r>
          </w:p>
        </w:tc>
      </w:tr>
      <w:tr w:rsidR="00FE291A" w14:paraId="511E610A" w14:textId="77777777">
        <w:trPr>
          <w:trHeight w:hRule="exact" w:val="528"/>
        </w:trPr>
        <w:tc>
          <w:tcPr>
            <w:tcW w:w="8964" w:type="dxa"/>
            <w:gridSpan w:val="3"/>
            <w:tcBorders>
              <w:top w:val="single" w:sz="4" w:space="0" w:color="auto"/>
            </w:tcBorders>
          </w:tcPr>
          <w:p w14:paraId="60DB07B2" w14:textId="77777777" w:rsidR="00FE291A" w:rsidRDefault="00C8738F">
            <w:pPr>
              <w:pStyle w:val="TableParagraph"/>
              <w:keepNext/>
              <w:widowControl/>
              <w:kinsoku w:val="0"/>
              <w:overflowPunct w:val="0"/>
              <w:rPr>
                <w:sz w:val="20"/>
                <w:szCs w:val="20"/>
                <w:lang w:val="de-DE"/>
              </w:rPr>
            </w:pPr>
            <w:r>
              <w:rPr>
                <w:sz w:val="20"/>
                <w:szCs w:val="20"/>
                <w:vertAlign w:val="superscript"/>
                <w:lang w:val="de-DE"/>
              </w:rPr>
              <w:t>a</w:t>
            </w:r>
            <w:r>
              <w:rPr>
                <w:sz w:val="20"/>
                <w:szCs w:val="20"/>
                <w:lang w:val="de-DE"/>
              </w:rPr>
              <w:t xml:space="preserve"> Prozentsatz Patienten mit PASI-75-Ansprechen wurde als prüfzentrumadjustierte Rate berechnet</w:t>
            </w:r>
          </w:p>
          <w:p w14:paraId="4DC31C38" w14:textId="77777777" w:rsidR="00FE291A" w:rsidRPr="00211AE1" w:rsidRDefault="00C8738F">
            <w:pPr>
              <w:pStyle w:val="TableParagraph"/>
              <w:keepNext/>
              <w:widowControl/>
              <w:kinsoku w:val="0"/>
              <w:overflowPunct w:val="0"/>
              <w:rPr>
                <w:sz w:val="22"/>
                <w:lang w:val="en-US"/>
              </w:rPr>
            </w:pPr>
            <w:r w:rsidRPr="00211AE1">
              <w:rPr>
                <w:sz w:val="20"/>
                <w:szCs w:val="20"/>
                <w:vertAlign w:val="superscript"/>
                <w:lang w:val="en-US"/>
              </w:rPr>
              <w:t>b</w:t>
            </w:r>
            <w:r w:rsidRPr="00211AE1">
              <w:rPr>
                <w:sz w:val="20"/>
                <w:szCs w:val="20"/>
                <w:lang w:val="en-US"/>
              </w:rPr>
              <w:t xml:space="preserve"> p &lt; 0,001; Adalimumab </w:t>
            </w:r>
            <w:r w:rsidRPr="00211AE1">
              <w:rPr>
                <w:i/>
                <w:sz w:val="20"/>
                <w:szCs w:val="20"/>
                <w:lang w:val="en-US"/>
              </w:rPr>
              <w:t>versus</w:t>
            </w:r>
            <w:r w:rsidRPr="00211AE1">
              <w:rPr>
                <w:sz w:val="20"/>
                <w:szCs w:val="20"/>
                <w:lang w:val="en-US"/>
              </w:rPr>
              <w:t xml:space="preserve"> Placebo</w:t>
            </w:r>
          </w:p>
        </w:tc>
      </w:tr>
    </w:tbl>
    <w:p w14:paraId="157DAE87" w14:textId="77777777" w:rsidR="00FE291A" w:rsidRPr="00211AE1" w:rsidRDefault="00FE291A">
      <w:pPr>
        <w:widowControl/>
        <w:kinsoku w:val="0"/>
        <w:overflowPunct w:val="0"/>
        <w:rPr>
          <w:sz w:val="22"/>
          <w:szCs w:val="22"/>
          <w:lang w:val="en-US"/>
        </w:rPr>
      </w:pPr>
    </w:p>
    <w:p w14:paraId="119D281E" w14:textId="77777777" w:rsidR="00FE291A" w:rsidRDefault="00C8738F">
      <w:pPr>
        <w:keepNext/>
        <w:widowControl/>
        <w:kinsoku w:val="0"/>
        <w:overflowPunct w:val="0"/>
        <w:rPr>
          <w:sz w:val="22"/>
          <w:szCs w:val="22"/>
          <w:lang w:val="de-DE"/>
        </w:rPr>
      </w:pPr>
      <w:r>
        <w:rPr>
          <w:b/>
          <w:bCs/>
          <w:sz w:val="22"/>
          <w:szCs w:val="22"/>
          <w:lang w:val="de-DE"/>
        </w:rPr>
        <w:t>Tabelle 17: Psoriasisstudie II (CHAMPION) Wirksamkeitsergebnisse nach 16 Wochen</w:t>
      </w:r>
    </w:p>
    <w:p w14:paraId="5518CDC8" w14:textId="77777777" w:rsidR="00FE291A" w:rsidRDefault="00FE291A">
      <w:pPr>
        <w:keepNext/>
        <w:widowControl/>
        <w:kinsoku w:val="0"/>
        <w:overflowPunct w:val="0"/>
        <w:rPr>
          <w:sz w:val="22"/>
          <w:lang w:val="de-DE"/>
        </w:rPr>
      </w:pPr>
    </w:p>
    <w:tbl>
      <w:tblPr>
        <w:tblW w:w="8930" w:type="dxa"/>
        <w:tblInd w:w="5" w:type="dxa"/>
        <w:tblLayout w:type="fixed"/>
        <w:tblCellMar>
          <w:left w:w="0" w:type="dxa"/>
          <w:right w:w="0" w:type="dxa"/>
        </w:tblCellMar>
        <w:tblLook w:val="04A0" w:firstRow="1" w:lastRow="0" w:firstColumn="1" w:lastColumn="0" w:noHBand="0" w:noVBand="1"/>
      </w:tblPr>
      <w:tblGrid>
        <w:gridCol w:w="3341"/>
        <w:gridCol w:w="1620"/>
        <w:gridCol w:w="1701"/>
        <w:gridCol w:w="1803"/>
        <w:gridCol w:w="465"/>
      </w:tblGrid>
      <w:tr w:rsidR="00FE291A" w14:paraId="369B8FFE" w14:textId="77777777">
        <w:trPr>
          <w:trHeight w:hRule="exact" w:val="1361"/>
        </w:trPr>
        <w:tc>
          <w:tcPr>
            <w:tcW w:w="3341" w:type="dxa"/>
            <w:tcBorders>
              <w:top w:val="single" w:sz="4" w:space="0" w:color="000000"/>
              <w:left w:val="single" w:sz="4" w:space="0" w:color="000000"/>
              <w:bottom w:val="single" w:sz="4" w:space="0" w:color="000000"/>
              <w:right w:val="single" w:sz="4" w:space="0" w:color="000000"/>
            </w:tcBorders>
          </w:tcPr>
          <w:p w14:paraId="339B450D" w14:textId="77777777" w:rsidR="00FE291A" w:rsidRDefault="00FE291A">
            <w:pPr>
              <w:keepNext/>
              <w:widowControl/>
              <w:rPr>
                <w:sz w:val="22"/>
                <w:lang w:val="de-DE"/>
              </w:rPr>
            </w:pPr>
          </w:p>
        </w:tc>
        <w:tc>
          <w:tcPr>
            <w:tcW w:w="1620" w:type="dxa"/>
            <w:tcBorders>
              <w:top w:val="single" w:sz="4" w:space="0" w:color="000000"/>
              <w:left w:val="single" w:sz="4" w:space="0" w:color="000000"/>
              <w:bottom w:val="single" w:sz="4" w:space="0" w:color="000000"/>
              <w:right w:val="single" w:sz="4" w:space="0" w:color="000000"/>
            </w:tcBorders>
          </w:tcPr>
          <w:p w14:paraId="66B4E3EE" w14:textId="77777777" w:rsidR="00FE291A" w:rsidRDefault="00C8738F">
            <w:pPr>
              <w:pStyle w:val="TableParagraph"/>
              <w:keepNext/>
              <w:widowControl/>
              <w:kinsoku w:val="0"/>
              <w:overflowPunct w:val="0"/>
              <w:jc w:val="center"/>
              <w:rPr>
                <w:sz w:val="22"/>
                <w:szCs w:val="22"/>
                <w:lang w:val="de-DE"/>
              </w:rPr>
            </w:pPr>
            <w:r>
              <w:rPr>
                <w:b/>
                <w:bCs/>
                <w:sz w:val="22"/>
                <w:szCs w:val="22"/>
                <w:lang w:val="de-DE"/>
              </w:rPr>
              <w:t>Placebo</w:t>
            </w:r>
          </w:p>
          <w:p w14:paraId="449903FE" w14:textId="77777777" w:rsidR="00FE291A" w:rsidRDefault="00C8738F">
            <w:pPr>
              <w:pStyle w:val="TableParagraph"/>
              <w:keepNext/>
              <w:widowControl/>
              <w:kinsoku w:val="0"/>
              <w:overflowPunct w:val="0"/>
              <w:jc w:val="center"/>
              <w:rPr>
                <w:b/>
                <w:bCs/>
                <w:sz w:val="22"/>
                <w:szCs w:val="22"/>
                <w:lang w:val="de-DE"/>
              </w:rPr>
            </w:pPr>
            <w:r>
              <w:rPr>
                <w:b/>
                <w:bCs/>
                <w:sz w:val="22"/>
                <w:szCs w:val="22"/>
                <w:lang w:val="de-DE"/>
              </w:rPr>
              <w:t>N = 53</w:t>
            </w:r>
          </w:p>
          <w:p w14:paraId="3D3AFBA5" w14:textId="77777777" w:rsidR="00FE291A" w:rsidRDefault="00C8738F">
            <w:pPr>
              <w:pStyle w:val="TableParagraph"/>
              <w:keepNext/>
              <w:widowControl/>
              <w:kinsoku w:val="0"/>
              <w:overflowPunct w:val="0"/>
              <w:jc w:val="center"/>
              <w:rPr>
                <w:sz w:val="22"/>
                <w:lang w:val="de-DE"/>
              </w:rPr>
            </w:pPr>
            <w:r>
              <w:rPr>
                <w:b/>
                <w:bCs/>
                <w:sz w:val="22"/>
                <w:szCs w:val="22"/>
                <w:lang w:val="de-DE"/>
              </w:rPr>
              <w:t>n (%)</w:t>
            </w:r>
          </w:p>
        </w:tc>
        <w:tc>
          <w:tcPr>
            <w:tcW w:w="1701" w:type="dxa"/>
            <w:tcBorders>
              <w:top w:val="single" w:sz="4" w:space="0" w:color="000000"/>
              <w:left w:val="single" w:sz="4" w:space="0" w:color="000000"/>
              <w:bottom w:val="single" w:sz="4" w:space="0" w:color="000000"/>
              <w:right w:val="single" w:sz="4" w:space="0" w:color="000000"/>
            </w:tcBorders>
          </w:tcPr>
          <w:p w14:paraId="1AD4B0A6" w14:textId="77777777" w:rsidR="00FE291A" w:rsidRDefault="00C8738F">
            <w:pPr>
              <w:pStyle w:val="TableParagraph"/>
              <w:keepNext/>
              <w:widowControl/>
              <w:kinsoku w:val="0"/>
              <w:overflowPunct w:val="0"/>
              <w:jc w:val="center"/>
              <w:rPr>
                <w:sz w:val="22"/>
                <w:szCs w:val="22"/>
                <w:lang w:val="de-DE"/>
              </w:rPr>
            </w:pPr>
            <w:r>
              <w:rPr>
                <w:b/>
                <w:bCs/>
                <w:sz w:val="22"/>
                <w:szCs w:val="22"/>
                <w:lang w:val="de-DE"/>
              </w:rPr>
              <w:t>Methotrexat</w:t>
            </w:r>
          </w:p>
          <w:p w14:paraId="6C89A39F" w14:textId="77777777" w:rsidR="00FE291A" w:rsidRDefault="00C8738F">
            <w:pPr>
              <w:pStyle w:val="TableParagraph"/>
              <w:keepNext/>
              <w:widowControl/>
              <w:kinsoku w:val="0"/>
              <w:overflowPunct w:val="0"/>
              <w:jc w:val="center"/>
              <w:rPr>
                <w:b/>
                <w:bCs/>
                <w:sz w:val="22"/>
                <w:szCs w:val="22"/>
                <w:lang w:val="de-DE"/>
              </w:rPr>
            </w:pPr>
            <w:r>
              <w:rPr>
                <w:b/>
                <w:bCs/>
                <w:sz w:val="22"/>
                <w:szCs w:val="22"/>
                <w:lang w:val="de-DE"/>
              </w:rPr>
              <w:t>N = 110</w:t>
            </w:r>
          </w:p>
          <w:p w14:paraId="77570A5D" w14:textId="77777777" w:rsidR="00FE291A" w:rsidRDefault="00C8738F">
            <w:pPr>
              <w:pStyle w:val="TableParagraph"/>
              <w:keepNext/>
              <w:widowControl/>
              <w:kinsoku w:val="0"/>
              <w:overflowPunct w:val="0"/>
              <w:jc w:val="center"/>
              <w:rPr>
                <w:sz w:val="22"/>
                <w:lang w:val="de-DE"/>
              </w:rPr>
            </w:pPr>
            <w:r>
              <w:rPr>
                <w:b/>
                <w:bCs/>
                <w:sz w:val="22"/>
                <w:szCs w:val="22"/>
                <w:lang w:val="de-DE"/>
              </w:rPr>
              <w:t>n (%)</w:t>
            </w:r>
          </w:p>
        </w:tc>
        <w:tc>
          <w:tcPr>
            <w:tcW w:w="2268" w:type="dxa"/>
            <w:gridSpan w:val="2"/>
            <w:tcBorders>
              <w:top w:val="single" w:sz="4" w:space="0" w:color="000000"/>
              <w:left w:val="single" w:sz="4" w:space="0" w:color="000000"/>
              <w:bottom w:val="single" w:sz="4" w:space="0" w:color="000000"/>
              <w:right w:val="single" w:sz="4" w:space="0" w:color="000000"/>
            </w:tcBorders>
          </w:tcPr>
          <w:p w14:paraId="61357883" w14:textId="77777777" w:rsidR="00FE291A" w:rsidRDefault="00C8738F">
            <w:pPr>
              <w:pStyle w:val="TableParagraph"/>
              <w:keepNext/>
              <w:widowControl/>
              <w:kinsoku w:val="0"/>
              <w:overflowPunct w:val="0"/>
              <w:jc w:val="center"/>
              <w:rPr>
                <w:b/>
                <w:bCs/>
                <w:sz w:val="22"/>
                <w:szCs w:val="22"/>
                <w:lang w:val="de-DE"/>
              </w:rPr>
            </w:pPr>
            <w:r>
              <w:rPr>
                <w:b/>
                <w:bCs/>
                <w:sz w:val="22"/>
                <w:szCs w:val="22"/>
                <w:lang w:val="de-DE"/>
              </w:rPr>
              <w:t xml:space="preserve">Adalimumab </w:t>
            </w:r>
          </w:p>
          <w:p w14:paraId="5B5D14A0" w14:textId="77777777" w:rsidR="00FE291A" w:rsidRDefault="00C8738F">
            <w:pPr>
              <w:pStyle w:val="TableParagraph"/>
              <w:keepNext/>
              <w:widowControl/>
              <w:kinsoku w:val="0"/>
              <w:overflowPunct w:val="0"/>
              <w:jc w:val="center"/>
              <w:rPr>
                <w:sz w:val="22"/>
                <w:szCs w:val="22"/>
                <w:lang w:val="de-DE"/>
              </w:rPr>
            </w:pPr>
            <w:r>
              <w:rPr>
                <w:b/>
                <w:bCs/>
                <w:sz w:val="22"/>
                <w:szCs w:val="22"/>
                <w:lang w:val="de-DE"/>
              </w:rPr>
              <w:t>40 mg jede zweite Woche</w:t>
            </w:r>
          </w:p>
          <w:p w14:paraId="1CED3291" w14:textId="77777777" w:rsidR="00FE291A" w:rsidRDefault="00C8738F">
            <w:pPr>
              <w:pStyle w:val="TableParagraph"/>
              <w:keepNext/>
              <w:widowControl/>
              <w:kinsoku w:val="0"/>
              <w:overflowPunct w:val="0"/>
              <w:jc w:val="center"/>
              <w:rPr>
                <w:b/>
                <w:bCs/>
                <w:sz w:val="22"/>
                <w:szCs w:val="22"/>
                <w:lang w:val="de-DE"/>
              </w:rPr>
            </w:pPr>
            <w:r>
              <w:rPr>
                <w:b/>
                <w:bCs/>
                <w:sz w:val="22"/>
                <w:szCs w:val="22"/>
                <w:lang w:val="de-DE"/>
              </w:rPr>
              <w:t>N = 108</w:t>
            </w:r>
          </w:p>
          <w:p w14:paraId="52B9A27E" w14:textId="77777777" w:rsidR="00FE291A" w:rsidRDefault="00C8738F">
            <w:pPr>
              <w:pStyle w:val="TableParagraph"/>
              <w:keepNext/>
              <w:widowControl/>
              <w:kinsoku w:val="0"/>
              <w:overflowPunct w:val="0"/>
              <w:jc w:val="center"/>
              <w:rPr>
                <w:sz w:val="22"/>
                <w:lang w:val="de-DE"/>
              </w:rPr>
            </w:pPr>
            <w:r>
              <w:rPr>
                <w:b/>
                <w:bCs/>
                <w:sz w:val="22"/>
                <w:szCs w:val="22"/>
                <w:lang w:val="de-DE"/>
              </w:rPr>
              <w:t>n (%)</w:t>
            </w:r>
          </w:p>
        </w:tc>
      </w:tr>
      <w:tr w:rsidR="00FE291A" w14:paraId="0508093E" w14:textId="77777777">
        <w:trPr>
          <w:trHeight w:hRule="exact" w:val="278"/>
        </w:trPr>
        <w:tc>
          <w:tcPr>
            <w:tcW w:w="3341" w:type="dxa"/>
            <w:tcBorders>
              <w:top w:val="single" w:sz="4" w:space="0" w:color="000000"/>
              <w:left w:val="single" w:sz="4" w:space="0" w:color="000000"/>
              <w:bottom w:val="single" w:sz="4" w:space="0" w:color="000000"/>
              <w:right w:val="single" w:sz="4" w:space="0" w:color="000000"/>
            </w:tcBorders>
          </w:tcPr>
          <w:p w14:paraId="08EFE369" w14:textId="77777777" w:rsidR="00FE291A" w:rsidRDefault="00C8738F">
            <w:pPr>
              <w:pStyle w:val="TableParagraph"/>
              <w:keepNext/>
              <w:widowControl/>
              <w:kinsoku w:val="0"/>
              <w:overflowPunct w:val="0"/>
              <w:ind w:firstLine="142"/>
              <w:rPr>
                <w:sz w:val="22"/>
                <w:lang w:val="de-DE"/>
              </w:rPr>
            </w:pPr>
            <w:r>
              <w:rPr>
                <w:b/>
                <w:sz w:val="22"/>
                <w:szCs w:val="22"/>
                <w:lang w:val="de-DE"/>
              </w:rPr>
              <w:t xml:space="preserve">≥ </w:t>
            </w:r>
            <w:r>
              <w:rPr>
                <w:b/>
                <w:bCs/>
                <w:sz w:val="22"/>
                <w:szCs w:val="22"/>
                <w:lang w:val="de-DE"/>
              </w:rPr>
              <w:t>PASI-75</w:t>
            </w:r>
          </w:p>
        </w:tc>
        <w:tc>
          <w:tcPr>
            <w:tcW w:w="1620" w:type="dxa"/>
            <w:tcBorders>
              <w:top w:val="single" w:sz="4" w:space="0" w:color="000000"/>
              <w:left w:val="single" w:sz="4" w:space="0" w:color="000000"/>
              <w:bottom w:val="single" w:sz="4" w:space="0" w:color="000000"/>
              <w:right w:val="single" w:sz="4" w:space="0" w:color="000000"/>
            </w:tcBorders>
          </w:tcPr>
          <w:p w14:paraId="75F3E857" w14:textId="77777777" w:rsidR="00FE291A" w:rsidRDefault="00C8738F">
            <w:pPr>
              <w:pStyle w:val="TableParagraph"/>
              <w:keepNext/>
              <w:widowControl/>
              <w:kinsoku w:val="0"/>
              <w:overflowPunct w:val="0"/>
              <w:jc w:val="center"/>
              <w:rPr>
                <w:sz w:val="22"/>
                <w:lang w:val="de-DE"/>
              </w:rPr>
            </w:pPr>
            <w:r>
              <w:rPr>
                <w:sz w:val="22"/>
                <w:szCs w:val="22"/>
                <w:lang w:val="de-DE"/>
              </w:rPr>
              <w:t>10 (18,9)</w:t>
            </w:r>
          </w:p>
        </w:tc>
        <w:tc>
          <w:tcPr>
            <w:tcW w:w="1701" w:type="dxa"/>
            <w:tcBorders>
              <w:top w:val="single" w:sz="4" w:space="0" w:color="000000"/>
              <w:left w:val="single" w:sz="4" w:space="0" w:color="000000"/>
              <w:bottom w:val="single" w:sz="4" w:space="0" w:color="000000"/>
              <w:right w:val="single" w:sz="4" w:space="0" w:color="000000"/>
            </w:tcBorders>
          </w:tcPr>
          <w:p w14:paraId="29255076" w14:textId="77777777" w:rsidR="00FE291A" w:rsidRDefault="00C8738F">
            <w:pPr>
              <w:pStyle w:val="TableParagraph"/>
              <w:keepNext/>
              <w:widowControl/>
              <w:kinsoku w:val="0"/>
              <w:overflowPunct w:val="0"/>
              <w:jc w:val="center"/>
              <w:rPr>
                <w:sz w:val="22"/>
                <w:lang w:val="de-DE"/>
              </w:rPr>
            </w:pPr>
            <w:r>
              <w:rPr>
                <w:sz w:val="22"/>
                <w:szCs w:val="22"/>
                <w:lang w:val="de-DE"/>
              </w:rPr>
              <w:t>39 (35,5)</w:t>
            </w:r>
          </w:p>
        </w:tc>
        <w:tc>
          <w:tcPr>
            <w:tcW w:w="2268" w:type="dxa"/>
            <w:gridSpan w:val="2"/>
            <w:tcBorders>
              <w:top w:val="single" w:sz="4" w:space="0" w:color="000000"/>
              <w:left w:val="single" w:sz="4" w:space="0" w:color="000000"/>
              <w:bottom w:val="single" w:sz="4" w:space="0" w:color="000000"/>
              <w:right w:val="single" w:sz="4" w:space="0" w:color="000000"/>
            </w:tcBorders>
          </w:tcPr>
          <w:p w14:paraId="178C8647" w14:textId="77777777" w:rsidR="00FE291A" w:rsidRDefault="00C8738F">
            <w:pPr>
              <w:pStyle w:val="TableParagraph"/>
              <w:keepNext/>
              <w:widowControl/>
              <w:kinsoku w:val="0"/>
              <w:overflowPunct w:val="0"/>
              <w:jc w:val="center"/>
              <w:rPr>
                <w:sz w:val="22"/>
                <w:lang w:val="de-DE"/>
              </w:rPr>
            </w:pPr>
            <w:r>
              <w:rPr>
                <w:sz w:val="22"/>
                <w:szCs w:val="22"/>
                <w:lang w:val="de-DE"/>
              </w:rPr>
              <w:t xml:space="preserve">86 (79,6) </w:t>
            </w:r>
            <w:r>
              <w:rPr>
                <w:sz w:val="22"/>
                <w:szCs w:val="22"/>
                <w:vertAlign w:val="superscript"/>
                <w:lang w:val="de-DE"/>
              </w:rPr>
              <w:t>a, b</w:t>
            </w:r>
          </w:p>
        </w:tc>
      </w:tr>
      <w:tr w:rsidR="00FE291A" w14:paraId="00B95BEE" w14:textId="77777777">
        <w:trPr>
          <w:trHeight w:hRule="exact" w:val="269"/>
        </w:trPr>
        <w:tc>
          <w:tcPr>
            <w:tcW w:w="3341" w:type="dxa"/>
            <w:tcBorders>
              <w:top w:val="single" w:sz="4" w:space="0" w:color="000000"/>
              <w:left w:val="single" w:sz="4" w:space="0" w:color="000000"/>
              <w:bottom w:val="single" w:sz="4" w:space="0" w:color="000000"/>
              <w:right w:val="single" w:sz="4" w:space="0" w:color="000000"/>
            </w:tcBorders>
          </w:tcPr>
          <w:p w14:paraId="205752E3" w14:textId="77777777" w:rsidR="00FE291A" w:rsidRDefault="00C8738F">
            <w:pPr>
              <w:pStyle w:val="TableParagraph"/>
              <w:keepNext/>
              <w:widowControl/>
              <w:kinsoku w:val="0"/>
              <w:overflowPunct w:val="0"/>
              <w:ind w:firstLine="142"/>
              <w:rPr>
                <w:sz w:val="22"/>
                <w:lang w:val="de-DE"/>
              </w:rPr>
            </w:pPr>
            <w:r>
              <w:rPr>
                <w:b/>
                <w:bCs/>
                <w:sz w:val="22"/>
                <w:szCs w:val="22"/>
                <w:lang w:val="de-DE"/>
              </w:rPr>
              <w:t>PASI-100</w:t>
            </w:r>
          </w:p>
        </w:tc>
        <w:tc>
          <w:tcPr>
            <w:tcW w:w="1620" w:type="dxa"/>
            <w:tcBorders>
              <w:top w:val="single" w:sz="4" w:space="0" w:color="000000"/>
              <w:left w:val="single" w:sz="4" w:space="0" w:color="000000"/>
              <w:bottom w:val="single" w:sz="4" w:space="0" w:color="000000"/>
              <w:right w:val="single" w:sz="4" w:space="0" w:color="000000"/>
            </w:tcBorders>
          </w:tcPr>
          <w:p w14:paraId="51138D41" w14:textId="77777777" w:rsidR="00FE291A" w:rsidRDefault="00C8738F">
            <w:pPr>
              <w:pStyle w:val="TableParagraph"/>
              <w:keepNext/>
              <w:widowControl/>
              <w:kinsoku w:val="0"/>
              <w:overflowPunct w:val="0"/>
              <w:jc w:val="center"/>
              <w:rPr>
                <w:sz w:val="22"/>
                <w:lang w:val="de-DE"/>
              </w:rPr>
            </w:pPr>
            <w:r>
              <w:rPr>
                <w:sz w:val="22"/>
                <w:szCs w:val="22"/>
                <w:lang w:val="de-DE"/>
              </w:rPr>
              <w:t>1 (1,9)</w:t>
            </w:r>
          </w:p>
        </w:tc>
        <w:tc>
          <w:tcPr>
            <w:tcW w:w="1701" w:type="dxa"/>
            <w:tcBorders>
              <w:top w:val="single" w:sz="4" w:space="0" w:color="000000"/>
              <w:left w:val="single" w:sz="4" w:space="0" w:color="000000"/>
              <w:bottom w:val="single" w:sz="4" w:space="0" w:color="000000"/>
              <w:right w:val="single" w:sz="4" w:space="0" w:color="000000"/>
            </w:tcBorders>
          </w:tcPr>
          <w:p w14:paraId="761ED8B1" w14:textId="77777777" w:rsidR="00FE291A" w:rsidRDefault="00C8738F">
            <w:pPr>
              <w:pStyle w:val="TableParagraph"/>
              <w:keepNext/>
              <w:widowControl/>
              <w:kinsoku w:val="0"/>
              <w:overflowPunct w:val="0"/>
              <w:jc w:val="center"/>
              <w:rPr>
                <w:sz w:val="22"/>
                <w:lang w:val="de-DE"/>
              </w:rPr>
            </w:pPr>
            <w:r>
              <w:rPr>
                <w:sz w:val="22"/>
                <w:szCs w:val="22"/>
                <w:lang w:val="de-DE"/>
              </w:rPr>
              <w:t>8 (7,3)</w:t>
            </w:r>
          </w:p>
        </w:tc>
        <w:tc>
          <w:tcPr>
            <w:tcW w:w="2268" w:type="dxa"/>
            <w:gridSpan w:val="2"/>
            <w:tcBorders>
              <w:top w:val="single" w:sz="4" w:space="0" w:color="000000"/>
              <w:left w:val="single" w:sz="4" w:space="0" w:color="000000"/>
              <w:bottom w:val="single" w:sz="4" w:space="0" w:color="000000"/>
              <w:right w:val="single" w:sz="4" w:space="0" w:color="000000"/>
            </w:tcBorders>
          </w:tcPr>
          <w:p w14:paraId="186BF597" w14:textId="77777777" w:rsidR="00FE291A" w:rsidRDefault="00C8738F">
            <w:pPr>
              <w:pStyle w:val="TableParagraph"/>
              <w:keepNext/>
              <w:widowControl/>
              <w:kinsoku w:val="0"/>
              <w:overflowPunct w:val="0"/>
              <w:jc w:val="center"/>
              <w:rPr>
                <w:sz w:val="22"/>
                <w:lang w:val="de-DE"/>
              </w:rPr>
            </w:pPr>
            <w:r>
              <w:rPr>
                <w:sz w:val="22"/>
                <w:szCs w:val="22"/>
                <w:lang w:val="de-DE"/>
              </w:rPr>
              <w:t xml:space="preserve">18 (16,7) </w:t>
            </w:r>
            <w:r>
              <w:rPr>
                <w:sz w:val="22"/>
                <w:szCs w:val="22"/>
                <w:vertAlign w:val="superscript"/>
                <w:lang w:val="de-DE"/>
              </w:rPr>
              <w:t>c, d</w:t>
            </w:r>
          </w:p>
        </w:tc>
      </w:tr>
      <w:tr w:rsidR="00FE291A" w14:paraId="039F899C" w14:textId="77777777">
        <w:trPr>
          <w:trHeight w:hRule="exact" w:val="269"/>
        </w:trPr>
        <w:tc>
          <w:tcPr>
            <w:tcW w:w="3341" w:type="dxa"/>
            <w:tcBorders>
              <w:top w:val="single" w:sz="4" w:space="0" w:color="000000"/>
              <w:left w:val="single" w:sz="4" w:space="0" w:color="000000"/>
              <w:bottom w:val="single" w:sz="4" w:space="0" w:color="auto"/>
              <w:right w:val="single" w:sz="4" w:space="0" w:color="000000"/>
            </w:tcBorders>
          </w:tcPr>
          <w:p w14:paraId="6208642B" w14:textId="77777777" w:rsidR="00FE291A" w:rsidRDefault="00C8738F">
            <w:pPr>
              <w:pStyle w:val="TableParagraph"/>
              <w:keepNext/>
              <w:widowControl/>
              <w:kinsoku w:val="0"/>
              <w:overflowPunct w:val="0"/>
              <w:ind w:firstLine="142"/>
              <w:rPr>
                <w:sz w:val="22"/>
                <w:lang w:val="de-DE"/>
              </w:rPr>
            </w:pPr>
            <w:r>
              <w:rPr>
                <w:b/>
                <w:bCs/>
                <w:sz w:val="22"/>
                <w:szCs w:val="22"/>
                <w:lang w:val="de-DE"/>
              </w:rPr>
              <w:t>PGA: erscheinungsfrei/minimal</w:t>
            </w:r>
          </w:p>
        </w:tc>
        <w:tc>
          <w:tcPr>
            <w:tcW w:w="1620" w:type="dxa"/>
            <w:tcBorders>
              <w:top w:val="single" w:sz="4" w:space="0" w:color="000000"/>
              <w:left w:val="single" w:sz="4" w:space="0" w:color="000000"/>
              <w:bottom w:val="single" w:sz="4" w:space="0" w:color="auto"/>
              <w:right w:val="single" w:sz="4" w:space="0" w:color="000000"/>
            </w:tcBorders>
          </w:tcPr>
          <w:p w14:paraId="76F7B3FD" w14:textId="77777777" w:rsidR="00FE291A" w:rsidRDefault="00C8738F">
            <w:pPr>
              <w:pStyle w:val="TableParagraph"/>
              <w:keepNext/>
              <w:widowControl/>
              <w:kinsoku w:val="0"/>
              <w:overflowPunct w:val="0"/>
              <w:jc w:val="center"/>
              <w:rPr>
                <w:sz w:val="22"/>
                <w:lang w:val="de-DE"/>
              </w:rPr>
            </w:pPr>
            <w:r>
              <w:rPr>
                <w:sz w:val="22"/>
                <w:szCs w:val="22"/>
                <w:lang w:val="de-DE"/>
              </w:rPr>
              <w:t>6 (11,3)</w:t>
            </w:r>
          </w:p>
        </w:tc>
        <w:tc>
          <w:tcPr>
            <w:tcW w:w="1701" w:type="dxa"/>
            <w:tcBorders>
              <w:top w:val="single" w:sz="4" w:space="0" w:color="000000"/>
              <w:left w:val="single" w:sz="4" w:space="0" w:color="000000"/>
              <w:bottom w:val="single" w:sz="4" w:space="0" w:color="auto"/>
              <w:right w:val="single" w:sz="4" w:space="0" w:color="000000"/>
            </w:tcBorders>
          </w:tcPr>
          <w:p w14:paraId="17C0EB92" w14:textId="77777777" w:rsidR="00FE291A" w:rsidRDefault="00C8738F">
            <w:pPr>
              <w:pStyle w:val="TableParagraph"/>
              <w:keepNext/>
              <w:widowControl/>
              <w:kinsoku w:val="0"/>
              <w:overflowPunct w:val="0"/>
              <w:jc w:val="center"/>
              <w:rPr>
                <w:sz w:val="22"/>
                <w:lang w:val="de-DE"/>
              </w:rPr>
            </w:pPr>
            <w:r>
              <w:rPr>
                <w:sz w:val="22"/>
                <w:szCs w:val="22"/>
                <w:lang w:val="de-DE"/>
              </w:rPr>
              <w:t>33 (30,0)</w:t>
            </w:r>
          </w:p>
        </w:tc>
        <w:tc>
          <w:tcPr>
            <w:tcW w:w="2268" w:type="dxa"/>
            <w:gridSpan w:val="2"/>
            <w:tcBorders>
              <w:top w:val="single" w:sz="4" w:space="0" w:color="000000"/>
              <w:left w:val="single" w:sz="4" w:space="0" w:color="000000"/>
              <w:bottom w:val="single" w:sz="4" w:space="0" w:color="auto"/>
              <w:right w:val="single" w:sz="4" w:space="0" w:color="000000"/>
            </w:tcBorders>
          </w:tcPr>
          <w:p w14:paraId="5F1A00DA" w14:textId="77777777" w:rsidR="00FE291A" w:rsidRDefault="00C8738F">
            <w:pPr>
              <w:pStyle w:val="TableParagraph"/>
              <w:keepNext/>
              <w:widowControl/>
              <w:kinsoku w:val="0"/>
              <w:overflowPunct w:val="0"/>
              <w:jc w:val="center"/>
              <w:rPr>
                <w:sz w:val="22"/>
                <w:lang w:val="de-DE"/>
              </w:rPr>
            </w:pPr>
            <w:r>
              <w:rPr>
                <w:sz w:val="22"/>
                <w:szCs w:val="22"/>
                <w:lang w:val="de-DE"/>
              </w:rPr>
              <w:t xml:space="preserve">79 (73,1) </w:t>
            </w:r>
            <w:r>
              <w:rPr>
                <w:sz w:val="22"/>
                <w:szCs w:val="22"/>
                <w:vertAlign w:val="superscript"/>
                <w:lang w:val="de-DE"/>
              </w:rPr>
              <w:t>a, b</w:t>
            </w:r>
          </w:p>
        </w:tc>
      </w:tr>
      <w:tr w:rsidR="00FE291A" w14:paraId="5338ABA1" w14:textId="77777777">
        <w:trPr>
          <w:gridAfter w:val="1"/>
          <w:wAfter w:w="465" w:type="dxa"/>
          <w:trHeight w:hRule="exact" w:val="1046"/>
        </w:trPr>
        <w:tc>
          <w:tcPr>
            <w:tcW w:w="8465" w:type="dxa"/>
            <w:gridSpan w:val="4"/>
            <w:tcBorders>
              <w:top w:val="single" w:sz="4" w:space="0" w:color="auto"/>
            </w:tcBorders>
          </w:tcPr>
          <w:p w14:paraId="1A6ED40E" w14:textId="77777777" w:rsidR="00FE291A" w:rsidRDefault="00C8738F">
            <w:pPr>
              <w:pStyle w:val="TableParagraph"/>
              <w:keepNext/>
              <w:widowControl/>
              <w:kinsoku w:val="0"/>
              <w:overflowPunct w:val="0"/>
              <w:rPr>
                <w:sz w:val="20"/>
                <w:szCs w:val="20"/>
              </w:rPr>
            </w:pPr>
            <w:r>
              <w:rPr>
                <w:sz w:val="20"/>
                <w:szCs w:val="20"/>
                <w:vertAlign w:val="superscript"/>
              </w:rPr>
              <w:t>a</w:t>
            </w:r>
            <w:r>
              <w:rPr>
                <w:sz w:val="20"/>
                <w:szCs w:val="20"/>
              </w:rPr>
              <w:t xml:space="preserve"> p &lt; 0,001 Adalimumab </w:t>
            </w:r>
            <w:r>
              <w:rPr>
                <w:i/>
                <w:sz w:val="20"/>
                <w:szCs w:val="20"/>
              </w:rPr>
              <w:t>versus</w:t>
            </w:r>
            <w:r>
              <w:rPr>
                <w:sz w:val="20"/>
                <w:szCs w:val="20"/>
              </w:rPr>
              <w:t xml:space="preserve"> Placebo</w:t>
            </w:r>
          </w:p>
          <w:p w14:paraId="28C9E146" w14:textId="77777777" w:rsidR="00FE291A" w:rsidRDefault="00C8738F">
            <w:pPr>
              <w:pStyle w:val="TableParagraph"/>
              <w:keepNext/>
              <w:widowControl/>
              <w:kinsoku w:val="0"/>
              <w:overflowPunct w:val="0"/>
              <w:rPr>
                <w:sz w:val="20"/>
                <w:szCs w:val="20"/>
              </w:rPr>
            </w:pPr>
            <w:r>
              <w:rPr>
                <w:sz w:val="20"/>
                <w:szCs w:val="20"/>
                <w:vertAlign w:val="superscript"/>
              </w:rPr>
              <w:t>b</w:t>
            </w:r>
            <w:r>
              <w:rPr>
                <w:sz w:val="20"/>
                <w:szCs w:val="20"/>
              </w:rPr>
              <w:t xml:space="preserve"> p &lt; 0,001 Adalimumab </w:t>
            </w:r>
            <w:r>
              <w:rPr>
                <w:i/>
                <w:sz w:val="20"/>
                <w:szCs w:val="20"/>
              </w:rPr>
              <w:t>versus</w:t>
            </w:r>
            <w:r>
              <w:rPr>
                <w:sz w:val="20"/>
                <w:szCs w:val="20"/>
              </w:rPr>
              <w:t xml:space="preserve"> Methotrexat</w:t>
            </w:r>
          </w:p>
          <w:p w14:paraId="63D3F925" w14:textId="77777777" w:rsidR="00FE291A" w:rsidRDefault="00C8738F">
            <w:pPr>
              <w:pStyle w:val="TableParagraph"/>
              <w:keepNext/>
              <w:widowControl/>
              <w:kinsoku w:val="0"/>
              <w:overflowPunct w:val="0"/>
              <w:rPr>
                <w:sz w:val="20"/>
                <w:szCs w:val="20"/>
              </w:rPr>
            </w:pPr>
            <w:r>
              <w:rPr>
                <w:sz w:val="20"/>
                <w:szCs w:val="20"/>
                <w:vertAlign w:val="superscript"/>
              </w:rPr>
              <w:t>c</w:t>
            </w:r>
            <w:r>
              <w:rPr>
                <w:sz w:val="20"/>
                <w:szCs w:val="20"/>
              </w:rPr>
              <w:t xml:space="preserve"> p &lt; 0,01 Adalimumab </w:t>
            </w:r>
            <w:r>
              <w:rPr>
                <w:i/>
                <w:sz w:val="20"/>
                <w:szCs w:val="20"/>
              </w:rPr>
              <w:t>versus</w:t>
            </w:r>
            <w:r>
              <w:rPr>
                <w:sz w:val="20"/>
                <w:szCs w:val="20"/>
              </w:rPr>
              <w:t xml:space="preserve"> Placebo</w:t>
            </w:r>
          </w:p>
          <w:p w14:paraId="5609DB8E" w14:textId="77777777" w:rsidR="00FE291A" w:rsidRDefault="00C8738F">
            <w:pPr>
              <w:pStyle w:val="TableParagraph"/>
              <w:keepNext/>
              <w:widowControl/>
              <w:kinsoku w:val="0"/>
              <w:overflowPunct w:val="0"/>
              <w:rPr>
                <w:sz w:val="22"/>
              </w:rPr>
            </w:pPr>
            <w:r>
              <w:rPr>
                <w:sz w:val="20"/>
                <w:szCs w:val="20"/>
                <w:vertAlign w:val="superscript"/>
              </w:rPr>
              <w:t>d</w:t>
            </w:r>
            <w:r>
              <w:rPr>
                <w:sz w:val="20"/>
                <w:szCs w:val="20"/>
              </w:rPr>
              <w:t xml:space="preserve"> p &lt; 0,05 Adalimumab </w:t>
            </w:r>
            <w:r>
              <w:rPr>
                <w:i/>
                <w:sz w:val="20"/>
                <w:szCs w:val="20"/>
              </w:rPr>
              <w:t>versus</w:t>
            </w:r>
            <w:r>
              <w:rPr>
                <w:sz w:val="20"/>
                <w:szCs w:val="20"/>
              </w:rPr>
              <w:t xml:space="preserve"> Methotrexat</w:t>
            </w:r>
          </w:p>
        </w:tc>
      </w:tr>
    </w:tbl>
    <w:p w14:paraId="401D1F8C" w14:textId="77777777" w:rsidR="00FE291A" w:rsidRDefault="00FE291A">
      <w:pPr>
        <w:widowControl/>
        <w:kinsoku w:val="0"/>
        <w:overflowPunct w:val="0"/>
        <w:rPr>
          <w:sz w:val="22"/>
          <w:szCs w:val="22"/>
        </w:rPr>
      </w:pPr>
    </w:p>
    <w:p w14:paraId="38501274" w14:textId="77777777" w:rsidR="00FE291A" w:rsidRDefault="00C8738F">
      <w:pPr>
        <w:pStyle w:val="BodyText"/>
        <w:widowControl/>
        <w:kinsoku w:val="0"/>
        <w:overflowPunct w:val="0"/>
        <w:ind w:left="0"/>
        <w:rPr>
          <w:lang w:val="de-DE"/>
        </w:rPr>
      </w:pPr>
      <w:r>
        <w:rPr>
          <w:lang w:val="de-DE"/>
        </w:rPr>
        <w:t>In der Psoriasisstudie I erfuhren 28 % der Patienten, die ein PASI-75-Ansprechen gezeigt hatten und in Woche 33 bei der erneuten Randomisierung der Placebogruppe zugeteilt worden waren, einen „Verlust des adäquaten Ansprechens” (PASI-Wert nach Woche 33 bzw. in oder vor Woche 52, der im Vergleich zum Studienbeginn zu einem geringeren Ansprechen als PASI-50 führte bei einer gleichzeitigen Zunahme des PASI-Wertes um mindestens 6 Punkte im Vergleich zu Woche 33). Im Vergleich dazu erfuhren 5 % der Patienten, die weiterhin Adalimumab erhielten (p &lt; 0,001), einen „Verlust des adäquaten Ansprechens”. Von den Patienten, welche nach der erneuten Randomisierung auf Placebo einen Verlust des adäquaten Ansprechens zeigten und anschließend in die offene Fortsetzungsphase eingeschlossen wurden, erzielten 38 % (25/66) bzw. 55 % (36/66) nach 12 bzw. 24 Wochen aktiver Therapie wieder ein PASI-75-Ansprechen.</w:t>
      </w:r>
    </w:p>
    <w:p w14:paraId="72E0C8C0" w14:textId="77777777" w:rsidR="00FE291A" w:rsidRDefault="00FE291A">
      <w:pPr>
        <w:widowControl/>
        <w:kinsoku w:val="0"/>
        <w:overflowPunct w:val="0"/>
        <w:rPr>
          <w:sz w:val="22"/>
          <w:szCs w:val="22"/>
          <w:lang w:val="de-DE"/>
        </w:rPr>
      </w:pPr>
    </w:p>
    <w:p w14:paraId="34825B12" w14:textId="77777777" w:rsidR="00FE291A" w:rsidRDefault="00C8738F">
      <w:pPr>
        <w:pStyle w:val="BodyText"/>
        <w:widowControl/>
        <w:kinsoku w:val="0"/>
        <w:overflowPunct w:val="0"/>
        <w:ind w:left="0"/>
        <w:rPr>
          <w:lang w:val="de-DE"/>
        </w:rPr>
      </w:pPr>
      <w:r>
        <w:rPr>
          <w:lang w:val="de-DE"/>
        </w:rPr>
        <w:t xml:space="preserve">Insgesamt 233 Patienten, die ein PASI-75-Ansprechen in Woche 16 und Woche 33 gezeigt hatten, erhielten in der Psoriasisstudie I für 52 Wochen eine Adalimumab-Dauertherapie und wurden mit Adalimumab in der offenen Fortsetzungsstudie weiterbehandelt. Das PASI-75-Ansprechen bzw. das PGA-Ansprechen, definiert als PGA „erscheinungsfrei“ oder „minimal“, war bei diesen Patienten nach weiteren 108 offenen Behandlungswochen (insgesamt 160 Wochen) 74,7 % bzw. 59,0 %. In einer </w:t>
      </w:r>
      <w:r>
        <w:rPr>
          <w:i/>
          <w:iCs/>
          <w:lang w:val="de-DE"/>
        </w:rPr>
        <w:t>Non-Responder-Imputation</w:t>
      </w:r>
      <w:r>
        <w:rPr>
          <w:lang w:val="de-DE"/>
        </w:rPr>
        <w:t xml:space="preserve">(NRI)-Analyse, in der alle Patienten als </w:t>
      </w:r>
      <w:r>
        <w:rPr>
          <w:i/>
          <w:iCs/>
          <w:lang w:val="de-DE"/>
        </w:rPr>
        <w:t xml:space="preserve">Non-Responder </w:t>
      </w:r>
      <w:r>
        <w:rPr>
          <w:lang w:val="de-DE"/>
        </w:rPr>
        <w:t>betrachtet wurden, die aus der Studie aufgrund von Nebenwirkungen oder mangelnder Wirksamkeit ausschieden oder bei denen die Dosis erhöht wurde, betrug bei diesen Patienten das PASI-75-Ansprechen bzw. das PGA-Ansprechen, definiert als PGA „erscheinungsfrei“ oder „minimal“, nach weiteren 108 Wochen der offenen Fortsetzungsbehandlung (insgesamt 160 Wochen) 69,6 % bzw. 55,7 %.</w:t>
      </w:r>
    </w:p>
    <w:p w14:paraId="07EC9BFB" w14:textId="77777777" w:rsidR="00FE291A" w:rsidRDefault="00FE291A">
      <w:pPr>
        <w:widowControl/>
        <w:kinsoku w:val="0"/>
        <w:overflowPunct w:val="0"/>
        <w:rPr>
          <w:sz w:val="22"/>
          <w:szCs w:val="22"/>
          <w:lang w:val="de-DE"/>
        </w:rPr>
      </w:pPr>
    </w:p>
    <w:p w14:paraId="1B28A8E1" w14:textId="77777777" w:rsidR="00FE291A" w:rsidRDefault="00C8738F">
      <w:pPr>
        <w:pStyle w:val="BodyText"/>
        <w:widowControl/>
        <w:kinsoku w:val="0"/>
        <w:overflowPunct w:val="0"/>
        <w:ind w:left="0"/>
        <w:rPr>
          <w:lang w:val="de-DE"/>
        </w:rPr>
      </w:pPr>
      <w:r>
        <w:rPr>
          <w:lang w:val="de-DE"/>
        </w:rPr>
        <w:t xml:space="preserve">Insgesamt 347 Patienten, die dauerhaft ansprachen, nahmen an einer Analyse einer Behandlungsunterbrechung und -wiederaufnahme in einer offenen Fortsetzungsstudie teil. Während der Phase der Behandlungsunterbrechung kehrten die Psoriasissymptome im Verlauf der Zeit mit einer durchschnittlichen Rückfallzeit von etwa 5 Monaten zurück (Verminderung des PGA auf „mittelschwer“ oder schlechter). Keiner dieser Patienten erfuhr einen </w:t>
      </w:r>
      <w:r>
        <w:rPr>
          <w:i/>
          <w:iCs/>
          <w:lang w:val="de-DE"/>
        </w:rPr>
        <w:t>Rebound</w:t>
      </w:r>
      <w:r>
        <w:rPr>
          <w:lang w:val="de-DE"/>
        </w:rPr>
        <w:t>-Effekt während der Unterbrechungsphase. Insgesamt 76,5 % (218/285) der Patienten, die in die Phase eintraten, in der die Behandlung wiederaufgenommen wurde, hatten 16 Wochen nach Wiederaufnahme der Behandlung ein PGA-Ansprechen, definiert als PGA „erscheinungsfrei“ oder „minimal“, unabhängig davon, ob sie während des Absetzens einen Rückfall hatten (69,1 % [123/178] bzw. 88,8 % [95/107] für Patienten, die während der Phase der Behandlungsunterbrechung einen Rückfall erlitten bzw. keinen Rückfall hatten). Es wurde ein ähnliches Sicherheitsprofil in der Phase, in der die Behandlung wiederaufgenommen wurde, beobachtet wie vor der Behandlungsunterbrechung.</w:t>
      </w:r>
    </w:p>
    <w:p w14:paraId="01E3782A" w14:textId="77777777" w:rsidR="00FE291A" w:rsidRDefault="00FE291A">
      <w:pPr>
        <w:widowControl/>
        <w:kinsoku w:val="0"/>
        <w:overflowPunct w:val="0"/>
        <w:rPr>
          <w:sz w:val="22"/>
          <w:szCs w:val="22"/>
          <w:lang w:val="de-DE"/>
        </w:rPr>
      </w:pPr>
    </w:p>
    <w:p w14:paraId="0E858E1F" w14:textId="77777777" w:rsidR="00FE291A" w:rsidRDefault="00C8738F">
      <w:pPr>
        <w:pStyle w:val="BodyText"/>
        <w:widowControl/>
        <w:kinsoku w:val="0"/>
        <w:overflowPunct w:val="0"/>
        <w:ind w:left="0"/>
        <w:rPr>
          <w:lang w:val="de-DE"/>
        </w:rPr>
      </w:pPr>
      <w:r>
        <w:rPr>
          <w:lang w:val="de-DE"/>
        </w:rPr>
        <w:t>Signifikante Verbesserungen des DLQI (</w:t>
      </w:r>
      <w:r>
        <w:rPr>
          <w:i/>
          <w:lang w:val="de-DE"/>
        </w:rPr>
        <w:t>Dermatology Life Quality Index</w:t>
      </w:r>
      <w:r>
        <w:rPr>
          <w:lang w:val="de-DE"/>
        </w:rPr>
        <w:t>) gegenüber dem Ausgangswert im Vergleich zu Placebo (Studien I und II) und Methotrexat (Studie II) wurden in Woche 16 festgestellt. In Studie I verbesserten sich die Summenwerte der körperlichen und mentalen SF-36-Komponenten im Vergleich zu Placebo ebenfalls signifikant.</w:t>
      </w:r>
    </w:p>
    <w:p w14:paraId="34A9EAD8" w14:textId="77777777" w:rsidR="00FE291A" w:rsidRDefault="00FE291A">
      <w:pPr>
        <w:widowControl/>
        <w:kinsoku w:val="0"/>
        <w:overflowPunct w:val="0"/>
        <w:rPr>
          <w:sz w:val="22"/>
          <w:szCs w:val="22"/>
          <w:lang w:val="de-DE"/>
        </w:rPr>
      </w:pPr>
    </w:p>
    <w:p w14:paraId="75A3380F" w14:textId="77777777" w:rsidR="00FE291A" w:rsidRDefault="00C8738F">
      <w:pPr>
        <w:pStyle w:val="BodyText"/>
        <w:widowControl/>
        <w:kinsoku w:val="0"/>
        <w:overflowPunct w:val="0"/>
        <w:ind w:left="0"/>
        <w:rPr>
          <w:lang w:val="de-DE"/>
        </w:rPr>
      </w:pPr>
      <w:r>
        <w:rPr>
          <w:lang w:val="de-DE"/>
        </w:rPr>
        <w:t>In einer offenen Fortsetzungsstudie mit Patienten, bei denen wegen eines PASI-Ansprechens von unter 50 % die Dosis von 40 mg jede zweite Woche auf 40 mg wöchentlich gesteigert wurde, erzielten 26,4 % (92/349) bzw. 37,8 % (132/349) der Patienten ein PASI-75-Ansprechen in Woche 12 bzw. 24.</w:t>
      </w:r>
    </w:p>
    <w:p w14:paraId="11AA7E41" w14:textId="77777777" w:rsidR="00FE291A" w:rsidRDefault="00FE291A">
      <w:pPr>
        <w:widowControl/>
        <w:kinsoku w:val="0"/>
        <w:overflowPunct w:val="0"/>
        <w:rPr>
          <w:sz w:val="22"/>
          <w:szCs w:val="22"/>
          <w:lang w:val="de-DE"/>
        </w:rPr>
      </w:pPr>
    </w:p>
    <w:p w14:paraId="54BA3F2E" w14:textId="77777777" w:rsidR="00FE291A" w:rsidRDefault="00C8738F">
      <w:pPr>
        <w:pStyle w:val="BodyText"/>
        <w:widowControl/>
        <w:kinsoku w:val="0"/>
        <w:overflowPunct w:val="0"/>
        <w:ind w:left="0"/>
        <w:rPr>
          <w:lang w:val="de-DE"/>
        </w:rPr>
      </w:pPr>
      <w:r>
        <w:rPr>
          <w:lang w:val="de-DE"/>
        </w:rPr>
        <w:t xml:space="preserve">Die Psoriasisstudie III (REACH) verglich die Wirksamkeit und Sicherheit von Adalimumab </w:t>
      </w:r>
      <w:r>
        <w:rPr>
          <w:i/>
          <w:iCs/>
          <w:lang w:val="de-DE"/>
        </w:rPr>
        <w:t xml:space="preserve">versus </w:t>
      </w:r>
      <w:r>
        <w:rPr>
          <w:lang w:val="de-DE"/>
        </w:rPr>
        <w:t xml:space="preserve">Placebo an 72 Patienten mit mittelschwerer bis schwerer chronischer Plaque-Psoriasis und Hand- und/oder Fußpsoriasis. Die Patienten erhielten 16 Wochen lang nach einer Anfangsdosis von 80 mg Adalimumab jede zweite Woche 40 mg (beginnend eine Woche nach der Anfangsdosis) oder Placebo. In Woche 16 erreichte ein statistisch signifikant größerer Anteil an Patienten, die Adalimumab erhielten, den PGA „erscheinungsfrei“ oder „fast erscheinungsfrei“ für die Hände und/oder Füße im Vergleich zu Patienten, die Placebo erhielten (30,6 % </w:t>
      </w:r>
      <w:r>
        <w:rPr>
          <w:i/>
          <w:iCs/>
          <w:lang w:val="de-DE"/>
        </w:rPr>
        <w:t xml:space="preserve">versus </w:t>
      </w:r>
      <w:r>
        <w:rPr>
          <w:lang w:val="de-DE"/>
        </w:rPr>
        <w:t>4,3 % [p = 0,014]).</w:t>
      </w:r>
    </w:p>
    <w:p w14:paraId="0816B110" w14:textId="77777777" w:rsidR="00FE291A" w:rsidRDefault="00FE291A">
      <w:pPr>
        <w:pStyle w:val="BodyText"/>
        <w:widowControl/>
        <w:kinsoku w:val="0"/>
        <w:overflowPunct w:val="0"/>
        <w:ind w:left="0"/>
        <w:rPr>
          <w:lang w:val="de-DE"/>
        </w:rPr>
      </w:pPr>
    </w:p>
    <w:p w14:paraId="6993751F" w14:textId="77777777" w:rsidR="00FE291A" w:rsidRDefault="00C8738F">
      <w:pPr>
        <w:pStyle w:val="BodyText"/>
        <w:widowControl/>
        <w:kinsoku w:val="0"/>
        <w:overflowPunct w:val="0"/>
        <w:ind w:left="0"/>
        <w:rPr>
          <w:lang w:val="de-DE"/>
        </w:rPr>
      </w:pPr>
      <w:r>
        <w:rPr>
          <w:lang w:val="de-DE"/>
        </w:rPr>
        <w:t xml:space="preserve">Die Psoriasisstudie IV verglich die Wirksamkeit und Sicherheit von Adalimumab versus Placebo an 217 Erwachsenen mit mittelschwerer bis schwerer Nagel-Psoriasis. Nach einer Anfangsdosis von 80 mg Adalimumab erhielten die Patienten 26 Wochen lang jede zweite Woche 40 mg Adalimumab (beginnend eine Woche nach der Anfangsdosis) oder Placebo. Im Anschluss erhielten sie über 26 weitere Wochen eine offene Adalimumab-Behandlung. Die Nagel-Psoriasis wurde anhand des </w:t>
      </w:r>
      <w:r>
        <w:rPr>
          <w:i/>
          <w:lang w:val="de-DE"/>
        </w:rPr>
        <w:t>Modified Nail Psoriasis Severity Index</w:t>
      </w:r>
      <w:r>
        <w:rPr>
          <w:lang w:val="de-DE"/>
        </w:rPr>
        <w:t xml:space="preserve"> (mNAPSI), des </w:t>
      </w:r>
      <w:r>
        <w:rPr>
          <w:i/>
          <w:lang w:val="de-DE"/>
        </w:rPr>
        <w:t>Physician’s Global Assessment of Fingernail Psoriasis</w:t>
      </w:r>
      <w:r>
        <w:rPr>
          <w:lang w:val="de-DE"/>
        </w:rPr>
        <w:t xml:space="preserve"> (PGA-F) und des </w:t>
      </w:r>
      <w:r>
        <w:rPr>
          <w:i/>
          <w:lang w:val="de-DE"/>
        </w:rPr>
        <w:t>Nail Psoriasis Severity Index</w:t>
      </w:r>
      <w:r>
        <w:rPr>
          <w:lang w:val="de-DE"/>
        </w:rPr>
        <w:t xml:space="preserve"> (NAPSI) beurteilt (siehe Tabelle 18). Adalimumab zeigte einen therapeutischen Nutzen bei Nagel-Psoriasis-Patienten mit unterschiedlichem Ausmaß der Hautbeteiligung (KOF ≥ 10 % (60 % der Patienten) sowie KOF &lt; 10 % und ≥ 5 % (40 % der Patienten)).</w:t>
      </w:r>
    </w:p>
    <w:p w14:paraId="59011CF2" w14:textId="77777777" w:rsidR="00FE291A" w:rsidRDefault="00FE291A">
      <w:pPr>
        <w:widowControl/>
        <w:kinsoku w:val="0"/>
        <w:overflowPunct w:val="0"/>
        <w:rPr>
          <w:sz w:val="22"/>
          <w:szCs w:val="22"/>
          <w:lang w:val="de-DE"/>
        </w:rPr>
      </w:pPr>
    </w:p>
    <w:p w14:paraId="1AC06554" w14:textId="77777777" w:rsidR="00FE291A" w:rsidRDefault="00C8738F">
      <w:pPr>
        <w:keepNext/>
        <w:rPr>
          <w:b/>
          <w:sz w:val="22"/>
          <w:szCs w:val="22"/>
          <w:lang w:val="de-DE"/>
        </w:rPr>
      </w:pPr>
      <w:r>
        <w:rPr>
          <w:b/>
          <w:sz w:val="22"/>
          <w:szCs w:val="22"/>
          <w:lang w:val="de-DE"/>
        </w:rPr>
        <w:t>Tabelle 18: Ergebnisse zur Wirksamkeit in der Psoriasisstudie IV nach 16, 26 und 52 Wochen</w:t>
      </w:r>
    </w:p>
    <w:p w14:paraId="61FC1331" w14:textId="77777777" w:rsidR="00FE291A" w:rsidRDefault="00FE291A">
      <w:pPr>
        <w:keepNext/>
        <w:rPr>
          <w:sz w:val="22"/>
          <w:szCs w:val="22"/>
          <w:lang w:val="de-DE"/>
        </w:rPr>
      </w:pP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1080"/>
        <w:gridCol w:w="1555"/>
        <w:gridCol w:w="992"/>
        <w:gridCol w:w="1560"/>
        <w:gridCol w:w="1671"/>
      </w:tblGrid>
      <w:tr w:rsidR="00FE291A" w14:paraId="6ACDDEDD" w14:textId="77777777">
        <w:trPr>
          <w:cantSplit/>
          <w:tblHeader/>
        </w:trPr>
        <w:tc>
          <w:tcPr>
            <w:tcW w:w="2610" w:type="dxa"/>
            <w:vMerge w:val="restart"/>
          </w:tcPr>
          <w:p w14:paraId="1E792A2D" w14:textId="77777777" w:rsidR="00FE291A" w:rsidRDefault="00C8738F">
            <w:pPr>
              <w:pStyle w:val="gtctablespaceafter"/>
              <w:keepNext/>
              <w:spacing w:after="0"/>
              <w:rPr>
                <w:b/>
                <w:bCs/>
                <w:sz w:val="22"/>
                <w:szCs w:val="22"/>
              </w:rPr>
            </w:pPr>
            <w:r>
              <w:rPr>
                <w:b/>
                <w:bCs/>
                <w:sz w:val="22"/>
                <w:szCs w:val="22"/>
              </w:rPr>
              <w:t>Endpunkt</w:t>
            </w:r>
          </w:p>
        </w:tc>
        <w:tc>
          <w:tcPr>
            <w:tcW w:w="2635" w:type="dxa"/>
            <w:gridSpan w:val="2"/>
          </w:tcPr>
          <w:p w14:paraId="2953BEFD" w14:textId="77777777" w:rsidR="00FE291A" w:rsidRDefault="00C8738F">
            <w:pPr>
              <w:pStyle w:val="gtctablespaceafter"/>
              <w:keepNext/>
              <w:spacing w:after="0"/>
              <w:jc w:val="center"/>
              <w:rPr>
                <w:b/>
                <w:bCs/>
                <w:sz w:val="22"/>
                <w:szCs w:val="22"/>
              </w:rPr>
            </w:pPr>
            <w:r>
              <w:rPr>
                <w:b/>
                <w:bCs/>
                <w:sz w:val="22"/>
                <w:szCs w:val="22"/>
              </w:rPr>
              <w:t>Woche 16</w:t>
            </w:r>
          </w:p>
          <w:p w14:paraId="0CD2C40F" w14:textId="77777777" w:rsidR="00FE291A" w:rsidRDefault="00C8738F">
            <w:pPr>
              <w:pStyle w:val="gtctablespaceafter"/>
              <w:keepNext/>
              <w:spacing w:after="0"/>
              <w:jc w:val="center"/>
              <w:rPr>
                <w:b/>
                <w:bCs/>
                <w:sz w:val="22"/>
                <w:szCs w:val="22"/>
              </w:rPr>
            </w:pPr>
            <w:r>
              <w:rPr>
                <w:b/>
                <w:bCs/>
                <w:sz w:val="22"/>
                <w:szCs w:val="22"/>
              </w:rPr>
              <w:t>placebokontrolliert</w:t>
            </w:r>
          </w:p>
        </w:tc>
        <w:tc>
          <w:tcPr>
            <w:tcW w:w="2552" w:type="dxa"/>
            <w:gridSpan w:val="2"/>
          </w:tcPr>
          <w:p w14:paraId="0CB82641" w14:textId="77777777" w:rsidR="00FE291A" w:rsidRDefault="00C8738F">
            <w:pPr>
              <w:pStyle w:val="gtctablespaceafter"/>
              <w:keepNext/>
              <w:spacing w:after="0"/>
              <w:jc w:val="center"/>
              <w:rPr>
                <w:b/>
                <w:bCs/>
                <w:sz w:val="22"/>
                <w:szCs w:val="22"/>
              </w:rPr>
            </w:pPr>
            <w:r>
              <w:rPr>
                <w:b/>
                <w:bCs/>
                <w:sz w:val="22"/>
                <w:szCs w:val="22"/>
              </w:rPr>
              <w:t>Woche 26</w:t>
            </w:r>
          </w:p>
          <w:p w14:paraId="0FA044F0" w14:textId="77777777" w:rsidR="00FE291A" w:rsidRDefault="00C8738F">
            <w:pPr>
              <w:pStyle w:val="gtctablespaceafter"/>
              <w:keepNext/>
              <w:spacing w:after="0"/>
              <w:jc w:val="center"/>
              <w:rPr>
                <w:b/>
                <w:bCs/>
                <w:sz w:val="22"/>
                <w:szCs w:val="22"/>
              </w:rPr>
            </w:pPr>
            <w:r>
              <w:rPr>
                <w:b/>
                <w:bCs/>
                <w:sz w:val="22"/>
                <w:szCs w:val="22"/>
              </w:rPr>
              <w:t>placebokontrolliert</w:t>
            </w:r>
          </w:p>
        </w:tc>
        <w:tc>
          <w:tcPr>
            <w:tcW w:w="1671" w:type="dxa"/>
          </w:tcPr>
          <w:p w14:paraId="12815CF1" w14:textId="77777777" w:rsidR="00FE291A" w:rsidRDefault="00C8738F">
            <w:pPr>
              <w:pStyle w:val="gtctablespaceafter"/>
              <w:keepNext/>
              <w:spacing w:after="0"/>
              <w:jc w:val="center"/>
              <w:rPr>
                <w:b/>
                <w:bCs/>
                <w:sz w:val="22"/>
                <w:szCs w:val="22"/>
              </w:rPr>
            </w:pPr>
            <w:r>
              <w:rPr>
                <w:b/>
                <w:bCs/>
                <w:sz w:val="22"/>
                <w:szCs w:val="22"/>
              </w:rPr>
              <w:t>Woche 52</w:t>
            </w:r>
          </w:p>
          <w:p w14:paraId="07D75468" w14:textId="77777777" w:rsidR="00FE291A" w:rsidRDefault="00C8738F">
            <w:pPr>
              <w:pStyle w:val="gtctablespaceafter"/>
              <w:keepNext/>
              <w:spacing w:after="0"/>
              <w:jc w:val="center"/>
              <w:rPr>
                <w:b/>
                <w:bCs/>
                <w:sz w:val="22"/>
                <w:szCs w:val="22"/>
              </w:rPr>
            </w:pPr>
            <w:r>
              <w:rPr>
                <w:b/>
                <w:bCs/>
                <w:sz w:val="22"/>
                <w:szCs w:val="22"/>
              </w:rPr>
              <w:t>offen</w:t>
            </w:r>
          </w:p>
        </w:tc>
      </w:tr>
      <w:tr w:rsidR="00FE291A" w:rsidRPr="002E6CD3" w14:paraId="6B128B3F" w14:textId="77777777">
        <w:trPr>
          <w:cantSplit/>
          <w:trHeight w:val="1054"/>
          <w:tblHeader/>
        </w:trPr>
        <w:tc>
          <w:tcPr>
            <w:tcW w:w="2610" w:type="dxa"/>
            <w:vMerge/>
          </w:tcPr>
          <w:p w14:paraId="76EBB041" w14:textId="77777777" w:rsidR="00FE291A" w:rsidRDefault="00FE291A">
            <w:pPr>
              <w:pStyle w:val="gtctablespaceafter"/>
              <w:keepNext/>
              <w:spacing w:after="0"/>
              <w:rPr>
                <w:b/>
                <w:bCs/>
                <w:sz w:val="22"/>
                <w:szCs w:val="22"/>
              </w:rPr>
            </w:pPr>
          </w:p>
        </w:tc>
        <w:tc>
          <w:tcPr>
            <w:tcW w:w="1080" w:type="dxa"/>
          </w:tcPr>
          <w:p w14:paraId="4AD5A413" w14:textId="77777777" w:rsidR="00FE291A" w:rsidRDefault="00C8738F">
            <w:pPr>
              <w:pStyle w:val="gtctablespaceafter"/>
              <w:keepNext/>
              <w:spacing w:after="0"/>
              <w:jc w:val="center"/>
              <w:rPr>
                <w:b/>
                <w:bCs/>
                <w:sz w:val="22"/>
                <w:szCs w:val="22"/>
              </w:rPr>
            </w:pPr>
            <w:r>
              <w:rPr>
                <w:b/>
                <w:bCs/>
                <w:sz w:val="22"/>
                <w:szCs w:val="22"/>
              </w:rPr>
              <w:t>Placebo</w:t>
            </w:r>
            <w:r>
              <w:rPr>
                <w:b/>
                <w:bCs/>
                <w:sz w:val="22"/>
                <w:szCs w:val="22"/>
              </w:rPr>
              <w:br/>
              <w:t>n = 108</w:t>
            </w:r>
          </w:p>
        </w:tc>
        <w:tc>
          <w:tcPr>
            <w:tcW w:w="1555" w:type="dxa"/>
          </w:tcPr>
          <w:p w14:paraId="01044D7D" w14:textId="77777777" w:rsidR="00FE291A" w:rsidRDefault="00C8738F">
            <w:pPr>
              <w:pStyle w:val="In-texttable"/>
              <w:spacing w:line="240" w:lineRule="auto"/>
              <w:jc w:val="center"/>
              <w:rPr>
                <w:rFonts w:ascii="Times New Roman" w:hAnsi="Times New Roman"/>
                <w:b/>
                <w:bCs/>
                <w:sz w:val="22"/>
                <w:szCs w:val="22"/>
                <w:lang w:val="de-DE"/>
              </w:rPr>
            </w:pPr>
            <w:r>
              <w:rPr>
                <w:rFonts w:ascii="Times New Roman" w:hAnsi="Times New Roman"/>
                <w:b/>
                <w:bCs/>
                <w:sz w:val="22"/>
                <w:szCs w:val="22"/>
                <w:lang w:val="de-DE"/>
              </w:rPr>
              <w:t>Adalimumab</w:t>
            </w:r>
          </w:p>
          <w:p w14:paraId="1D1D6D0F" w14:textId="77777777" w:rsidR="00FE291A" w:rsidRDefault="00C8738F">
            <w:pPr>
              <w:pStyle w:val="gtctablespaceafter"/>
              <w:keepNext/>
              <w:spacing w:after="0"/>
              <w:jc w:val="center"/>
              <w:rPr>
                <w:b/>
                <w:bCs/>
                <w:sz w:val="22"/>
                <w:szCs w:val="22"/>
              </w:rPr>
            </w:pPr>
            <w:r>
              <w:rPr>
                <w:b/>
                <w:bCs/>
                <w:sz w:val="22"/>
                <w:szCs w:val="22"/>
              </w:rPr>
              <w:t xml:space="preserve">40 mg jede zweite Woche </w:t>
            </w:r>
            <w:r>
              <w:rPr>
                <w:b/>
                <w:bCs/>
                <w:sz w:val="22"/>
                <w:szCs w:val="22"/>
              </w:rPr>
              <w:br/>
              <w:t>n = 109</w:t>
            </w:r>
          </w:p>
        </w:tc>
        <w:tc>
          <w:tcPr>
            <w:tcW w:w="992" w:type="dxa"/>
          </w:tcPr>
          <w:p w14:paraId="0CED9838" w14:textId="77777777" w:rsidR="00FE291A" w:rsidRDefault="00C8738F">
            <w:pPr>
              <w:pStyle w:val="gtctablespaceafter"/>
              <w:keepNext/>
              <w:jc w:val="center"/>
              <w:rPr>
                <w:b/>
                <w:bCs/>
                <w:sz w:val="22"/>
                <w:szCs w:val="22"/>
              </w:rPr>
            </w:pPr>
            <w:r>
              <w:rPr>
                <w:b/>
                <w:bCs/>
                <w:sz w:val="22"/>
                <w:szCs w:val="22"/>
              </w:rPr>
              <w:t>Placebo</w:t>
            </w:r>
            <w:r>
              <w:rPr>
                <w:b/>
                <w:bCs/>
                <w:sz w:val="22"/>
                <w:szCs w:val="22"/>
              </w:rPr>
              <w:br/>
              <w:t>n = 108</w:t>
            </w:r>
          </w:p>
        </w:tc>
        <w:tc>
          <w:tcPr>
            <w:tcW w:w="1560" w:type="dxa"/>
          </w:tcPr>
          <w:p w14:paraId="11F54B11" w14:textId="77777777" w:rsidR="00FE291A" w:rsidRDefault="00C8738F">
            <w:pPr>
              <w:pStyle w:val="In-texttable"/>
              <w:spacing w:line="240" w:lineRule="auto"/>
              <w:jc w:val="center"/>
              <w:rPr>
                <w:rFonts w:ascii="Times New Roman" w:hAnsi="Times New Roman"/>
                <w:b/>
                <w:bCs/>
                <w:sz w:val="22"/>
                <w:szCs w:val="22"/>
                <w:lang w:val="de-DE"/>
              </w:rPr>
            </w:pPr>
            <w:r>
              <w:rPr>
                <w:rFonts w:ascii="Times New Roman" w:hAnsi="Times New Roman"/>
                <w:b/>
                <w:bCs/>
                <w:sz w:val="22"/>
                <w:szCs w:val="22"/>
                <w:lang w:val="de-DE"/>
              </w:rPr>
              <w:t>Adalimumab</w:t>
            </w:r>
          </w:p>
          <w:p w14:paraId="0A4D752D" w14:textId="77777777" w:rsidR="00FE291A" w:rsidRDefault="00C8738F">
            <w:pPr>
              <w:pStyle w:val="gtctablespaceafter"/>
              <w:keepNext/>
              <w:jc w:val="center"/>
              <w:rPr>
                <w:b/>
                <w:bCs/>
                <w:sz w:val="22"/>
                <w:szCs w:val="22"/>
              </w:rPr>
            </w:pPr>
            <w:r>
              <w:rPr>
                <w:b/>
                <w:bCs/>
                <w:sz w:val="22"/>
                <w:szCs w:val="22"/>
              </w:rPr>
              <w:t xml:space="preserve">40 mg jede zweite Woche </w:t>
            </w:r>
            <w:r>
              <w:rPr>
                <w:b/>
                <w:bCs/>
                <w:sz w:val="22"/>
                <w:szCs w:val="22"/>
              </w:rPr>
              <w:br/>
              <w:t>n = 109</w:t>
            </w:r>
          </w:p>
        </w:tc>
        <w:tc>
          <w:tcPr>
            <w:tcW w:w="1671" w:type="dxa"/>
          </w:tcPr>
          <w:p w14:paraId="5894FEB3" w14:textId="77777777" w:rsidR="00FE291A" w:rsidRDefault="00C8738F">
            <w:pPr>
              <w:pStyle w:val="In-texttable"/>
              <w:spacing w:line="240" w:lineRule="auto"/>
              <w:jc w:val="center"/>
              <w:rPr>
                <w:rFonts w:ascii="Times New Roman" w:hAnsi="Times New Roman"/>
                <w:b/>
                <w:bCs/>
                <w:sz w:val="22"/>
                <w:szCs w:val="22"/>
                <w:lang w:val="de-DE"/>
              </w:rPr>
            </w:pPr>
            <w:r>
              <w:rPr>
                <w:rFonts w:ascii="Times New Roman" w:hAnsi="Times New Roman"/>
                <w:b/>
                <w:bCs/>
                <w:sz w:val="22"/>
                <w:szCs w:val="22"/>
                <w:lang w:val="de-DE"/>
              </w:rPr>
              <w:t>Adalimumab</w:t>
            </w:r>
          </w:p>
          <w:p w14:paraId="66FBF5D3" w14:textId="77777777" w:rsidR="00FE291A" w:rsidRDefault="00C8738F">
            <w:pPr>
              <w:pStyle w:val="gtctablespaceafter"/>
              <w:keepNext/>
              <w:jc w:val="center"/>
              <w:rPr>
                <w:b/>
                <w:bCs/>
                <w:sz w:val="22"/>
                <w:szCs w:val="22"/>
              </w:rPr>
            </w:pPr>
            <w:r>
              <w:rPr>
                <w:b/>
                <w:bCs/>
                <w:sz w:val="22"/>
                <w:szCs w:val="22"/>
              </w:rPr>
              <w:t xml:space="preserve">40 mg jede zweite Woche </w:t>
            </w:r>
            <w:r>
              <w:rPr>
                <w:b/>
                <w:bCs/>
                <w:sz w:val="22"/>
                <w:szCs w:val="22"/>
              </w:rPr>
              <w:br/>
              <w:t>n = 80</w:t>
            </w:r>
          </w:p>
        </w:tc>
      </w:tr>
      <w:tr w:rsidR="00FE291A" w14:paraId="7721CA50" w14:textId="77777777">
        <w:trPr>
          <w:cantSplit/>
        </w:trPr>
        <w:tc>
          <w:tcPr>
            <w:tcW w:w="2610" w:type="dxa"/>
          </w:tcPr>
          <w:p w14:paraId="4174E9CC" w14:textId="77777777" w:rsidR="00FE291A" w:rsidRDefault="00C8738F">
            <w:pPr>
              <w:pStyle w:val="gtctablespaceafter"/>
              <w:spacing w:after="0"/>
              <w:rPr>
                <w:sz w:val="22"/>
                <w:szCs w:val="22"/>
              </w:rPr>
            </w:pPr>
            <w:r>
              <w:rPr>
                <w:sz w:val="22"/>
                <w:szCs w:val="22"/>
              </w:rPr>
              <w:t>≥ mNAPSI 75 (%)</w:t>
            </w:r>
          </w:p>
        </w:tc>
        <w:tc>
          <w:tcPr>
            <w:tcW w:w="1080" w:type="dxa"/>
          </w:tcPr>
          <w:p w14:paraId="3D39FEF7" w14:textId="77777777" w:rsidR="00FE291A" w:rsidRDefault="00C8738F">
            <w:pPr>
              <w:pStyle w:val="gtctablespaceafter"/>
              <w:spacing w:after="0"/>
              <w:jc w:val="center"/>
              <w:rPr>
                <w:sz w:val="22"/>
                <w:szCs w:val="22"/>
              </w:rPr>
            </w:pPr>
            <w:r>
              <w:rPr>
                <w:sz w:val="22"/>
                <w:szCs w:val="22"/>
              </w:rPr>
              <w:t>2,9</w:t>
            </w:r>
          </w:p>
        </w:tc>
        <w:tc>
          <w:tcPr>
            <w:tcW w:w="1555" w:type="dxa"/>
          </w:tcPr>
          <w:p w14:paraId="74F72AFC" w14:textId="77777777" w:rsidR="00FE291A" w:rsidRDefault="00C8738F">
            <w:pPr>
              <w:pStyle w:val="gtctablespaceafter"/>
              <w:spacing w:after="0"/>
              <w:jc w:val="center"/>
              <w:rPr>
                <w:sz w:val="22"/>
                <w:szCs w:val="22"/>
              </w:rPr>
            </w:pPr>
            <w:r>
              <w:rPr>
                <w:sz w:val="22"/>
                <w:szCs w:val="22"/>
              </w:rPr>
              <w:t>26,0</w:t>
            </w:r>
            <w:r>
              <w:rPr>
                <w:sz w:val="22"/>
                <w:szCs w:val="22"/>
                <w:vertAlign w:val="superscript"/>
              </w:rPr>
              <w:t>a</w:t>
            </w:r>
          </w:p>
        </w:tc>
        <w:tc>
          <w:tcPr>
            <w:tcW w:w="992" w:type="dxa"/>
          </w:tcPr>
          <w:p w14:paraId="4938FCE8" w14:textId="77777777" w:rsidR="00FE291A" w:rsidRDefault="00C8738F">
            <w:pPr>
              <w:jc w:val="center"/>
              <w:rPr>
                <w:sz w:val="22"/>
                <w:szCs w:val="22"/>
                <w:lang w:val="de-DE"/>
              </w:rPr>
            </w:pPr>
            <w:r>
              <w:rPr>
                <w:sz w:val="22"/>
                <w:szCs w:val="22"/>
                <w:lang w:val="de-DE"/>
              </w:rPr>
              <w:t>3,4</w:t>
            </w:r>
          </w:p>
        </w:tc>
        <w:tc>
          <w:tcPr>
            <w:tcW w:w="1560" w:type="dxa"/>
          </w:tcPr>
          <w:p w14:paraId="2A4B37C2" w14:textId="77777777" w:rsidR="00FE291A" w:rsidRDefault="00C8738F">
            <w:pPr>
              <w:jc w:val="center"/>
              <w:rPr>
                <w:sz w:val="22"/>
                <w:szCs w:val="22"/>
                <w:lang w:val="de-DE"/>
              </w:rPr>
            </w:pPr>
            <w:r>
              <w:rPr>
                <w:sz w:val="22"/>
                <w:szCs w:val="22"/>
                <w:lang w:val="de-DE"/>
              </w:rPr>
              <w:t>46,6</w:t>
            </w:r>
            <w:r>
              <w:rPr>
                <w:sz w:val="22"/>
                <w:szCs w:val="22"/>
                <w:vertAlign w:val="superscript"/>
                <w:lang w:val="de-DE"/>
              </w:rPr>
              <w:t>a</w:t>
            </w:r>
          </w:p>
        </w:tc>
        <w:tc>
          <w:tcPr>
            <w:tcW w:w="1671" w:type="dxa"/>
          </w:tcPr>
          <w:p w14:paraId="22A6E166" w14:textId="77777777" w:rsidR="00FE291A" w:rsidRDefault="00C8738F">
            <w:pPr>
              <w:pStyle w:val="gtctablespaceafter"/>
              <w:jc w:val="center"/>
              <w:rPr>
                <w:sz w:val="22"/>
                <w:szCs w:val="22"/>
              </w:rPr>
            </w:pPr>
            <w:r>
              <w:rPr>
                <w:sz w:val="22"/>
                <w:szCs w:val="22"/>
              </w:rPr>
              <w:t>65,0</w:t>
            </w:r>
          </w:p>
        </w:tc>
      </w:tr>
      <w:tr w:rsidR="00FE291A" w14:paraId="52793239" w14:textId="77777777">
        <w:trPr>
          <w:cantSplit/>
        </w:trPr>
        <w:tc>
          <w:tcPr>
            <w:tcW w:w="2610" w:type="dxa"/>
          </w:tcPr>
          <w:p w14:paraId="665B4B1B" w14:textId="77777777" w:rsidR="00FE291A" w:rsidRDefault="00C8738F">
            <w:pPr>
              <w:pStyle w:val="gtctablespaceafter"/>
              <w:spacing w:after="0"/>
              <w:rPr>
                <w:sz w:val="22"/>
                <w:szCs w:val="22"/>
              </w:rPr>
            </w:pPr>
            <w:r>
              <w:rPr>
                <w:sz w:val="22"/>
                <w:szCs w:val="22"/>
              </w:rPr>
              <w:t>PGA-F erscheinungsfrei/minimal und Verbesserung um ≥ 2 Stufen (%)</w:t>
            </w:r>
          </w:p>
        </w:tc>
        <w:tc>
          <w:tcPr>
            <w:tcW w:w="1080" w:type="dxa"/>
          </w:tcPr>
          <w:p w14:paraId="575D4850" w14:textId="77777777" w:rsidR="00FE291A" w:rsidRDefault="00C8738F">
            <w:pPr>
              <w:pStyle w:val="gtctablespaceafter"/>
              <w:spacing w:after="0"/>
              <w:jc w:val="center"/>
              <w:rPr>
                <w:sz w:val="22"/>
                <w:szCs w:val="22"/>
              </w:rPr>
            </w:pPr>
            <w:r>
              <w:rPr>
                <w:sz w:val="22"/>
                <w:szCs w:val="22"/>
              </w:rPr>
              <w:t>2,9</w:t>
            </w:r>
          </w:p>
        </w:tc>
        <w:tc>
          <w:tcPr>
            <w:tcW w:w="1555" w:type="dxa"/>
          </w:tcPr>
          <w:p w14:paraId="30AC086B" w14:textId="77777777" w:rsidR="00FE291A" w:rsidRDefault="00C8738F">
            <w:pPr>
              <w:pStyle w:val="gtctablespaceafter"/>
              <w:spacing w:after="0"/>
              <w:jc w:val="center"/>
              <w:rPr>
                <w:sz w:val="22"/>
                <w:szCs w:val="22"/>
              </w:rPr>
            </w:pPr>
            <w:r>
              <w:rPr>
                <w:sz w:val="22"/>
                <w:szCs w:val="22"/>
              </w:rPr>
              <w:t>29,7</w:t>
            </w:r>
            <w:r>
              <w:rPr>
                <w:sz w:val="22"/>
                <w:szCs w:val="22"/>
                <w:vertAlign w:val="superscript"/>
              </w:rPr>
              <w:t>a</w:t>
            </w:r>
          </w:p>
        </w:tc>
        <w:tc>
          <w:tcPr>
            <w:tcW w:w="992" w:type="dxa"/>
          </w:tcPr>
          <w:p w14:paraId="52CBC52A" w14:textId="77777777" w:rsidR="00FE291A" w:rsidRDefault="00C8738F">
            <w:pPr>
              <w:jc w:val="center"/>
              <w:rPr>
                <w:sz w:val="22"/>
                <w:szCs w:val="22"/>
                <w:lang w:val="de-DE"/>
              </w:rPr>
            </w:pPr>
            <w:r>
              <w:rPr>
                <w:sz w:val="22"/>
                <w:szCs w:val="22"/>
                <w:lang w:val="de-DE"/>
              </w:rPr>
              <w:t>6,9</w:t>
            </w:r>
          </w:p>
        </w:tc>
        <w:tc>
          <w:tcPr>
            <w:tcW w:w="1560" w:type="dxa"/>
          </w:tcPr>
          <w:p w14:paraId="6E57C35B" w14:textId="77777777" w:rsidR="00FE291A" w:rsidRDefault="00C8738F">
            <w:pPr>
              <w:jc w:val="center"/>
              <w:rPr>
                <w:sz w:val="22"/>
                <w:szCs w:val="22"/>
                <w:lang w:val="de-DE"/>
              </w:rPr>
            </w:pPr>
            <w:r>
              <w:rPr>
                <w:sz w:val="22"/>
                <w:szCs w:val="22"/>
                <w:lang w:val="de-DE"/>
              </w:rPr>
              <w:t>48,9</w:t>
            </w:r>
            <w:r>
              <w:rPr>
                <w:sz w:val="22"/>
                <w:szCs w:val="22"/>
                <w:vertAlign w:val="superscript"/>
                <w:lang w:val="de-DE"/>
              </w:rPr>
              <w:t>a</w:t>
            </w:r>
          </w:p>
        </w:tc>
        <w:tc>
          <w:tcPr>
            <w:tcW w:w="1671" w:type="dxa"/>
          </w:tcPr>
          <w:p w14:paraId="37EE77DD" w14:textId="77777777" w:rsidR="00FE291A" w:rsidRDefault="00C8738F">
            <w:pPr>
              <w:pStyle w:val="gtctablespaceafter"/>
              <w:jc w:val="center"/>
              <w:rPr>
                <w:sz w:val="22"/>
                <w:szCs w:val="22"/>
              </w:rPr>
            </w:pPr>
            <w:r>
              <w:rPr>
                <w:sz w:val="22"/>
                <w:szCs w:val="22"/>
              </w:rPr>
              <w:t>61,3</w:t>
            </w:r>
          </w:p>
        </w:tc>
      </w:tr>
      <w:tr w:rsidR="00FE291A" w14:paraId="2FEC23F4" w14:textId="77777777">
        <w:trPr>
          <w:cantSplit/>
        </w:trPr>
        <w:tc>
          <w:tcPr>
            <w:tcW w:w="2610" w:type="dxa"/>
          </w:tcPr>
          <w:p w14:paraId="0E88A5DA" w14:textId="77777777" w:rsidR="00FE291A" w:rsidRDefault="00C8738F">
            <w:pPr>
              <w:pStyle w:val="gtctablespaceafter"/>
              <w:keepNext/>
              <w:spacing w:after="0"/>
              <w:rPr>
                <w:sz w:val="22"/>
                <w:szCs w:val="22"/>
              </w:rPr>
            </w:pPr>
            <w:r>
              <w:rPr>
                <w:sz w:val="22"/>
                <w:szCs w:val="22"/>
              </w:rPr>
              <w:t>Prozentuale Veränderung des NAPSI bei allen Fingernägeln (%)</w:t>
            </w:r>
          </w:p>
        </w:tc>
        <w:tc>
          <w:tcPr>
            <w:tcW w:w="1080" w:type="dxa"/>
          </w:tcPr>
          <w:p w14:paraId="2B4F5A50" w14:textId="77777777" w:rsidR="00FE291A" w:rsidRDefault="00C8738F">
            <w:pPr>
              <w:pStyle w:val="gtctablespaceafter"/>
              <w:keepNext/>
              <w:spacing w:after="0"/>
              <w:jc w:val="center"/>
              <w:rPr>
                <w:sz w:val="22"/>
                <w:szCs w:val="22"/>
              </w:rPr>
            </w:pPr>
            <w:r>
              <w:rPr>
                <w:sz w:val="22"/>
                <w:szCs w:val="22"/>
              </w:rPr>
              <w:t>-7,8</w:t>
            </w:r>
          </w:p>
        </w:tc>
        <w:tc>
          <w:tcPr>
            <w:tcW w:w="1555" w:type="dxa"/>
          </w:tcPr>
          <w:p w14:paraId="1E4878CB" w14:textId="77777777" w:rsidR="00FE291A" w:rsidRDefault="00C8738F">
            <w:pPr>
              <w:pStyle w:val="gtctablespaceafter"/>
              <w:keepNext/>
              <w:spacing w:after="0"/>
              <w:jc w:val="center"/>
              <w:rPr>
                <w:sz w:val="22"/>
                <w:szCs w:val="22"/>
              </w:rPr>
            </w:pPr>
            <w:r>
              <w:rPr>
                <w:sz w:val="22"/>
                <w:szCs w:val="22"/>
              </w:rPr>
              <w:t>-44,2</w:t>
            </w:r>
            <w:r>
              <w:rPr>
                <w:sz w:val="22"/>
                <w:szCs w:val="22"/>
                <w:vertAlign w:val="superscript"/>
              </w:rPr>
              <w:t>a</w:t>
            </w:r>
          </w:p>
        </w:tc>
        <w:tc>
          <w:tcPr>
            <w:tcW w:w="992" w:type="dxa"/>
          </w:tcPr>
          <w:p w14:paraId="5D4ED365" w14:textId="77777777" w:rsidR="00FE291A" w:rsidRDefault="00C8738F">
            <w:pPr>
              <w:keepNext/>
              <w:jc w:val="center"/>
              <w:rPr>
                <w:sz w:val="22"/>
                <w:szCs w:val="22"/>
                <w:lang w:val="de-DE"/>
              </w:rPr>
            </w:pPr>
            <w:r>
              <w:rPr>
                <w:sz w:val="22"/>
                <w:szCs w:val="22"/>
                <w:lang w:val="de-DE"/>
              </w:rPr>
              <w:t>-11,5</w:t>
            </w:r>
          </w:p>
        </w:tc>
        <w:tc>
          <w:tcPr>
            <w:tcW w:w="1560" w:type="dxa"/>
          </w:tcPr>
          <w:p w14:paraId="3410A6C1" w14:textId="77777777" w:rsidR="00FE291A" w:rsidRDefault="00C8738F">
            <w:pPr>
              <w:keepNext/>
              <w:jc w:val="center"/>
              <w:rPr>
                <w:sz w:val="22"/>
                <w:szCs w:val="22"/>
                <w:lang w:val="de-DE"/>
              </w:rPr>
            </w:pPr>
            <w:r>
              <w:rPr>
                <w:sz w:val="22"/>
                <w:szCs w:val="22"/>
                <w:lang w:val="de-DE"/>
              </w:rPr>
              <w:t>-56,2</w:t>
            </w:r>
            <w:r>
              <w:rPr>
                <w:sz w:val="22"/>
                <w:szCs w:val="22"/>
                <w:vertAlign w:val="superscript"/>
                <w:lang w:val="de-DE"/>
              </w:rPr>
              <w:t>a</w:t>
            </w:r>
          </w:p>
        </w:tc>
        <w:tc>
          <w:tcPr>
            <w:tcW w:w="1671" w:type="dxa"/>
          </w:tcPr>
          <w:p w14:paraId="7DDA0483" w14:textId="77777777" w:rsidR="00FE291A" w:rsidRDefault="00C8738F">
            <w:pPr>
              <w:pStyle w:val="gtctablespaceafter"/>
              <w:keepNext/>
              <w:jc w:val="center"/>
              <w:rPr>
                <w:sz w:val="22"/>
                <w:szCs w:val="22"/>
              </w:rPr>
            </w:pPr>
            <w:r>
              <w:rPr>
                <w:sz w:val="22"/>
                <w:szCs w:val="22"/>
              </w:rPr>
              <w:t>-72,2</w:t>
            </w:r>
          </w:p>
        </w:tc>
      </w:tr>
      <w:tr w:rsidR="00FE291A" w:rsidRPr="00723069" w14:paraId="65B9B598" w14:textId="77777777">
        <w:trPr>
          <w:cantSplit/>
        </w:trPr>
        <w:tc>
          <w:tcPr>
            <w:tcW w:w="9468" w:type="dxa"/>
            <w:gridSpan w:val="6"/>
          </w:tcPr>
          <w:p w14:paraId="112C25FB" w14:textId="77777777" w:rsidR="00FE291A" w:rsidRDefault="00C8738F">
            <w:pPr>
              <w:pStyle w:val="gtctablespaceafter"/>
              <w:keepNext/>
              <w:spacing w:after="0"/>
              <w:rPr>
                <w:sz w:val="22"/>
                <w:szCs w:val="22"/>
              </w:rPr>
            </w:pPr>
            <w:r>
              <w:rPr>
                <w:sz w:val="22"/>
                <w:szCs w:val="22"/>
                <w:vertAlign w:val="superscript"/>
              </w:rPr>
              <w:t>a</w:t>
            </w:r>
            <w:r>
              <w:rPr>
                <w:sz w:val="22"/>
                <w:szCs w:val="22"/>
              </w:rPr>
              <w:t xml:space="preserve"> p &lt; 0,001, Adalimumab gegenüber Placebo </w:t>
            </w:r>
          </w:p>
        </w:tc>
      </w:tr>
    </w:tbl>
    <w:p w14:paraId="207876E4" w14:textId="77777777" w:rsidR="00FE291A" w:rsidRDefault="00FE291A">
      <w:pPr>
        <w:rPr>
          <w:sz w:val="22"/>
          <w:szCs w:val="22"/>
          <w:lang w:val="de-DE"/>
        </w:rPr>
      </w:pPr>
    </w:p>
    <w:p w14:paraId="4875C72B" w14:textId="77777777" w:rsidR="00FE291A" w:rsidRDefault="00C8738F">
      <w:pPr>
        <w:widowControl/>
        <w:kinsoku w:val="0"/>
        <w:overflowPunct w:val="0"/>
        <w:rPr>
          <w:sz w:val="22"/>
          <w:szCs w:val="22"/>
          <w:lang w:val="de-DE"/>
        </w:rPr>
      </w:pPr>
      <w:r>
        <w:rPr>
          <w:sz w:val="22"/>
          <w:szCs w:val="22"/>
          <w:lang w:val="de-DE"/>
        </w:rPr>
        <w:t>Die mit Adalimumab behandelten Patienten erreichten in Woche 26 statistisch signifikante Verbesserungen im DLQI verglichen mit Placebo.</w:t>
      </w:r>
    </w:p>
    <w:p w14:paraId="69669B41" w14:textId="77777777" w:rsidR="00FE291A" w:rsidRDefault="00FE291A">
      <w:pPr>
        <w:widowControl/>
        <w:kinsoku w:val="0"/>
        <w:overflowPunct w:val="0"/>
        <w:rPr>
          <w:sz w:val="22"/>
          <w:szCs w:val="22"/>
          <w:lang w:val="de-DE"/>
        </w:rPr>
      </w:pPr>
    </w:p>
    <w:p w14:paraId="205EF644" w14:textId="77777777" w:rsidR="00FE291A" w:rsidRDefault="00C8738F">
      <w:pPr>
        <w:keepNext/>
        <w:widowControl/>
        <w:kinsoku w:val="0"/>
        <w:overflowPunct w:val="0"/>
        <w:rPr>
          <w:sz w:val="22"/>
          <w:szCs w:val="22"/>
          <w:lang w:val="de-DE"/>
        </w:rPr>
      </w:pPr>
      <w:r>
        <w:rPr>
          <w:i/>
          <w:iCs/>
          <w:sz w:val="22"/>
          <w:szCs w:val="22"/>
          <w:lang w:val="de-DE"/>
        </w:rPr>
        <w:t>Hidradenitis suppurativa (Acne inversa)</w:t>
      </w:r>
    </w:p>
    <w:p w14:paraId="761A4686" w14:textId="77777777" w:rsidR="00FE291A" w:rsidRDefault="00FE291A">
      <w:pPr>
        <w:keepNext/>
        <w:widowControl/>
        <w:kinsoku w:val="0"/>
        <w:overflowPunct w:val="0"/>
        <w:rPr>
          <w:sz w:val="22"/>
          <w:szCs w:val="22"/>
          <w:lang w:val="de-DE"/>
        </w:rPr>
      </w:pPr>
    </w:p>
    <w:p w14:paraId="691068E1" w14:textId="77777777" w:rsidR="00FE291A" w:rsidRDefault="00C8738F">
      <w:pPr>
        <w:pStyle w:val="BodyText"/>
        <w:widowControl/>
        <w:kinsoku w:val="0"/>
        <w:overflowPunct w:val="0"/>
        <w:ind w:left="0"/>
        <w:rPr>
          <w:lang w:val="de-DE"/>
        </w:rPr>
      </w:pPr>
      <w:r>
        <w:rPr>
          <w:lang w:val="de-DE"/>
        </w:rPr>
        <w:t>Die Sicherheit und Wirksamkeit von Adalimumab wurden in randomisierten, doppelblinden, placebokontrollierten Studien und in einer offenen Fortsetzungsstudie an erwachsenen Patienten mit mittelschwerer bis schwerer Hidradenitis suppurativa (HS) untersucht. Diese Patienten wiesen eine Unverträglichkeit, eine Kontraindikation oder ein unzureichendes Ansprechen gegenüber einer systemischen antibiotischen Therapie nach einem mindestens 3-monatigen Behandlungsversuch auf. Die Patienten in den Studien HS-I und HS-II waren in Hurley-Stadium II oder III der Krankheit mit mindestens 3 Abszessen oder entzündlichen Knoten.</w:t>
      </w:r>
    </w:p>
    <w:p w14:paraId="359476A7" w14:textId="77777777" w:rsidR="00FE291A" w:rsidRDefault="00FE291A">
      <w:pPr>
        <w:widowControl/>
        <w:kinsoku w:val="0"/>
        <w:overflowPunct w:val="0"/>
        <w:rPr>
          <w:sz w:val="22"/>
          <w:szCs w:val="22"/>
          <w:lang w:val="de-DE"/>
        </w:rPr>
      </w:pPr>
    </w:p>
    <w:p w14:paraId="1B98A243" w14:textId="77777777" w:rsidR="00FE291A" w:rsidRDefault="00C8738F">
      <w:pPr>
        <w:pStyle w:val="BodyText"/>
        <w:widowControl/>
        <w:kinsoku w:val="0"/>
        <w:overflowPunct w:val="0"/>
        <w:ind w:left="0"/>
        <w:rPr>
          <w:lang w:val="de-DE"/>
        </w:rPr>
      </w:pPr>
      <w:r>
        <w:rPr>
          <w:lang w:val="de-DE"/>
        </w:rPr>
        <w:t>In der Studie HS-I (PIONEER I) wurden 307 Patienten in 2 Behandlungsperioden untersucht. In Periode A erhielten die Patienten Placebo oder eine Induktionsdosis von 160 mg Adalimumab in Woche 0, danach 80 mg in Woche 2 und ab Woche 4 bis Woche 11 40 mg wöchentlich. Eine gleichzeitige Behandlung mit Antibiotika war während der Studie nicht erlaubt. Nach einer 12-wöchigen Behandlung wurden die Patienten, die in Periode A Adalimumab erhalten hatten, in Periode B erneut in eine von drei Behandlungsgruppen randomisiert (Adalimumab 40 mg wöchentlich, Adalimumab 40 mg jede zweite Woche oder Placebo von Woche 12 bis Woche 35). Patienten, die in Periode A Placebo erhalten hatten, wurden einer Behandlung mit Adalimumab 40 mg wöchentlich in Periode B zugeteilt.</w:t>
      </w:r>
    </w:p>
    <w:p w14:paraId="4995A3A7" w14:textId="77777777" w:rsidR="00FE291A" w:rsidRDefault="00FE291A">
      <w:pPr>
        <w:widowControl/>
        <w:kinsoku w:val="0"/>
        <w:overflowPunct w:val="0"/>
        <w:rPr>
          <w:sz w:val="22"/>
          <w:szCs w:val="22"/>
          <w:lang w:val="de-DE"/>
        </w:rPr>
      </w:pPr>
    </w:p>
    <w:p w14:paraId="0CB42A2B" w14:textId="77777777" w:rsidR="00FE291A" w:rsidRDefault="00C8738F">
      <w:pPr>
        <w:pStyle w:val="BodyText"/>
        <w:widowControl/>
        <w:kinsoku w:val="0"/>
        <w:overflowPunct w:val="0"/>
        <w:ind w:left="0"/>
        <w:rPr>
          <w:lang w:val="de-DE"/>
        </w:rPr>
      </w:pPr>
      <w:r>
        <w:rPr>
          <w:lang w:val="de-DE"/>
        </w:rPr>
        <w:t>In der Studie HS-II (PIONEER II) wurden 326 Patienten in 2 Behandlungsperioden untersucht. In Periode A erhielten die Patienten Placebo oder eine Induktionsdosis von 160 mg Adalimumab in Woche 0, danach 80 mg in Woche 2 und ab Woche 4 bis Woche 11 40 mg wöchentlich. 19,3 % der Patienten erhielten während der Studie eine fortgesetzte Basistherapie mit oralen Antibiotika. Nach einer 12- wöchigen Behandlung wurden die Patienten, die in Periode A Adalimumab erhalten hatten, in Periode B erneut in eine von drei Behandlungsgruppen randomisiert (Adalimumab 40 mg wöchentlich, Adalimumab 40 mg jede zweite Woche oder Placebo von Woche 12 bis Woche 35). Patienten, die in Periode A Placebo erhalten hatten, wurden in Periode B der Placebogruppe zugeteilt.</w:t>
      </w:r>
    </w:p>
    <w:p w14:paraId="76C267B1" w14:textId="77777777" w:rsidR="00FE291A" w:rsidRDefault="00FE291A">
      <w:pPr>
        <w:pStyle w:val="BodyText"/>
        <w:widowControl/>
        <w:kinsoku w:val="0"/>
        <w:overflowPunct w:val="0"/>
        <w:ind w:left="0"/>
        <w:rPr>
          <w:lang w:val="de-DE"/>
        </w:rPr>
      </w:pPr>
    </w:p>
    <w:p w14:paraId="1B10FAB9" w14:textId="77777777" w:rsidR="00FE291A" w:rsidRDefault="00C8738F">
      <w:pPr>
        <w:pStyle w:val="BodyText"/>
        <w:widowControl/>
        <w:kinsoku w:val="0"/>
        <w:overflowPunct w:val="0"/>
        <w:ind w:left="0"/>
        <w:rPr>
          <w:lang w:val="de-DE"/>
        </w:rPr>
      </w:pPr>
      <w:r>
        <w:rPr>
          <w:lang w:val="de-DE"/>
        </w:rPr>
        <w:t>Patienten, die an Studie HS-I und HS-II teilgenommen hatten, waren für die Aufnahme in eine offene Fortsetzungsstudie geeignet, in der 40 mg Adalimumab wöchentlich verabreicht wurden. Die durchschnittliche Exposition lag in allen Adalimumab-Populationen bei 762 Tagen. Während aller drei Studien wendeten die Patienten täglich eine topische antiseptische Waschlösung an.</w:t>
      </w:r>
    </w:p>
    <w:p w14:paraId="756F43C6" w14:textId="77777777" w:rsidR="00FE291A" w:rsidRDefault="00FE291A">
      <w:pPr>
        <w:widowControl/>
        <w:kinsoku w:val="0"/>
        <w:overflowPunct w:val="0"/>
        <w:rPr>
          <w:sz w:val="22"/>
          <w:szCs w:val="22"/>
          <w:lang w:val="de-DE"/>
        </w:rPr>
      </w:pPr>
    </w:p>
    <w:p w14:paraId="48880874" w14:textId="77777777" w:rsidR="00FE291A" w:rsidRDefault="00C8738F">
      <w:pPr>
        <w:keepNext/>
        <w:widowControl/>
        <w:kinsoku w:val="0"/>
        <w:overflowPunct w:val="0"/>
        <w:rPr>
          <w:sz w:val="22"/>
          <w:szCs w:val="22"/>
          <w:lang w:val="de-DE"/>
        </w:rPr>
      </w:pPr>
      <w:r>
        <w:rPr>
          <w:i/>
          <w:iCs/>
          <w:sz w:val="22"/>
          <w:szCs w:val="22"/>
          <w:u w:val="single"/>
          <w:lang w:val="de-DE"/>
        </w:rPr>
        <w:t>Klinisches Ansprechen</w:t>
      </w:r>
    </w:p>
    <w:p w14:paraId="25B917FE" w14:textId="77777777" w:rsidR="00FE291A" w:rsidRDefault="00FE291A">
      <w:pPr>
        <w:keepNext/>
        <w:widowControl/>
        <w:kinsoku w:val="0"/>
        <w:overflowPunct w:val="0"/>
        <w:rPr>
          <w:sz w:val="22"/>
          <w:szCs w:val="22"/>
          <w:lang w:val="de-DE"/>
        </w:rPr>
      </w:pPr>
    </w:p>
    <w:p w14:paraId="48DA3A8C" w14:textId="77777777" w:rsidR="00FE291A" w:rsidRDefault="00C8738F">
      <w:pPr>
        <w:pStyle w:val="BodyText"/>
        <w:widowControl/>
        <w:kinsoku w:val="0"/>
        <w:overflowPunct w:val="0"/>
        <w:ind w:left="0"/>
        <w:rPr>
          <w:lang w:val="de-DE"/>
        </w:rPr>
      </w:pPr>
      <w:r>
        <w:rPr>
          <w:lang w:val="de-DE"/>
        </w:rPr>
        <w:t xml:space="preserve">Die Verringerung der entzündlichen Läsionen und die Prävention einer Verschlimmerung der Abszesse und dränierenden Fisteln wurden anhand des Hidradenitis Suppurativa Clinical Response beurteilt (HiSCR; eine mindestens 50 %ige Abnahme der Gesamtzahl an Abszessen und entzündlichen Knoten und keine Zunahme der Anzahl an Abszessen sowie der Anzahl an dränierenden Fisteln gegenüber </w:t>
      </w:r>
      <w:r>
        <w:rPr>
          <w:i/>
          <w:iCs/>
          <w:lang w:val="de-DE"/>
        </w:rPr>
        <w:t>Baseline</w:t>
      </w:r>
      <w:r>
        <w:rPr>
          <w:lang w:val="de-DE"/>
        </w:rPr>
        <w:t xml:space="preserve">). Die Verringerung der HS-bezogenen Hautschmerzen wurde mithilfe einer numerischen Bewertungsskala bei Patienten beurteilt, die auf einer Skala mit 11 Punkten zu Beginn der Studie einen </w:t>
      </w:r>
      <w:r>
        <w:rPr>
          <w:i/>
          <w:iCs/>
          <w:lang w:val="de-DE"/>
        </w:rPr>
        <w:t>Score</w:t>
      </w:r>
      <w:r>
        <w:rPr>
          <w:lang w:val="de-DE"/>
        </w:rPr>
        <w:t xml:space="preserve"> von 3 oder höher aufwiesen.</w:t>
      </w:r>
    </w:p>
    <w:p w14:paraId="7704ED70" w14:textId="77777777" w:rsidR="00FE291A" w:rsidRDefault="00FE291A">
      <w:pPr>
        <w:widowControl/>
        <w:kinsoku w:val="0"/>
        <w:overflowPunct w:val="0"/>
        <w:rPr>
          <w:sz w:val="22"/>
          <w:szCs w:val="22"/>
          <w:lang w:val="de-DE"/>
        </w:rPr>
      </w:pPr>
    </w:p>
    <w:p w14:paraId="1315E710" w14:textId="77777777" w:rsidR="00FE291A" w:rsidRDefault="00C8738F">
      <w:pPr>
        <w:pStyle w:val="BodyText"/>
        <w:widowControl/>
        <w:kinsoku w:val="0"/>
        <w:overflowPunct w:val="0"/>
        <w:ind w:left="0"/>
        <w:rPr>
          <w:lang w:val="de-DE"/>
        </w:rPr>
      </w:pPr>
      <w:r>
        <w:rPr>
          <w:lang w:val="de-DE"/>
        </w:rPr>
        <w:t>Im Vergleich zu Placebo erreichte ein signifikant höherer Anteil der mit Adalimumab behandelten Patienten ein HiSCR-Ansprechen in Woche 12. In Woche 12 wies ein signifikant höherer Anteil an Patienten in Studie HS-II eine klinisch relevante Verringerung der HS-bezogenen Hautschmerzen auf (siehe Tabelle 19). Bei den mit Adalimumab behandelten Patienten war das Risiko eines Krankheitsschubes während der ersten 12 Behandlungswochen signifikant reduziert.</w:t>
      </w:r>
    </w:p>
    <w:p w14:paraId="4A4E1094" w14:textId="77777777" w:rsidR="00FE291A" w:rsidRDefault="00FE291A">
      <w:pPr>
        <w:widowControl/>
        <w:kinsoku w:val="0"/>
        <w:overflowPunct w:val="0"/>
        <w:rPr>
          <w:sz w:val="22"/>
          <w:szCs w:val="22"/>
          <w:lang w:val="de-DE"/>
        </w:rPr>
      </w:pPr>
    </w:p>
    <w:p w14:paraId="2FDEC759" w14:textId="77777777" w:rsidR="00FE291A" w:rsidRDefault="00C8738F">
      <w:pPr>
        <w:pStyle w:val="Heading1"/>
        <w:keepNext/>
        <w:widowControl/>
        <w:kinsoku w:val="0"/>
        <w:overflowPunct w:val="0"/>
        <w:ind w:left="0"/>
        <w:rPr>
          <w:lang w:val="de-DE"/>
        </w:rPr>
      </w:pPr>
      <w:r>
        <w:rPr>
          <w:lang w:val="de-DE"/>
        </w:rPr>
        <w:t>Tabelle 19: Ergebnisse bezüglich Wirksamkeit nach 12 Wochen, Studie HS-I und HS-II</w:t>
      </w:r>
    </w:p>
    <w:p w14:paraId="1092630C" w14:textId="77777777" w:rsidR="00FE291A" w:rsidRDefault="00FE291A">
      <w:pPr>
        <w:keepNext/>
        <w:widowControl/>
        <w:kinsoku w:val="0"/>
        <w:overflowPunct w:val="0"/>
        <w:rPr>
          <w:sz w:val="22"/>
          <w:lang w:val="de-DE"/>
        </w:rPr>
      </w:pPr>
    </w:p>
    <w:tbl>
      <w:tblPr>
        <w:tblW w:w="9395" w:type="dxa"/>
        <w:tblInd w:w="5" w:type="dxa"/>
        <w:tblLayout w:type="fixed"/>
        <w:tblCellMar>
          <w:left w:w="0" w:type="dxa"/>
          <w:right w:w="0" w:type="dxa"/>
        </w:tblCellMar>
        <w:tblLook w:val="04A0" w:firstRow="1" w:lastRow="0" w:firstColumn="1" w:lastColumn="0" w:noHBand="0" w:noVBand="1"/>
      </w:tblPr>
      <w:tblGrid>
        <w:gridCol w:w="2949"/>
        <w:gridCol w:w="1440"/>
        <w:gridCol w:w="1747"/>
        <w:gridCol w:w="1404"/>
        <w:gridCol w:w="1855"/>
      </w:tblGrid>
      <w:tr w:rsidR="00FE291A" w14:paraId="5CAAACCD" w14:textId="77777777">
        <w:trPr>
          <w:cantSplit/>
          <w:trHeight w:hRule="exact" w:val="269"/>
        </w:trPr>
        <w:tc>
          <w:tcPr>
            <w:tcW w:w="2949" w:type="dxa"/>
            <w:vMerge w:val="restart"/>
            <w:tcBorders>
              <w:top w:val="single" w:sz="4" w:space="0" w:color="000000"/>
              <w:left w:val="single" w:sz="4" w:space="0" w:color="000000"/>
              <w:bottom w:val="single" w:sz="4" w:space="0" w:color="000000"/>
              <w:right w:val="single" w:sz="4" w:space="0" w:color="000000"/>
            </w:tcBorders>
          </w:tcPr>
          <w:p w14:paraId="5AEE824C" w14:textId="77777777" w:rsidR="00FE291A" w:rsidRDefault="00FE291A">
            <w:pPr>
              <w:keepNext/>
              <w:widowControl/>
              <w:rPr>
                <w:sz w:val="22"/>
                <w:lang w:val="de-DE"/>
              </w:rPr>
            </w:pPr>
          </w:p>
        </w:tc>
        <w:tc>
          <w:tcPr>
            <w:tcW w:w="3187" w:type="dxa"/>
            <w:gridSpan w:val="2"/>
            <w:tcBorders>
              <w:top w:val="single" w:sz="4" w:space="0" w:color="000000"/>
              <w:left w:val="single" w:sz="4" w:space="0" w:color="000000"/>
              <w:bottom w:val="single" w:sz="4" w:space="0" w:color="000000"/>
              <w:right w:val="single" w:sz="4" w:space="0" w:color="000000"/>
            </w:tcBorders>
          </w:tcPr>
          <w:p w14:paraId="0B098DA1" w14:textId="77777777" w:rsidR="00FE291A" w:rsidRDefault="00C8738F">
            <w:pPr>
              <w:pStyle w:val="TableParagraph"/>
              <w:keepNext/>
              <w:widowControl/>
              <w:kinsoku w:val="0"/>
              <w:overflowPunct w:val="0"/>
              <w:jc w:val="center"/>
              <w:rPr>
                <w:sz w:val="22"/>
                <w:lang w:val="de-DE"/>
              </w:rPr>
            </w:pPr>
            <w:r>
              <w:rPr>
                <w:b/>
                <w:bCs/>
                <w:sz w:val="22"/>
                <w:szCs w:val="22"/>
                <w:lang w:val="de-DE"/>
              </w:rPr>
              <w:t>Studie HS-I</w:t>
            </w:r>
          </w:p>
        </w:tc>
        <w:tc>
          <w:tcPr>
            <w:tcW w:w="3259" w:type="dxa"/>
            <w:gridSpan w:val="2"/>
            <w:tcBorders>
              <w:top w:val="single" w:sz="4" w:space="0" w:color="000000"/>
              <w:left w:val="single" w:sz="4" w:space="0" w:color="000000"/>
              <w:bottom w:val="single" w:sz="4" w:space="0" w:color="000000"/>
              <w:right w:val="single" w:sz="4" w:space="0" w:color="000000"/>
            </w:tcBorders>
          </w:tcPr>
          <w:p w14:paraId="088B222C" w14:textId="77777777" w:rsidR="00FE291A" w:rsidRDefault="00C8738F">
            <w:pPr>
              <w:pStyle w:val="TableParagraph"/>
              <w:keepNext/>
              <w:widowControl/>
              <w:kinsoku w:val="0"/>
              <w:overflowPunct w:val="0"/>
              <w:jc w:val="center"/>
              <w:rPr>
                <w:sz w:val="22"/>
                <w:lang w:val="de-DE"/>
              </w:rPr>
            </w:pPr>
            <w:r>
              <w:rPr>
                <w:b/>
                <w:bCs/>
                <w:sz w:val="22"/>
                <w:szCs w:val="22"/>
                <w:lang w:val="de-DE"/>
              </w:rPr>
              <w:t>Studie HS-II</w:t>
            </w:r>
          </w:p>
        </w:tc>
      </w:tr>
      <w:tr w:rsidR="00FE291A" w14:paraId="548E5BF9" w14:textId="77777777">
        <w:trPr>
          <w:cantSplit/>
          <w:trHeight w:hRule="exact" w:val="861"/>
        </w:trPr>
        <w:tc>
          <w:tcPr>
            <w:tcW w:w="2949" w:type="dxa"/>
            <w:vMerge/>
            <w:tcBorders>
              <w:top w:val="single" w:sz="4" w:space="0" w:color="000000"/>
              <w:left w:val="single" w:sz="4" w:space="0" w:color="000000"/>
              <w:bottom w:val="single" w:sz="4" w:space="0" w:color="000000"/>
              <w:right w:val="single" w:sz="4" w:space="0" w:color="000000"/>
            </w:tcBorders>
          </w:tcPr>
          <w:p w14:paraId="1AB424DE" w14:textId="77777777" w:rsidR="00FE291A" w:rsidRDefault="00FE291A">
            <w:pPr>
              <w:pStyle w:val="TableParagraph"/>
              <w:keepNext/>
              <w:widowControl/>
              <w:kinsoku w:val="0"/>
              <w:overflowPunct w:val="0"/>
              <w:rPr>
                <w:sz w:val="22"/>
                <w:lang w:val="de-DE"/>
              </w:rPr>
            </w:pPr>
          </w:p>
        </w:tc>
        <w:tc>
          <w:tcPr>
            <w:tcW w:w="1440" w:type="dxa"/>
            <w:tcBorders>
              <w:top w:val="single" w:sz="4" w:space="0" w:color="000000"/>
              <w:left w:val="single" w:sz="4" w:space="0" w:color="000000"/>
              <w:bottom w:val="single" w:sz="4" w:space="0" w:color="000000"/>
              <w:right w:val="single" w:sz="4" w:space="0" w:color="000000"/>
            </w:tcBorders>
          </w:tcPr>
          <w:p w14:paraId="0BF71DD0" w14:textId="77777777" w:rsidR="00FE291A" w:rsidRDefault="00FE291A">
            <w:pPr>
              <w:pStyle w:val="TableParagraph"/>
              <w:keepNext/>
              <w:widowControl/>
              <w:kinsoku w:val="0"/>
              <w:overflowPunct w:val="0"/>
              <w:jc w:val="center"/>
              <w:rPr>
                <w:sz w:val="22"/>
                <w:szCs w:val="22"/>
                <w:lang w:val="de-DE"/>
              </w:rPr>
            </w:pPr>
          </w:p>
          <w:p w14:paraId="223F5AC7" w14:textId="77777777" w:rsidR="00FE291A" w:rsidRDefault="00C8738F">
            <w:pPr>
              <w:pStyle w:val="TableParagraph"/>
              <w:keepNext/>
              <w:widowControl/>
              <w:kinsoku w:val="0"/>
              <w:overflowPunct w:val="0"/>
              <w:jc w:val="center"/>
              <w:rPr>
                <w:sz w:val="22"/>
                <w:szCs w:val="22"/>
                <w:lang w:val="de-DE"/>
              </w:rPr>
            </w:pPr>
            <w:r>
              <w:rPr>
                <w:b/>
                <w:bCs/>
                <w:sz w:val="22"/>
                <w:szCs w:val="22"/>
                <w:lang w:val="de-DE"/>
              </w:rPr>
              <w:t>Placebo</w:t>
            </w:r>
          </w:p>
        </w:tc>
        <w:tc>
          <w:tcPr>
            <w:tcW w:w="1747" w:type="dxa"/>
            <w:tcBorders>
              <w:top w:val="single" w:sz="4" w:space="0" w:color="000000"/>
              <w:left w:val="single" w:sz="4" w:space="0" w:color="000000"/>
              <w:bottom w:val="single" w:sz="4" w:space="0" w:color="000000"/>
              <w:right w:val="single" w:sz="4" w:space="0" w:color="000000"/>
            </w:tcBorders>
          </w:tcPr>
          <w:p w14:paraId="738A5031" w14:textId="77777777" w:rsidR="00FE291A" w:rsidRDefault="00C8738F">
            <w:pPr>
              <w:pStyle w:val="TableParagraph"/>
              <w:keepNext/>
              <w:widowControl/>
              <w:kinsoku w:val="0"/>
              <w:overflowPunct w:val="0"/>
              <w:jc w:val="center"/>
              <w:rPr>
                <w:sz w:val="22"/>
                <w:szCs w:val="22"/>
                <w:lang w:val="de-DE"/>
              </w:rPr>
            </w:pPr>
            <w:r>
              <w:rPr>
                <w:b/>
                <w:bCs/>
                <w:sz w:val="22"/>
                <w:szCs w:val="22"/>
                <w:lang w:val="de-DE"/>
              </w:rPr>
              <w:t>40 mg Adalimumab wöchentlich</w:t>
            </w:r>
          </w:p>
        </w:tc>
        <w:tc>
          <w:tcPr>
            <w:tcW w:w="1404" w:type="dxa"/>
            <w:tcBorders>
              <w:top w:val="single" w:sz="4" w:space="0" w:color="000000"/>
              <w:left w:val="single" w:sz="4" w:space="0" w:color="000000"/>
              <w:bottom w:val="single" w:sz="4" w:space="0" w:color="000000"/>
              <w:right w:val="single" w:sz="4" w:space="0" w:color="000000"/>
            </w:tcBorders>
          </w:tcPr>
          <w:p w14:paraId="1C336815" w14:textId="77777777" w:rsidR="00FE291A" w:rsidRDefault="00FE291A">
            <w:pPr>
              <w:pStyle w:val="TableParagraph"/>
              <w:keepNext/>
              <w:widowControl/>
              <w:kinsoku w:val="0"/>
              <w:overflowPunct w:val="0"/>
              <w:jc w:val="center"/>
              <w:rPr>
                <w:sz w:val="22"/>
                <w:szCs w:val="22"/>
                <w:lang w:val="de-DE"/>
              </w:rPr>
            </w:pPr>
          </w:p>
          <w:p w14:paraId="7B2C9FE7" w14:textId="77777777" w:rsidR="00FE291A" w:rsidRDefault="00C8738F">
            <w:pPr>
              <w:pStyle w:val="TableParagraph"/>
              <w:keepNext/>
              <w:widowControl/>
              <w:kinsoku w:val="0"/>
              <w:overflowPunct w:val="0"/>
              <w:jc w:val="center"/>
              <w:rPr>
                <w:sz w:val="22"/>
                <w:szCs w:val="22"/>
                <w:lang w:val="de-DE"/>
              </w:rPr>
            </w:pPr>
            <w:r>
              <w:rPr>
                <w:b/>
                <w:bCs/>
                <w:sz w:val="22"/>
                <w:szCs w:val="22"/>
                <w:lang w:val="de-DE"/>
              </w:rPr>
              <w:t>Placebo</w:t>
            </w:r>
          </w:p>
        </w:tc>
        <w:tc>
          <w:tcPr>
            <w:tcW w:w="1855" w:type="dxa"/>
            <w:tcBorders>
              <w:top w:val="single" w:sz="4" w:space="0" w:color="000000"/>
              <w:left w:val="single" w:sz="4" w:space="0" w:color="000000"/>
              <w:bottom w:val="single" w:sz="4" w:space="0" w:color="000000"/>
              <w:right w:val="single" w:sz="4" w:space="0" w:color="000000"/>
            </w:tcBorders>
          </w:tcPr>
          <w:p w14:paraId="79FF5C8C" w14:textId="77777777" w:rsidR="00FE291A" w:rsidRDefault="00C8738F">
            <w:pPr>
              <w:pStyle w:val="TableParagraph"/>
              <w:keepNext/>
              <w:widowControl/>
              <w:kinsoku w:val="0"/>
              <w:overflowPunct w:val="0"/>
              <w:jc w:val="center"/>
              <w:rPr>
                <w:sz w:val="22"/>
                <w:szCs w:val="22"/>
                <w:lang w:val="de-DE"/>
              </w:rPr>
            </w:pPr>
            <w:r>
              <w:rPr>
                <w:b/>
                <w:bCs/>
                <w:sz w:val="22"/>
                <w:szCs w:val="22"/>
                <w:lang w:val="de-DE"/>
              </w:rPr>
              <w:t>40 mg Adalimumab wöchentlich</w:t>
            </w:r>
          </w:p>
        </w:tc>
      </w:tr>
      <w:tr w:rsidR="00FE291A" w14:paraId="7977F79F" w14:textId="77777777">
        <w:trPr>
          <w:cantSplit/>
          <w:trHeight w:hRule="exact" w:val="737"/>
        </w:trPr>
        <w:tc>
          <w:tcPr>
            <w:tcW w:w="2949" w:type="dxa"/>
            <w:tcBorders>
              <w:top w:val="single" w:sz="4" w:space="0" w:color="000000"/>
              <w:left w:val="single" w:sz="4" w:space="0" w:color="000000"/>
              <w:bottom w:val="single" w:sz="4" w:space="0" w:color="auto"/>
              <w:right w:val="single" w:sz="4" w:space="0" w:color="000000"/>
            </w:tcBorders>
          </w:tcPr>
          <w:p w14:paraId="746B35B2" w14:textId="77777777" w:rsidR="00FE291A" w:rsidRDefault="00C8738F">
            <w:pPr>
              <w:pStyle w:val="TableParagraph"/>
              <w:keepNext/>
              <w:widowControl/>
              <w:kinsoku w:val="0"/>
              <w:overflowPunct w:val="0"/>
              <w:ind w:left="182"/>
              <w:rPr>
                <w:sz w:val="22"/>
                <w:lang w:val="en-US"/>
              </w:rPr>
            </w:pPr>
            <w:r>
              <w:rPr>
                <w:sz w:val="22"/>
                <w:szCs w:val="22"/>
                <w:lang w:val="en-US"/>
              </w:rPr>
              <w:t>Hidradenitis Suppurativa Clinical Response (HiSCR)</w:t>
            </w:r>
            <w:r>
              <w:rPr>
                <w:sz w:val="22"/>
                <w:szCs w:val="22"/>
                <w:vertAlign w:val="superscript"/>
                <w:lang w:val="en-US"/>
              </w:rPr>
              <w:t>a</w:t>
            </w:r>
          </w:p>
        </w:tc>
        <w:tc>
          <w:tcPr>
            <w:tcW w:w="1440" w:type="dxa"/>
            <w:tcBorders>
              <w:top w:val="single" w:sz="4" w:space="0" w:color="000000"/>
              <w:left w:val="single" w:sz="4" w:space="0" w:color="000000"/>
              <w:bottom w:val="single" w:sz="4" w:space="0" w:color="auto"/>
              <w:right w:val="single" w:sz="4" w:space="0" w:color="000000"/>
            </w:tcBorders>
          </w:tcPr>
          <w:p w14:paraId="4FF7F07D" w14:textId="77777777" w:rsidR="00FE291A" w:rsidRDefault="00C8738F">
            <w:pPr>
              <w:pStyle w:val="TableParagraph"/>
              <w:keepNext/>
              <w:widowControl/>
              <w:kinsoku w:val="0"/>
              <w:overflowPunct w:val="0"/>
              <w:jc w:val="center"/>
              <w:rPr>
                <w:sz w:val="22"/>
                <w:szCs w:val="22"/>
                <w:lang w:val="de-DE"/>
              </w:rPr>
            </w:pPr>
            <w:r>
              <w:rPr>
                <w:sz w:val="22"/>
                <w:szCs w:val="22"/>
                <w:lang w:val="de-DE"/>
              </w:rPr>
              <w:t>N = 154</w:t>
            </w:r>
          </w:p>
          <w:p w14:paraId="75D1CAF1" w14:textId="77777777" w:rsidR="00FE291A" w:rsidRDefault="00C8738F">
            <w:pPr>
              <w:pStyle w:val="TableParagraph"/>
              <w:keepNext/>
              <w:widowControl/>
              <w:kinsoku w:val="0"/>
              <w:overflowPunct w:val="0"/>
              <w:jc w:val="center"/>
              <w:rPr>
                <w:sz w:val="22"/>
                <w:lang w:val="de-DE"/>
              </w:rPr>
            </w:pPr>
            <w:r>
              <w:rPr>
                <w:sz w:val="22"/>
                <w:szCs w:val="22"/>
                <w:lang w:val="de-DE"/>
              </w:rPr>
              <w:t>40 (26,0 %)</w:t>
            </w:r>
          </w:p>
        </w:tc>
        <w:tc>
          <w:tcPr>
            <w:tcW w:w="1747" w:type="dxa"/>
            <w:tcBorders>
              <w:top w:val="single" w:sz="4" w:space="0" w:color="000000"/>
              <w:left w:val="single" w:sz="4" w:space="0" w:color="000000"/>
              <w:bottom w:val="single" w:sz="4" w:space="0" w:color="auto"/>
              <w:right w:val="single" w:sz="4" w:space="0" w:color="000000"/>
            </w:tcBorders>
          </w:tcPr>
          <w:p w14:paraId="0C637019" w14:textId="77777777" w:rsidR="00FE291A" w:rsidRDefault="00C8738F">
            <w:pPr>
              <w:pStyle w:val="TableParagraph"/>
              <w:keepNext/>
              <w:widowControl/>
              <w:kinsoku w:val="0"/>
              <w:overflowPunct w:val="0"/>
              <w:jc w:val="center"/>
              <w:rPr>
                <w:sz w:val="22"/>
                <w:szCs w:val="22"/>
                <w:lang w:val="de-DE"/>
              </w:rPr>
            </w:pPr>
            <w:r>
              <w:rPr>
                <w:sz w:val="22"/>
                <w:szCs w:val="22"/>
                <w:lang w:val="de-DE"/>
              </w:rPr>
              <w:t>N = 153</w:t>
            </w:r>
          </w:p>
          <w:p w14:paraId="5DD01BF6" w14:textId="77777777" w:rsidR="00FE291A" w:rsidRDefault="00C8738F">
            <w:pPr>
              <w:pStyle w:val="TableParagraph"/>
              <w:keepNext/>
              <w:widowControl/>
              <w:kinsoku w:val="0"/>
              <w:overflowPunct w:val="0"/>
              <w:jc w:val="center"/>
              <w:rPr>
                <w:sz w:val="22"/>
                <w:lang w:val="de-DE"/>
              </w:rPr>
            </w:pPr>
            <w:r>
              <w:rPr>
                <w:sz w:val="22"/>
                <w:szCs w:val="22"/>
                <w:lang w:val="de-DE"/>
              </w:rPr>
              <w:t>64 (41,8 %)</w:t>
            </w:r>
            <w:r>
              <w:rPr>
                <w:sz w:val="22"/>
                <w:szCs w:val="22"/>
                <w:vertAlign w:val="superscript"/>
                <w:lang w:val="de-DE"/>
              </w:rPr>
              <w:t>*</w:t>
            </w:r>
          </w:p>
        </w:tc>
        <w:tc>
          <w:tcPr>
            <w:tcW w:w="1404" w:type="dxa"/>
            <w:tcBorders>
              <w:top w:val="single" w:sz="4" w:space="0" w:color="000000"/>
              <w:left w:val="single" w:sz="4" w:space="0" w:color="000000"/>
              <w:bottom w:val="single" w:sz="4" w:space="0" w:color="auto"/>
              <w:right w:val="single" w:sz="4" w:space="0" w:color="000000"/>
            </w:tcBorders>
          </w:tcPr>
          <w:p w14:paraId="13CDA501" w14:textId="77777777" w:rsidR="00FE291A" w:rsidRDefault="00C8738F">
            <w:pPr>
              <w:pStyle w:val="TableParagraph"/>
              <w:keepNext/>
              <w:widowControl/>
              <w:kinsoku w:val="0"/>
              <w:overflowPunct w:val="0"/>
              <w:jc w:val="center"/>
              <w:rPr>
                <w:sz w:val="22"/>
                <w:szCs w:val="22"/>
                <w:lang w:val="de-DE"/>
              </w:rPr>
            </w:pPr>
            <w:r>
              <w:rPr>
                <w:sz w:val="22"/>
                <w:szCs w:val="22"/>
                <w:lang w:val="de-DE"/>
              </w:rPr>
              <w:t>N = 163</w:t>
            </w:r>
          </w:p>
          <w:p w14:paraId="533FDBC6" w14:textId="77777777" w:rsidR="00FE291A" w:rsidRDefault="00C8738F">
            <w:pPr>
              <w:pStyle w:val="TableParagraph"/>
              <w:keepNext/>
              <w:widowControl/>
              <w:kinsoku w:val="0"/>
              <w:overflowPunct w:val="0"/>
              <w:jc w:val="center"/>
              <w:rPr>
                <w:sz w:val="22"/>
                <w:lang w:val="de-DE"/>
              </w:rPr>
            </w:pPr>
            <w:r>
              <w:rPr>
                <w:sz w:val="22"/>
                <w:szCs w:val="22"/>
                <w:lang w:val="de-DE"/>
              </w:rPr>
              <w:t>45 (27,6 %)</w:t>
            </w:r>
          </w:p>
        </w:tc>
        <w:tc>
          <w:tcPr>
            <w:tcW w:w="1855" w:type="dxa"/>
            <w:tcBorders>
              <w:top w:val="single" w:sz="4" w:space="0" w:color="000000"/>
              <w:left w:val="single" w:sz="4" w:space="0" w:color="000000"/>
              <w:bottom w:val="single" w:sz="4" w:space="0" w:color="auto"/>
              <w:right w:val="single" w:sz="4" w:space="0" w:color="000000"/>
            </w:tcBorders>
          </w:tcPr>
          <w:p w14:paraId="53DF0E8C" w14:textId="77777777" w:rsidR="00FE291A" w:rsidRDefault="00C8738F">
            <w:pPr>
              <w:pStyle w:val="TableParagraph"/>
              <w:keepNext/>
              <w:widowControl/>
              <w:kinsoku w:val="0"/>
              <w:overflowPunct w:val="0"/>
              <w:jc w:val="center"/>
              <w:rPr>
                <w:sz w:val="22"/>
                <w:szCs w:val="22"/>
                <w:lang w:val="de-DE"/>
              </w:rPr>
            </w:pPr>
            <w:r>
              <w:rPr>
                <w:sz w:val="22"/>
                <w:szCs w:val="22"/>
                <w:lang w:val="de-DE"/>
              </w:rPr>
              <w:t>N = 163</w:t>
            </w:r>
          </w:p>
          <w:p w14:paraId="2F3E05F9" w14:textId="77777777" w:rsidR="00FE291A" w:rsidRDefault="00C8738F">
            <w:pPr>
              <w:pStyle w:val="TableParagraph"/>
              <w:keepNext/>
              <w:widowControl/>
              <w:kinsoku w:val="0"/>
              <w:overflowPunct w:val="0"/>
              <w:jc w:val="center"/>
              <w:rPr>
                <w:sz w:val="22"/>
                <w:lang w:val="de-DE"/>
              </w:rPr>
            </w:pPr>
            <w:r>
              <w:rPr>
                <w:sz w:val="22"/>
                <w:szCs w:val="22"/>
                <w:lang w:val="de-DE"/>
              </w:rPr>
              <w:t>96 (58,9 %)</w:t>
            </w:r>
            <w:r>
              <w:rPr>
                <w:sz w:val="22"/>
                <w:szCs w:val="22"/>
                <w:vertAlign w:val="superscript"/>
                <w:lang w:val="de-DE"/>
              </w:rPr>
              <w:t>***</w:t>
            </w:r>
          </w:p>
        </w:tc>
      </w:tr>
      <w:tr w:rsidR="00FE291A" w14:paraId="7B71B769" w14:textId="77777777">
        <w:trPr>
          <w:cantSplit/>
          <w:trHeight w:hRule="exact" w:val="737"/>
        </w:trPr>
        <w:tc>
          <w:tcPr>
            <w:tcW w:w="2949" w:type="dxa"/>
            <w:tcBorders>
              <w:top w:val="single" w:sz="4" w:space="0" w:color="auto"/>
              <w:left w:val="single" w:sz="4" w:space="0" w:color="auto"/>
              <w:bottom w:val="single" w:sz="4" w:space="0" w:color="auto"/>
              <w:right w:val="single" w:sz="4" w:space="0" w:color="auto"/>
            </w:tcBorders>
          </w:tcPr>
          <w:p w14:paraId="0A638A9F" w14:textId="77777777" w:rsidR="00FE291A" w:rsidRDefault="00C8738F">
            <w:pPr>
              <w:pStyle w:val="TableParagraph"/>
              <w:keepNext/>
              <w:widowControl/>
              <w:kinsoku w:val="0"/>
              <w:overflowPunct w:val="0"/>
              <w:ind w:left="182"/>
              <w:rPr>
                <w:sz w:val="22"/>
                <w:lang w:val="de-DE"/>
              </w:rPr>
            </w:pPr>
            <w:r>
              <w:rPr>
                <w:sz w:val="22"/>
                <w:szCs w:val="22"/>
                <w:lang w:val="de-DE"/>
              </w:rPr>
              <w:t>≥ 30 %ige Verringerung der Hautschmerzen</w:t>
            </w:r>
            <w:r>
              <w:rPr>
                <w:sz w:val="22"/>
                <w:szCs w:val="22"/>
                <w:vertAlign w:val="superscript"/>
                <w:lang w:val="de-DE"/>
              </w:rPr>
              <w:t>b</w:t>
            </w:r>
          </w:p>
        </w:tc>
        <w:tc>
          <w:tcPr>
            <w:tcW w:w="1440" w:type="dxa"/>
            <w:tcBorders>
              <w:top w:val="single" w:sz="4" w:space="0" w:color="auto"/>
              <w:left w:val="single" w:sz="4" w:space="0" w:color="auto"/>
              <w:bottom w:val="single" w:sz="4" w:space="0" w:color="auto"/>
              <w:right w:val="single" w:sz="4" w:space="0" w:color="auto"/>
            </w:tcBorders>
          </w:tcPr>
          <w:p w14:paraId="27C9B2FB" w14:textId="77777777" w:rsidR="00FE291A" w:rsidRDefault="00C8738F">
            <w:pPr>
              <w:pStyle w:val="TableParagraph"/>
              <w:keepNext/>
              <w:widowControl/>
              <w:kinsoku w:val="0"/>
              <w:overflowPunct w:val="0"/>
              <w:jc w:val="center"/>
              <w:rPr>
                <w:sz w:val="22"/>
                <w:szCs w:val="22"/>
                <w:lang w:val="de-DE"/>
              </w:rPr>
            </w:pPr>
            <w:r>
              <w:rPr>
                <w:sz w:val="22"/>
                <w:szCs w:val="22"/>
                <w:lang w:val="de-DE"/>
              </w:rPr>
              <w:t>N = 109</w:t>
            </w:r>
          </w:p>
          <w:p w14:paraId="7FE40A04" w14:textId="77777777" w:rsidR="00FE291A" w:rsidRDefault="00C8738F">
            <w:pPr>
              <w:pStyle w:val="TableParagraph"/>
              <w:keepNext/>
              <w:widowControl/>
              <w:kinsoku w:val="0"/>
              <w:overflowPunct w:val="0"/>
              <w:jc w:val="center"/>
              <w:rPr>
                <w:sz w:val="22"/>
                <w:lang w:val="de-DE"/>
              </w:rPr>
            </w:pPr>
            <w:r>
              <w:rPr>
                <w:sz w:val="22"/>
                <w:szCs w:val="22"/>
                <w:lang w:val="de-DE"/>
              </w:rPr>
              <w:t>27 (24,8 %)</w:t>
            </w:r>
          </w:p>
        </w:tc>
        <w:tc>
          <w:tcPr>
            <w:tcW w:w="1747" w:type="dxa"/>
            <w:tcBorders>
              <w:top w:val="single" w:sz="4" w:space="0" w:color="auto"/>
              <w:left w:val="single" w:sz="4" w:space="0" w:color="auto"/>
              <w:bottom w:val="single" w:sz="4" w:space="0" w:color="auto"/>
              <w:right w:val="single" w:sz="4" w:space="0" w:color="auto"/>
            </w:tcBorders>
          </w:tcPr>
          <w:p w14:paraId="6A613C8D" w14:textId="77777777" w:rsidR="00FE291A" w:rsidRDefault="00C8738F">
            <w:pPr>
              <w:pStyle w:val="TableParagraph"/>
              <w:keepNext/>
              <w:widowControl/>
              <w:kinsoku w:val="0"/>
              <w:overflowPunct w:val="0"/>
              <w:jc w:val="center"/>
              <w:rPr>
                <w:sz w:val="22"/>
                <w:szCs w:val="22"/>
                <w:lang w:val="de-DE"/>
              </w:rPr>
            </w:pPr>
            <w:r>
              <w:rPr>
                <w:sz w:val="22"/>
                <w:szCs w:val="22"/>
                <w:lang w:val="de-DE"/>
              </w:rPr>
              <w:t>N = 122</w:t>
            </w:r>
          </w:p>
          <w:p w14:paraId="2F5CEC3A" w14:textId="77777777" w:rsidR="00FE291A" w:rsidRDefault="00C8738F">
            <w:pPr>
              <w:pStyle w:val="TableParagraph"/>
              <w:keepNext/>
              <w:widowControl/>
              <w:kinsoku w:val="0"/>
              <w:overflowPunct w:val="0"/>
              <w:jc w:val="center"/>
              <w:rPr>
                <w:sz w:val="22"/>
                <w:lang w:val="de-DE"/>
              </w:rPr>
            </w:pPr>
            <w:r>
              <w:rPr>
                <w:sz w:val="22"/>
                <w:szCs w:val="22"/>
                <w:lang w:val="de-DE"/>
              </w:rPr>
              <w:t>34 (27,9 %)</w:t>
            </w:r>
          </w:p>
        </w:tc>
        <w:tc>
          <w:tcPr>
            <w:tcW w:w="1404" w:type="dxa"/>
            <w:tcBorders>
              <w:top w:val="single" w:sz="4" w:space="0" w:color="auto"/>
              <w:left w:val="single" w:sz="4" w:space="0" w:color="auto"/>
              <w:bottom w:val="single" w:sz="4" w:space="0" w:color="auto"/>
              <w:right w:val="single" w:sz="4" w:space="0" w:color="auto"/>
            </w:tcBorders>
          </w:tcPr>
          <w:p w14:paraId="1ADF4257" w14:textId="77777777" w:rsidR="00FE291A" w:rsidRDefault="00C8738F">
            <w:pPr>
              <w:pStyle w:val="TableParagraph"/>
              <w:keepNext/>
              <w:widowControl/>
              <w:kinsoku w:val="0"/>
              <w:overflowPunct w:val="0"/>
              <w:jc w:val="center"/>
              <w:rPr>
                <w:sz w:val="22"/>
                <w:szCs w:val="22"/>
                <w:lang w:val="de-DE"/>
              </w:rPr>
            </w:pPr>
            <w:r>
              <w:rPr>
                <w:sz w:val="22"/>
                <w:szCs w:val="22"/>
                <w:lang w:val="de-DE"/>
              </w:rPr>
              <w:t>N = 111</w:t>
            </w:r>
          </w:p>
          <w:p w14:paraId="0200D236" w14:textId="77777777" w:rsidR="00FE291A" w:rsidRDefault="00C8738F">
            <w:pPr>
              <w:pStyle w:val="TableParagraph"/>
              <w:keepNext/>
              <w:widowControl/>
              <w:kinsoku w:val="0"/>
              <w:overflowPunct w:val="0"/>
              <w:jc w:val="center"/>
              <w:rPr>
                <w:sz w:val="22"/>
                <w:lang w:val="de-DE"/>
              </w:rPr>
            </w:pPr>
            <w:r>
              <w:rPr>
                <w:sz w:val="22"/>
                <w:szCs w:val="22"/>
                <w:lang w:val="de-DE"/>
              </w:rPr>
              <w:t>23 (20,7 %)</w:t>
            </w:r>
          </w:p>
        </w:tc>
        <w:tc>
          <w:tcPr>
            <w:tcW w:w="1855" w:type="dxa"/>
            <w:tcBorders>
              <w:top w:val="single" w:sz="4" w:space="0" w:color="auto"/>
              <w:left w:val="single" w:sz="4" w:space="0" w:color="auto"/>
              <w:bottom w:val="single" w:sz="4" w:space="0" w:color="auto"/>
              <w:right w:val="single" w:sz="4" w:space="0" w:color="auto"/>
            </w:tcBorders>
          </w:tcPr>
          <w:p w14:paraId="748D037B" w14:textId="77777777" w:rsidR="00FE291A" w:rsidRDefault="00C8738F">
            <w:pPr>
              <w:pStyle w:val="TableParagraph"/>
              <w:keepNext/>
              <w:widowControl/>
              <w:kinsoku w:val="0"/>
              <w:overflowPunct w:val="0"/>
              <w:jc w:val="center"/>
              <w:rPr>
                <w:sz w:val="22"/>
                <w:szCs w:val="22"/>
                <w:lang w:val="de-DE"/>
              </w:rPr>
            </w:pPr>
            <w:r>
              <w:rPr>
                <w:sz w:val="22"/>
                <w:szCs w:val="22"/>
                <w:lang w:val="de-DE"/>
              </w:rPr>
              <w:t>N = 105</w:t>
            </w:r>
          </w:p>
          <w:p w14:paraId="60CB89C8" w14:textId="77777777" w:rsidR="00FE291A" w:rsidRDefault="00C8738F">
            <w:pPr>
              <w:pStyle w:val="TableParagraph"/>
              <w:keepNext/>
              <w:widowControl/>
              <w:kinsoku w:val="0"/>
              <w:overflowPunct w:val="0"/>
              <w:jc w:val="center"/>
              <w:rPr>
                <w:sz w:val="22"/>
                <w:lang w:val="de-DE"/>
              </w:rPr>
            </w:pPr>
            <w:r>
              <w:rPr>
                <w:sz w:val="22"/>
                <w:szCs w:val="22"/>
                <w:lang w:val="de-DE"/>
              </w:rPr>
              <w:t>48 (45,7 %)</w:t>
            </w:r>
            <w:r>
              <w:rPr>
                <w:sz w:val="22"/>
                <w:szCs w:val="22"/>
                <w:vertAlign w:val="superscript"/>
                <w:lang w:val="de-DE"/>
              </w:rPr>
              <w:t>***</w:t>
            </w:r>
          </w:p>
        </w:tc>
      </w:tr>
      <w:tr w:rsidR="00FE291A" w14:paraId="3E84C572" w14:textId="77777777">
        <w:trPr>
          <w:cantSplit/>
          <w:trHeight w:hRule="exact" w:val="28"/>
        </w:trPr>
        <w:tc>
          <w:tcPr>
            <w:tcW w:w="2949" w:type="dxa"/>
            <w:tcBorders>
              <w:top w:val="single" w:sz="4" w:space="0" w:color="auto"/>
              <w:left w:val="single" w:sz="4" w:space="0" w:color="auto"/>
              <w:right w:val="single" w:sz="4" w:space="0" w:color="auto"/>
            </w:tcBorders>
          </w:tcPr>
          <w:p w14:paraId="54963DB7" w14:textId="77777777" w:rsidR="00FE291A" w:rsidRDefault="00FE291A">
            <w:pPr>
              <w:pStyle w:val="TableParagraph"/>
              <w:keepNext/>
              <w:widowControl/>
              <w:kinsoku w:val="0"/>
              <w:overflowPunct w:val="0"/>
              <w:jc w:val="center"/>
              <w:rPr>
                <w:sz w:val="22"/>
                <w:szCs w:val="22"/>
                <w:lang w:val="de-DE"/>
              </w:rPr>
            </w:pPr>
          </w:p>
        </w:tc>
        <w:tc>
          <w:tcPr>
            <w:tcW w:w="1440" w:type="dxa"/>
            <w:tcBorders>
              <w:top w:val="single" w:sz="4" w:space="0" w:color="auto"/>
              <w:left w:val="single" w:sz="4" w:space="0" w:color="auto"/>
              <w:right w:val="single" w:sz="4" w:space="0" w:color="auto"/>
            </w:tcBorders>
          </w:tcPr>
          <w:p w14:paraId="22CA7803" w14:textId="77777777" w:rsidR="00FE291A" w:rsidRDefault="00FE291A">
            <w:pPr>
              <w:pStyle w:val="TableParagraph"/>
              <w:keepNext/>
              <w:widowControl/>
              <w:kinsoku w:val="0"/>
              <w:overflowPunct w:val="0"/>
              <w:jc w:val="center"/>
              <w:rPr>
                <w:sz w:val="22"/>
                <w:szCs w:val="22"/>
                <w:lang w:val="de-DE"/>
              </w:rPr>
            </w:pPr>
          </w:p>
        </w:tc>
        <w:tc>
          <w:tcPr>
            <w:tcW w:w="1747" w:type="dxa"/>
            <w:tcBorders>
              <w:top w:val="single" w:sz="4" w:space="0" w:color="auto"/>
              <w:left w:val="single" w:sz="4" w:space="0" w:color="auto"/>
              <w:right w:val="single" w:sz="4" w:space="0" w:color="auto"/>
            </w:tcBorders>
          </w:tcPr>
          <w:p w14:paraId="4C6ADF75" w14:textId="77777777" w:rsidR="00FE291A" w:rsidRDefault="00FE291A">
            <w:pPr>
              <w:pStyle w:val="TableParagraph"/>
              <w:keepNext/>
              <w:widowControl/>
              <w:kinsoku w:val="0"/>
              <w:overflowPunct w:val="0"/>
              <w:jc w:val="center"/>
              <w:rPr>
                <w:sz w:val="22"/>
                <w:szCs w:val="22"/>
                <w:lang w:val="de-DE"/>
              </w:rPr>
            </w:pPr>
          </w:p>
        </w:tc>
        <w:tc>
          <w:tcPr>
            <w:tcW w:w="1404" w:type="dxa"/>
            <w:tcBorders>
              <w:top w:val="single" w:sz="4" w:space="0" w:color="auto"/>
              <w:left w:val="single" w:sz="4" w:space="0" w:color="auto"/>
              <w:right w:val="single" w:sz="4" w:space="0" w:color="auto"/>
            </w:tcBorders>
          </w:tcPr>
          <w:p w14:paraId="3B0B7993" w14:textId="77777777" w:rsidR="00FE291A" w:rsidRDefault="00FE291A">
            <w:pPr>
              <w:pStyle w:val="TableParagraph"/>
              <w:keepNext/>
              <w:widowControl/>
              <w:kinsoku w:val="0"/>
              <w:overflowPunct w:val="0"/>
              <w:jc w:val="center"/>
              <w:rPr>
                <w:sz w:val="22"/>
                <w:szCs w:val="22"/>
                <w:lang w:val="de-DE"/>
              </w:rPr>
            </w:pPr>
          </w:p>
        </w:tc>
        <w:tc>
          <w:tcPr>
            <w:tcW w:w="1855" w:type="dxa"/>
            <w:tcBorders>
              <w:top w:val="single" w:sz="4" w:space="0" w:color="auto"/>
              <w:left w:val="single" w:sz="4" w:space="0" w:color="auto"/>
              <w:right w:val="single" w:sz="4" w:space="0" w:color="auto"/>
            </w:tcBorders>
          </w:tcPr>
          <w:p w14:paraId="4243CFB9" w14:textId="77777777" w:rsidR="00FE291A" w:rsidRDefault="00FE291A">
            <w:pPr>
              <w:pStyle w:val="TableParagraph"/>
              <w:keepNext/>
              <w:widowControl/>
              <w:kinsoku w:val="0"/>
              <w:overflowPunct w:val="0"/>
              <w:jc w:val="center"/>
              <w:rPr>
                <w:sz w:val="22"/>
                <w:szCs w:val="22"/>
                <w:lang w:val="de-DE"/>
              </w:rPr>
            </w:pPr>
          </w:p>
        </w:tc>
      </w:tr>
      <w:tr w:rsidR="00FE291A" w:rsidRPr="00723069" w14:paraId="48E2178B" w14:textId="77777777">
        <w:trPr>
          <w:cantSplit/>
          <w:trHeight w:hRule="exact" w:val="1262"/>
        </w:trPr>
        <w:tc>
          <w:tcPr>
            <w:tcW w:w="9395" w:type="dxa"/>
            <w:gridSpan w:val="5"/>
          </w:tcPr>
          <w:p w14:paraId="06978D12" w14:textId="77777777" w:rsidR="00FE291A" w:rsidRDefault="00C8738F">
            <w:pPr>
              <w:pStyle w:val="TableParagraph"/>
              <w:keepNext/>
              <w:widowControl/>
              <w:kinsoku w:val="0"/>
              <w:overflowPunct w:val="0"/>
              <w:rPr>
                <w:sz w:val="20"/>
                <w:szCs w:val="20"/>
                <w:lang w:val="de-DE"/>
              </w:rPr>
            </w:pPr>
            <w:r>
              <w:rPr>
                <w:sz w:val="20"/>
                <w:szCs w:val="20"/>
                <w:lang w:val="de-DE"/>
              </w:rPr>
              <w:t xml:space="preserve">* </w:t>
            </w:r>
            <w:r>
              <w:rPr>
                <w:iCs/>
                <w:sz w:val="20"/>
                <w:szCs w:val="20"/>
                <w:lang w:val="de-DE"/>
              </w:rPr>
              <w:t xml:space="preserve">p </w:t>
            </w:r>
            <w:r>
              <w:rPr>
                <w:sz w:val="20"/>
                <w:szCs w:val="20"/>
                <w:lang w:val="de-DE"/>
              </w:rPr>
              <w:t xml:space="preserve">&lt; 0,05, *** </w:t>
            </w:r>
            <w:r>
              <w:rPr>
                <w:iCs/>
                <w:sz w:val="20"/>
                <w:szCs w:val="20"/>
                <w:lang w:val="de-DE"/>
              </w:rPr>
              <w:t xml:space="preserve">p </w:t>
            </w:r>
            <w:r>
              <w:rPr>
                <w:sz w:val="20"/>
                <w:szCs w:val="20"/>
                <w:lang w:val="de-DE"/>
              </w:rPr>
              <w:t>&lt; 0,001, Adalimumab gegenüber Placebo</w:t>
            </w:r>
          </w:p>
          <w:p w14:paraId="7F0B992B" w14:textId="77777777" w:rsidR="00FE291A" w:rsidRDefault="00C8738F">
            <w:pPr>
              <w:pStyle w:val="ListParagraph"/>
              <w:keepNext/>
              <w:widowControl/>
              <w:tabs>
                <w:tab w:val="left" w:pos="531"/>
              </w:tabs>
              <w:kinsoku w:val="0"/>
              <w:overflowPunct w:val="0"/>
              <w:rPr>
                <w:sz w:val="20"/>
                <w:szCs w:val="20"/>
                <w:lang w:val="de-DE"/>
              </w:rPr>
            </w:pPr>
            <w:r>
              <w:rPr>
                <w:sz w:val="20"/>
                <w:szCs w:val="20"/>
                <w:vertAlign w:val="superscript"/>
                <w:lang w:val="de-DE"/>
              </w:rPr>
              <w:t>a</w:t>
            </w:r>
            <w:r>
              <w:rPr>
                <w:sz w:val="20"/>
                <w:szCs w:val="20"/>
                <w:lang w:val="de-DE"/>
              </w:rPr>
              <w:t xml:space="preserve"> Unter allen randomisierten Patienten</w:t>
            </w:r>
          </w:p>
          <w:p w14:paraId="7AFFF836" w14:textId="77777777" w:rsidR="00FE291A" w:rsidRDefault="00C8738F">
            <w:pPr>
              <w:pStyle w:val="ListParagraph"/>
              <w:keepNext/>
              <w:widowControl/>
              <w:tabs>
                <w:tab w:val="left" w:pos="531"/>
              </w:tabs>
              <w:kinsoku w:val="0"/>
              <w:overflowPunct w:val="0"/>
              <w:rPr>
                <w:sz w:val="22"/>
                <w:lang w:val="de-DE"/>
              </w:rPr>
            </w:pPr>
            <w:r>
              <w:rPr>
                <w:sz w:val="20"/>
                <w:szCs w:val="20"/>
                <w:vertAlign w:val="superscript"/>
                <w:lang w:val="de-DE"/>
              </w:rPr>
              <w:t>b</w:t>
            </w:r>
            <w:r>
              <w:rPr>
                <w:sz w:val="20"/>
                <w:szCs w:val="20"/>
                <w:lang w:val="de-DE"/>
              </w:rPr>
              <w:t xml:space="preserve"> Unter den Patienten mit einer anfänglichen Einstufung der HS-bezogenen Hautschmerzen ≥ 3 auf Basis einer numerischen Bewertungsskala von 0 bis 10; 0 = keine Hautschmerzen, 10 = die schlimmsten vorstellbaren Hautschmerzen.</w:t>
            </w:r>
          </w:p>
        </w:tc>
      </w:tr>
    </w:tbl>
    <w:p w14:paraId="24AE06F0" w14:textId="77777777" w:rsidR="00FE291A" w:rsidRDefault="00FE291A">
      <w:pPr>
        <w:pStyle w:val="BodyText"/>
        <w:widowControl/>
        <w:kinsoku w:val="0"/>
        <w:overflowPunct w:val="0"/>
        <w:ind w:left="0"/>
        <w:rPr>
          <w:lang w:val="de-DE"/>
        </w:rPr>
      </w:pPr>
    </w:p>
    <w:p w14:paraId="434CFE0D" w14:textId="77777777" w:rsidR="00FE291A" w:rsidRDefault="00C8738F">
      <w:pPr>
        <w:pStyle w:val="BodyText"/>
        <w:widowControl/>
        <w:kinsoku w:val="0"/>
        <w:overflowPunct w:val="0"/>
        <w:ind w:left="0"/>
        <w:rPr>
          <w:lang w:val="de-DE"/>
        </w:rPr>
      </w:pPr>
      <w:r>
        <w:rPr>
          <w:lang w:val="de-DE"/>
        </w:rPr>
        <w:t>Die Behandlung mit Adalimumab 40 mg wöchentlich führte zu einer signifikanten Verringerung des Risikos einer Verschlimmerung von Abszessen und dränierenden Fisteln. Etwa doppelt so viele Patienten in der Placebogruppe wiesen im Vergleich zur Adalimumab-Gruppe in den ersten 12 Wochen der Studien HS-I und HS-II eine Verschlimmerung der Abszesse (23,0 % gegenüber 11,4 %) und dränierenden Fisteln (30,0 % gegenüber 13,9 %) auf.</w:t>
      </w:r>
    </w:p>
    <w:p w14:paraId="7BBB22E5" w14:textId="77777777" w:rsidR="00FE291A" w:rsidRDefault="00FE291A">
      <w:pPr>
        <w:widowControl/>
        <w:kinsoku w:val="0"/>
        <w:overflowPunct w:val="0"/>
        <w:rPr>
          <w:sz w:val="22"/>
          <w:szCs w:val="22"/>
          <w:lang w:val="de-DE"/>
        </w:rPr>
      </w:pPr>
    </w:p>
    <w:p w14:paraId="553693CA" w14:textId="77777777" w:rsidR="00FE291A" w:rsidRDefault="00C8738F">
      <w:pPr>
        <w:widowControl/>
        <w:kinsoku w:val="0"/>
        <w:overflowPunct w:val="0"/>
        <w:rPr>
          <w:sz w:val="22"/>
          <w:szCs w:val="22"/>
          <w:lang w:val="de-DE"/>
        </w:rPr>
      </w:pPr>
      <w:r>
        <w:rPr>
          <w:sz w:val="22"/>
          <w:szCs w:val="22"/>
          <w:lang w:val="de-DE"/>
        </w:rPr>
        <w:t xml:space="preserve">In Woche 12 wurden gegenüber den Ausgangswerten im Vergleich zu Placebo größere Verbesserungen hinsichtlich der anhand des </w:t>
      </w:r>
      <w:r>
        <w:rPr>
          <w:i/>
          <w:iCs/>
          <w:sz w:val="22"/>
          <w:szCs w:val="22"/>
          <w:lang w:val="de-DE"/>
        </w:rPr>
        <w:t xml:space="preserve">Dermatology Life Quality Index </w:t>
      </w:r>
      <w:r>
        <w:rPr>
          <w:sz w:val="22"/>
          <w:szCs w:val="22"/>
          <w:lang w:val="de-DE"/>
        </w:rPr>
        <w:t xml:space="preserve">(DLQI; Studien HS-I und HS-II) gemessenen hautspezifischen gesundheitsbezogenen Lebensqualität, der anhand des </w:t>
      </w:r>
      <w:r>
        <w:rPr>
          <w:i/>
          <w:iCs/>
          <w:sz w:val="22"/>
          <w:szCs w:val="22"/>
          <w:lang w:val="de-DE"/>
        </w:rPr>
        <w:t xml:space="preserve">Treatment Satisfaction Questionnaire – Medication </w:t>
      </w:r>
      <w:r>
        <w:rPr>
          <w:sz w:val="22"/>
          <w:szCs w:val="22"/>
          <w:lang w:val="de-DE"/>
        </w:rPr>
        <w:t xml:space="preserve">(TSQM; Studie HS-I und HS-II) gemessenen allgemeinen Zufriedenheit der Patienten mit der medikamentösen Behandlung und der anhand des </w:t>
      </w:r>
      <w:r>
        <w:rPr>
          <w:i/>
          <w:iCs/>
          <w:sz w:val="22"/>
          <w:szCs w:val="22"/>
          <w:lang w:val="de-DE"/>
        </w:rPr>
        <w:t xml:space="preserve">Physical Component Summary Score </w:t>
      </w:r>
      <w:r>
        <w:rPr>
          <w:sz w:val="22"/>
          <w:szCs w:val="22"/>
          <w:lang w:val="de-DE"/>
        </w:rPr>
        <w:t>des SF-36-Fragebogens (Studie HS-I) gemessenen körperlichen Gesundheit festgestellt.</w:t>
      </w:r>
    </w:p>
    <w:p w14:paraId="29D09C1A" w14:textId="77777777" w:rsidR="00FE291A" w:rsidRDefault="00FE291A">
      <w:pPr>
        <w:widowControl/>
        <w:kinsoku w:val="0"/>
        <w:overflowPunct w:val="0"/>
        <w:rPr>
          <w:sz w:val="22"/>
          <w:szCs w:val="22"/>
          <w:lang w:val="de-DE"/>
        </w:rPr>
      </w:pPr>
    </w:p>
    <w:p w14:paraId="4301649E" w14:textId="77777777" w:rsidR="00FE291A" w:rsidRDefault="00C8738F">
      <w:pPr>
        <w:pStyle w:val="BodyText"/>
        <w:widowControl/>
        <w:kinsoku w:val="0"/>
        <w:overflowPunct w:val="0"/>
        <w:ind w:left="0"/>
        <w:rPr>
          <w:lang w:val="de-DE"/>
        </w:rPr>
      </w:pPr>
      <w:r>
        <w:rPr>
          <w:lang w:val="de-DE"/>
        </w:rPr>
        <w:t>Unter den Patienten, die in Woche 12 mindestens teilweise auf die Behandlung mit Adalimumab 40 mg wöchentlich angesprochen haben, war die HiSCR-Rate in Woche 36 höher bei Patienten, die weiterhin wöchentlich mit Adalimumab behandelt wurden, als bei Patienten, deren Dosisintervall auf jede zweite Woche reduziert wurde oder bei denen die Behandlung abgesetzt wurde (siehe Tabelle 20).</w:t>
      </w:r>
    </w:p>
    <w:p w14:paraId="277DCCB4" w14:textId="77777777" w:rsidR="00FE291A" w:rsidRDefault="00FE291A">
      <w:pPr>
        <w:pStyle w:val="BodyText"/>
        <w:widowControl/>
        <w:kinsoku w:val="0"/>
        <w:overflowPunct w:val="0"/>
        <w:ind w:left="0"/>
        <w:rPr>
          <w:lang w:val="de-DE"/>
        </w:rPr>
      </w:pPr>
    </w:p>
    <w:p w14:paraId="2022DDEC" w14:textId="77777777" w:rsidR="00FE291A" w:rsidRDefault="00C8738F">
      <w:pPr>
        <w:pStyle w:val="Heading1"/>
        <w:keepNext/>
        <w:widowControl/>
        <w:kinsoku w:val="0"/>
        <w:overflowPunct w:val="0"/>
        <w:ind w:left="0"/>
        <w:rPr>
          <w:lang w:val="de-DE"/>
        </w:rPr>
      </w:pPr>
      <w:r>
        <w:rPr>
          <w:lang w:val="de-DE"/>
        </w:rPr>
        <w:t>Tabelle 20: Anteil der Patienten</w:t>
      </w:r>
      <w:r>
        <w:rPr>
          <w:vertAlign w:val="superscript"/>
          <w:lang w:val="de-DE"/>
        </w:rPr>
        <w:t>a</w:t>
      </w:r>
      <w:r>
        <w:rPr>
          <w:lang w:val="de-DE"/>
        </w:rPr>
        <w:t xml:space="preserve"> unter wöchentlicher Behandlung mit Adalimumab in Woche 12, die nach Neuzuweisung der Behandlung HiSCR</w:t>
      </w:r>
      <w:r>
        <w:rPr>
          <w:vertAlign w:val="superscript"/>
          <w:lang w:val="de-DE"/>
        </w:rPr>
        <w:t>b</w:t>
      </w:r>
      <w:r>
        <w:rPr>
          <w:lang w:val="de-DE"/>
        </w:rPr>
        <w:t xml:space="preserve"> in Woche 24 und 36 erreichten</w:t>
      </w:r>
    </w:p>
    <w:p w14:paraId="74A879FA" w14:textId="77777777" w:rsidR="00FE291A" w:rsidRDefault="00FE291A">
      <w:pPr>
        <w:keepNext/>
        <w:widowControl/>
        <w:kinsoku w:val="0"/>
        <w:overflowPunct w:val="0"/>
        <w:rPr>
          <w:sz w:val="22"/>
          <w:lang w:val="de-DE"/>
        </w:rPr>
      </w:pPr>
    </w:p>
    <w:tbl>
      <w:tblPr>
        <w:tblW w:w="0" w:type="auto"/>
        <w:tblInd w:w="5" w:type="dxa"/>
        <w:tblLayout w:type="fixed"/>
        <w:tblCellMar>
          <w:left w:w="0" w:type="dxa"/>
          <w:right w:w="0" w:type="dxa"/>
        </w:tblCellMar>
        <w:tblLook w:val="04A0" w:firstRow="1" w:lastRow="0" w:firstColumn="1" w:lastColumn="0" w:noHBand="0" w:noVBand="1"/>
      </w:tblPr>
      <w:tblGrid>
        <w:gridCol w:w="1438"/>
        <w:gridCol w:w="2531"/>
        <w:gridCol w:w="2694"/>
        <w:gridCol w:w="2409"/>
      </w:tblGrid>
      <w:tr w:rsidR="00FE291A" w14:paraId="5DD40E49" w14:textId="77777777">
        <w:trPr>
          <w:cantSplit/>
          <w:trHeight w:hRule="exact" w:val="1046"/>
        </w:trPr>
        <w:tc>
          <w:tcPr>
            <w:tcW w:w="1438" w:type="dxa"/>
            <w:tcBorders>
              <w:top w:val="single" w:sz="4" w:space="0" w:color="000000"/>
              <w:left w:val="single" w:sz="4" w:space="0" w:color="000000"/>
              <w:bottom w:val="single" w:sz="4" w:space="0" w:color="000000"/>
              <w:right w:val="single" w:sz="4" w:space="0" w:color="000000"/>
            </w:tcBorders>
          </w:tcPr>
          <w:p w14:paraId="7E5C6474" w14:textId="77777777" w:rsidR="00FE291A" w:rsidRDefault="00FE291A">
            <w:pPr>
              <w:keepNext/>
              <w:widowControl/>
              <w:rPr>
                <w:sz w:val="22"/>
                <w:szCs w:val="22"/>
                <w:lang w:val="de-DE"/>
              </w:rPr>
            </w:pPr>
          </w:p>
        </w:tc>
        <w:tc>
          <w:tcPr>
            <w:tcW w:w="2531" w:type="dxa"/>
            <w:tcBorders>
              <w:top w:val="single" w:sz="4" w:space="0" w:color="000000"/>
              <w:left w:val="single" w:sz="4" w:space="0" w:color="000000"/>
              <w:bottom w:val="single" w:sz="4" w:space="0" w:color="000000"/>
              <w:right w:val="single" w:sz="4" w:space="0" w:color="000000"/>
            </w:tcBorders>
          </w:tcPr>
          <w:p w14:paraId="3986A110" w14:textId="77777777" w:rsidR="00FE291A" w:rsidRDefault="00C8738F">
            <w:pPr>
              <w:pStyle w:val="TableParagraph"/>
              <w:keepNext/>
              <w:widowControl/>
              <w:kinsoku w:val="0"/>
              <w:overflowPunct w:val="0"/>
              <w:jc w:val="center"/>
              <w:rPr>
                <w:sz w:val="22"/>
                <w:szCs w:val="22"/>
                <w:lang w:val="de-DE"/>
              </w:rPr>
            </w:pPr>
            <w:r>
              <w:rPr>
                <w:b/>
                <w:bCs/>
                <w:sz w:val="22"/>
                <w:szCs w:val="22"/>
                <w:lang w:val="de-DE"/>
              </w:rPr>
              <w:t>Placebo (Behandlungs- abbruch)</w:t>
            </w:r>
          </w:p>
          <w:p w14:paraId="7CDDC471" w14:textId="77777777" w:rsidR="00FE291A" w:rsidRDefault="00C8738F">
            <w:pPr>
              <w:pStyle w:val="TableParagraph"/>
              <w:keepNext/>
              <w:widowControl/>
              <w:kinsoku w:val="0"/>
              <w:overflowPunct w:val="0"/>
              <w:jc w:val="center"/>
              <w:rPr>
                <w:sz w:val="22"/>
                <w:szCs w:val="22"/>
                <w:lang w:val="de-DE"/>
              </w:rPr>
            </w:pPr>
            <w:r>
              <w:rPr>
                <w:b/>
                <w:bCs/>
                <w:sz w:val="22"/>
                <w:szCs w:val="22"/>
                <w:lang w:val="de-DE"/>
              </w:rPr>
              <w:t>N = 73</w:t>
            </w:r>
          </w:p>
        </w:tc>
        <w:tc>
          <w:tcPr>
            <w:tcW w:w="2694" w:type="dxa"/>
            <w:tcBorders>
              <w:top w:val="single" w:sz="4" w:space="0" w:color="000000"/>
              <w:left w:val="single" w:sz="4" w:space="0" w:color="000000"/>
              <w:bottom w:val="single" w:sz="4" w:space="0" w:color="000000"/>
              <w:right w:val="single" w:sz="4" w:space="0" w:color="000000"/>
            </w:tcBorders>
          </w:tcPr>
          <w:p w14:paraId="62C616E3" w14:textId="77777777" w:rsidR="00FE291A" w:rsidRDefault="00C8738F">
            <w:pPr>
              <w:pStyle w:val="TableParagraph"/>
              <w:keepNext/>
              <w:widowControl/>
              <w:kinsoku w:val="0"/>
              <w:overflowPunct w:val="0"/>
              <w:jc w:val="center"/>
              <w:rPr>
                <w:b/>
                <w:bCs/>
                <w:sz w:val="22"/>
                <w:szCs w:val="22"/>
                <w:lang w:val="de-DE"/>
              </w:rPr>
            </w:pPr>
            <w:r>
              <w:rPr>
                <w:b/>
                <w:bCs/>
                <w:sz w:val="22"/>
                <w:szCs w:val="22"/>
                <w:lang w:val="de-DE"/>
              </w:rPr>
              <w:t>Adalimumab 40 mg jede zweite Woche</w:t>
            </w:r>
          </w:p>
          <w:p w14:paraId="6468FBC6" w14:textId="77777777" w:rsidR="00FE291A" w:rsidRDefault="00C8738F">
            <w:pPr>
              <w:pStyle w:val="TableParagraph"/>
              <w:keepNext/>
              <w:widowControl/>
              <w:kinsoku w:val="0"/>
              <w:overflowPunct w:val="0"/>
              <w:jc w:val="center"/>
              <w:rPr>
                <w:sz w:val="22"/>
                <w:szCs w:val="22"/>
                <w:lang w:val="de-DE"/>
              </w:rPr>
            </w:pPr>
            <w:r>
              <w:rPr>
                <w:b/>
                <w:bCs/>
                <w:sz w:val="22"/>
                <w:szCs w:val="22"/>
                <w:lang w:val="de-DE"/>
              </w:rPr>
              <w:t>N = 70</w:t>
            </w:r>
          </w:p>
        </w:tc>
        <w:tc>
          <w:tcPr>
            <w:tcW w:w="2409" w:type="dxa"/>
            <w:tcBorders>
              <w:top w:val="single" w:sz="4" w:space="0" w:color="000000"/>
              <w:left w:val="single" w:sz="4" w:space="0" w:color="000000"/>
              <w:bottom w:val="single" w:sz="4" w:space="0" w:color="000000"/>
              <w:right w:val="single" w:sz="4" w:space="0" w:color="000000"/>
            </w:tcBorders>
          </w:tcPr>
          <w:p w14:paraId="2A8FB7B1" w14:textId="77777777" w:rsidR="00FE291A" w:rsidRDefault="00C8738F">
            <w:pPr>
              <w:pStyle w:val="TableParagraph"/>
              <w:keepNext/>
              <w:widowControl/>
              <w:kinsoku w:val="0"/>
              <w:overflowPunct w:val="0"/>
              <w:jc w:val="center"/>
              <w:rPr>
                <w:sz w:val="22"/>
                <w:szCs w:val="22"/>
                <w:lang w:val="de-DE"/>
              </w:rPr>
            </w:pPr>
            <w:r>
              <w:rPr>
                <w:b/>
                <w:bCs/>
                <w:sz w:val="22"/>
                <w:szCs w:val="22"/>
                <w:lang w:val="de-DE"/>
              </w:rPr>
              <w:t>Adalimumab 40 mg wöchentlich</w:t>
            </w:r>
          </w:p>
          <w:p w14:paraId="6686D631" w14:textId="77777777" w:rsidR="00FE291A" w:rsidRDefault="00C8738F">
            <w:pPr>
              <w:pStyle w:val="TableParagraph"/>
              <w:keepNext/>
              <w:widowControl/>
              <w:kinsoku w:val="0"/>
              <w:overflowPunct w:val="0"/>
              <w:jc w:val="center"/>
              <w:rPr>
                <w:sz w:val="22"/>
                <w:szCs w:val="22"/>
                <w:lang w:val="de-DE"/>
              </w:rPr>
            </w:pPr>
            <w:r>
              <w:rPr>
                <w:b/>
                <w:bCs/>
                <w:sz w:val="22"/>
                <w:szCs w:val="22"/>
                <w:lang w:val="de-DE"/>
              </w:rPr>
              <w:t>N = 70</w:t>
            </w:r>
          </w:p>
        </w:tc>
      </w:tr>
      <w:tr w:rsidR="00FE291A" w14:paraId="0F662492" w14:textId="77777777">
        <w:trPr>
          <w:cantSplit/>
          <w:trHeight w:hRule="exact" w:val="269"/>
        </w:trPr>
        <w:tc>
          <w:tcPr>
            <w:tcW w:w="1438" w:type="dxa"/>
            <w:tcBorders>
              <w:top w:val="single" w:sz="4" w:space="0" w:color="000000"/>
              <w:left w:val="single" w:sz="4" w:space="0" w:color="000000"/>
              <w:bottom w:val="single" w:sz="4" w:space="0" w:color="000000"/>
              <w:right w:val="single" w:sz="4" w:space="0" w:color="000000"/>
            </w:tcBorders>
          </w:tcPr>
          <w:p w14:paraId="2B34E35B" w14:textId="77777777" w:rsidR="00FE291A" w:rsidRDefault="00C8738F">
            <w:pPr>
              <w:pStyle w:val="TableParagraph"/>
              <w:keepNext/>
              <w:widowControl/>
              <w:kinsoku w:val="0"/>
              <w:overflowPunct w:val="0"/>
              <w:rPr>
                <w:sz w:val="22"/>
                <w:szCs w:val="22"/>
                <w:lang w:val="de-DE"/>
              </w:rPr>
            </w:pPr>
            <w:r>
              <w:rPr>
                <w:sz w:val="22"/>
                <w:szCs w:val="22"/>
                <w:lang w:val="de-DE"/>
              </w:rPr>
              <w:t>Woche 24</w:t>
            </w:r>
          </w:p>
        </w:tc>
        <w:tc>
          <w:tcPr>
            <w:tcW w:w="2531" w:type="dxa"/>
            <w:tcBorders>
              <w:top w:val="single" w:sz="4" w:space="0" w:color="000000"/>
              <w:left w:val="single" w:sz="4" w:space="0" w:color="000000"/>
              <w:bottom w:val="single" w:sz="4" w:space="0" w:color="000000"/>
              <w:right w:val="single" w:sz="4" w:space="0" w:color="000000"/>
            </w:tcBorders>
          </w:tcPr>
          <w:p w14:paraId="2702F5EC" w14:textId="77777777" w:rsidR="00FE291A" w:rsidRDefault="00C8738F">
            <w:pPr>
              <w:pStyle w:val="TableParagraph"/>
              <w:keepNext/>
              <w:widowControl/>
              <w:kinsoku w:val="0"/>
              <w:overflowPunct w:val="0"/>
              <w:jc w:val="center"/>
              <w:rPr>
                <w:sz w:val="22"/>
                <w:szCs w:val="22"/>
                <w:lang w:val="de-DE"/>
              </w:rPr>
            </w:pPr>
            <w:r>
              <w:rPr>
                <w:sz w:val="22"/>
                <w:szCs w:val="22"/>
                <w:lang w:val="de-DE"/>
              </w:rPr>
              <w:t>24 (32,9 %)</w:t>
            </w:r>
          </w:p>
        </w:tc>
        <w:tc>
          <w:tcPr>
            <w:tcW w:w="2694" w:type="dxa"/>
            <w:tcBorders>
              <w:top w:val="single" w:sz="4" w:space="0" w:color="000000"/>
              <w:left w:val="single" w:sz="4" w:space="0" w:color="000000"/>
              <w:bottom w:val="single" w:sz="4" w:space="0" w:color="000000"/>
              <w:right w:val="single" w:sz="4" w:space="0" w:color="000000"/>
            </w:tcBorders>
          </w:tcPr>
          <w:p w14:paraId="37A12CBC" w14:textId="77777777" w:rsidR="00FE291A" w:rsidRDefault="00C8738F">
            <w:pPr>
              <w:pStyle w:val="TableParagraph"/>
              <w:keepNext/>
              <w:widowControl/>
              <w:kinsoku w:val="0"/>
              <w:overflowPunct w:val="0"/>
              <w:jc w:val="center"/>
              <w:rPr>
                <w:sz w:val="22"/>
                <w:szCs w:val="22"/>
                <w:lang w:val="de-DE"/>
              </w:rPr>
            </w:pPr>
            <w:r>
              <w:rPr>
                <w:sz w:val="22"/>
                <w:szCs w:val="22"/>
                <w:lang w:val="de-DE"/>
              </w:rPr>
              <w:t>36 (51,4 %)</w:t>
            </w:r>
          </w:p>
        </w:tc>
        <w:tc>
          <w:tcPr>
            <w:tcW w:w="2409" w:type="dxa"/>
            <w:tcBorders>
              <w:top w:val="single" w:sz="4" w:space="0" w:color="000000"/>
              <w:left w:val="single" w:sz="4" w:space="0" w:color="000000"/>
              <w:bottom w:val="single" w:sz="4" w:space="0" w:color="000000"/>
              <w:right w:val="single" w:sz="4" w:space="0" w:color="000000"/>
            </w:tcBorders>
          </w:tcPr>
          <w:p w14:paraId="3D3E0582" w14:textId="77777777" w:rsidR="00FE291A" w:rsidRDefault="00C8738F">
            <w:pPr>
              <w:pStyle w:val="TableParagraph"/>
              <w:keepNext/>
              <w:widowControl/>
              <w:kinsoku w:val="0"/>
              <w:overflowPunct w:val="0"/>
              <w:jc w:val="center"/>
              <w:rPr>
                <w:sz w:val="22"/>
                <w:szCs w:val="22"/>
                <w:lang w:val="de-DE"/>
              </w:rPr>
            </w:pPr>
            <w:r>
              <w:rPr>
                <w:sz w:val="22"/>
                <w:szCs w:val="22"/>
                <w:lang w:val="de-DE"/>
              </w:rPr>
              <w:t>40 (57,1 %)</w:t>
            </w:r>
          </w:p>
        </w:tc>
      </w:tr>
      <w:tr w:rsidR="00FE291A" w14:paraId="2B72749E" w14:textId="77777777">
        <w:trPr>
          <w:cantSplit/>
          <w:trHeight w:hRule="exact" w:val="269"/>
        </w:trPr>
        <w:tc>
          <w:tcPr>
            <w:tcW w:w="1438" w:type="dxa"/>
            <w:tcBorders>
              <w:top w:val="single" w:sz="4" w:space="0" w:color="000000"/>
              <w:left w:val="single" w:sz="4" w:space="0" w:color="000000"/>
              <w:bottom w:val="single" w:sz="4" w:space="0" w:color="auto"/>
              <w:right w:val="single" w:sz="4" w:space="0" w:color="000000"/>
            </w:tcBorders>
          </w:tcPr>
          <w:p w14:paraId="5C95AE6F" w14:textId="77777777" w:rsidR="00FE291A" w:rsidRDefault="00C8738F">
            <w:pPr>
              <w:pStyle w:val="TableParagraph"/>
              <w:keepNext/>
              <w:widowControl/>
              <w:kinsoku w:val="0"/>
              <w:overflowPunct w:val="0"/>
              <w:rPr>
                <w:sz w:val="22"/>
                <w:szCs w:val="22"/>
                <w:lang w:val="de-DE"/>
              </w:rPr>
            </w:pPr>
            <w:r>
              <w:rPr>
                <w:sz w:val="22"/>
                <w:szCs w:val="22"/>
                <w:lang w:val="de-DE"/>
              </w:rPr>
              <w:t>Woche 36</w:t>
            </w:r>
          </w:p>
        </w:tc>
        <w:tc>
          <w:tcPr>
            <w:tcW w:w="2531" w:type="dxa"/>
            <w:tcBorders>
              <w:top w:val="single" w:sz="4" w:space="0" w:color="000000"/>
              <w:left w:val="single" w:sz="4" w:space="0" w:color="000000"/>
              <w:bottom w:val="single" w:sz="4" w:space="0" w:color="auto"/>
              <w:right w:val="single" w:sz="4" w:space="0" w:color="000000"/>
            </w:tcBorders>
          </w:tcPr>
          <w:p w14:paraId="7551B768" w14:textId="77777777" w:rsidR="00FE291A" w:rsidRDefault="00C8738F">
            <w:pPr>
              <w:pStyle w:val="TableParagraph"/>
              <w:keepNext/>
              <w:widowControl/>
              <w:kinsoku w:val="0"/>
              <w:overflowPunct w:val="0"/>
              <w:jc w:val="center"/>
              <w:rPr>
                <w:sz w:val="22"/>
                <w:szCs w:val="22"/>
                <w:lang w:val="de-DE"/>
              </w:rPr>
            </w:pPr>
            <w:r>
              <w:rPr>
                <w:sz w:val="22"/>
                <w:szCs w:val="22"/>
                <w:lang w:val="de-DE"/>
              </w:rPr>
              <w:t>22 (30,1 %)</w:t>
            </w:r>
          </w:p>
        </w:tc>
        <w:tc>
          <w:tcPr>
            <w:tcW w:w="2694" w:type="dxa"/>
            <w:tcBorders>
              <w:top w:val="single" w:sz="4" w:space="0" w:color="000000"/>
              <w:left w:val="single" w:sz="4" w:space="0" w:color="000000"/>
              <w:bottom w:val="single" w:sz="4" w:space="0" w:color="auto"/>
              <w:right w:val="single" w:sz="4" w:space="0" w:color="000000"/>
            </w:tcBorders>
          </w:tcPr>
          <w:p w14:paraId="5AF5FDE0" w14:textId="77777777" w:rsidR="00FE291A" w:rsidRDefault="00C8738F">
            <w:pPr>
              <w:pStyle w:val="TableParagraph"/>
              <w:keepNext/>
              <w:widowControl/>
              <w:kinsoku w:val="0"/>
              <w:overflowPunct w:val="0"/>
              <w:jc w:val="center"/>
              <w:rPr>
                <w:sz w:val="22"/>
                <w:szCs w:val="22"/>
                <w:lang w:val="de-DE"/>
              </w:rPr>
            </w:pPr>
            <w:r>
              <w:rPr>
                <w:sz w:val="22"/>
                <w:szCs w:val="22"/>
                <w:lang w:val="de-DE"/>
              </w:rPr>
              <w:t>28 (40,0 %)</w:t>
            </w:r>
          </w:p>
        </w:tc>
        <w:tc>
          <w:tcPr>
            <w:tcW w:w="2409" w:type="dxa"/>
            <w:tcBorders>
              <w:top w:val="single" w:sz="4" w:space="0" w:color="000000"/>
              <w:left w:val="single" w:sz="4" w:space="0" w:color="000000"/>
              <w:bottom w:val="single" w:sz="4" w:space="0" w:color="auto"/>
              <w:right w:val="single" w:sz="4" w:space="0" w:color="000000"/>
            </w:tcBorders>
          </w:tcPr>
          <w:p w14:paraId="2A196633" w14:textId="77777777" w:rsidR="00FE291A" w:rsidRDefault="00C8738F">
            <w:pPr>
              <w:pStyle w:val="TableParagraph"/>
              <w:keepNext/>
              <w:widowControl/>
              <w:kinsoku w:val="0"/>
              <w:overflowPunct w:val="0"/>
              <w:jc w:val="center"/>
              <w:rPr>
                <w:sz w:val="22"/>
                <w:szCs w:val="22"/>
                <w:lang w:val="de-DE"/>
              </w:rPr>
            </w:pPr>
            <w:r>
              <w:rPr>
                <w:sz w:val="22"/>
                <w:szCs w:val="22"/>
                <w:lang w:val="de-DE"/>
              </w:rPr>
              <w:t>39 (55,7 %)</w:t>
            </w:r>
          </w:p>
        </w:tc>
      </w:tr>
      <w:tr w:rsidR="00FE291A" w:rsidRPr="00723069" w14:paraId="310E1929" w14:textId="77777777">
        <w:trPr>
          <w:cantSplit/>
          <w:trHeight w:hRule="exact" w:val="921"/>
        </w:trPr>
        <w:tc>
          <w:tcPr>
            <w:tcW w:w="9072" w:type="dxa"/>
            <w:gridSpan w:val="4"/>
            <w:tcBorders>
              <w:top w:val="single" w:sz="4" w:space="0" w:color="auto"/>
            </w:tcBorders>
          </w:tcPr>
          <w:p w14:paraId="60F08CD1" w14:textId="77777777" w:rsidR="00FE291A" w:rsidRDefault="00C8738F">
            <w:pPr>
              <w:pStyle w:val="ListParagraph"/>
              <w:keepNext/>
              <w:widowControl/>
              <w:kinsoku w:val="0"/>
              <w:overflowPunct w:val="0"/>
              <w:rPr>
                <w:sz w:val="20"/>
                <w:szCs w:val="20"/>
                <w:lang w:val="de-DE"/>
              </w:rPr>
            </w:pPr>
            <w:r>
              <w:rPr>
                <w:sz w:val="20"/>
                <w:szCs w:val="20"/>
                <w:vertAlign w:val="superscript"/>
                <w:lang w:val="de-DE"/>
              </w:rPr>
              <w:t>a</w:t>
            </w:r>
            <w:r>
              <w:rPr>
                <w:sz w:val="20"/>
                <w:szCs w:val="20"/>
                <w:lang w:val="de-DE"/>
              </w:rPr>
              <w:t xml:space="preserve"> Patienten mit einem mindestens teilweisen Ansprechen auf 40 mg Adalimumab wöchentlich nach 12 Behandlungswochen</w:t>
            </w:r>
          </w:p>
          <w:p w14:paraId="07570958" w14:textId="77777777" w:rsidR="00FE291A" w:rsidRDefault="00C8738F">
            <w:pPr>
              <w:pStyle w:val="ListParagraph"/>
              <w:keepNext/>
              <w:widowControl/>
              <w:tabs>
                <w:tab w:val="left" w:pos="542"/>
              </w:tabs>
              <w:kinsoku w:val="0"/>
              <w:overflowPunct w:val="0"/>
              <w:rPr>
                <w:sz w:val="20"/>
                <w:szCs w:val="20"/>
                <w:lang w:val="de-DE"/>
              </w:rPr>
            </w:pPr>
            <w:r>
              <w:rPr>
                <w:sz w:val="20"/>
                <w:szCs w:val="20"/>
                <w:vertAlign w:val="superscript"/>
                <w:lang w:val="de-DE"/>
              </w:rPr>
              <w:t>b</w:t>
            </w:r>
            <w:r>
              <w:rPr>
                <w:sz w:val="20"/>
                <w:szCs w:val="20"/>
                <w:lang w:val="de-DE"/>
              </w:rPr>
              <w:t xml:space="preserve"> Patienten, die die im Prüfplan festgelegten Kriterien im Hinblick auf einen Verlust des Ansprechens oder keine Verbesserung erfüllten, mussten aus den Studien ausscheiden und wurden als </w:t>
            </w:r>
            <w:r>
              <w:rPr>
                <w:i/>
                <w:iCs/>
                <w:sz w:val="20"/>
                <w:szCs w:val="20"/>
                <w:lang w:val="de-DE"/>
              </w:rPr>
              <w:t xml:space="preserve">Non-Responder </w:t>
            </w:r>
            <w:r>
              <w:rPr>
                <w:sz w:val="20"/>
                <w:szCs w:val="20"/>
                <w:lang w:val="de-DE"/>
              </w:rPr>
              <w:t>gewertet.</w:t>
            </w:r>
          </w:p>
        </w:tc>
      </w:tr>
    </w:tbl>
    <w:p w14:paraId="04E80979" w14:textId="77777777" w:rsidR="00FE291A" w:rsidRDefault="00FE291A">
      <w:pPr>
        <w:widowControl/>
        <w:kinsoku w:val="0"/>
        <w:overflowPunct w:val="0"/>
        <w:rPr>
          <w:sz w:val="22"/>
          <w:szCs w:val="22"/>
          <w:lang w:val="de-DE"/>
        </w:rPr>
      </w:pPr>
    </w:p>
    <w:p w14:paraId="54C016AF" w14:textId="77777777" w:rsidR="00FE291A" w:rsidRDefault="00C8738F">
      <w:pPr>
        <w:pStyle w:val="BodyText"/>
        <w:widowControl/>
        <w:kinsoku w:val="0"/>
        <w:overflowPunct w:val="0"/>
        <w:ind w:left="0"/>
        <w:rPr>
          <w:lang w:val="de-DE"/>
        </w:rPr>
      </w:pPr>
      <w:r>
        <w:rPr>
          <w:lang w:val="de-DE"/>
        </w:rPr>
        <w:t>Unter den Patienten, die in Woche 12 mindestens teilweise auf die Behandlung angesprochen haben und die weiterhin wöchentlich mit Adalimumab behandelt wurden, betrug die HiSCR-Rate in Woche 48 68,3 % und in Woche 96 65,1 %. Bei einer langfristigen Behandlung mit Adalimumab 40 mg wöchentlich über 96 Wochen wurden keine neuen Erkenntnisse zur Sicherheit identifiziert.</w:t>
      </w:r>
    </w:p>
    <w:p w14:paraId="68332C76" w14:textId="77777777" w:rsidR="00FE291A" w:rsidRDefault="00FE291A">
      <w:pPr>
        <w:widowControl/>
        <w:kinsoku w:val="0"/>
        <w:overflowPunct w:val="0"/>
        <w:rPr>
          <w:sz w:val="22"/>
          <w:szCs w:val="22"/>
          <w:lang w:val="de-DE"/>
        </w:rPr>
      </w:pPr>
    </w:p>
    <w:p w14:paraId="0E3D927F" w14:textId="77777777" w:rsidR="00FE291A" w:rsidRDefault="00C8738F">
      <w:pPr>
        <w:pStyle w:val="BodyText"/>
        <w:widowControl/>
        <w:kinsoku w:val="0"/>
        <w:overflowPunct w:val="0"/>
        <w:ind w:left="0"/>
        <w:rPr>
          <w:lang w:val="de-DE"/>
        </w:rPr>
      </w:pPr>
      <w:r>
        <w:rPr>
          <w:lang w:val="de-DE"/>
        </w:rPr>
        <w:t>Unter den Patienten in den Studien HS-I und HS-II, deren Behandlung mit Adalimumab in Woche 12 abgesetzt wurde, war die HiSCR-Rate 12 Wochen nach Wiederaufnahme der Behandlung mit Adalimumab 40 mg wöchentlich vergleichbar mit der Rate vor dem Absetzen der Behandlung (56,0 %).</w:t>
      </w:r>
    </w:p>
    <w:p w14:paraId="6B29CDA1" w14:textId="77777777" w:rsidR="00FE291A" w:rsidRDefault="00FE291A">
      <w:pPr>
        <w:widowControl/>
        <w:kinsoku w:val="0"/>
        <w:overflowPunct w:val="0"/>
        <w:rPr>
          <w:sz w:val="22"/>
          <w:szCs w:val="22"/>
          <w:lang w:val="de-DE"/>
        </w:rPr>
      </w:pPr>
    </w:p>
    <w:p w14:paraId="3DC27BDF" w14:textId="77777777" w:rsidR="00FE291A" w:rsidRDefault="00C8738F">
      <w:pPr>
        <w:keepNext/>
        <w:widowControl/>
        <w:kinsoku w:val="0"/>
        <w:overflowPunct w:val="0"/>
        <w:rPr>
          <w:i/>
          <w:sz w:val="22"/>
          <w:szCs w:val="22"/>
          <w:lang w:val="de-DE"/>
        </w:rPr>
      </w:pPr>
      <w:r>
        <w:rPr>
          <w:i/>
          <w:iCs/>
          <w:sz w:val="22"/>
          <w:szCs w:val="22"/>
          <w:lang w:val="de-DE"/>
        </w:rPr>
        <w:t>Morbus Crohn</w:t>
      </w:r>
    </w:p>
    <w:p w14:paraId="6916E084" w14:textId="77777777" w:rsidR="00FE291A" w:rsidRDefault="00FE291A">
      <w:pPr>
        <w:keepNext/>
        <w:widowControl/>
        <w:kinsoku w:val="0"/>
        <w:overflowPunct w:val="0"/>
        <w:rPr>
          <w:sz w:val="22"/>
          <w:szCs w:val="22"/>
          <w:lang w:val="de-DE"/>
        </w:rPr>
      </w:pPr>
    </w:p>
    <w:p w14:paraId="2DB0253C" w14:textId="77777777" w:rsidR="00FE291A" w:rsidRDefault="00C8738F">
      <w:pPr>
        <w:pStyle w:val="BodyText"/>
        <w:widowControl/>
        <w:kinsoku w:val="0"/>
        <w:overflowPunct w:val="0"/>
        <w:ind w:left="0"/>
        <w:rPr>
          <w:lang w:val="de-DE"/>
        </w:rPr>
      </w:pPr>
      <w:r>
        <w:rPr>
          <w:lang w:val="de-DE"/>
        </w:rPr>
        <w:t>Die Sicherheit und Wirksamkeit von Adalimumab wurden bei über 1 500 Patienten mit mittelschwerem bis schwerem, aktivem Morbus Crohn (</w:t>
      </w:r>
      <w:r>
        <w:rPr>
          <w:i/>
          <w:iCs/>
          <w:lang w:val="de-DE"/>
        </w:rPr>
        <w:t xml:space="preserve">Crohn’s Disease Activity Index </w:t>
      </w:r>
      <w:r>
        <w:rPr>
          <w:lang w:val="de-DE"/>
        </w:rPr>
        <w:t>(CDAI) ≥ 220 und ≤ 450) in randomisierten, doppelblinden, placebokontrollierten Studien untersucht. Eine Begleitmedikation in gleichbleibender Dosierung mit Aminosalicylaten, Kortikosteroiden und/oder Immunsuppressiva war erlaubt, und bei 80 % der Patienten wurde mindestens eines dieser Medikamente fortgeführt.</w:t>
      </w:r>
    </w:p>
    <w:p w14:paraId="59913D3F" w14:textId="77777777" w:rsidR="00FE291A" w:rsidRDefault="00FE291A">
      <w:pPr>
        <w:widowControl/>
        <w:kinsoku w:val="0"/>
        <w:overflowPunct w:val="0"/>
        <w:rPr>
          <w:sz w:val="22"/>
          <w:szCs w:val="22"/>
          <w:lang w:val="de-DE"/>
        </w:rPr>
      </w:pPr>
    </w:p>
    <w:p w14:paraId="33E77A8C" w14:textId="77777777" w:rsidR="00FE291A" w:rsidRDefault="00C8738F">
      <w:pPr>
        <w:pStyle w:val="BodyText"/>
        <w:widowControl/>
        <w:kinsoku w:val="0"/>
        <w:overflowPunct w:val="0"/>
        <w:ind w:left="0"/>
        <w:rPr>
          <w:lang w:val="de-DE"/>
        </w:rPr>
      </w:pPr>
      <w:r>
        <w:rPr>
          <w:lang w:val="de-DE"/>
        </w:rPr>
        <w:t>Die Induktion einer klinischen Remission (definiert als CDAI &lt; 150) wurde in zwei Studien, MC- Studie I (CLASSIC I) und MC-Studie II (GAIN), untersucht. In der MC-Studie I wurden 299 Patienten, die zuvor nicht mit einem TNF-Antagonisten behandelt wurden, in eine von vier Behandlungsgruppen randomisiert: Placebo in Woche 0 und 2, 160 mg Adalimumab in Woche 0 und 80 mg in Woche 2, 80 mg in Woche 0 und 40 mg in Woche 2 sowie 40 mg in Woche 0 und 20 mg in Woche 2. In der MC-Studie II wurden 325 Patienten, die nicht mehr ausreichend auf Infliximab ansprachen oder eine Unverträglichkeit gegenüber Infliximab zeigten, randomisiert und erhielten entweder 160 mg Adalimumab in Woche 0 und 80 mg in Woche 2 oder Placebo in Woche 0 und 2. Patienten, bei denen sich primär keine Wirkung zeigte, wurden aus diesen Studien ausgeschlossen und nicht weiter untersucht.</w:t>
      </w:r>
    </w:p>
    <w:p w14:paraId="52550C79" w14:textId="77777777" w:rsidR="00FE291A" w:rsidRDefault="00FE291A">
      <w:pPr>
        <w:widowControl/>
        <w:kinsoku w:val="0"/>
        <w:overflowPunct w:val="0"/>
        <w:rPr>
          <w:sz w:val="22"/>
          <w:szCs w:val="22"/>
          <w:lang w:val="de-DE"/>
        </w:rPr>
      </w:pPr>
    </w:p>
    <w:p w14:paraId="23CC5FF7" w14:textId="77777777" w:rsidR="00FE291A" w:rsidRDefault="00C8738F">
      <w:pPr>
        <w:pStyle w:val="BodyText"/>
        <w:widowControl/>
        <w:kinsoku w:val="0"/>
        <w:overflowPunct w:val="0"/>
        <w:ind w:left="0"/>
        <w:rPr>
          <w:lang w:val="de-DE"/>
        </w:rPr>
      </w:pPr>
      <w:r>
        <w:rPr>
          <w:lang w:val="de-DE"/>
        </w:rPr>
        <w:t>Der Erhalt der klinischen Remission wurde in der MC-Studie III (CHARM) untersucht. In der offenen Induktionsphase der MC-Studie III erhielten 854 Patienten 80 mg in Woche 0 und 40 mg in Woche 2. In Woche 4 wurden die Patienten randomisiert und erhielten entweder 40 mg alle zwei Wochen, 40 mg jede Woche oder Placebo über den gesamten Studienzeitraum von 56 Wochen. Patienten, die auf die Therapie ansprachen (Minderung des CDAI ≥ 70), wurden in Woche 4 stratifiziert und unabhängig von denen, die bis Woche 4 noch keine Wirkung zeigten, analysiert. Ein Ausschleichen der Kortikosteroide war ab der 8. Woche erlaubt.</w:t>
      </w:r>
    </w:p>
    <w:p w14:paraId="728A50AF" w14:textId="77777777" w:rsidR="00FE291A" w:rsidRDefault="00FE291A">
      <w:pPr>
        <w:widowControl/>
        <w:kinsoku w:val="0"/>
        <w:overflowPunct w:val="0"/>
        <w:rPr>
          <w:sz w:val="22"/>
          <w:szCs w:val="22"/>
          <w:lang w:val="de-DE"/>
        </w:rPr>
      </w:pPr>
    </w:p>
    <w:p w14:paraId="3F462E21" w14:textId="77777777" w:rsidR="00FE291A" w:rsidRDefault="00C8738F">
      <w:pPr>
        <w:pStyle w:val="BodyText"/>
        <w:widowControl/>
        <w:kinsoku w:val="0"/>
        <w:overflowPunct w:val="0"/>
        <w:ind w:left="0"/>
        <w:rPr>
          <w:lang w:val="de-DE"/>
        </w:rPr>
      </w:pPr>
      <w:r>
        <w:rPr>
          <w:lang w:val="de-DE"/>
        </w:rPr>
        <w:t>Die Induktion der Remissions- und Ansprechraten für die MC-Studie I und die MC-Studie II sind in Tabelle</w:t>
      </w:r>
      <w:r>
        <w:rPr>
          <w:rFonts w:ascii="Cambria" w:eastAsia="Cambria" w:hAnsi="Cambria"/>
          <w:lang w:val="de-DE"/>
        </w:rPr>
        <w:t> </w:t>
      </w:r>
      <w:r>
        <w:rPr>
          <w:lang w:val="de-DE"/>
        </w:rPr>
        <w:t>21 aufgeführt.</w:t>
      </w:r>
    </w:p>
    <w:p w14:paraId="026478D7" w14:textId="77777777" w:rsidR="00FE291A" w:rsidRDefault="00FE291A">
      <w:pPr>
        <w:pStyle w:val="BodyText"/>
        <w:widowControl/>
        <w:kinsoku w:val="0"/>
        <w:overflowPunct w:val="0"/>
        <w:ind w:left="0"/>
        <w:rPr>
          <w:lang w:val="de-DE"/>
        </w:rPr>
      </w:pPr>
    </w:p>
    <w:p w14:paraId="637C8334" w14:textId="77777777" w:rsidR="00FE291A" w:rsidRDefault="00C8738F">
      <w:pPr>
        <w:keepNext/>
        <w:widowControl/>
        <w:kinsoku w:val="0"/>
        <w:overflowPunct w:val="0"/>
        <w:rPr>
          <w:sz w:val="22"/>
          <w:szCs w:val="22"/>
          <w:lang w:val="de-DE"/>
        </w:rPr>
      </w:pPr>
      <w:r>
        <w:rPr>
          <w:b/>
          <w:bCs/>
          <w:sz w:val="22"/>
          <w:szCs w:val="22"/>
          <w:lang w:val="de-DE"/>
        </w:rPr>
        <w:t>Tabelle 21: Induktion der klinischen Remission und des Ansprechens (Prozent der Patienten)</w:t>
      </w:r>
    </w:p>
    <w:p w14:paraId="3AC25D73" w14:textId="77777777" w:rsidR="00FE291A" w:rsidRDefault="00FE291A">
      <w:pPr>
        <w:keepNext/>
        <w:widowControl/>
        <w:kinsoku w:val="0"/>
        <w:overflowPunct w:val="0"/>
        <w:rPr>
          <w:sz w:val="22"/>
          <w:lang w:val="de-DE"/>
        </w:rPr>
      </w:pPr>
    </w:p>
    <w:tbl>
      <w:tblPr>
        <w:tblW w:w="9237" w:type="dxa"/>
        <w:tblInd w:w="5" w:type="dxa"/>
        <w:tblLayout w:type="fixed"/>
        <w:tblCellMar>
          <w:left w:w="0" w:type="dxa"/>
          <w:right w:w="0" w:type="dxa"/>
        </w:tblCellMar>
        <w:tblLook w:val="04A0" w:firstRow="1" w:lastRow="0" w:firstColumn="1" w:lastColumn="0" w:noHBand="0" w:noVBand="1"/>
      </w:tblPr>
      <w:tblGrid>
        <w:gridCol w:w="2356"/>
        <w:gridCol w:w="1083"/>
        <w:gridCol w:w="1363"/>
        <w:gridCol w:w="1260"/>
        <w:gridCol w:w="1346"/>
        <w:gridCol w:w="1829"/>
      </w:tblGrid>
      <w:tr w:rsidR="00FE291A" w:rsidRPr="00723069" w14:paraId="370E11BD" w14:textId="77777777">
        <w:trPr>
          <w:cantSplit/>
          <w:trHeight w:hRule="exact" w:val="528"/>
          <w:tblHeader/>
        </w:trPr>
        <w:tc>
          <w:tcPr>
            <w:tcW w:w="2356" w:type="dxa"/>
            <w:tcBorders>
              <w:top w:val="single" w:sz="4" w:space="0" w:color="000000"/>
              <w:left w:val="single" w:sz="4" w:space="0" w:color="000000"/>
              <w:bottom w:val="single" w:sz="4" w:space="0" w:color="000000"/>
              <w:right w:val="single" w:sz="4" w:space="0" w:color="000000"/>
            </w:tcBorders>
          </w:tcPr>
          <w:p w14:paraId="4D87E369" w14:textId="77777777" w:rsidR="00FE291A" w:rsidRDefault="00FE291A">
            <w:pPr>
              <w:keepNext/>
              <w:widowControl/>
              <w:rPr>
                <w:sz w:val="22"/>
                <w:lang w:val="de-DE"/>
              </w:rPr>
            </w:pPr>
          </w:p>
        </w:tc>
        <w:tc>
          <w:tcPr>
            <w:tcW w:w="3706" w:type="dxa"/>
            <w:gridSpan w:val="3"/>
            <w:tcBorders>
              <w:top w:val="single" w:sz="4" w:space="0" w:color="000000"/>
              <w:left w:val="single" w:sz="4" w:space="0" w:color="000000"/>
              <w:bottom w:val="single" w:sz="4" w:space="0" w:color="000000"/>
              <w:right w:val="single" w:sz="4" w:space="0" w:color="000000"/>
            </w:tcBorders>
          </w:tcPr>
          <w:p w14:paraId="712C1CCA" w14:textId="77777777" w:rsidR="00FE291A" w:rsidRDefault="00C8738F">
            <w:pPr>
              <w:pStyle w:val="TableParagraph"/>
              <w:keepNext/>
              <w:widowControl/>
              <w:kinsoku w:val="0"/>
              <w:overflowPunct w:val="0"/>
              <w:rPr>
                <w:sz w:val="22"/>
                <w:lang w:val="it-IT"/>
              </w:rPr>
            </w:pPr>
            <w:r>
              <w:rPr>
                <w:b/>
                <w:bCs/>
                <w:sz w:val="22"/>
                <w:szCs w:val="22"/>
                <w:lang w:val="it-IT"/>
              </w:rPr>
              <w:t>MC-Studie I: Infliximab-naive Patienten</w:t>
            </w:r>
          </w:p>
        </w:tc>
        <w:tc>
          <w:tcPr>
            <w:tcW w:w="3175" w:type="dxa"/>
            <w:gridSpan w:val="2"/>
            <w:tcBorders>
              <w:top w:val="single" w:sz="4" w:space="0" w:color="000000"/>
              <w:left w:val="single" w:sz="4" w:space="0" w:color="000000"/>
              <w:bottom w:val="single" w:sz="4" w:space="0" w:color="000000"/>
              <w:right w:val="single" w:sz="4" w:space="0" w:color="000000"/>
            </w:tcBorders>
          </w:tcPr>
          <w:p w14:paraId="445975EE" w14:textId="77777777" w:rsidR="00FE291A" w:rsidRDefault="00C8738F">
            <w:pPr>
              <w:pStyle w:val="TableParagraph"/>
              <w:keepNext/>
              <w:widowControl/>
              <w:kinsoku w:val="0"/>
              <w:overflowPunct w:val="0"/>
              <w:rPr>
                <w:sz w:val="22"/>
                <w:lang w:val="de-DE"/>
              </w:rPr>
            </w:pPr>
            <w:r>
              <w:rPr>
                <w:b/>
                <w:bCs/>
                <w:sz w:val="22"/>
                <w:szCs w:val="22"/>
                <w:lang w:val="de-DE"/>
              </w:rPr>
              <w:t>MC-Studie II: Infliximab- erfahrene Patienten</w:t>
            </w:r>
          </w:p>
        </w:tc>
      </w:tr>
      <w:tr w:rsidR="00FE291A" w14:paraId="5B266DF1" w14:textId="77777777">
        <w:trPr>
          <w:cantSplit/>
          <w:trHeight w:hRule="exact" w:val="908"/>
          <w:tblHeader/>
        </w:trPr>
        <w:tc>
          <w:tcPr>
            <w:tcW w:w="2356" w:type="dxa"/>
            <w:tcBorders>
              <w:top w:val="single" w:sz="4" w:space="0" w:color="000000"/>
              <w:left w:val="single" w:sz="4" w:space="0" w:color="000000"/>
              <w:bottom w:val="single" w:sz="4" w:space="0" w:color="000000"/>
              <w:right w:val="single" w:sz="4" w:space="0" w:color="000000"/>
            </w:tcBorders>
          </w:tcPr>
          <w:p w14:paraId="31CB572D" w14:textId="77777777" w:rsidR="00FE291A" w:rsidRDefault="00FE291A">
            <w:pPr>
              <w:widowControl/>
              <w:rPr>
                <w:sz w:val="22"/>
                <w:lang w:val="de-DE"/>
              </w:rPr>
            </w:pPr>
          </w:p>
        </w:tc>
        <w:tc>
          <w:tcPr>
            <w:tcW w:w="1083" w:type="dxa"/>
            <w:tcBorders>
              <w:top w:val="single" w:sz="4" w:space="0" w:color="000000"/>
              <w:left w:val="single" w:sz="4" w:space="0" w:color="000000"/>
              <w:bottom w:val="single" w:sz="4" w:space="0" w:color="000000"/>
              <w:right w:val="single" w:sz="4" w:space="0" w:color="000000"/>
            </w:tcBorders>
          </w:tcPr>
          <w:p w14:paraId="60DC392E" w14:textId="77777777" w:rsidR="00FE291A" w:rsidRDefault="00C8738F">
            <w:pPr>
              <w:pStyle w:val="TableParagraph"/>
              <w:widowControl/>
              <w:kinsoku w:val="0"/>
              <w:overflowPunct w:val="0"/>
              <w:jc w:val="center"/>
              <w:rPr>
                <w:sz w:val="22"/>
                <w:szCs w:val="22"/>
                <w:lang w:val="de-DE"/>
              </w:rPr>
            </w:pPr>
            <w:r>
              <w:rPr>
                <w:b/>
                <w:bCs/>
                <w:sz w:val="22"/>
                <w:szCs w:val="22"/>
                <w:lang w:val="de-DE"/>
              </w:rPr>
              <w:t>Placebo</w:t>
            </w:r>
          </w:p>
          <w:p w14:paraId="7B8A7FC3" w14:textId="77777777" w:rsidR="00FE291A" w:rsidRDefault="00C8738F">
            <w:pPr>
              <w:pStyle w:val="TableParagraph"/>
              <w:widowControl/>
              <w:kinsoku w:val="0"/>
              <w:overflowPunct w:val="0"/>
              <w:jc w:val="center"/>
              <w:rPr>
                <w:sz w:val="22"/>
                <w:lang w:val="de-DE"/>
              </w:rPr>
            </w:pPr>
            <w:r>
              <w:rPr>
                <w:b/>
                <w:bCs/>
                <w:sz w:val="22"/>
                <w:szCs w:val="22"/>
                <w:lang w:val="de-DE"/>
              </w:rPr>
              <w:t>N = 74</w:t>
            </w:r>
          </w:p>
        </w:tc>
        <w:tc>
          <w:tcPr>
            <w:tcW w:w="1363" w:type="dxa"/>
            <w:tcBorders>
              <w:top w:val="single" w:sz="4" w:space="0" w:color="000000"/>
              <w:left w:val="single" w:sz="4" w:space="0" w:color="000000"/>
              <w:bottom w:val="single" w:sz="4" w:space="0" w:color="000000"/>
              <w:right w:val="single" w:sz="4" w:space="0" w:color="000000"/>
            </w:tcBorders>
          </w:tcPr>
          <w:p w14:paraId="0B5444D1" w14:textId="77777777" w:rsidR="00FE291A" w:rsidRDefault="00C8738F">
            <w:pPr>
              <w:pStyle w:val="TableParagraph"/>
              <w:widowControl/>
              <w:kinsoku w:val="0"/>
              <w:overflowPunct w:val="0"/>
              <w:jc w:val="center"/>
              <w:rPr>
                <w:b/>
                <w:bCs/>
                <w:sz w:val="22"/>
                <w:szCs w:val="22"/>
                <w:lang w:val="de-DE"/>
              </w:rPr>
            </w:pPr>
            <w:r>
              <w:rPr>
                <w:b/>
                <w:bCs/>
                <w:sz w:val="22"/>
                <w:szCs w:val="22"/>
                <w:lang w:val="de-DE"/>
              </w:rPr>
              <w:t>Adalimumab 80/40 mg</w:t>
            </w:r>
          </w:p>
          <w:p w14:paraId="3AE0CBD6" w14:textId="77777777" w:rsidR="00FE291A" w:rsidRDefault="00C8738F">
            <w:pPr>
              <w:pStyle w:val="TableParagraph"/>
              <w:widowControl/>
              <w:kinsoku w:val="0"/>
              <w:overflowPunct w:val="0"/>
              <w:jc w:val="center"/>
              <w:rPr>
                <w:sz w:val="22"/>
                <w:lang w:val="de-DE"/>
              </w:rPr>
            </w:pPr>
            <w:r>
              <w:rPr>
                <w:b/>
                <w:bCs/>
                <w:sz w:val="22"/>
                <w:szCs w:val="22"/>
                <w:lang w:val="de-DE"/>
              </w:rPr>
              <w:t>N = 75</w:t>
            </w:r>
          </w:p>
        </w:tc>
        <w:tc>
          <w:tcPr>
            <w:tcW w:w="1260" w:type="dxa"/>
            <w:tcBorders>
              <w:top w:val="single" w:sz="4" w:space="0" w:color="000000"/>
              <w:left w:val="single" w:sz="4" w:space="0" w:color="000000"/>
              <w:bottom w:val="single" w:sz="4" w:space="0" w:color="000000"/>
              <w:right w:val="single" w:sz="4" w:space="0" w:color="000000"/>
            </w:tcBorders>
          </w:tcPr>
          <w:p w14:paraId="5CF89646" w14:textId="77777777" w:rsidR="00FE291A" w:rsidRDefault="00C8738F">
            <w:pPr>
              <w:pStyle w:val="TableParagraph"/>
              <w:widowControl/>
              <w:kinsoku w:val="0"/>
              <w:overflowPunct w:val="0"/>
              <w:jc w:val="center"/>
              <w:rPr>
                <w:b/>
                <w:bCs/>
                <w:sz w:val="22"/>
                <w:szCs w:val="22"/>
                <w:lang w:val="de-DE"/>
              </w:rPr>
            </w:pPr>
            <w:r>
              <w:rPr>
                <w:b/>
                <w:bCs/>
                <w:sz w:val="22"/>
                <w:szCs w:val="22"/>
                <w:lang w:val="de-DE"/>
              </w:rPr>
              <w:t>Adalimumab 160/80 mg</w:t>
            </w:r>
          </w:p>
          <w:p w14:paraId="47A9EAD9" w14:textId="77777777" w:rsidR="00FE291A" w:rsidRDefault="00C8738F">
            <w:pPr>
              <w:pStyle w:val="TableParagraph"/>
              <w:widowControl/>
              <w:kinsoku w:val="0"/>
              <w:overflowPunct w:val="0"/>
              <w:jc w:val="center"/>
              <w:rPr>
                <w:sz w:val="22"/>
                <w:lang w:val="de-DE"/>
              </w:rPr>
            </w:pPr>
            <w:r>
              <w:rPr>
                <w:b/>
                <w:bCs/>
                <w:sz w:val="22"/>
                <w:szCs w:val="22"/>
                <w:lang w:val="de-DE"/>
              </w:rPr>
              <w:t>N = 76</w:t>
            </w:r>
          </w:p>
        </w:tc>
        <w:tc>
          <w:tcPr>
            <w:tcW w:w="1346" w:type="dxa"/>
            <w:tcBorders>
              <w:top w:val="single" w:sz="4" w:space="0" w:color="000000"/>
              <w:left w:val="single" w:sz="4" w:space="0" w:color="000000"/>
              <w:bottom w:val="single" w:sz="4" w:space="0" w:color="000000"/>
              <w:right w:val="single" w:sz="4" w:space="0" w:color="000000"/>
            </w:tcBorders>
          </w:tcPr>
          <w:p w14:paraId="5CA3647E" w14:textId="77777777" w:rsidR="00FE291A" w:rsidRDefault="00C8738F">
            <w:pPr>
              <w:pStyle w:val="TableParagraph"/>
              <w:widowControl/>
              <w:kinsoku w:val="0"/>
              <w:overflowPunct w:val="0"/>
              <w:jc w:val="center"/>
              <w:rPr>
                <w:sz w:val="22"/>
                <w:szCs w:val="22"/>
                <w:lang w:val="de-DE"/>
              </w:rPr>
            </w:pPr>
            <w:r>
              <w:rPr>
                <w:b/>
                <w:bCs/>
                <w:sz w:val="22"/>
                <w:szCs w:val="22"/>
                <w:lang w:val="de-DE"/>
              </w:rPr>
              <w:t>Placebo</w:t>
            </w:r>
          </w:p>
          <w:p w14:paraId="03531191" w14:textId="77777777" w:rsidR="00FE291A" w:rsidRDefault="00C8738F">
            <w:pPr>
              <w:pStyle w:val="TableParagraph"/>
              <w:widowControl/>
              <w:kinsoku w:val="0"/>
              <w:overflowPunct w:val="0"/>
              <w:jc w:val="center"/>
              <w:rPr>
                <w:sz w:val="22"/>
                <w:lang w:val="de-DE"/>
              </w:rPr>
            </w:pPr>
            <w:r>
              <w:rPr>
                <w:b/>
                <w:bCs/>
                <w:sz w:val="22"/>
                <w:szCs w:val="22"/>
                <w:lang w:val="de-DE"/>
              </w:rPr>
              <w:t>N = 166</w:t>
            </w:r>
          </w:p>
        </w:tc>
        <w:tc>
          <w:tcPr>
            <w:tcW w:w="1829" w:type="dxa"/>
            <w:tcBorders>
              <w:top w:val="single" w:sz="4" w:space="0" w:color="000000"/>
              <w:left w:val="single" w:sz="4" w:space="0" w:color="000000"/>
              <w:bottom w:val="single" w:sz="4" w:space="0" w:color="000000"/>
              <w:right w:val="single" w:sz="4" w:space="0" w:color="000000"/>
            </w:tcBorders>
          </w:tcPr>
          <w:p w14:paraId="24D58859" w14:textId="77777777" w:rsidR="00FE291A" w:rsidRDefault="00C8738F">
            <w:pPr>
              <w:pStyle w:val="TableParagraph"/>
              <w:widowControl/>
              <w:kinsoku w:val="0"/>
              <w:overflowPunct w:val="0"/>
              <w:jc w:val="center"/>
              <w:rPr>
                <w:b/>
                <w:bCs/>
                <w:sz w:val="22"/>
                <w:szCs w:val="22"/>
                <w:lang w:val="de-DE"/>
              </w:rPr>
            </w:pPr>
            <w:r>
              <w:rPr>
                <w:b/>
                <w:bCs/>
                <w:sz w:val="22"/>
                <w:szCs w:val="22"/>
                <w:lang w:val="de-DE"/>
              </w:rPr>
              <w:t>Adalimumab 160/80 mg</w:t>
            </w:r>
          </w:p>
          <w:p w14:paraId="2EDC794E" w14:textId="77777777" w:rsidR="00FE291A" w:rsidRDefault="00C8738F">
            <w:pPr>
              <w:pStyle w:val="TableParagraph"/>
              <w:widowControl/>
              <w:kinsoku w:val="0"/>
              <w:overflowPunct w:val="0"/>
              <w:jc w:val="center"/>
              <w:rPr>
                <w:sz w:val="22"/>
                <w:lang w:val="de-DE"/>
              </w:rPr>
            </w:pPr>
            <w:r>
              <w:rPr>
                <w:b/>
                <w:bCs/>
                <w:sz w:val="22"/>
                <w:szCs w:val="22"/>
                <w:lang w:val="de-DE"/>
              </w:rPr>
              <w:t>N = 159</w:t>
            </w:r>
          </w:p>
        </w:tc>
      </w:tr>
      <w:tr w:rsidR="00FE291A" w14:paraId="03427D5B" w14:textId="77777777">
        <w:trPr>
          <w:trHeight w:hRule="exact" w:val="269"/>
        </w:trPr>
        <w:tc>
          <w:tcPr>
            <w:tcW w:w="9237" w:type="dxa"/>
            <w:gridSpan w:val="6"/>
            <w:tcBorders>
              <w:top w:val="single" w:sz="4" w:space="0" w:color="000000"/>
              <w:left w:val="single" w:sz="4" w:space="0" w:color="000000"/>
              <w:bottom w:val="single" w:sz="4" w:space="0" w:color="000000"/>
              <w:right w:val="single" w:sz="4" w:space="0" w:color="000000"/>
            </w:tcBorders>
            <w:vAlign w:val="center"/>
          </w:tcPr>
          <w:p w14:paraId="6C5490C3" w14:textId="77777777" w:rsidR="00FE291A" w:rsidRDefault="00C8738F">
            <w:pPr>
              <w:widowControl/>
              <w:rPr>
                <w:sz w:val="22"/>
                <w:lang w:val="de-DE"/>
              </w:rPr>
            </w:pPr>
            <w:r>
              <w:rPr>
                <w:sz w:val="22"/>
                <w:szCs w:val="22"/>
                <w:lang w:val="de-DE"/>
              </w:rPr>
              <w:t>Woche 4</w:t>
            </w:r>
          </w:p>
        </w:tc>
      </w:tr>
      <w:tr w:rsidR="00FE291A" w14:paraId="1F9976BE" w14:textId="77777777">
        <w:trPr>
          <w:trHeight w:hRule="exact" w:val="269"/>
        </w:trPr>
        <w:tc>
          <w:tcPr>
            <w:tcW w:w="2356" w:type="dxa"/>
            <w:tcBorders>
              <w:top w:val="single" w:sz="4" w:space="0" w:color="000000"/>
              <w:left w:val="single" w:sz="4" w:space="0" w:color="000000"/>
              <w:bottom w:val="single" w:sz="4" w:space="0" w:color="000000"/>
              <w:right w:val="single" w:sz="4" w:space="0" w:color="000000"/>
            </w:tcBorders>
          </w:tcPr>
          <w:p w14:paraId="28CFD0EB" w14:textId="77777777" w:rsidR="00FE291A" w:rsidRDefault="00C8738F">
            <w:pPr>
              <w:pStyle w:val="TableParagraph"/>
              <w:widowControl/>
              <w:kinsoku w:val="0"/>
              <w:overflowPunct w:val="0"/>
              <w:rPr>
                <w:sz w:val="22"/>
                <w:lang w:val="de-DE"/>
              </w:rPr>
            </w:pPr>
            <w:r>
              <w:rPr>
                <w:sz w:val="22"/>
                <w:szCs w:val="22"/>
                <w:lang w:val="de-DE"/>
              </w:rPr>
              <w:t>Klinische Remission</w:t>
            </w:r>
          </w:p>
        </w:tc>
        <w:tc>
          <w:tcPr>
            <w:tcW w:w="1083" w:type="dxa"/>
            <w:tcBorders>
              <w:top w:val="single" w:sz="4" w:space="0" w:color="000000"/>
              <w:left w:val="single" w:sz="4" w:space="0" w:color="000000"/>
              <w:bottom w:val="single" w:sz="4" w:space="0" w:color="000000"/>
              <w:right w:val="single" w:sz="4" w:space="0" w:color="000000"/>
            </w:tcBorders>
          </w:tcPr>
          <w:p w14:paraId="478E9E71" w14:textId="77777777" w:rsidR="00FE291A" w:rsidRDefault="00C8738F">
            <w:pPr>
              <w:pStyle w:val="TableParagraph"/>
              <w:widowControl/>
              <w:kinsoku w:val="0"/>
              <w:overflowPunct w:val="0"/>
              <w:jc w:val="center"/>
              <w:rPr>
                <w:sz w:val="22"/>
                <w:lang w:val="de-DE"/>
              </w:rPr>
            </w:pPr>
            <w:r>
              <w:rPr>
                <w:sz w:val="22"/>
                <w:szCs w:val="22"/>
                <w:lang w:val="de-DE"/>
              </w:rPr>
              <w:t>12 %</w:t>
            </w:r>
          </w:p>
        </w:tc>
        <w:tc>
          <w:tcPr>
            <w:tcW w:w="1363" w:type="dxa"/>
            <w:tcBorders>
              <w:top w:val="single" w:sz="4" w:space="0" w:color="000000"/>
              <w:left w:val="single" w:sz="4" w:space="0" w:color="000000"/>
              <w:bottom w:val="single" w:sz="4" w:space="0" w:color="000000"/>
              <w:right w:val="single" w:sz="4" w:space="0" w:color="000000"/>
            </w:tcBorders>
          </w:tcPr>
          <w:p w14:paraId="45612214" w14:textId="77777777" w:rsidR="00FE291A" w:rsidRDefault="00C8738F">
            <w:pPr>
              <w:pStyle w:val="TableParagraph"/>
              <w:widowControl/>
              <w:kinsoku w:val="0"/>
              <w:overflowPunct w:val="0"/>
              <w:jc w:val="center"/>
              <w:rPr>
                <w:sz w:val="22"/>
                <w:lang w:val="de-DE"/>
              </w:rPr>
            </w:pPr>
            <w:r>
              <w:rPr>
                <w:sz w:val="22"/>
                <w:szCs w:val="22"/>
                <w:lang w:val="de-DE"/>
              </w:rPr>
              <w:t>24 %</w:t>
            </w:r>
          </w:p>
        </w:tc>
        <w:tc>
          <w:tcPr>
            <w:tcW w:w="1260" w:type="dxa"/>
            <w:tcBorders>
              <w:top w:val="single" w:sz="4" w:space="0" w:color="000000"/>
              <w:left w:val="single" w:sz="4" w:space="0" w:color="000000"/>
              <w:bottom w:val="single" w:sz="4" w:space="0" w:color="000000"/>
              <w:right w:val="single" w:sz="4" w:space="0" w:color="000000"/>
            </w:tcBorders>
          </w:tcPr>
          <w:p w14:paraId="3A65289E" w14:textId="77777777" w:rsidR="00FE291A" w:rsidRDefault="00C8738F">
            <w:pPr>
              <w:pStyle w:val="TableParagraph"/>
              <w:widowControl/>
              <w:kinsoku w:val="0"/>
              <w:overflowPunct w:val="0"/>
              <w:jc w:val="center"/>
              <w:rPr>
                <w:sz w:val="22"/>
                <w:szCs w:val="22"/>
                <w:lang w:val="de-DE"/>
              </w:rPr>
            </w:pPr>
            <w:r>
              <w:rPr>
                <w:sz w:val="22"/>
                <w:szCs w:val="22"/>
                <w:lang w:val="de-DE"/>
              </w:rPr>
              <w:t>36 %*</w:t>
            </w:r>
          </w:p>
        </w:tc>
        <w:tc>
          <w:tcPr>
            <w:tcW w:w="1346" w:type="dxa"/>
            <w:tcBorders>
              <w:top w:val="single" w:sz="4" w:space="0" w:color="000000"/>
              <w:left w:val="single" w:sz="4" w:space="0" w:color="000000"/>
              <w:bottom w:val="single" w:sz="4" w:space="0" w:color="000000"/>
              <w:right w:val="single" w:sz="4" w:space="0" w:color="000000"/>
            </w:tcBorders>
          </w:tcPr>
          <w:p w14:paraId="55D3F696" w14:textId="77777777" w:rsidR="00FE291A" w:rsidRDefault="00C8738F">
            <w:pPr>
              <w:pStyle w:val="TableParagraph"/>
              <w:widowControl/>
              <w:kinsoku w:val="0"/>
              <w:overflowPunct w:val="0"/>
              <w:jc w:val="center"/>
              <w:rPr>
                <w:sz w:val="22"/>
                <w:lang w:val="de-DE"/>
              </w:rPr>
            </w:pPr>
            <w:r>
              <w:rPr>
                <w:sz w:val="22"/>
                <w:szCs w:val="22"/>
                <w:lang w:val="de-DE"/>
              </w:rPr>
              <w:t>7 %</w:t>
            </w:r>
          </w:p>
        </w:tc>
        <w:tc>
          <w:tcPr>
            <w:tcW w:w="1829" w:type="dxa"/>
            <w:tcBorders>
              <w:top w:val="single" w:sz="4" w:space="0" w:color="000000"/>
              <w:left w:val="single" w:sz="4" w:space="0" w:color="000000"/>
              <w:bottom w:val="single" w:sz="4" w:space="0" w:color="000000"/>
              <w:right w:val="single" w:sz="4" w:space="0" w:color="000000"/>
            </w:tcBorders>
          </w:tcPr>
          <w:p w14:paraId="3FA7B361" w14:textId="77777777" w:rsidR="00FE291A" w:rsidRDefault="00C8738F">
            <w:pPr>
              <w:pStyle w:val="TableParagraph"/>
              <w:widowControl/>
              <w:kinsoku w:val="0"/>
              <w:overflowPunct w:val="0"/>
              <w:jc w:val="center"/>
              <w:rPr>
                <w:sz w:val="22"/>
                <w:szCs w:val="22"/>
                <w:lang w:val="de-DE"/>
              </w:rPr>
            </w:pPr>
            <w:r>
              <w:rPr>
                <w:sz w:val="22"/>
                <w:szCs w:val="22"/>
                <w:lang w:val="de-DE"/>
              </w:rPr>
              <w:t>21 %*</w:t>
            </w:r>
          </w:p>
        </w:tc>
      </w:tr>
      <w:tr w:rsidR="00FE291A" w14:paraId="149B350E" w14:textId="77777777">
        <w:trPr>
          <w:trHeight w:hRule="exact" w:val="528"/>
        </w:trPr>
        <w:tc>
          <w:tcPr>
            <w:tcW w:w="2356" w:type="dxa"/>
            <w:tcBorders>
              <w:top w:val="single" w:sz="4" w:space="0" w:color="000000"/>
              <w:left w:val="single" w:sz="4" w:space="0" w:color="000000"/>
              <w:bottom w:val="single" w:sz="4" w:space="0" w:color="000000"/>
              <w:right w:val="single" w:sz="4" w:space="0" w:color="000000"/>
            </w:tcBorders>
          </w:tcPr>
          <w:p w14:paraId="5D6D1D14" w14:textId="77777777" w:rsidR="00FE291A" w:rsidRDefault="00C8738F">
            <w:pPr>
              <w:pStyle w:val="TableParagraph"/>
              <w:keepNext/>
              <w:widowControl/>
              <w:kinsoku w:val="0"/>
              <w:overflowPunct w:val="0"/>
              <w:rPr>
                <w:sz w:val="22"/>
                <w:lang w:val="de-DE"/>
              </w:rPr>
            </w:pPr>
            <w:r>
              <w:rPr>
                <w:sz w:val="22"/>
                <w:szCs w:val="22"/>
                <w:lang w:val="de-DE"/>
              </w:rPr>
              <w:t>Klinisches Ansprechen (CR-100)</w:t>
            </w:r>
          </w:p>
        </w:tc>
        <w:tc>
          <w:tcPr>
            <w:tcW w:w="1083" w:type="dxa"/>
            <w:tcBorders>
              <w:top w:val="single" w:sz="4" w:space="0" w:color="000000"/>
              <w:left w:val="single" w:sz="4" w:space="0" w:color="000000"/>
              <w:bottom w:val="single" w:sz="4" w:space="0" w:color="000000"/>
              <w:right w:val="single" w:sz="4" w:space="0" w:color="000000"/>
            </w:tcBorders>
          </w:tcPr>
          <w:p w14:paraId="3E018219" w14:textId="77777777" w:rsidR="00FE291A" w:rsidRDefault="00C8738F">
            <w:pPr>
              <w:pStyle w:val="TableParagraph"/>
              <w:keepNext/>
              <w:widowControl/>
              <w:kinsoku w:val="0"/>
              <w:overflowPunct w:val="0"/>
              <w:jc w:val="center"/>
              <w:rPr>
                <w:sz w:val="22"/>
                <w:lang w:val="de-DE"/>
              </w:rPr>
            </w:pPr>
            <w:r>
              <w:rPr>
                <w:sz w:val="22"/>
                <w:szCs w:val="22"/>
                <w:lang w:val="de-DE"/>
              </w:rPr>
              <w:t>24 %</w:t>
            </w:r>
          </w:p>
        </w:tc>
        <w:tc>
          <w:tcPr>
            <w:tcW w:w="1363" w:type="dxa"/>
            <w:tcBorders>
              <w:top w:val="single" w:sz="4" w:space="0" w:color="000000"/>
              <w:left w:val="single" w:sz="4" w:space="0" w:color="000000"/>
              <w:bottom w:val="single" w:sz="4" w:space="0" w:color="000000"/>
              <w:right w:val="single" w:sz="4" w:space="0" w:color="000000"/>
            </w:tcBorders>
          </w:tcPr>
          <w:p w14:paraId="5AE8E042" w14:textId="77777777" w:rsidR="00FE291A" w:rsidRDefault="00C8738F">
            <w:pPr>
              <w:pStyle w:val="TableParagraph"/>
              <w:keepNext/>
              <w:widowControl/>
              <w:kinsoku w:val="0"/>
              <w:overflowPunct w:val="0"/>
              <w:jc w:val="center"/>
              <w:rPr>
                <w:sz w:val="22"/>
                <w:lang w:val="de-DE"/>
              </w:rPr>
            </w:pPr>
            <w:r>
              <w:rPr>
                <w:sz w:val="22"/>
                <w:szCs w:val="22"/>
                <w:lang w:val="de-DE"/>
              </w:rPr>
              <w:t>37 %</w:t>
            </w:r>
          </w:p>
        </w:tc>
        <w:tc>
          <w:tcPr>
            <w:tcW w:w="1260" w:type="dxa"/>
            <w:tcBorders>
              <w:top w:val="single" w:sz="4" w:space="0" w:color="000000"/>
              <w:left w:val="single" w:sz="4" w:space="0" w:color="000000"/>
              <w:bottom w:val="single" w:sz="4" w:space="0" w:color="000000"/>
              <w:right w:val="single" w:sz="4" w:space="0" w:color="000000"/>
            </w:tcBorders>
          </w:tcPr>
          <w:p w14:paraId="32F02263" w14:textId="77777777" w:rsidR="00FE291A" w:rsidRDefault="00C8738F">
            <w:pPr>
              <w:pStyle w:val="TableParagraph"/>
              <w:keepNext/>
              <w:widowControl/>
              <w:kinsoku w:val="0"/>
              <w:overflowPunct w:val="0"/>
              <w:jc w:val="center"/>
              <w:rPr>
                <w:sz w:val="22"/>
                <w:lang w:val="de-DE"/>
              </w:rPr>
            </w:pPr>
            <w:r>
              <w:rPr>
                <w:sz w:val="22"/>
                <w:szCs w:val="22"/>
                <w:lang w:val="de-DE"/>
              </w:rPr>
              <w:t>49 %**</w:t>
            </w:r>
          </w:p>
        </w:tc>
        <w:tc>
          <w:tcPr>
            <w:tcW w:w="1346" w:type="dxa"/>
            <w:tcBorders>
              <w:top w:val="single" w:sz="4" w:space="0" w:color="000000"/>
              <w:left w:val="single" w:sz="4" w:space="0" w:color="000000"/>
              <w:bottom w:val="single" w:sz="4" w:space="0" w:color="000000"/>
              <w:right w:val="single" w:sz="4" w:space="0" w:color="000000"/>
            </w:tcBorders>
          </w:tcPr>
          <w:p w14:paraId="416404B5" w14:textId="77777777" w:rsidR="00FE291A" w:rsidRDefault="00C8738F">
            <w:pPr>
              <w:pStyle w:val="TableParagraph"/>
              <w:keepNext/>
              <w:widowControl/>
              <w:kinsoku w:val="0"/>
              <w:overflowPunct w:val="0"/>
              <w:jc w:val="center"/>
              <w:rPr>
                <w:sz w:val="22"/>
                <w:lang w:val="de-DE"/>
              </w:rPr>
            </w:pPr>
            <w:r>
              <w:rPr>
                <w:sz w:val="22"/>
                <w:szCs w:val="22"/>
                <w:lang w:val="de-DE"/>
              </w:rPr>
              <w:t>25 %</w:t>
            </w:r>
          </w:p>
        </w:tc>
        <w:tc>
          <w:tcPr>
            <w:tcW w:w="1829" w:type="dxa"/>
            <w:tcBorders>
              <w:top w:val="single" w:sz="4" w:space="0" w:color="000000"/>
              <w:left w:val="single" w:sz="4" w:space="0" w:color="000000"/>
              <w:bottom w:val="single" w:sz="4" w:space="0" w:color="000000"/>
              <w:right w:val="single" w:sz="4" w:space="0" w:color="000000"/>
            </w:tcBorders>
          </w:tcPr>
          <w:p w14:paraId="35157E4E" w14:textId="77777777" w:rsidR="00FE291A" w:rsidRDefault="00C8738F">
            <w:pPr>
              <w:pStyle w:val="TableParagraph"/>
              <w:keepNext/>
              <w:widowControl/>
              <w:kinsoku w:val="0"/>
              <w:overflowPunct w:val="0"/>
              <w:jc w:val="center"/>
              <w:rPr>
                <w:sz w:val="22"/>
                <w:szCs w:val="22"/>
                <w:lang w:val="de-DE"/>
              </w:rPr>
            </w:pPr>
            <w:r>
              <w:rPr>
                <w:sz w:val="22"/>
                <w:szCs w:val="22"/>
                <w:lang w:val="de-DE"/>
              </w:rPr>
              <w:t>38 %**</w:t>
            </w:r>
          </w:p>
        </w:tc>
      </w:tr>
    </w:tbl>
    <w:p w14:paraId="214F0ED6" w14:textId="77777777" w:rsidR="00FE291A" w:rsidRDefault="00C8738F">
      <w:pPr>
        <w:pStyle w:val="BodyText"/>
        <w:widowControl/>
        <w:kinsoku w:val="0"/>
        <w:overflowPunct w:val="0"/>
        <w:ind w:left="0"/>
        <w:rPr>
          <w:sz w:val="20"/>
          <w:szCs w:val="20"/>
          <w:lang w:val="de-DE"/>
        </w:rPr>
      </w:pPr>
      <w:r>
        <w:rPr>
          <w:sz w:val="20"/>
          <w:szCs w:val="20"/>
          <w:lang w:val="de-DE"/>
        </w:rPr>
        <w:t xml:space="preserve">Alle p-Werte beziehen sich auf den paarweisen Vergleich der Zahlen für Adalimumab </w:t>
      </w:r>
      <w:r>
        <w:rPr>
          <w:i/>
          <w:iCs/>
          <w:sz w:val="20"/>
          <w:szCs w:val="20"/>
          <w:lang w:val="de-DE"/>
        </w:rPr>
        <w:t>versu</w:t>
      </w:r>
      <w:r>
        <w:rPr>
          <w:i/>
          <w:sz w:val="20"/>
          <w:szCs w:val="20"/>
          <w:lang w:val="de-DE"/>
        </w:rPr>
        <w:t>s</w:t>
      </w:r>
      <w:r>
        <w:rPr>
          <w:sz w:val="20"/>
          <w:szCs w:val="20"/>
          <w:lang w:val="de-DE"/>
        </w:rPr>
        <w:t xml:space="preserve"> Placebo</w:t>
      </w:r>
    </w:p>
    <w:p w14:paraId="70F8FCC8" w14:textId="77777777" w:rsidR="00FE291A" w:rsidRDefault="00C8738F">
      <w:pPr>
        <w:pStyle w:val="BodyText"/>
        <w:widowControl/>
        <w:tabs>
          <w:tab w:val="left" w:pos="578"/>
        </w:tabs>
        <w:kinsoku w:val="0"/>
        <w:overflowPunct w:val="0"/>
        <w:ind w:left="0"/>
        <w:rPr>
          <w:sz w:val="20"/>
          <w:szCs w:val="20"/>
          <w:lang w:val="de-DE"/>
        </w:rPr>
      </w:pPr>
      <w:r>
        <w:rPr>
          <w:sz w:val="20"/>
          <w:szCs w:val="20"/>
          <w:lang w:val="de-DE"/>
        </w:rPr>
        <w:t>* p &lt; 0,001</w:t>
      </w:r>
    </w:p>
    <w:p w14:paraId="1B068B15" w14:textId="77777777" w:rsidR="00FE291A" w:rsidRDefault="00C8738F">
      <w:pPr>
        <w:widowControl/>
        <w:tabs>
          <w:tab w:val="left" w:pos="578"/>
        </w:tabs>
        <w:kinsoku w:val="0"/>
        <w:overflowPunct w:val="0"/>
        <w:rPr>
          <w:sz w:val="20"/>
          <w:szCs w:val="20"/>
          <w:lang w:val="de-DE"/>
        </w:rPr>
      </w:pPr>
      <w:r>
        <w:rPr>
          <w:sz w:val="20"/>
          <w:szCs w:val="20"/>
          <w:lang w:val="de-DE"/>
        </w:rPr>
        <w:t>** p &lt; 0,01</w:t>
      </w:r>
    </w:p>
    <w:p w14:paraId="65125302" w14:textId="77777777" w:rsidR="00FE291A" w:rsidRDefault="00FE291A">
      <w:pPr>
        <w:widowControl/>
        <w:kinsoku w:val="0"/>
        <w:overflowPunct w:val="0"/>
        <w:rPr>
          <w:sz w:val="22"/>
          <w:szCs w:val="22"/>
          <w:lang w:val="de-DE"/>
        </w:rPr>
      </w:pPr>
    </w:p>
    <w:p w14:paraId="0B075E47" w14:textId="77777777" w:rsidR="00FE291A" w:rsidRDefault="00C8738F">
      <w:pPr>
        <w:pStyle w:val="BodyText"/>
        <w:widowControl/>
        <w:kinsoku w:val="0"/>
        <w:overflowPunct w:val="0"/>
        <w:ind w:left="0"/>
        <w:rPr>
          <w:lang w:val="de-DE"/>
        </w:rPr>
      </w:pPr>
      <w:r>
        <w:rPr>
          <w:lang w:val="de-DE"/>
        </w:rPr>
        <w:t>Die Remissionsraten in Woche 8 für die Induktionsdosierung mit 160/80 mg und mit 80/40 mg waren vergleichbar, unter der Dosierung mit 160/80 mg wurden häufiger Nebenwirkungen beobachtet.</w:t>
      </w:r>
    </w:p>
    <w:p w14:paraId="34B88882" w14:textId="77777777" w:rsidR="00FE291A" w:rsidRDefault="00FE291A">
      <w:pPr>
        <w:widowControl/>
        <w:kinsoku w:val="0"/>
        <w:overflowPunct w:val="0"/>
        <w:rPr>
          <w:sz w:val="22"/>
          <w:szCs w:val="22"/>
          <w:lang w:val="de-DE"/>
        </w:rPr>
      </w:pPr>
    </w:p>
    <w:p w14:paraId="2659BE57" w14:textId="77777777" w:rsidR="00FE291A" w:rsidRDefault="00C8738F">
      <w:pPr>
        <w:pStyle w:val="BodyText"/>
        <w:widowControl/>
        <w:kinsoku w:val="0"/>
        <w:overflowPunct w:val="0"/>
        <w:ind w:left="0"/>
        <w:rPr>
          <w:lang w:val="de-DE"/>
        </w:rPr>
      </w:pPr>
      <w:r>
        <w:rPr>
          <w:lang w:val="de-DE"/>
        </w:rPr>
        <w:t>In Woche 4 zeigten in der MC-Studie III 58 % (499/854) der Patienten ein klinisches Ansprechen und wurden in der primären Analyse erfasst. Von diesen Patienten mit klinischem Ansprechen in Woche 4 hatten 48 % bereits zuvor TNF-Antagonisten erhalten. Die Raten der anhaltenden Remission und des Ansprechens sind in Tabelle 22 aufgeführt. Die Ergebnisse zur klinischen Remission waren weitgehend konstant, unabhängig davon, ob früher bereits ein TNF-Antagonist verabreicht wurde.</w:t>
      </w:r>
    </w:p>
    <w:p w14:paraId="5BE7E4A6" w14:textId="77777777" w:rsidR="00FE291A" w:rsidRDefault="00FE291A">
      <w:pPr>
        <w:widowControl/>
        <w:kinsoku w:val="0"/>
        <w:overflowPunct w:val="0"/>
        <w:rPr>
          <w:sz w:val="22"/>
          <w:szCs w:val="22"/>
          <w:lang w:val="de-DE"/>
        </w:rPr>
      </w:pPr>
    </w:p>
    <w:p w14:paraId="6A3B945C" w14:textId="77777777" w:rsidR="00FE291A" w:rsidRDefault="00C8738F">
      <w:pPr>
        <w:pStyle w:val="BodyText"/>
        <w:widowControl/>
        <w:kinsoku w:val="0"/>
        <w:overflowPunct w:val="0"/>
        <w:ind w:left="0"/>
        <w:rPr>
          <w:lang w:val="de-DE"/>
        </w:rPr>
      </w:pPr>
      <w:r>
        <w:rPr>
          <w:lang w:val="de-DE"/>
        </w:rPr>
        <w:t>Adalimumab verringerte im Vergleich zu Placebo krankheitsbezogene Klinikaufenthalte und Operationen in Woche 56 signifikant.</w:t>
      </w:r>
    </w:p>
    <w:p w14:paraId="0AB78862" w14:textId="77777777" w:rsidR="00FE291A" w:rsidRDefault="00FE291A">
      <w:pPr>
        <w:widowControl/>
        <w:kinsoku w:val="0"/>
        <w:overflowPunct w:val="0"/>
        <w:rPr>
          <w:sz w:val="22"/>
          <w:szCs w:val="22"/>
          <w:lang w:val="de-DE"/>
        </w:rPr>
      </w:pPr>
    </w:p>
    <w:p w14:paraId="3DF7CDDA" w14:textId="77777777" w:rsidR="00FE291A" w:rsidRDefault="00C8738F">
      <w:pPr>
        <w:pStyle w:val="Heading1"/>
        <w:keepNext/>
        <w:widowControl/>
        <w:kinsoku w:val="0"/>
        <w:overflowPunct w:val="0"/>
        <w:ind w:left="0"/>
        <w:rPr>
          <w:lang w:val="de-DE"/>
        </w:rPr>
      </w:pPr>
      <w:r>
        <w:rPr>
          <w:lang w:val="de-DE"/>
        </w:rPr>
        <w:t>Tabelle 22: Aufrechterhaltung der klinischen Remission und des Ansprechens (Prozent der Patienten)</w:t>
      </w:r>
    </w:p>
    <w:p w14:paraId="66A0EB26" w14:textId="77777777" w:rsidR="00FE291A" w:rsidRDefault="00FE291A">
      <w:pPr>
        <w:keepNext/>
        <w:widowControl/>
        <w:kinsoku w:val="0"/>
        <w:overflowPunct w:val="0"/>
        <w:rPr>
          <w:sz w:val="22"/>
          <w:lang w:val="de-DE"/>
        </w:rPr>
      </w:pPr>
    </w:p>
    <w:tbl>
      <w:tblPr>
        <w:tblW w:w="9393" w:type="dxa"/>
        <w:tblInd w:w="5" w:type="dxa"/>
        <w:tblLayout w:type="fixed"/>
        <w:tblCellMar>
          <w:left w:w="0" w:type="dxa"/>
          <w:right w:w="0" w:type="dxa"/>
        </w:tblCellMar>
        <w:tblLook w:val="04A0" w:firstRow="1" w:lastRow="0" w:firstColumn="1" w:lastColumn="0" w:noHBand="0" w:noVBand="1"/>
      </w:tblPr>
      <w:tblGrid>
        <w:gridCol w:w="3853"/>
        <w:gridCol w:w="1752"/>
        <w:gridCol w:w="1928"/>
        <w:gridCol w:w="1860"/>
      </w:tblGrid>
      <w:tr w:rsidR="00FE291A" w14:paraId="3C50EB08" w14:textId="77777777">
        <w:trPr>
          <w:trHeight w:hRule="exact" w:val="956"/>
        </w:trPr>
        <w:tc>
          <w:tcPr>
            <w:tcW w:w="3853" w:type="dxa"/>
            <w:tcBorders>
              <w:top w:val="single" w:sz="4" w:space="0" w:color="000000"/>
              <w:left w:val="single" w:sz="4" w:space="0" w:color="000000"/>
              <w:bottom w:val="single" w:sz="4" w:space="0" w:color="000000"/>
              <w:right w:val="single" w:sz="4" w:space="0" w:color="000000"/>
            </w:tcBorders>
          </w:tcPr>
          <w:p w14:paraId="466A1188" w14:textId="77777777" w:rsidR="00FE291A" w:rsidRDefault="00FE291A">
            <w:pPr>
              <w:keepNext/>
              <w:widowControl/>
              <w:rPr>
                <w:sz w:val="22"/>
                <w:szCs w:val="22"/>
                <w:lang w:val="de-DE"/>
              </w:rPr>
            </w:pPr>
          </w:p>
        </w:tc>
        <w:tc>
          <w:tcPr>
            <w:tcW w:w="1752" w:type="dxa"/>
            <w:tcBorders>
              <w:top w:val="single" w:sz="4" w:space="0" w:color="000000"/>
              <w:left w:val="single" w:sz="4" w:space="0" w:color="000000"/>
              <w:bottom w:val="single" w:sz="4" w:space="0" w:color="000000"/>
              <w:right w:val="single" w:sz="4" w:space="0" w:color="000000"/>
            </w:tcBorders>
          </w:tcPr>
          <w:p w14:paraId="6E2F6A7E" w14:textId="77777777" w:rsidR="00FE291A" w:rsidRDefault="00C8738F">
            <w:pPr>
              <w:pStyle w:val="TableParagraph"/>
              <w:keepNext/>
              <w:widowControl/>
              <w:kinsoku w:val="0"/>
              <w:overflowPunct w:val="0"/>
              <w:jc w:val="center"/>
              <w:rPr>
                <w:sz w:val="22"/>
                <w:szCs w:val="22"/>
                <w:lang w:val="de-DE"/>
              </w:rPr>
            </w:pPr>
            <w:r>
              <w:rPr>
                <w:b/>
                <w:bCs/>
                <w:sz w:val="22"/>
                <w:szCs w:val="22"/>
                <w:lang w:val="de-DE"/>
              </w:rPr>
              <w:t>Placebo</w:t>
            </w:r>
          </w:p>
        </w:tc>
        <w:tc>
          <w:tcPr>
            <w:tcW w:w="1928" w:type="dxa"/>
            <w:tcBorders>
              <w:top w:val="single" w:sz="4" w:space="0" w:color="000000"/>
              <w:left w:val="single" w:sz="4" w:space="0" w:color="000000"/>
              <w:bottom w:val="single" w:sz="4" w:space="0" w:color="000000"/>
              <w:right w:val="single" w:sz="4" w:space="0" w:color="000000"/>
            </w:tcBorders>
          </w:tcPr>
          <w:p w14:paraId="2C1546AE" w14:textId="77777777" w:rsidR="00FE291A" w:rsidRDefault="00C8738F">
            <w:pPr>
              <w:pStyle w:val="TableParagraph"/>
              <w:keepNext/>
              <w:widowControl/>
              <w:kinsoku w:val="0"/>
              <w:overflowPunct w:val="0"/>
              <w:jc w:val="center"/>
              <w:rPr>
                <w:b/>
                <w:bCs/>
                <w:sz w:val="22"/>
                <w:szCs w:val="22"/>
                <w:lang w:val="de-DE"/>
              </w:rPr>
            </w:pPr>
            <w:r>
              <w:rPr>
                <w:b/>
                <w:bCs/>
                <w:sz w:val="22"/>
                <w:szCs w:val="22"/>
                <w:lang w:val="de-DE"/>
              </w:rPr>
              <w:t>40 mg Adalimumab</w:t>
            </w:r>
          </w:p>
          <w:p w14:paraId="4745520F" w14:textId="77777777" w:rsidR="00FE291A" w:rsidRDefault="00C8738F">
            <w:pPr>
              <w:pStyle w:val="TableParagraph"/>
              <w:keepNext/>
              <w:widowControl/>
              <w:kinsoku w:val="0"/>
              <w:overflowPunct w:val="0"/>
              <w:jc w:val="center"/>
              <w:rPr>
                <w:b/>
                <w:bCs/>
                <w:sz w:val="22"/>
                <w:szCs w:val="22"/>
                <w:lang w:val="de-DE"/>
              </w:rPr>
            </w:pPr>
            <w:r>
              <w:rPr>
                <w:b/>
                <w:bCs/>
                <w:sz w:val="22"/>
                <w:szCs w:val="22"/>
                <w:lang w:val="de-DE"/>
              </w:rPr>
              <w:t xml:space="preserve">jede zweite </w:t>
            </w:r>
          </w:p>
          <w:p w14:paraId="4969E2EA" w14:textId="77777777" w:rsidR="00FE291A" w:rsidRDefault="00C8738F">
            <w:pPr>
              <w:pStyle w:val="TableParagraph"/>
              <w:keepNext/>
              <w:widowControl/>
              <w:kinsoku w:val="0"/>
              <w:overflowPunct w:val="0"/>
              <w:jc w:val="center"/>
              <w:rPr>
                <w:sz w:val="22"/>
                <w:szCs w:val="22"/>
                <w:lang w:val="de-DE"/>
              </w:rPr>
            </w:pPr>
            <w:r>
              <w:rPr>
                <w:b/>
                <w:bCs/>
                <w:sz w:val="22"/>
                <w:szCs w:val="22"/>
                <w:lang w:val="de-DE"/>
              </w:rPr>
              <w:t>Woche</w:t>
            </w:r>
          </w:p>
        </w:tc>
        <w:tc>
          <w:tcPr>
            <w:tcW w:w="1860" w:type="dxa"/>
            <w:tcBorders>
              <w:top w:val="single" w:sz="4" w:space="0" w:color="000000"/>
              <w:left w:val="single" w:sz="4" w:space="0" w:color="000000"/>
              <w:bottom w:val="single" w:sz="4" w:space="0" w:color="000000"/>
              <w:right w:val="single" w:sz="4" w:space="0" w:color="000000"/>
            </w:tcBorders>
          </w:tcPr>
          <w:p w14:paraId="7E330033" w14:textId="77777777" w:rsidR="00FE291A" w:rsidRDefault="00C8738F">
            <w:pPr>
              <w:pStyle w:val="TableParagraph"/>
              <w:keepNext/>
              <w:widowControl/>
              <w:kinsoku w:val="0"/>
              <w:overflowPunct w:val="0"/>
              <w:jc w:val="center"/>
              <w:rPr>
                <w:b/>
                <w:bCs/>
                <w:sz w:val="22"/>
                <w:szCs w:val="22"/>
                <w:lang w:val="de-DE"/>
              </w:rPr>
            </w:pPr>
            <w:r>
              <w:rPr>
                <w:b/>
                <w:bCs/>
                <w:sz w:val="22"/>
                <w:szCs w:val="22"/>
                <w:lang w:val="de-DE"/>
              </w:rPr>
              <w:t>40 mg Adalimumab</w:t>
            </w:r>
          </w:p>
          <w:p w14:paraId="059B9287" w14:textId="77777777" w:rsidR="00FE291A" w:rsidRDefault="00C8738F">
            <w:pPr>
              <w:pStyle w:val="TableParagraph"/>
              <w:keepNext/>
              <w:widowControl/>
              <w:kinsoku w:val="0"/>
              <w:overflowPunct w:val="0"/>
              <w:jc w:val="center"/>
              <w:rPr>
                <w:b/>
                <w:bCs/>
                <w:sz w:val="22"/>
                <w:szCs w:val="22"/>
                <w:lang w:val="de-DE"/>
              </w:rPr>
            </w:pPr>
            <w:r>
              <w:rPr>
                <w:b/>
                <w:bCs/>
                <w:sz w:val="22"/>
                <w:szCs w:val="22"/>
                <w:lang w:val="de-DE"/>
              </w:rPr>
              <w:t>jede Woche</w:t>
            </w:r>
          </w:p>
        </w:tc>
      </w:tr>
      <w:tr w:rsidR="00FE291A" w14:paraId="7252A8F9" w14:textId="77777777">
        <w:trPr>
          <w:trHeight w:hRule="exact" w:val="269"/>
        </w:trPr>
        <w:tc>
          <w:tcPr>
            <w:tcW w:w="3853" w:type="dxa"/>
            <w:tcBorders>
              <w:top w:val="single" w:sz="4" w:space="0" w:color="000000"/>
              <w:left w:val="single" w:sz="4" w:space="0" w:color="000000"/>
              <w:bottom w:val="single" w:sz="4" w:space="0" w:color="000000"/>
              <w:right w:val="single" w:sz="4" w:space="0" w:color="000000"/>
            </w:tcBorders>
          </w:tcPr>
          <w:p w14:paraId="07556F45" w14:textId="77777777" w:rsidR="00FE291A" w:rsidRDefault="00C8738F">
            <w:pPr>
              <w:pStyle w:val="TableParagraph"/>
              <w:keepNext/>
              <w:widowControl/>
              <w:kinsoku w:val="0"/>
              <w:overflowPunct w:val="0"/>
              <w:ind w:firstLine="179"/>
              <w:rPr>
                <w:sz w:val="22"/>
                <w:szCs w:val="22"/>
                <w:lang w:val="de-DE"/>
              </w:rPr>
            </w:pPr>
            <w:r>
              <w:rPr>
                <w:b/>
                <w:bCs/>
                <w:sz w:val="22"/>
                <w:szCs w:val="22"/>
                <w:lang w:val="de-DE"/>
              </w:rPr>
              <w:t>Woche 26</w:t>
            </w:r>
          </w:p>
        </w:tc>
        <w:tc>
          <w:tcPr>
            <w:tcW w:w="1752" w:type="dxa"/>
            <w:tcBorders>
              <w:top w:val="single" w:sz="4" w:space="0" w:color="000000"/>
              <w:left w:val="single" w:sz="4" w:space="0" w:color="000000"/>
              <w:bottom w:val="single" w:sz="4" w:space="0" w:color="000000"/>
              <w:right w:val="single" w:sz="4" w:space="0" w:color="000000"/>
            </w:tcBorders>
          </w:tcPr>
          <w:p w14:paraId="739A69FA" w14:textId="77777777" w:rsidR="00FE291A" w:rsidRDefault="00C8738F">
            <w:pPr>
              <w:pStyle w:val="TableParagraph"/>
              <w:keepNext/>
              <w:widowControl/>
              <w:kinsoku w:val="0"/>
              <w:overflowPunct w:val="0"/>
              <w:jc w:val="center"/>
              <w:rPr>
                <w:sz w:val="22"/>
                <w:szCs w:val="22"/>
                <w:lang w:val="de-DE"/>
              </w:rPr>
            </w:pPr>
            <w:r>
              <w:rPr>
                <w:b/>
                <w:bCs/>
                <w:sz w:val="22"/>
                <w:szCs w:val="22"/>
                <w:lang w:val="de-DE"/>
              </w:rPr>
              <w:t>N = 170</w:t>
            </w:r>
          </w:p>
        </w:tc>
        <w:tc>
          <w:tcPr>
            <w:tcW w:w="1928" w:type="dxa"/>
            <w:tcBorders>
              <w:top w:val="single" w:sz="4" w:space="0" w:color="000000"/>
              <w:left w:val="single" w:sz="4" w:space="0" w:color="000000"/>
              <w:bottom w:val="single" w:sz="4" w:space="0" w:color="000000"/>
              <w:right w:val="single" w:sz="4" w:space="0" w:color="000000"/>
            </w:tcBorders>
          </w:tcPr>
          <w:p w14:paraId="05E099B4" w14:textId="77777777" w:rsidR="00FE291A" w:rsidRDefault="00C8738F">
            <w:pPr>
              <w:pStyle w:val="TableParagraph"/>
              <w:keepNext/>
              <w:widowControl/>
              <w:kinsoku w:val="0"/>
              <w:overflowPunct w:val="0"/>
              <w:jc w:val="center"/>
              <w:rPr>
                <w:sz w:val="22"/>
                <w:szCs w:val="22"/>
                <w:lang w:val="de-DE"/>
              </w:rPr>
            </w:pPr>
            <w:r>
              <w:rPr>
                <w:b/>
                <w:bCs/>
                <w:sz w:val="22"/>
                <w:szCs w:val="22"/>
                <w:lang w:val="de-DE"/>
              </w:rPr>
              <w:t>N =</w:t>
            </w:r>
            <w:r>
              <w:rPr>
                <w:b/>
                <w:bCs/>
                <w:sz w:val="22"/>
                <w:szCs w:val="22"/>
                <w:lang w:val="de-DE" w:eastAsia="zh-TW"/>
              </w:rPr>
              <w:t> </w:t>
            </w:r>
            <w:r>
              <w:rPr>
                <w:b/>
                <w:bCs/>
                <w:sz w:val="22"/>
                <w:szCs w:val="22"/>
                <w:lang w:val="de-DE"/>
              </w:rPr>
              <w:t>172</w:t>
            </w:r>
          </w:p>
        </w:tc>
        <w:tc>
          <w:tcPr>
            <w:tcW w:w="1860" w:type="dxa"/>
            <w:tcBorders>
              <w:top w:val="single" w:sz="4" w:space="0" w:color="000000"/>
              <w:left w:val="single" w:sz="4" w:space="0" w:color="000000"/>
              <w:bottom w:val="single" w:sz="4" w:space="0" w:color="000000"/>
              <w:right w:val="single" w:sz="4" w:space="0" w:color="000000"/>
            </w:tcBorders>
          </w:tcPr>
          <w:p w14:paraId="147547DD" w14:textId="77777777" w:rsidR="00FE291A" w:rsidRDefault="00C8738F">
            <w:pPr>
              <w:pStyle w:val="TableParagraph"/>
              <w:keepNext/>
              <w:widowControl/>
              <w:kinsoku w:val="0"/>
              <w:overflowPunct w:val="0"/>
              <w:jc w:val="center"/>
              <w:rPr>
                <w:sz w:val="22"/>
                <w:szCs w:val="22"/>
                <w:lang w:val="de-DE"/>
              </w:rPr>
            </w:pPr>
            <w:r>
              <w:rPr>
                <w:b/>
                <w:bCs/>
                <w:sz w:val="22"/>
                <w:szCs w:val="22"/>
                <w:lang w:val="de-DE"/>
              </w:rPr>
              <w:t>N = 157</w:t>
            </w:r>
          </w:p>
        </w:tc>
      </w:tr>
      <w:tr w:rsidR="00FE291A" w14:paraId="0AE9337D" w14:textId="77777777">
        <w:trPr>
          <w:trHeight w:hRule="exact" w:val="269"/>
        </w:trPr>
        <w:tc>
          <w:tcPr>
            <w:tcW w:w="3853" w:type="dxa"/>
            <w:tcBorders>
              <w:top w:val="single" w:sz="4" w:space="0" w:color="000000"/>
              <w:left w:val="single" w:sz="4" w:space="0" w:color="000000"/>
              <w:bottom w:val="single" w:sz="4" w:space="0" w:color="000000"/>
              <w:right w:val="single" w:sz="4" w:space="0" w:color="000000"/>
            </w:tcBorders>
          </w:tcPr>
          <w:p w14:paraId="6829416E" w14:textId="77777777" w:rsidR="00FE291A" w:rsidRDefault="00C8738F">
            <w:pPr>
              <w:pStyle w:val="TableParagraph"/>
              <w:keepNext/>
              <w:widowControl/>
              <w:kinsoku w:val="0"/>
              <w:overflowPunct w:val="0"/>
              <w:ind w:firstLine="179"/>
              <w:rPr>
                <w:sz w:val="22"/>
                <w:szCs w:val="22"/>
                <w:lang w:val="de-DE"/>
              </w:rPr>
            </w:pPr>
            <w:r>
              <w:rPr>
                <w:sz w:val="22"/>
                <w:szCs w:val="22"/>
                <w:lang w:val="de-DE"/>
              </w:rPr>
              <w:t>Klinische Remission</w:t>
            </w:r>
          </w:p>
        </w:tc>
        <w:tc>
          <w:tcPr>
            <w:tcW w:w="1752" w:type="dxa"/>
            <w:tcBorders>
              <w:top w:val="single" w:sz="4" w:space="0" w:color="000000"/>
              <w:left w:val="single" w:sz="4" w:space="0" w:color="000000"/>
              <w:bottom w:val="single" w:sz="4" w:space="0" w:color="000000"/>
              <w:right w:val="single" w:sz="4" w:space="0" w:color="000000"/>
            </w:tcBorders>
          </w:tcPr>
          <w:p w14:paraId="11C0053C" w14:textId="77777777" w:rsidR="00FE291A" w:rsidRDefault="00C8738F">
            <w:pPr>
              <w:pStyle w:val="TableParagraph"/>
              <w:keepNext/>
              <w:widowControl/>
              <w:kinsoku w:val="0"/>
              <w:overflowPunct w:val="0"/>
              <w:jc w:val="center"/>
              <w:rPr>
                <w:sz w:val="22"/>
                <w:szCs w:val="22"/>
                <w:lang w:val="de-DE"/>
              </w:rPr>
            </w:pPr>
            <w:r>
              <w:rPr>
                <w:sz w:val="22"/>
                <w:szCs w:val="22"/>
                <w:lang w:val="de-DE"/>
              </w:rPr>
              <w:t>17 %</w:t>
            </w:r>
          </w:p>
        </w:tc>
        <w:tc>
          <w:tcPr>
            <w:tcW w:w="1928" w:type="dxa"/>
            <w:tcBorders>
              <w:top w:val="single" w:sz="4" w:space="0" w:color="000000"/>
              <w:left w:val="single" w:sz="4" w:space="0" w:color="000000"/>
              <w:bottom w:val="single" w:sz="4" w:space="0" w:color="000000"/>
              <w:right w:val="single" w:sz="4" w:space="0" w:color="000000"/>
            </w:tcBorders>
          </w:tcPr>
          <w:p w14:paraId="0E959455" w14:textId="77777777" w:rsidR="00FE291A" w:rsidRDefault="00C8738F">
            <w:pPr>
              <w:pStyle w:val="TableParagraph"/>
              <w:keepNext/>
              <w:widowControl/>
              <w:kinsoku w:val="0"/>
              <w:overflowPunct w:val="0"/>
              <w:jc w:val="center"/>
              <w:rPr>
                <w:sz w:val="22"/>
                <w:szCs w:val="22"/>
                <w:lang w:val="de-DE"/>
              </w:rPr>
            </w:pPr>
            <w:r>
              <w:rPr>
                <w:sz w:val="22"/>
                <w:szCs w:val="22"/>
                <w:lang w:val="de-DE"/>
              </w:rPr>
              <w:t>40 %*</w:t>
            </w:r>
          </w:p>
        </w:tc>
        <w:tc>
          <w:tcPr>
            <w:tcW w:w="1860" w:type="dxa"/>
            <w:tcBorders>
              <w:top w:val="single" w:sz="4" w:space="0" w:color="000000"/>
              <w:left w:val="single" w:sz="4" w:space="0" w:color="000000"/>
              <w:bottom w:val="single" w:sz="4" w:space="0" w:color="000000"/>
              <w:right w:val="single" w:sz="4" w:space="0" w:color="000000"/>
            </w:tcBorders>
          </w:tcPr>
          <w:p w14:paraId="1B6849F0" w14:textId="77777777" w:rsidR="00FE291A" w:rsidRDefault="00C8738F">
            <w:pPr>
              <w:pStyle w:val="TableParagraph"/>
              <w:keepNext/>
              <w:widowControl/>
              <w:kinsoku w:val="0"/>
              <w:overflowPunct w:val="0"/>
              <w:jc w:val="center"/>
              <w:rPr>
                <w:sz w:val="22"/>
                <w:szCs w:val="22"/>
                <w:lang w:val="de-DE"/>
              </w:rPr>
            </w:pPr>
            <w:r>
              <w:rPr>
                <w:sz w:val="22"/>
                <w:szCs w:val="22"/>
                <w:lang w:val="de-DE"/>
              </w:rPr>
              <w:t>47 %*</w:t>
            </w:r>
          </w:p>
        </w:tc>
      </w:tr>
      <w:tr w:rsidR="00FE291A" w14:paraId="3229419E" w14:textId="77777777">
        <w:trPr>
          <w:trHeight w:hRule="exact" w:val="269"/>
        </w:trPr>
        <w:tc>
          <w:tcPr>
            <w:tcW w:w="3853" w:type="dxa"/>
            <w:tcBorders>
              <w:top w:val="single" w:sz="4" w:space="0" w:color="000000"/>
              <w:left w:val="single" w:sz="4" w:space="0" w:color="000000"/>
              <w:bottom w:val="single" w:sz="4" w:space="0" w:color="000000"/>
              <w:right w:val="single" w:sz="4" w:space="0" w:color="000000"/>
            </w:tcBorders>
          </w:tcPr>
          <w:p w14:paraId="2F68F7D6" w14:textId="77777777" w:rsidR="00FE291A" w:rsidRDefault="00C8738F">
            <w:pPr>
              <w:pStyle w:val="TableParagraph"/>
              <w:widowControl/>
              <w:kinsoku w:val="0"/>
              <w:overflowPunct w:val="0"/>
              <w:ind w:firstLine="179"/>
              <w:rPr>
                <w:sz w:val="22"/>
                <w:szCs w:val="22"/>
                <w:lang w:val="de-DE"/>
              </w:rPr>
            </w:pPr>
            <w:r>
              <w:rPr>
                <w:sz w:val="22"/>
                <w:szCs w:val="22"/>
                <w:lang w:val="de-DE"/>
              </w:rPr>
              <w:t>Klinisches Ansprechen (CR-100)</w:t>
            </w:r>
          </w:p>
        </w:tc>
        <w:tc>
          <w:tcPr>
            <w:tcW w:w="1752" w:type="dxa"/>
            <w:tcBorders>
              <w:top w:val="single" w:sz="4" w:space="0" w:color="000000"/>
              <w:left w:val="single" w:sz="4" w:space="0" w:color="000000"/>
              <w:bottom w:val="single" w:sz="4" w:space="0" w:color="000000"/>
              <w:right w:val="single" w:sz="4" w:space="0" w:color="000000"/>
            </w:tcBorders>
          </w:tcPr>
          <w:p w14:paraId="68F893C6" w14:textId="77777777" w:rsidR="00FE291A" w:rsidRDefault="00C8738F">
            <w:pPr>
              <w:pStyle w:val="TableParagraph"/>
              <w:widowControl/>
              <w:kinsoku w:val="0"/>
              <w:overflowPunct w:val="0"/>
              <w:jc w:val="center"/>
              <w:rPr>
                <w:sz w:val="22"/>
                <w:szCs w:val="22"/>
                <w:lang w:val="de-DE"/>
              </w:rPr>
            </w:pPr>
            <w:r>
              <w:rPr>
                <w:sz w:val="22"/>
                <w:szCs w:val="22"/>
                <w:lang w:val="de-DE"/>
              </w:rPr>
              <w:t>27 %</w:t>
            </w:r>
          </w:p>
        </w:tc>
        <w:tc>
          <w:tcPr>
            <w:tcW w:w="1928" w:type="dxa"/>
            <w:tcBorders>
              <w:top w:val="single" w:sz="4" w:space="0" w:color="000000"/>
              <w:left w:val="single" w:sz="4" w:space="0" w:color="000000"/>
              <w:bottom w:val="single" w:sz="4" w:space="0" w:color="000000"/>
              <w:right w:val="single" w:sz="4" w:space="0" w:color="000000"/>
            </w:tcBorders>
          </w:tcPr>
          <w:p w14:paraId="2349F443" w14:textId="77777777" w:rsidR="00FE291A" w:rsidRDefault="00C8738F">
            <w:pPr>
              <w:pStyle w:val="TableParagraph"/>
              <w:widowControl/>
              <w:kinsoku w:val="0"/>
              <w:overflowPunct w:val="0"/>
              <w:jc w:val="center"/>
              <w:rPr>
                <w:sz w:val="22"/>
                <w:szCs w:val="22"/>
                <w:lang w:val="de-DE"/>
              </w:rPr>
            </w:pPr>
            <w:r>
              <w:rPr>
                <w:sz w:val="22"/>
                <w:szCs w:val="22"/>
                <w:lang w:val="de-DE"/>
              </w:rPr>
              <w:t>52 %*</w:t>
            </w:r>
          </w:p>
        </w:tc>
        <w:tc>
          <w:tcPr>
            <w:tcW w:w="1860" w:type="dxa"/>
            <w:tcBorders>
              <w:top w:val="single" w:sz="4" w:space="0" w:color="000000"/>
              <w:left w:val="single" w:sz="4" w:space="0" w:color="000000"/>
              <w:bottom w:val="single" w:sz="4" w:space="0" w:color="000000"/>
              <w:right w:val="single" w:sz="4" w:space="0" w:color="000000"/>
            </w:tcBorders>
          </w:tcPr>
          <w:p w14:paraId="672C864E" w14:textId="77777777" w:rsidR="00FE291A" w:rsidRDefault="00C8738F">
            <w:pPr>
              <w:pStyle w:val="TableParagraph"/>
              <w:widowControl/>
              <w:kinsoku w:val="0"/>
              <w:overflowPunct w:val="0"/>
              <w:jc w:val="center"/>
              <w:rPr>
                <w:sz w:val="22"/>
                <w:szCs w:val="22"/>
                <w:lang w:val="de-DE"/>
              </w:rPr>
            </w:pPr>
            <w:r>
              <w:rPr>
                <w:sz w:val="22"/>
                <w:szCs w:val="22"/>
                <w:lang w:val="de-DE"/>
              </w:rPr>
              <w:t>52 %*</w:t>
            </w:r>
          </w:p>
        </w:tc>
      </w:tr>
      <w:tr w:rsidR="00FE291A" w14:paraId="3261F84E" w14:textId="77777777">
        <w:trPr>
          <w:trHeight w:hRule="exact" w:val="611"/>
        </w:trPr>
        <w:tc>
          <w:tcPr>
            <w:tcW w:w="3853" w:type="dxa"/>
            <w:tcBorders>
              <w:top w:val="single" w:sz="4" w:space="0" w:color="000000"/>
              <w:left w:val="single" w:sz="4" w:space="0" w:color="000000"/>
              <w:bottom w:val="single" w:sz="4" w:space="0" w:color="000000"/>
              <w:right w:val="single" w:sz="4" w:space="0" w:color="000000"/>
            </w:tcBorders>
          </w:tcPr>
          <w:p w14:paraId="73C717B9" w14:textId="77777777" w:rsidR="00FE291A" w:rsidRDefault="00C8738F">
            <w:pPr>
              <w:pStyle w:val="TableParagraph"/>
              <w:widowControl/>
              <w:kinsoku w:val="0"/>
              <w:overflowPunct w:val="0"/>
              <w:ind w:firstLine="466"/>
              <w:rPr>
                <w:sz w:val="22"/>
                <w:szCs w:val="22"/>
                <w:lang w:val="de-DE"/>
              </w:rPr>
            </w:pPr>
            <w:r>
              <w:rPr>
                <w:sz w:val="22"/>
                <w:szCs w:val="22"/>
                <w:lang w:val="de-DE"/>
              </w:rPr>
              <w:t>Patienten in steroidfreier Remission</w:t>
            </w:r>
          </w:p>
          <w:p w14:paraId="37E5FF6E" w14:textId="77777777" w:rsidR="00FE291A" w:rsidRDefault="00C8738F">
            <w:pPr>
              <w:pStyle w:val="TableParagraph"/>
              <w:widowControl/>
              <w:kinsoku w:val="0"/>
              <w:overflowPunct w:val="0"/>
              <w:ind w:firstLine="466"/>
              <w:rPr>
                <w:sz w:val="22"/>
                <w:szCs w:val="22"/>
                <w:lang w:val="de-DE"/>
              </w:rPr>
            </w:pPr>
            <w:r>
              <w:rPr>
                <w:sz w:val="22"/>
                <w:szCs w:val="22"/>
                <w:lang w:val="de-DE"/>
              </w:rPr>
              <w:t>für ≥ 90 Tage</w:t>
            </w:r>
            <w:r>
              <w:rPr>
                <w:sz w:val="22"/>
                <w:szCs w:val="22"/>
                <w:vertAlign w:val="superscript"/>
                <w:lang w:val="de-DE"/>
              </w:rPr>
              <w:t>a</w:t>
            </w:r>
          </w:p>
        </w:tc>
        <w:tc>
          <w:tcPr>
            <w:tcW w:w="1752" w:type="dxa"/>
            <w:tcBorders>
              <w:top w:val="single" w:sz="4" w:space="0" w:color="000000"/>
              <w:left w:val="single" w:sz="4" w:space="0" w:color="000000"/>
              <w:bottom w:val="single" w:sz="4" w:space="0" w:color="000000"/>
              <w:right w:val="single" w:sz="4" w:space="0" w:color="000000"/>
            </w:tcBorders>
          </w:tcPr>
          <w:p w14:paraId="0D84F61B" w14:textId="77777777" w:rsidR="00FE291A" w:rsidRDefault="00C8738F">
            <w:pPr>
              <w:pStyle w:val="TableParagraph"/>
              <w:widowControl/>
              <w:kinsoku w:val="0"/>
              <w:overflowPunct w:val="0"/>
              <w:jc w:val="center"/>
              <w:rPr>
                <w:sz w:val="22"/>
                <w:szCs w:val="22"/>
                <w:lang w:val="de-DE"/>
              </w:rPr>
            </w:pPr>
            <w:r>
              <w:rPr>
                <w:sz w:val="22"/>
                <w:szCs w:val="22"/>
                <w:lang w:val="de-DE"/>
              </w:rPr>
              <w:t>3 % (2/66)</w:t>
            </w:r>
          </w:p>
        </w:tc>
        <w:tc>
          <w:tcPr>
            <w:tcW w:w="1928" w:type="dxa"/>
            <w:tcBorders>
              <w:top w:val="single" w:sz="4" w:space="0" w:color="000000"/>
              <w:left w:val="single" w:sz="4" w:space="0" w:color="000000"/>
              <w:bottom w:val="single" w:sz="4" w:space="0" w:color="000000"/>
              <w:right w:val="single" w:sz="4" w:space="0" w:color="000000"/>
            </w:tcBorders>
          </w:tcPr>
          <w:p w14:paraId="40E226CD" w14:textId="77777777" w:rsidR="00FE291A" w:rsidRDefault="00C8738F">
            <w:pPr>
              <w:pStyle w:val="TableParagraph"/>
              <w:widowControl/>
              <w:kinsoku w:val="0"/>
              <w:overflowPunct w:val="0"/>
              <w:jc w:val="center"/>
              <w:rPr>
                <w:sz w:val="22"/>
                <w:szCs w:val="22"/>
                <w:lang w:val="de-DE"/>
              </w:rPr>
            </w:pPr>
            <w:r>
              <w:rPr>
                <w:sz w:val="22"/>
                <w:szCs w:val="22"/>
                <w:lang w:val="de-DE"/>
              </w:rPr>
              <w:t>19 % (11/58)**</w:t>
            </w:r>
          </w:p>
        </w:tc>
        <w:tc>
          <w:tcPr>
            <w:tcW w:w="1860" w:type="dxa"/>
            <w:tcBorders>
              <w:top w:val="single" w:sz="4" w:space="0" w:color="000000"/>
              <w:left w:val="single" w:sz="4" w:space="0" w:color="000000"/>
              <w:bottom w:val="single" w:sz="4" w:space="0" w:color="000000"/>
              <w:right w:val="single" w:sz="4" w:space="0" w:color="000000"/>
            </w:tcBorders>
          </w:tcPr>
          <w:p w14:paraId="3EF75AC4" w14:textId="77777777" w:rsidR="00FE291A" w:rsidRDefault="00C8738F">
            <w:pPr>
              <w:pStyle w:val="TableParagraph"/>
              <w:widowControl/>
              <w:kinsoku w:val="0"/>
              <w:overflowPunct w:val="0"/>
              <w:jc w:val="center"/>
              <w:rPr>
                <w:sz w:val="22"/>
                <w:szCs w:val="22"/>
                <w:lang w:val="de-DE"/>
              </w:rPr>
            </w:pPr>
            <w:r>
              <w:rPr>
                <w:sz w:val="22"/>
                <w:szCs w:val="22"/>
                <w:lang w:val="de-DE"/>
              </w:rPr>
              <w:t>15 % (11/74)**</w:t>
            </w:r>
          </w:p>
        </w:tc>
      </w:tr>
      <w:tr w:rsidR="00FE291A" w14:paraId="6259CF69" w14:textId="77777777">
        <w:trPr>
          <w:trHeight w:hRule="exact" w:val="269"/>
        </w:trPr>
        <w:tc>
          <w:tcPr>
            <w:tcW w:w="3853" w:type="dxa"/>
            <w:tcBorders>
              <w:top w:val="single" w:sz="4" w:space="0" w:color="000000"/>
              <w:left w:val="single" w:sz="4" w:space="0" w:color="000000"/>
              <w:bottom w:val="single" w:sz="4" w:space="0" w:color="000000"/>
              <w:right w:val="single" w:sz="4" w:space="0" w:color="000000"/>
            </w:tcBorders>
          </w:tcPr>
          <w:p w14:paraId="737F9FC6" w14:textId="77777777" w:rsidR="00FE291A" w:rsidRDefault="00C8738F">
            <w:pPr>
              <w:pStyle w:val="TableParagraph"/>
              <w:widowControl/>
              <w:kinsoku w:val="0"/>
              <w:overflowPunct w:val="0"/>
              <w:ind w:firstLine="179"/>
              <w:rPr>
                <w:sz w:val="22"/>
                <w:szCs w:val="22"/>
                <w:lang w:val="de-DE"/>
              </w:rPr>
            </w:pPr>
            <w:r>
              <w:rPr>
                <w:b/>
                <w:bCs/>
                <w:sz w:val="22"/>
                <w:szCs w:val="22"/>
                <w:lang w:val="de-DE"/>
              </w:rPr>
              <w:t>Woche 56</w:t>
            </w:r>
          </w:p>
        </w:tc>
        <w:tc>
          <w:tcPr>
            <w:tcW w:w="1752" w:type="dxa"/>
            <w:tcBorders>
              <w:top w:val="single" w:sz="4" w:space="0" w:color="000000"/>
              <w:left w:val="single" w:sz="4" w:space="0" w:color="000000"/>
              <w:bottom w:val="single" w:sz="4" w:space="0" w:color="000000"/>
              <w:right w:val="single" w:sz="4" w:space="0" w:color="000000"/>
            </w:tcBorders>
          </w:tcPr>
          <w:p w14:paraId="02216E29" w14:textId="77777777" w:rsidR="00FE291A" w:rsidRDefault="00C8738F">
            <w:pPr>
              <w:pStyle w:val="TableParagraph"/>
              <w:widowControl/>
              <w:kinsoku w:val="0"/>
              <w:overflowPunct w:val="0"/>
              <w:jc w:val="center"/>
              <w:rPr>
                <w:sz w:val="22"/>
                <w:szCs w:val="22"/>
                <w:lang w:val="de-DE"/>
              </w:rPr>
            </w:pPr>
            <w:r>
              <w:rPr>
                <w:b/>
                <w:bCs/>
                <w:sz w:val="22"/>
                <w:szCs w:val="22"/>
                <w:lang w:val="de-DE"/>
              </w:rPr>
              <w:t>N = 170</w:t>
            </w:r>
          </w:p>
        </w:tc>
        <w:tc>
          <w:tcPr>
            <w:tcW w:w="1928" w:type="dxa"/>
            <w:tcBorders>
              <w:top w:val="single" w:sz="4" w:space="0" w:color="000000"/>
              <w:left w:val="single" w:sz="4" w:space="0" w:color="000000"/>
              <w:bottom w:val="single" w:sz="4" w:space="0" w:color="000000"/>
              <w:right w:val="single" w:sz="4" w:space="0" w:color="000000"/>
            </w:tcBorders>
          </w:tcPr>
          <w:p w14:paraId="578BDEDA" w14:textId="77777777" w:rsidR="00FE291A" w:rsidRDefault="00C8738F">
            <w:pPr>
              <w:pStyle w:val="TableParagraph"/>
              <w:widowControl/>
              <w:kinsoku w:val="0"/>
              <w:overflowPunct w:val="0"/>
              <w:jc w:val="center"/>
              <w:rPr>
                <w:sz w:val="22"/>
                <w:szCs w:val="22"/>
                <w:lang w:val="de-DE"/>
              </w:rPr>
            </w:pPr>
            <w:r>
              <w:rPr>
                <w:b/>
                <w:bCs/>
                <w:sz w:val="22"/>
                <w:szCs w:val="22"/>
                <w:lang w:val="de-DE"/>
              </w:rPr>
              <w:t>N = 172</w:t>
            </w:r>
          </w:p>
        </w:tc>
        <w:tc>
          <w:tcPr>
            <w:tcW w:w="1860" w:type="dxa"/>
            <w:tcBorders>
              <w:top w:val="single" w:sz="4" w:space="0" w:color="000000"/>
              <w:left w:val="single" w:sz="4" w:space="0" w:color="000000"/>
              <w:bottom w:val="single" w:sz="4" w:space="0" w:color="000000"/>
              <w:right w:val="single" w:sz="4" w:space="0" w:color="000000"/>
            </w:tcBorders>
          </w:tcPr>
          <w:p w14:paraId="2BF147BC" w14:textId="77777777" w:rsidR="00FE291A" w:rsidRDefault="00C8738F">
            <w:pPr>
              <w:pStyle w:val="TableParagraph"/>
              <w:widowControl/>
              <w:kinsoku w:val="0"/>
              <w:overflowPunct w:val="0"/>
              <w:jc w:val="center"/>
              <w:rPr>
                <w:sz w:val="22"/>
                <w:szCs w:val="22"/>
                <w:lang w:val="de-DE"/>
              </w:rPr>
            </w:pPr>
            <w:r>
              <w:rPr>
                <w:b/>
                <w:bCs/>
                <w:sz w:val="22"/>
                <w:szCs w:val="22"/>
                <w:lang w:val="de-DE"/>
              </w:rPr>
              <w:t>N = 157</w:t>
            </w:r>
          </w:p>
        </w:tc>
      </w:tr>
      <w:tr w:rsidR="00FE291A" w14:paraId="67B2438F" w14:textId="77777777">
        <w:trPr>
          <w:trHeight w:hRule="exact" w:val="269"/>
        </w:trPr>
        <w:tc>
          <w:tcPr>
            <w:tcW w:w="3853" w:type="dxa"/>
            <w:tcBorders>
              <w:top w:val="single" w:sz="4" w:space="0" w:color="000000"/>
              <w:left w:val="single" w:sz="4" w:space="0" w:color="000000"/>
              <w:bottom w:val="single" w:sz="4" w:space="0" w:color="000000"/>
              <w:right w:val="single" w:sz="4" w:space="0" w:color="000000"/>
            </w:tcBorders>
          </w:tcPr>
          <w:p w14:paraId="2A76E05D" w14:textId="77777777" w:rsidR="00FE291A" w:rsidRDefault="00C8738F">
            <w:pPr>
              <w:pStyle w:val="TableParagraph"/>
              <w:widowControl/>
              <w:kinsoku w:val="0"/>
              <w:overflowPunct w:val="0"/>
              <w:ind w:firstLine="179"/>
              <w:rPr>
                <w:sz w:val="22"/>
                <w:szCs w:val="22"/>
                <w:lang w:val="de-DE"/>
              </w:rPr>
            </w:pPr>
            <w:r>
              <w:rPr>
                <w:sz w:val="22"/>
                <w:szCs w:val="22"/>
                <w:lang w:val="de-DE"/>
              </w:rPr>
              <w:t>Klinische Remission</w:t>
            </w:r>
          </w:p>
        </w:tc>
        <w:tc>
          <w:tcPr>
            <w:tcW w:w="1752" w:type="dxa"/>
            <w:tcBorders>
              <w:top w:val="single" w:sz="4" w:space="0" w:color="000000"/>
              <w:left w:val="single" w:sz="4" w:space="0" w:color="000000"/>
              <w:bottom w:val="single" w:sz="4" w:space="0" w:color="000000"/>
              <w:right w:val="single" w:sz="4" w:space="0" w:color="000000"/>
            </w:tcBorders>
          </w:tcPr>
          <w:p w14:paraId="2D8A14DF" w14:textId="77777777" w:rsidR="00FE291A" w:rsidRDefault="00C8738F">
            <w:pPr>
              <w:pStyle w:val="TableParagraph"/>
              <w:widowControl/>
              <w:kinsoku w:val="0"/>
              <w:overflowPunct w:val="0"/>
              <w:jc w:val="center"/>
              <w:rPr>
                <w:sz w:val="22"/>
                <w:szCs w:val="22"/>
                <w:lang w:val="de-DE"/>
              </w:rPr>
            </w:pPr>
            <w:r>
              <w:rPr>
                <w:sz w:val="22"/>
                <w:szCs w:val="22"/>
                <w:lang w:val="de-DE"/>
              </w:rPr>
              <w:t>12 %</w:t>
            </w:r>
          </w:p>
        </w:tc>
        <w:tc>
          <w:tcPr>
            <w:tcW w:w="1928" w:type="dxa"/>
            <w:tcBorders>
              <w:top w:val="single" w:sz="4" w:space="0" w:color="000000"/>
              <w:left w:val="single" w:sz="4" w:space="0" w:color="000000"/>
              <w:bottom w:val="single" w:sz="4" w:space="0" w:color="000000"/>
              <w:right w:val="single" w:sz="4" w:space="0" w:color="000000"/>
            </w:tcBorders>
          </w:tcPr>
          <w:p w14:paraId="254F749F" w14:textId="77777777" w:rsidR="00FE291A" w:rsidRDefault="00C8738F">
            <w:pPr>
              <w:pStyle w:val="TableParagraph"/>
              <w:widowControl/>
              <w:kinsoku w:val="0"/>
              <w:overflowPunct w:val="0"/>
              <w:jc w:val="center"/>
              <w:rPr>
                <w:sz w:val="22"/>
                <w:szCs w:val="22"/>
                <w:lang w:val="de-DE"/>
              </w:rPr>
            </w:pPr>
            <w:r>
              <w:rPr>
                <w:sz w:val="22"/>
                <w:szCs w:val="22"/>
                <w:lang w:val="de-DE"/>
              </w:rPr>
              <w:t>36 %*</w:t>
            </w:r>
          </w:p>
        </w:tc>
        <w:tc>
          <w:tcPr>
            <w:tcW w:w="1860" w:type="dxa"/>
            <w:tcBorders>
              <w:top w:val="single" w:sz="4" w:space="0" w:color="000000"/>
              <w:left w:val="single" w:sz="4" w:space="0" w:color="000000"/>
              <w:bottom w:val="single" w:sz="4" w:space="0" w:color="000000"/>
              <w:right w:val="single" w:sz="4" w:space="0" w:color="000000"/>
            </w:tcBorders>
          </w:tcPr>
          <w:p w14:paraId="7439C7C8" w14:textId="77777777" w:rsidR="00FE291A" w:rsidRDefault="00C8738F">
            <w:pPr>
              <w:pStyle w:val="TableParagraph"/>
              <w:widowControl/>
              <w:kinsoku w:val="0"/>
              <w:overflowPunct w:val="0"/>
              <w:jc w:val="center"/>
              <w:rPr>
                <w:sz w:val="22"/>
                <w:szCs w:val="22"/>
                <w:lang w:val="de-DE"/>
              </w:rPr>
            </w:pPr>
            <w:r>
              <w:rPr>
                <w:sz w:val="22"/>
                <w:szCs w:val="22"/>
                <w:lang w:val="de-DE"/>
              </w:rPr>
              <w:t>41 %*</w:t>
            </w:r>
          </w:p>
        </w:tc>
      </w:tr>
      <w:tr w:rsidR="00FE291A" w14:paraId="27CA236C" w14:textId="77777777">
        <w:trPr>
          <w:trHeight w:hRule="exact" w:val="269"/>
        </w:trPr>
        <w:tc>
          <w:tcPr>
            <w:tcW w:w="3853" w:type="dxa"/>
            <w:tcBorders>
              <w:top w:val="single" w:sz="4" w:space="0" w:color="000000"/>
              <w:left w:val="single" w:sz="4" w:space="0" w:color="000000"/>
              <w:bottom w:val="single" w:sz="4" w:space="0" w:color="000000"/>
              <w:right w:val="single" w:sz="4" w:space="0" w:color="000000"/>
            </w:tcBorders>
          </w:tcPr>
          <w:p w14:paraId="3CD6A130" w14:textId="77777777" w:rsidR="00FE291A" w:rsidRDefault="00C8738F">
            <w:pPr>
              <w:pStyle w:val="TableParagraph"/>
              <w:widowControl/>
              <w:kinsoku w:val="0"/>
              <w:overflowPunct w:val="0"/>
              <w:ind w:firstLine="179"/>
              <w:rPr>
                <w:sz w:val="22"/>
                <w:szCs w:val="22"/>
                <w:lang w:val="de-DE"/>
              </w:rPr>
            </w:pPr>
            <w:r>
              <w:rPr>
                <w:sz w:val="22"/>
                <w:szCs w:val="22"/>
                <w:lang w:val="de-DE"/>
              </w:rPr>
              <w:t>Klinisches Ansprechen (CR-100)</w:t>
            </w:r>
          </w:p>
        </w:tc>
        <w:tc>
          <w:tcPr>
            <w:tcW w:w="1752" w:type="dxa"/>
            <w:tcBorders>
              <w:top w:val="single" w:sz="4" w:space="0" w:color="000000"/>
              <w:left w:val="single" w:sz="4" w:space="0" w:color="000000"/>
              <w:bottom w:val="single" w:sz="4" w:space="0" w:color="000000"/>
              <w:right w:val="single" w:sz="4" w:space="0" w:color="000000"/>
            </w:tcBorders>
          </w:tcPr>
          <w:p w14:paraId="10F278EB" w14:textId="77777777" w:rsidR="00FE291A" w:rsidRDefault="00C8738F">
            <w:pPr>
              <w:pStyle w:val="TableParagraph"/>
              <w:widowControl/>
              <w:kinsoku w:val="0"/>
              <w:overflowPunct w:val="0"/>
              <w:jc w:val="center"/>
              <w:rPr>
                <w:sz w:val="22"/>
                <w:szCs w:val="22"/>
                <w:lang w:val="de-DE"/>
              </w:rPr>
            </w:pPr>
            <w:r>
              <w:rPr>
                <w:sz w:val="22"/>
                <w:szCs w:val="22"/>
                <w:lang w:val="de-DE"/>
              </w:rPr>
              <w:t>17 %</w:t>
            </w:r>
          </w:p>
        </w:tc>
        <w:tc>
          <w:tcPr>
            <w:tcW w:w="1928" w:type="dxa"/>
            <w:tcBorders>
              <w:top w:val="single" w:sz="4" w:space="0" w:color="000000"/>
              <w:left w:val="single" w:sz="4" w:space="0" w:color="000000"/>
              <w:bottom w:val="single" w:sz="4" w:space="0" w:color="000000"/>
              <w:right w:val="single" w:sz="4" w:space="0" w:color="000000"/>
            </w:tcBorders>
          </w:tcPr>
          <w:p w14:paraId="411597FA" w14:textId="77777777" w:rsidR="00FE291A" w:rsidRDefault="00C8738F">
            <w:pPr>
              <w:pStyle w:val="TableParagraph"/>
              <w:widowControl/>
              <w:kinsoku w:val="0"/>
              <w:overflowPunct w:val="0"/>
              <w:jc w:val="center"/>
              <w:rPr>
                <w:sz w:val="22"/>
                <w:szCs w:val="22"/>
                <w:lang w:val="de-DE"/>
              </w:rPr>
            </w:pPr>
            <w:r>
              <w:rPr>
                <w:sz w:val="22"/>
                <w:szCs w:val="22"/>
                <w:lang w:val="de-DE"/>
              </w:rPr>
              <w:t>41 %*</w:t>
            </w:r>
          </w:p>
        </w:tc>
        <w:tc>
          <w:tcPr>
            <w:tcW w:w="1860" w:type="dxa"/>
            <w:tcBorders>
              <w:top w:val="single" w:sz="4" w:space="0" w:color="000000"/>
              <w:left w:val="single" w:sz="4" w:space="0" w:color="000000"/>
              <w:bottom w:val="single" w:sz="4" w:space="0" w:color="000000"/>
              <w:right w:val="single" w:sz="4" w:space="0" w:color="000000"/>
            </w:tcBorders>
          </w:tcPr>
          <w:p w14:paraId="74742C08" w14:textId="77777777" w:rsidR="00FE291A" w:rsidRDefault="00C8738F">
            <w:pPr>
              <w:pStyle w:val="TableParagraph"/>
              <w:widowControl/>
              <w:kinsoku w:val="0"/>
              <w:overflowPunct w:val="0"/>
              <w:jc w:val="center"/>
              <w:rPr>
                <w:sz w:val="22"/>
                <w:szCs w:val="22"/>
                <w:lang w:val="de-DE"/>
              </w:rPr>
            </w:pPr>
            <w:r>
              <w:rPr>
                <w:sz w:val="22"/>
                <w:szCs w:val="22"/>
                <w:lang w:val="de-DE"/>
              </w:rPr>
              <w:t>48 %*</w:t>
            </w:r>
          </w:p>
        </w:tc>
      </w:tr>
      <w:tr w:rsidR="00FE291A" w14:paraId="66258CCA" w14:textId="77777777">
        <w:trPr>
          <w:trHeight w:hRule="exact" w:val="589"/>
        </w:trPr>
        <w:tc>
          <w:tcPr>
            <w:tcW w:w="3853" w:type="dxa"/>
            <w:tcBorders>
              <w:top w:val="single" w:sz="4" w:space="0" w:color="000000"/>
              <w:left w:val="single" w:sz="4" w:space="0" w:color="000000"/>
              <w:bottom w:val="single" w:sz="4" w:space="0" w:color="000000"/>
              <w:right w:val="single" w:sz="4" w:space="0" w:color="000000"/>
            </w:tcBorders>
          </w:tcPr>
          <w:p w14:paraId="10BDAB19" w14:textId="77777777" w:rsidR="00FE291A" w:rsidRDefault="00C8738F">
            <w:pPr>
              <w:pStyle w:val="TableParagraph"/>
              <w:widowControl/>
              <w:kinsoku w:val="0"/>
              <w:overflowPunct w:val="0"/>
              <w:ind w:firstLine="466"/>
              <w:rPr>
                <w:sz w:val="22"/>
                <w:szCs w:val="22"/>
                <w:lang w:val="de-DE"/>
              </w:rPr>
            </w:pPr>
            <w:r>
              <w:rPr>
                <w:sz w:val="22"/>
                <w:szCs w:val="22"/>
                <w:lang w:val="de-DE"/>
              </w:rPr>
              <w:t>Patienten in steroidfreier Remission</w:t>
            </w:r>
          </w:p>
          <w:p w14:paraId="57598EC9" w14:textId="77777777" w:rsidR="00FE291A" w:rsidRDefault="00C8738F">
            <w:pPr>
              <w:pStyle w:val="TableParagraph"/>
              <w:widowControl/>
              <w:kinsoku w:val="0"/>
              <w:overflowPunct w:val="0"/>
              <w:ind w:firstLine="466"/>
              <w:rPr>
                <w:sz w:val="22"/>
                <w:szCs w:val="22"/>
                <w:lang w:val="de-DE"/>
              </w:rPr>
            </w:pPr>
            <w:r>
              <w:rPr>
                <w:sz w:val="22"/>
                <w:szCs w:val="22"/>
                <w:lang w:val="de-DE"/>
              </w:rPr>
              <w:t>für ≥ 90 Tage</w:t>
            </w:r>
            <w:r>
              <w:rPr>
                <w:sz w:val="22"/>
                <w:szCs w:val="22"/>
                <w:vertAlign w:val="superscript"/>
                <w:lang w:val="de-DE"/>
              </w:rPr>
              <w:t>a</w:t>
            </w:r>
          </w:p>
        </w:tc>
        <w:tc>
          <w:tcPr>
            <w:tcW w:w="1752" w:type="dxa"/>
            <w:tcBorders>
              <w:top w:val="single" w:sz="4" w:space="0" w:color="000000"/>
              <w:left w:val="single" w:sz="4" w:space="0" w:color="000000"/>
              <w:bottom w:val="single" w:sz="4" w:space="0" w:color="000000"/>
              <w:right w:val="single" w:sz="4" w:space="0" w:color="000000"/>
            </w:tcBorders>
          </w:tcPr>
          <w:p w14:paraId="21C79169" w14:textId="77777777" w:rsidR="00FE291A" w:rsidRDefault="00C8738F">
            <w:pPr>
              <w:pStyle w:val="TableParagraph"/>
              <w:widowControl/>
              <w:kinsoku w:val="0"/>
              <w:overflowPunct w:val="0"/>
              <w:jc w:val="center"/>
              <w:rPr>
                <w:sz w:val="22"/>
                <w:szCs w:val="22"/>
                <w:lang w:val="de-DE"/>
              </w:rPr>
            </w:pPr>
            <w:r>
              <w:rPr>
                <w:sz w:val="22"/>
                <w:szCs w:val="22"/>
                <w:lang w:val="de-DE"/>
              </w:rPr>
              <w:t>5 % (3/66)</w:t>
            </w:r>
          </w:p>
        </w:tc>
        <w:tc>
          <w:tcPr>
            <w:tcW w:w="1928" w:type="dxa"/>
            <w:tcBorders>
              <w:top w:val="single" w:sz="4" w:space="0" w:color="000000"/>
              <w:left w:val="single" w:sz="4" w:space="0" w:color="000000"/>
              <w:bottom w:val="single" w:sz="4" w:space="0" w:color="000000"/>
              <w:right w:val="single" w:sz="4" w:space="0" w:color="000000"/>
            </w:tcBorders>
          </w:tcPr>
          <w:p w14:paraId="00221B33" w14:textId="77777777" w:rsidR="00FE291A" w:rsidRDefault="00C8738F">
            <w:pPr>
              <w:pStyle w:val="TableParagraph"/>
              <w:widowControl/>
              <w:kinsoku w:val="0"/>
              <w:overflowPunct w:val="0"/>
              <w:jc w:val="center"/>
              <w:rPr>
                <w:sz w:val="22"/>
                <w:szCs w:val="22"/>
                <w:lang w:val="de-DE"/>
              </w:rPr>
            </w:pPr>
            <w:r>
              <w:rPr>
                <w:sz w:val="22"/>
                <w:szCs w:val="22"/>
                <w:lang w:val="de-DE"/>
              </w:rPr>
              <w:t>29 % (17/58)*</w:t>
            </w:r>
          </w:p>
        </w:tc>
        <w:tc>
          <w:tcPr>
            <w:tcW w:w="1860" w:type="dxa"/>
            <w:tcBorders>
              <w:top w:val="single" w:sz="4" w:space="0" w:color="000000"/>
              <w:left w:val="single" w:sz="4" w:space="0" w:color="000000"/>
              <w:bottom w:val="single" w:sz="4" w:space="0" w:color="000000"/>
              <w:right w:val="single" w:sz="4" w:space="0" w:color="000000"/>
            </w:tcBorders>
          </w:tcPr>
          <w:p w14:paraId="377A33E4" w14:textId="77777777" w:rsidR="00FE291A" w:rsidRDefault="00C8738F">
            <w:pPr>
              <w:pStyle w:val="TableParagraph"/>
              <w:widowControl/>
              <w:kinsoku w:val="0"/>
              <w:overflowPunct w:val="0"/>
              <w:jc w:val="center"/>
              <w:rPr>
                <w:sz w:val="22"/>
                <w:szCs w:val="22"/>
                <w:lang w:val="de-DE"/>
              </w:rPr>
            </w:pPr>
            <w:r>
              <w:rPr>
                <w:sz w:val="22"/>
                <w:szCs w:val="22"/>
                <w:lang w:val="de-DE"/>
              </w:rPr>
              <w:t>20 % (15/74)**</w:t>
            </w:r>
          </w:p>
        </w:tc>
      </w:tr>
    </w:tbl>
    <w:p w14:paraId="49971D3D" w14:textId="77777777" w:rsidR="00FE291A" w:rsidRDefault="00C8738F">
      <w:pPr>
        <w:pStyle w:val="BodyText"/>
        <w:widowControl/>
        <w:tabs>
          <w:tab w:val="left" w:pos="578"/>
        </w:tabs>
        <w:kinsoku w:val="0"/>
        <w:overflowPunct w:val="0"/>
        <w:ind w:left="0"/>
        <w:rPr>
          <w:sz w:val="20"/>
          <w:szCs w:val="20"/>
          <w:lang w:val="de-DE"/>
        </w:rPr>
      </w:pPr>
      <w:r>
        <w:rPr>
          <w:sz w:val="20"/>
          <w:szCs w:val="20"/>
          <w:lang w:val="de-DE"/>
        </w:rPr>
        <w:t xml:space="preserve">* p &lt; 0,001 bezogen auf den paarweisen Vergleich der Zahlen für Adalimumab </w:t>
      </w:r>
      <w:r>
        <w:rPr>
          <w:i/>
          <w:iCs/>
          <w:sz w:val="20"/>
          <w:szCs w:val="20"/>
          <w:lang w:val="de-DE"/>
        </w:rPr>
        <w:t xml:space="preserve">versus </w:t>
      </w:r>
      <w:r>
        <w:rPr>
          <w:sz w:val="20"/>
          <w:szCs w:val="20"/>
          <w:lang w:val="de-DE"/>
        </w:rPr>
        <w:t>Placebo</w:t>
      </w:r>
    </w:p>
    <w:p w14:paraId="454990AA" w14:textId="77777777" w:rsidR="00FE291A" w:rsidRDefault="00C8738F">
      <w:pPr>
        <w:pStyle w:val="BodyText"/>
        <w:widowControl/>
        <w:tabs>
          <w:tab w:val="left" w:pos="578"/>
        </w:tabs>
        <w:kinsoku w:val="0"/>
        <w:overflowPunct w:val="0"/>
        <w:ind w:left="0"/>
        <w:rPr>
          <w:sz w:val="20"/>
          <w:szCs w:val="20"/>
          <w:lang w:val="de-DE"/>
        </w:rPr>
      </w:pPr>
      <w:r>
        <w:rPr>
          <w:sz w:val="20"/>
          <w:szCs w:val="20"/>
          <w:lang w:val="de-DE"/>
        </w:rPr>
        <w:t xml:space="preserve">** p &lt; 0,02 bezogen auf den paarweisen Vergleich der Zahlen für Adalimumab </w:t>
      </w:r>
      <w:r>
        <w:rPr>
          <w:i/>
          <w:iCs/>
          <w:sz w:val="20"/>
          <w:szCs w:val="20"/>
          <w:lang w:val="de-DE"/>
        </w:rPr>
        <w:t xml:space="preserve">versus </w:t>
      </w:r>
      <w:r>
        <w:rPr>
          <w:sz w:val="20"/>
          <w:szCs w:val="20"/>
          <w:lang w:val="de-DE"/>
        </w:rPr>
        <w:t>Placebo</w:t>
      </w:r>
    </w:p>
    <w:p w14:paraId="323FABFD" w14:textId="77777777" w:rsidR="00FE291A" w:rsidRDefault="00C8738F">
      <w:pPr>
        <w:pStyle w:val="BodyText"/>
        <w:widowControl/>
        <w:tabs>
          <w:tab w:val="left" w:pos="578"/>
          <w:tab w:val="right" w:pos="9209"/>
        </w:tabs>
        <w:kinsoku w:val="0"/>
        <w:overflowPunct w:val="0"/>
        <w:ind w:left="0"/>
        <w:rPr>
          <w:lang w:val="de-DE"/>
        </w:rPr>
      </w:pPr>
      <w:r>
        <w:rPr>
          <w:sz w:val="20"/>
          <w:szCs w:val="20"/>
          <w:vertAlign w:val="superscript"/>
          <w:lang w:val="de-DE"/>
        </w:rPr>
        <w:t>a</w:t>
      </w:r>
      <w:r>
        <w:rPr>
          <w:sz w:val="20"/>
          <w:szCs w:val="20"/>
          <w:lang w:val="de-DE"/>
        </w:rPr>
        <w:t xml:space="preserve"> Von den Patienten, die Kortikosteroide zu Beginn erhalten haben</w:t>
      </w:r>
    </w:p>
    <w:p w14:paraId="4FB5E7C5" w14:textId="77777777" w:rsidR="00FE291A" w:rsidRDefault="00FE291A">
      <w:pPr>
        <w:pStyle w:val="BodyText"/>
        <w:widowControl/>
        <w:kinsoku w:val="0"/>
        <w:overflowPunct w:val="0"/>
        <w:ind w:left="0"/>
        <w:rPr>
          <w:lang w:val="de-DE"/>
        </w:rPr>
      </w:pPr>
    </w:p>
    <w:p w14:paraId="108948C3" w14:textId="77777777" w:rsidR="00FE291A" w:rsidRDefault="00C8738F">
      <w:pPr>
        <w:pStyle w:val="BodyText"/>
        <w:widowControl/>
        <w:kinsoku w:val="0"/>
        <w:overflowPunct w:val="0"/>
        <w:ind w:left="0"/>
        <w:rPr>
          <w:lang w:val="de-DE"/>
        </w:rPr>
      </w:pPr>
      <w:r>
        <w:rPr>
          <w:lang w:val="de-DE"/>
        </w:rPr>
        <w:t>Bei den Patienten, die bis Woche 4 nicht angesprochen hatten, zeigte sich bei 43 % der mit Adalimumab behandelten Patienten in Woche 12 eine Wirkung im Vergleich zu 30 % der Placebopatienten. Diese Ergebnisse lassen vermuten, dass einige Patienten, die bis Woche 4 noch nicht auf die Therapie angesprochen haben, von einer Weiterführung der Erhaltungstherapie bis Woche 12 profitieren. Eine Fortsetzung der Therapie über die 12. Woche hinaus zeigte keine signifikant höhere Ansprechrate (siehe Abschnitt 4.2).</w:t>
      </w:r>
    </w:p>
    <w:p w14:paraId="7DB90C4B" w14:textId="77777777" w:rsidR="00FE291A" w:rsidRDefault="00FE291A">
      <w:pPr>
        <w:widowControl/>
        <w:kinsoku w:val="0"/>
        <w:overflowPunct w:val="0"/>
        <w:rPr>
          <w:sz w:val="22"/>
          <w:szCs w:val="22"/>
          <w:lang w:val="de-DE"/>
        </w:rPr>
      </w:pPr>
    </w:p>
    <w:p w14:paraId="3F19A6F0" w14:textId="77777777" w:rsidR="00FE291A" w:rsidRDefault="00C8738F">
      <w:pPr>
        <w:pStyle w:val="BodyText"/>
        <w:widowControl/>
        <w:kinsoku w:val="0"/>
        <w:overflowPunct w:val="0"/>
        <w:ind w:left="0"/>
        <w:jc w:val="both"/>
        <w:rPr>
          <w:lang w:val="de-DE"/>
        </w:rPr>
      </w:pPr>
      <w:r>
        <w:rPr>
          <w:lang w:val="de-DE"/>
        </w:rPr>
        <w:t>117 von 276 Patienten aus der MC-Studie I und 272 von 777 aus den MC-Studien II und III wurden mindestens 3 Jahre in einer offenen Studie mit Adalimumab weiterbehandelt. 88 bzw. 189 Patienten blieben weiterhin in klinischer Remission. Ein klinisches Ansprechen (CR-100) wurde bei 102 bzw. 233 Patienten erhalten.</w:t>
      </w:r>
    </w:p>
    <w:p w14:paraId="56260B3F" w14:textId="77777777" w:rsidR="00FE291A" w:rsidRDefault="00FE291A">
      <w:pPr>
        <w:widowControl/>
        <w:kinsoku w:val="0"/>
        <w:overflowPunct w:val="0"/>
        <w:rPr>
          <w:sz w:val="22"/>
          <w:szCs w:val="22"/>
          <w:lang w:val="de-DE"/>
        </w:rPr>
      </w:pPr>
    </w:p>
    <w:p w14:paraId="0C8A435C" w14:textId="77777777" w:rsidR="00FE291A" w:rsidRDefault="00C8738F">
      <w:pPr>
        <w:keepNext/>
        <w:widowControl/>
        <w:kinsoku w:val="0"/>
        <w:overflowPunct w:val="0"/>
        <w:rPr>
          <w:sz w:val="22"/>
          <w:szCs w:val="22"/>
          <w:lang w:val="de-DE"/>
        </w:rPr>
      </w:pPr>
      <w:r>
        <w:rPr>
          <w:i/>
          <w:iCs/>
          <w:sz w:val="22"/>
          <w:szCs w:val="22"/>
          <w:u w:val="single"/>
          <w:lang w:val="de-DE"/>
        </w:rPr>
        <w:t>Lebensqualität</w:t>
      </w:r>
    </w:p>
    <w:p w14:paraId="2F46E13C" w14:textId="77777777" w:rsidR="00FE291A" w:rsidRDefault="00FE291A">
      <w:pPr>
        <w:keepNext/>
        <w:widowControl/>
        <w:kinsoku w:val="0"/>
        <w:overflowPunct w:val="0"/>
        <w:rPr>
          <w:sz w:val="22"/>
          <w:szCs w:val="22"/>
          <w:lang w:val="de-DE"/>
        </w:rPr>
      </w:pPr>
    </w:p>
    <w:p w14:paraId="4D3B9935" w14:textId="77777777" w:rsidR="00FE291A" w:rsidRDefault="00C8738F">
      <w:pPr>
        <w:widowControl/>
        <w:kinsoku w:val="0"/>
        <w:overflowPunct w:val="0"/>
        <w:rPr>
          <w:sz w:val="22"/>
          <w:szCs w:val="22"/>
          <w:lang w:val="de-DE"/>
        </w:rPr>
      </w:pPr>
      <w:r>
        <w:rPr>
          <w:sz w:val="22"/>
          <w:szCs w:val="22"/>
          <w:lang w:val="de-DE"/>
        </w:rPr>
        <w:t>In der MC-Studie I und der MC-Studie II zeigte sich eine statistisch signifikante Verbesserung im krankheitsspezifischen IBDQ (</w:t>
      </w:r>
      <w:r>
        <w:rPr>
          <w:i/>
          <w:iCs/>
          <w:sz w:val="22"/>
          <w:szCs w:val="22"/>
          <w:lang w:val="de-DE"/>
        </w:rPr>
        <w:t>Inflammatory-Bowel-Disease-Questionnaire</w:t>
      </w:r>
      <w:r>
        <w:rPr>
          <w:sz w:val="22"/>
          <w:szCs w:val="22"/>
          <w:lang w:val="de-DE"/>
        </w:rPr>
        <w:t>)-Gesamtscore in Woche 4 bei Patienten, die in die Adalimumab-Gruppen 80/40 mg und 160/80 mg randomisiert wurden, im Vergleich zur Placebogruppe. Dasselbe zeigte sich in der MC-Studie III in Woche 26 und 56 in den Adalimumab-Behandlungsgruppen im Vergleich zur Placebogruppe.</w:t>
      </w:r>
    </w:p>
    <w:p w14:paraId="02715B00" w14:textId="77777777" w:rsidR="00FE291A" w:rsidRDefault="00FE291A">
      <w:pPr>
        <w:pStyle w:val="BodyText"/>
        <w:widowControl/>
        <w:kinsoku w:val="0"/>
        <w:overflowPunct w:val="0"/>
        <w:ind w:left="0"/>
        <w:rPr>
          <w:lang w:val="de-DE"/>
        </w:rPr>
      </w:pPr>
    </w:p>
    <w:p w14:paraId="51BCD32F" w14:textId="77777777" w:rsidR="00FE291A" w:rsidRDefault="00C8738F">
      <w:pPr>
        <w:keepNext/>
        <w:keepLines/>
        <w:widowControl/>
        <w:kinsoku w:val="0"/>
        <w:overflowPunct w:val="0"/>
        <w:rPr>
          <w:sz w:val="22"/>
          <w:szCs w:val="22"/>
          <w:lang w:val="de-DE"/>
        </w:rPr>
      </w:pPr>
      <w:r>
        <w:rPr>
          <w:i/>
          <w:iCs/>
          <w:sz w:val="22"/>
          <w:szCs w:val="22"/>
          <w:lang w:val="de-DE"/>
        </w:rPr>
        <w:t>Colitis ulcerosa</w:t>
      </w:r>
    </w:p>
    <w:p w14:paraId="53FE9727" w14:textId="77777777" w:rsidR="00FE291A" w:rsidRDefault="00FE291A">
      <w:pPr>
        <w:keepNext/>
        <w:keepLines/>
        <w:widowControl/>
        <w:kinsoku w:val="0"/>
        <w:overflowPunct w:val="0"/>
        <w:rPr>
          <w:sz w:val="22"/>
          <w:szCs w:val="22"/>
          <w:lang w:val="de-DE"/>
        </w:rPr>
      </w:pPr>
    </w:p>
    <w:p w14:paraId="68F9A548" w14:textId="77777777" w:rsidR="00FE291A" w:rsidRDefault="00C8738F">
      <w:pPr>
        <w:pStyle w:val="BodyText"/>
        <w:keepNext/>
        <w:keepLines/>
        <w:widowControl/>
        <w:kinsoku w:val="0"/>
        <w:overflowPunct w:val="0"/>
        <w:ind w:left="0"/>
        <w:rPr>
          <w:lang w:val="de-DE"/>
        </w:rPr>
      </w:pPr>
      <w:r>
        <w:rPr>
          <w:lang w:val="de-DE"/>
        </w:rPr>
        <w:t>Die Sicherheit und Wirksamkeit von Adalimumab-Mehrfachdosen wurden bei erwachsenen Patienten mit mittelschwerer bis schwerer aktiver Colitis ulcerosa (</w:t>
      </w:r>
      <w:r>
        <w:rPr>
          <w:i/>
          <w:iCs/>
          <w:lang w:val="de-DE"/>
        </w:rPr>
        <w:t>Mayo-Score</w:t>
      </w:r>
      <w:r>
        <w:rPr>
          <w:lang w:val="de-DE"/>
        </w:rPr>
        <w:t xml:space="preserve"> 6 bis 12 mit Endoskopie-</w:t>
      </w:r>
      <w:r>
        <w:rPr>
          <w:i/>
          <w:iCs/>
          <w:lang w:val="de-DE"/>
        </w:rPr>
        <w:t>Subscore</w:t>
      </w:r>
      <w:r>
        <w:rPr>
          <w:lang w:val="de-DE"/>
        </w:rPr>
        <w:t xml:space="preserve"> 2 bis 3) in randomisierten, doppelblinden, placebokontrollierten Studien untersucht.</w:t>
      </w:r>
    </w:p>
    <w:p w14:paraId="4C46AD7F" w14:textId="77777777" w:rsidR="00FE291A" w:rsidRDefault="00FE291A">
      <w:pPr>
        <w:widowControl/>
        <w:kinsoku w:val="0"/>
        <w:overflowPunct w:val="0"/>
        <w:rPr>
          <w:sz w:val="22"/>
          <w:szCs w:val="22"/>
          <w:lang w:val="de-DE"/>
        </w:rPr>
      </w:pPr>
    </w:p>
    <w:p w14:paraId="4E7AC205" w14:textId="77777777" w:rsidR="00FE291A" w:rsidRDefault="00C8738F">
      <w:pPr>
        <w:pStyle w:val="BodyText"/>
        <w:widowControl/>
        <w:kinsoku w:val="0"/>
        <w:overflowPunct w:val="0"/>
        <w:ind w:left="0"/>
        <w:rPr>
          <w:lang w:val="de-DE"/>
        </w:rPr>
      </w:pPr>
      <w:r>
        <w:rPr>
          <w:lang w:val="de-DE"/>
        </w:rPr>
        <w:t xml:space="preserve">In der UC-I-Studie wurden 390 Patienten, die gegenüber TNF-Antagonisten naiv waren, randomisiert: Sie erhielten entweder Placebo in Woche 0 und 2, 160 mg Adalimumab in Woche 0, gefolgt von 80 mg in Woche 2 oder 80 mg Adalimumab in Woche 0, gefolgt von 40 mg in Woche 2. Nach Woche 2 erhielten die Patienten in beiden Adalimumab-Armen jede zweite Woche 40 mg. Eine klinische Remission (definiert als </w:t>
      </w:r>
      <w:r>
        <w:rPr>
          <w:i/>
          <w:iCs/>
          <w:lang w:val="de-DE"/>
        </w:rPr>
        <w:t>Mayo-Score</w:t>
      </w:r>
      <w:r>
        <w:rPr>
          <w:lang w:val="de-DE"/>
        </w:rPr>
        <w:t xml:space="preserve"> ≤ 2 mit keinem </w:t>
      </w:r>
      <w:r>
        <w:rPr>
          <w:i/>
          <w:iCs/>
          <w:lang w:val="de-DE"/>
        </w:rPr>
        <w:t>Subscore</w:t>
      </w:r>
      <w:r>
        <w:rPr>
          <w:lang w:val="de-DE"/>
        </w:rPr>
        <w:t xml:space="preserve"> &gt; 1) wurde in Woche 8 bewertet.</w:t>
      </w:r>
    </w:p>
    <w:p w14:paraId="56720E56" w14:textId="77777777" w:rsidR="00FE291A" w:rsidRDefault="00FE291A">
      <w:pPr>
        <w:widowControl/>
        <w:kinsoku w:val="0"/>
        <w:overflowPunct w:val="0"/>
        <w:rPr>
          <w:sz w:val="22"/>
          <w:szCs w:val="22"/>
          <w:lang w:val="de-DE"/>
        </w:rPr>
      </w:pPr>
    </w:p>
    <w:p w14:paraId="709CCEE2" w14:textId="77777777" w:rsidR="00FE291A" w:rsidRDefault="00C8738F">
      <w:pPr>
        <w:pStyle w:val="BodyText"/>
        <w:widowControl/>
        <w:kinsoku w:val="0"/>
        <w:overflowPunct w:val="0"/>
        <w:ind w:left="0"/>
        <w:rPr>
          <w:lang w:val="de-DE"/>
        </w:rPr>
      </w:pPr>
      <w:r>
        <w:rPr>
          <w:lang w:val="de-DE"/>
        </w:rPr>
        <w:t>In der UC-II-Studie erhielten 248 Patienten 160 mg Adalimumab in Woche 0, 80 mg in Woche 2 und danach jede zweite Woche 40 mg, und 246 Patienten erhielten Placebo. Die klinischen Ergebnisse wurden auf Einleitung einer Remission in Woche 8 und Bestehen der Remission in Woche 52 bewertet.</w:t>
      </w:r>
    </w:p>
    <w:p w14:paraId="4AB9A58B" w14:textId="77777777" w:rsidR="00FE291A" w:rsidRDefault="00FE291A">
      <w:pPr>
        <w:widowControl/>
        <w:kinsoku w:val="0"/>
        <w:overflowPunct w:val="0"/>
        <w:rPr>
          <w:sz w:val="22"/>
          <w:szCs w:val="22"/>
          <w:lang w:val="de-DE"/>
        </w:rPr>
      </w:pPr>
    </w:p>
    <w:p w14:paraId="4F109FA2" w14:textId="77777777" w:rsidR="00FE291A" w:rsidRDefault="00C8738F">
      <w:pPr>
        <w:pStyle w:val="BodyText"/>
        <w:widowControl/>
        <w:kinsoku w:val="0"/>
        <w:overflowPunct w:val="0"/>
        <w:ind w:left="0"/>
        <w:rPr>
          <w:lang w:val="de-DE"/>
        </w:rPr>
      </w:pPr>
      <w:r>
        <w:rPr>
          <w:lang w:val="de-DE"/>
        </w:rPr>
        <w:t>Eine klinische Remission zu einem statistisch signifikanten größeren Prozentsatz gegenüber Placebo erreichten Patienten mit einer Induktionsdosis von 160/80 mg Adalimumab in Woche 8 in der UC-I-Studie (18 % unter Adalimumab vs. 9 % unter Placebo; p = 0,031) und UC-II-Studie (17 % unter Adalimumab vs. 9 % unter Placebo; p = 0,019). In der UC-II-Studie waren unter Adalimumab-Behandlung 21/41 (51 %) Patienten, die in Woche 8 in Remission waren, in Woche 52 in Remission.</w:t>
      </w:r>
    </w:p>
    <w:p w14:paraId="4BC8F765" w14:textId="77777777" w:rsidR="00FE291A" w:rsidRDefault="00FE291A">
      <w:pPr>
        <w:widowControl/>
        <w:kinsoku w:val="0"/>
        <w:overflowPunct w:val="0"/>
        <w:rPr>
          <w:sz w:val="22"/>
          <w:szCs w:val="22"/>
          <w:lang w:val="de-DE"/>
        </w:rPr>
      </w:pPr>
    </w:p>
    <w:p w14:paraId="77C7CCF5" w14:textId="77777777" w:rsidR="00FE291A" w:rsidRDefault="00C8738F">
      <w:pPr>
        <w:pStyle w:val="BodyText"/>
        <w:widowControl/>
        <w:kinsoku w:val="0"/>
        <w:overflowPunct w:val="0"/>
        <w:ind w:left="0"/>
        <w:rPr>
          <w:lang w:val="de-DE"/>
        </w:rPr>
      </w:pPr>
      <w:r>
        <w:rPr>
          <w:lang w:val="de-DE"/>
        </w:rPr>
        <w:t>Tabelle 23 zeigt die Ergebnisse aus der gesamten Population von UC-II-Studie.</w:t>
      </w:r>
    </w:p>
    <w:p w14:paraId="470EC917" w14:textId="77777777" w:rsidR="00FE291A" w:rsidRDefault="00FE291A">
      <w:pPr>
        <w:widowControl/>
        <w:kinsoku w:val="0"/>
        <w:overflowPunct w:val="0"/>
        <w:rPr>
          <w:sz w:val="22"/>
          <w:szCs w:val="22"/>
          <w:lang w:val="de-DE"/>
        </w:rPr>
      </w:pPr>
    </w:p>
    <w:p w14:paraId="1D455B63" w14:textId="77777777" w:rsidR="00FE291A" w:rsidRDefault="00C8738F">
      <w:pPr>
        <w:pStyle w:val="Heading1"/>
        <w:keepNext/>
        <w:keepLines/>
        <w:widowControl/>
        <w:kinsoku w:val="0"/>
        <w:overflowPunct w:val="0"/>
        <w:ind w:left="0"/>
        <w:rPr>
          <w:lang w:val="de-DE"/>
        </w:rPr>
      </w:pPr>
      <w:r>
        <w:rPr>
          <w:lang w:val="de-DE"/>
        </w:rPr>
        <w:t>Tabelle 23: Ansprechen, Remission und Mukosaheilung in der UC-II-Studie (prozentualer Anteil der Patienten)</w:t>
      </w:r>
    </w:p>
    <w:p w14:paraId="08CFAB40" w14:textId="77777777" w:rsidR="00FE291A" w:rsidRDefault="00FE291A">
      <w:pPr>
        <w:keepNext/>
        <w:widowControl/>
        <w:kinsoku w:val="0"/>
        <w:overflowPunct w:val="0"/>
        <w:rPr>
          <w:sz w:val="22"/>
          <w:szCs w:val="28"/>
          <w:lang w:val="de-DE"/>
        </w:rPr>
      </w:pP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gridCol w:w="1843"/>
        <w:gridCol w:w="2268"/>
      </w:tblGrid>
      <w:tr w:rsidR="00FE291A" w:rsidRPr="00723069" w14:paraId="2002220D" w14:textId="77777777">
        <w:trPr>
          <w:trHeight w:val="571"/>
        </w:trPr>
        <w:tc>
          <w:tcPr>
            <w:tcW w:w="4810" w:type="dxa"/>
          </w:tcPr>
          <w:p w14:paraId="21E97844" w14:textId="77777777" w:rsidR="00FE291A" w:rsidRDefault="00FE291A">
            <w:pPr>
              <w:pStyle w:val="BodyText"/>
              <w:keepNext/>
              <w:widowControl/>
              <w:ind w:left="0"/>
              <w:rPr>
                <w:lang w:val="de-DE"/>
              </w:rPr>
            </w:pPr>
          </w:p>
        </w:tc>
        <w:tc>
          <w:tcPr>
            <w:tcW w:w="1843" w:type="dxa"/>
          </w:tcPr>
          <w:p w14:paraId="14B77D28" w14:textId="77777777" w:rsidR="00FE291A" w:rsidRDefault="00C8738F">
            <w:pPr>
              <w:pStyle w:val="BodyText"/>
              <w:keepNext/>
              <w:widowControl/>
              <w:ind w:left="0"/>
              <w:jc w:val="center"/>
              <w:rPr>
                <w:lang w:val="de-DE"/>
              </w:rPr>
            </w:pPr>
            <w:r>
              <w:rPr>
                <w:b/>
                <w:lang w:val="de-DE"/>
              </w:rPr>
              <w:t>Placebo</w:t>
            </w:r>
          </w:p>
        </w:tc>
        <w:tc>
          <w:tcPr>
            <w:tcW w:w="2268" w:type="dxa"/>
          </w:tcPr>
          <w:p w14:paraId="5E4920B3" w14:textId="77777777" w:rsidR="00FE291A" w:rsidRDefault="00C8738F">
            <w:pPr>
              <w:keepNext/>
              <w:widowControl/>
              <w:jc w:val="center"/>
              <w:rPr>
                <w:b/>
                <w:bCs/>
                <w:sz w:val="22"/>
                <w:szCs w:val="22"/>
                <w:lang w:val="de-DE" w:eastAsia="en-US"/>
              </w:rPr>
            </w:pPr>
            <w:r>
              <w:rPr>
                <w:b/>
                <w:bCs/>
                <w:sz w:val="22"/>
                <w:szCs w:val="22"/>
                <w:lang w:val="de-DE" w:eastAsia="en-US"/>
              </w:rPr>
              <w:t xml:space="preserve">Adalimumab </w:t>
            </w:r>
          </w:p>
          <w:p w14:paraId="36786392" w14:textId="77777777" w:rsidR="00FE291A" w:rsidRDefault="00C8738F">
            <w:pPr>
              <w:keepNext/>
              <w:widowControl/>
              <w:jc w:val="center"/>
              <w:rPr>
                <w:b/>
                <w:bCs/>
                <w:sz w:val="22"/>
                <w:szCs w:val="22"/>
                <w:lang w:val="de-DE" w:eastAsia="en-US"/>
              </w:rPr>
            </w:pPr>
            <w:r>
              <w:rPr>
                <w:b/>
                <w:bCs/>
                <w:sz w:val="22"/>
                <w:szCs w:val="22"/>
                <w:lang w:val="de-DE" w:eastAsia="en-US"/>
              </w:rPr>
              <w:t>40 mg</w:t>
            </w:r>
          </w:p>
          <w:p w14:paraId="4390AB22" w14:textId="77777777" w:rsidR="00FE291A" w:rsidRDefault="00C8738F">
            <w:pPr>
              <w:pStyle w:val="BodyText"/>
              <w:keepNext/>
              <w:widowControl/>
              <w:ind w:left="0"/>
              <w:jc w:val="center"/>
              <w:rPr>
                <w:lang w:val="de-DE"/>
              </w:rPr>
            </w:pPr>
            <w:r>
              <w:rPr>
                <w:b/>
                <w:bCs/>
                <w:lang w:val="de-DE" w:eastAsia="en-US"/>
              </w:rPr>
              <w:t>jede zweite Woche</w:t>
            </w:r>
          </w:p>
        </w:tc>
      </w:tr>
      <w:tr w:rsidR="00FE291A" w14:paraId="40EC58BA" w14:textId="77777777">
        <w:tc>
          <w:tcPr>
            <w:tcW w:w="4810" w:type="dxa"/>
          </w:tcPr>
          <w:p w14:paraId="0CE11961" w14:textId="77777777" w:rsidR="00FE291A" w:rsidRDefault="00C8738F">
            <w:pPr>
              <w:pStyle w:val="BodyText"/>
              <w:keepNext/>
              <w:widowControl/>
              <w:ind w:left="0"/>
              <w:rPr>
                <w:lang w:val="de-DE"/>
              </w:rPr>
            </w:pPr>
            <w:r>
              <w:rPr>
                <w:lang w:val="de-DE" w:eastAsia="en-US"/>
              </w:rPr>
              <w:t>Woche</w:t>
            </w:r>
            <w:r>
              <w:rPr>
                <w:lang w:val="de-DE"/>
              </w:rPr>
              <w:t xml:space="preserve"> 52</w:t>
            </w:r>
          </w:p>
        </w:tc>
        <w:tc>
          <w:tcPr>
            <w:tcW w:w="1843" w:type="dxa"/>
          </w:tcPr>
          <w:p w14:paraId="32974ABF" w14:textId="77777777" w:rsidR="00FE291A" w:rsidRDefault="00C8738F">
            <w:pPr>
              <w:pStyle w:val="BodyText"/>
              <w:keepNext/>
              <w:widowControl/>
              <w:ind w:left="0"/>
              <w:jc w:val="center"/>
              <w:rPr>
                <w:lang w:val="de-DE"/>
              </w:rPr>
            </w:pPr>
            <w:r>
              <w:rPr>
                <w:b/>
                <w:bCs/>
                <w:lang w:val="de-DE" w:eastAsia="en-US"/>
              </w:rPr>
              <w:t>N = 246</w:t>
            </w:r>
          </w:p>
        </w:tc>
        <w:tc>
          <w:tcPr>
            <w:tcW w:w="2268" w:type="dxa"/>
          </w:tcPr>
          <w:p w14:paraId="711B572D" w14:textId="77777777" w:rsidR="00FE291A" w:rsidRDefault="00C8738F">
            <w:pPr>
              <w:pStyle w:val="BodyText"/>
              <w:keepNext/>
              <w:widowControl/>
              <w:ind w:left="0"/>
              <w:jc w:val="center"/>
              <w:rPr>
                <w:lang w:val="de-DE"/>
              </w:rPr>
            </w:pPr>
            <w:r>
              <w:rPr>
                <w:b/>
                <w:bCs/>
                <w:lang w:val="de-DE" w:eastAsia="en-US"/>
              </w:rPr>
              <w:t>N = 248</w:t>
            </w:r>
          </w:p>
        </w:tc>
      </w:tr>
      <w:tr w:rsidR="00FE291A" w14:paraId="2087E4C1" w14:textId="77777777">
        <w:tc>
          <w:tcPr>
            <w:tcW w:w="4810" w:type="dxa"/>
          </w:tcPr>
          <w:p w14:paraId="4614A951" w14:textId="77777777" w:rsidR="00FE291A" w:rsidRDefault="00C8738F">
            <w:pPr>
              <w:pStyle w:val="BodyText"/>
              <w:keepNext/>
              <w:widowControl/>
              <w:ind w:left="0"/>
              <w:rPr>
                <w:lang w:val="de-DE"/>
              </w:rPr>
            </w:pPr>
            <w:r>
              <w:rPr>
                <w:lang w:val="de-DE" w:eastAsia="en-US"/>
              </w:rPr>
              <w:t>Klinisches Ansprechen</w:t>
            </w:r>
          </w:p>
        </w:tc>
        <w:tc>
          <w:tcPr>
            <w:tcW w:w="1843" w:type="dxa"/>
          </w:tcPr>
          <w:p w14:paraId="21B068C9" w14:textId="77777777" w:rsidR="00FE291A" w:rsidRDefault="00C8738F">
            <w:pPr>
              <w:pStyle w:val="BodyText"/>
              <w:keepNext/>
              <w:widowControl/>
              <w:ind w:left="0"/>
              <w:jc w:val="center"/>
              <w:rPr>
                <w:lang w:val="de-DE"/>
              </w:rPr>
            </w:pPr>
            <w:r>
              <w:rPr>
                <w:lang w:val="de-DE"/>
              </w:rPr>
              <w:t>18 %</w:t>
            </w:r>
          </w:p>
        </w:tc>
        <w:tc>
          <w:tcPr>
            <w:tcW w:w="2268" w:type="dxa"/>
          </w:tcPr>
          <w:p w14:paraId="07B0B121" w14:textId="77777777" w:rsidR="00FE291A" w:rsidRDefault="00C8738F">
            <w:pPr>
              <w:pStyle w:val="BodyText"/>
              <w:keepNext/>
              <w:widowControl/>
              <w:ind w:left="0"/>
              <w:jc w:val="center"/>
              <w:rPr>
                <w:lang w:val="de-DE"/>
              </w:rPr>
            </w:pPr>
            <w:r>
              <w:rPr>
                <w:lang w:val="de-DE"/>
              </w:rPr>
              <w:t>30 %*</w:t>
            </w:r>
          </w:p>
        </w:tc>
      </w:tr>
      <w:tr w:rsidR="00FE291A" w14:paraId="57452E53" w14:textId="77777777">
        <w:tc>
          <w:tcPr>
            <w:tcW w:w="4810" w:type="dxa"/>
          </w:tcPr>
          <w:p w14:paraId="185F8892" w14:textId="77777777" w:rsidR="00FE291A" w:rsidRDefault="00C8738F">
            <w:pPr>
              <w:pStyle w:val="BodyText"/>
              <w:keepNext/>
              <w:widowControl/>
              <w:ind w:left="0"/>
              <w:rPr>
                <w:lang w:val="de-DE"/>
              </w:rPr>
            </w:pPr>
            <w:r>
              <w:rPr>
                <w:lang w:val="de-DE" w:eastAsia="en-US"/>
              </w:rPr>
              <w:t>Klinische Remission</w:t>
            </w:r>
          </w:p>
        </w:tc>
        <w:tc>
          <w:tcPr>
            <w:tcW w:w="1843" w:type="dxa"/>
          </w:tcPr>
          <w:p w14:paraId="24071551" w14:textId="77777777" w:rsidR="00FE291A" w:rsidRDefault="00C8738F">
            <w:pPr>
              <w:pStyle w:val="BodyText"/>
              <w:keepNext/>
              <w:widowControl/>
              <w:ind w:left="0"/>
              <w:jc w:val="center"/>
              <w:rPr>
                <w:lang w:val="de-DE"/>
              </w:rPr>
            </w:pPr>
            <w:r>
              <w:rPr>
                <w:lang w:val="de-DE"/>
              </w:rPr>
              <w:t>9 %</w:t>
            </w:r>
          </w:p>
        </w:tc>
        <w:tc>
          <w:tcPr>
            <w:tcW w:w="2268" w:type="dxa"/>
          </w:tcPr>
          <w:p w14:paraId="3EC99AD2" w14:textId="77777777" w:rsidR="00FE291A" w:rsidRDefault="00C8738F">
            <w:pPr>
              <w:pStyle w:val="BodyText"/>
              <w:keepNext/>
              <w:widowControl/>
              <w:ind w:left="0"/>
              <w:jc w:val="center"/>
              <w:rPr>
                <w:lang w:val="de-DE"/>
              </w:rPr>
            </w:pPr>
            <w:r>
              <w:rPr>
                <w:lang w:val="de-DE"/>
              </w:rPr>
              <w:t>17 %*</w:t>
            </w:r>
          </w:p>
        </w:tc>
      </w:tr>
      <w:tr w:rsidR="00FE291A" w14:paraId="62156442" w14:textId="77777777">
        <w:trPr>
          <w:trHeight w:val="106"/>
        </w:trPr>
        <w:tc>
          <w:tcPr>
            <w:tcW w:w="4810" w:type="dxa"/>
          </w:tcPr>
          <w:p w14:paraId="140EFD4C" w14:textId="77777777" w:rsidR="00FE291A" w:rsidRDefault="00C8738F">
            <w:pPr>
              <w:pStyle w:val="BodyText"/>
              <w:keepNext/>
              <w:widowControl/>
              <w:ind w:left="0"/>
              <w:rPr>
                <w:lang w:val="de-DE"/>
              </w:rPr>
            </w:pPr>
            <w:r>
              <w:rPr>
                <w:lang w:val="de-DE" w:eastAsia="en-US"/>
              </w:rPr>
              <w:t>Mukosaheilung</w:t>
            </w:r>
          </w:p>
        </w:tc>
        <w:tc>
          <w:tcPr>
            <w:tcW w:w="1843" w:type="dxa"/>
          </w:tcPr>
          <w:p w14:paraId="1E18099A" w14:textId="77777777" w:rsidR="00FE291A" w:rsidRDefault="00C8738F">
            <w:pPr>
              <w:pStyle w:val="BodyText"/>
              <w:keepNext/>
              <w:widowControl/>
              <w:ind w:left="0"/>
              <w:jc w:val="center"/>
              <w:rPr>
                <w:lang w:val="de-DE"/>
              </w:rPr>
            </w:pPr>
            <w:r>
              <w:rPr>
                <w:lang w:val="de-DE"/>
              </w:rPr>
              <w:t>15 %</w:t>
            </w:r>
          </w:p>
        </w:tc>
        <w:tc>
          <w:tcPr>
            <w:tcW w:w="2268" w:type="dxa"/>
          </w:tcPr>
          <w:p w14:paraId="1B352D3E" w14:textId="77777777" w:rsidR="00FE291A" w:rsidRDefault="00C8738F">
            <w:pPr>
              <w:pStyle w:val="BodyText"/>
              <w:keepNext/>
              <w:widowControl/>
              <w:ind w:left="0"/>
              <w:jc w:val="center"/>
              <w:rPr>
                <w:lang w:val="de-DE"/>
              </w:rPr>
            </w:pPr>
            <w:r>
              <w:rPr>
                <w:lang w:val="de-DE"/>
              </w:rPr>
              <w:t>25 %*</w:t>
            </w:r>
          </w:p>
        </w:tc>
      </w:tr>
      <w:tr w:rsidR="00FE291A" w14:paraId="62F16295" w14:textId="77777777">
        <w:trPr>
          <w:trHeight w:val="100"/>
        </w:trPr>
        <w:tc>
          <w:tcPr>
            <w:tcW w:w="4810" w:type="dxa"/>
          </w:tcPr>
          <w:p w14:paraId="69B435C7" w14:textId="77777777" w:rsidR="00FE291A" w:rsidRDefault="00C8738F">
            <w:pPr>
              <w:pStyle w:val="BodyText"/>
              <w:keepNext/>
              <w:widowControl/>
              <w:ind w:left="0"/>
              <w:rPr>
                <w:lang w:val="de-DE"/>
              </w:rPr>
            </w:pPr>
            <w:r>
              <w:rPr>
                <w:lang w:val="de-DE" w:eastAsia="en-US"/>
              </w:rPr>
              <w:t>Steroidfreie Remission für ≥ 90 Tage</w:t>
            </w:r>
            <w:r>
              <w:rPr>
                <w:vertAlign w:val="superscript"/>
                <w:lang w:val="de-DE" w:eastAsia="en-US"/>
              </w:rPr>
              <w:t>a</w:t>
            </w:r>
          </w:p>
        </w:tc>
        <w:tc>
          <w:tcPr>
            <w:tcW w:w="1843" w:type="dxa"/>
          </w:tcPr>
          <w:p w14:paraId="41801285" w14:textId="77777777" w:rsidR="00FE291A" w:rsidRDefault="00C8738F">
            <w:pPr>
              <w:pStyle w:val="BodyText"/>
              <w:keepNext/>
              <w:widowControl/>
              <w:ind w:left="0"/>
              <w:jc w:val="center"/>
              <w:rPr>
                <w:lang w:val="de-DE"/>
              </w:rPr>
            </w:pPr>
            <w:r>
              <w:rPr>
                <w:lang w:val="de-DE"/>
              </w:rPr>
              <w:t>6 %</w:t>
            </w:r>
          </w:p>
          <w:p w14:paraId="6953627D" w14:textId="77777777" w:rsidR="00FE291A" w:rsidRDefault="00C8738F">
            <w:pPr>
              <w:pStyle w:val="BodyText"/>
              <w:keepNext/>
              <w:widowControl/>
              <w:ind w:left="0"/>
              <w:jc w:val="center"/>
              <w:rPr>
                <w:lang w:val="de-DE"/>
              </w:rPr>
            </w:pPr>
            <w:r>
              <w:rPr>
                <w:lang w:val="de-DE"/>
              </w:rPr>
              <w:t>(</w:t>
            </w:r>
            <w:r>
              <w:rPr>
                <w:lang w:val="de-DE" w:eastAsia="en-US"/>
              </w:rPr>
              <w:t>N = 140</w:t>
            </w:r>
            <w:r>
              <w:rPr>
                <w:lang w:val="de-DE"/>
              </w:rPr>
              <w:t>)</w:t>
            </w:r>
          </w:p>
        </w:tc>
        <w:tc>
          <w:tcPr>
            <w:tcW w:w="2268" w:type="dxa"/>
          </w:tcPr>
          <w:p w14:paraId="3EF63E03" w14:textId="77777777" w:rsidR="00FE291A" w:rsidRDefault="00C8738F">
            <w:pPr>
              <w:pStyle w:val="BodyText"/>
              <w:keepNext/>
              <w:widowControl/>
              <w:ind w:left="0"/>
              <w:jc w:val="center"/>
              <w:rPr>
                <w:lang w:val="de-DE"/>
              </w:rPr>
            </w:pPr>
            <w:r>
              <w:rPr>
                <w:lang w:val="de-DE"/>
              </w:rPr>
              <w:t>13 %*</w:t>
            </w:r>
          </w:p>
          <w:p w14:paraId="07B5C273" w14:textId="77777777" w:rsidR="00FE291A" w:rsidRDefault="00C8738F">
            <w:pPr>
              <w:pStyle w:val="BodyText"/>
              <w:keepNext/>
              <w:widowControl/>
              <w:ind w:left="0"/>
              <w:jc w:val="center"/>
              <w:rPr>
                <w:lang w:val="de-DE"/>
              </w:rPr>
            </w:pPr>
            <w:r>
              <w:rPr>
                <w:lang w:val="de-DE"/>
              </w:rPr>
              <w:t>(</w:t>
            </w:r>
            <w:r>
              <w:rPr>
                <w:lang w:val="de-DE" w:eastAsia="en-US"/>
              </w:rPr>
              <w:t>N</w:t>
            </w:r>
            <w:r>
              <w:rPr>
                <w:lang w:val="de-DE" w:eastAsia="zh-TW"/>
              </w:rPr>
              <w:t> </w:t>
            </w:r>
            <w:r>
              <w:rPr>
                <w:lang w:val="de-DE" w:eastAsia="en-US"/>
              </w:rPr>
              <w:t>= 150</w:t>
            </w:r>
            <w:r>
              <w:rPr>
                <w:lang w:val="de-DE"/>
              </w:rPr>
              <w:t>)</w:t>
            </w:r>
          </w:p>
        </w:tc>
      </w:tr>
      <w:tr w:rsidR="00FE291A" w14:paraId="1B7983ED" w14:textId="77777777">
        <w:tc>
          <w:tcPr>
            <w:tcW w:w="4810" w:type="dxa"/>
          </w:tcPr>
          <w:p w14:paraId="615FDFCB" w14:textId="77777777" w:rsidR="00FE291A" w:rsidRDefault="00C8738F">
            <w:pPr>
              <w:keepNext/>
              <w:widowControl/>
              <w:tabs>
                <w:tab w:val="left" w:pos="3684"/>
                <w:tab w:val="left" w:pos="7961"/>
              </w:tabs>
              <w:kinsoku w:val="0"/>
              <w:overflowPunct w:val="0"/>
              <w:rPr>
                <w:bCs/>
                <w:sz w:val="22"/>
                <w:szCs w:val="22"/>
                <w:lang w:val="de-DE"/>
              </w:rPr>
            </w:pPr>
            <w:r>
              <w:rPr>
                <w:sz w:val="22"/>
                <w:szCs w:val="22"/>
                <w:lang w:val="de-DE" w:eastAsia="en-US"/>
              </w:rPr>
              <w:t>Woche 8 und 52</w:t>
            </w:r>
          </w:p>
        </w:tc>
        <w:tc>
          <w:tcPr>
            <w:tcW w:w="1843" w:type="dxa"/>
          </w:tcPr>
          <w:p w14:paraId="36195DA4" w14:textId="77777777" w:rsidR="00FE291A" w:rsidRDefault="00FE291A">
            <w:pPr>
              <w:keepNext/>
              <w:widowControl/>
              <w:tabs>
                <w:tab w:val="left" w:pos="3684"/>
                <w:tab w:val="left" w:pos="7961"/>
              </w:tabs>
              <w:kinsoku w:val="0"/>
              <w:overflowPunct w:val="0"/>
              <w:jc w:val="center"/>
              <w:rPr>
                <w:bCs/>
                <w:sz w:val="22"/>
                <w:szCs w:val="22"/>
                <w:lang w:val="de-DE"/>
              </w:rPr>
            </w:pPr>
          </w:p>
        </w:tc>
        <w:tc>
          <w:tcPr>
            <w:tcW w:w="2268" w:type="dxa"/>
          </w:tcPr>
          <w:p w14:paraId="062A2FD4" w14:textId="77777777" w:rsidR="00FE291A" w:rsidRDefault="00FE291A">
            <w:pPr>
              <w:keepNext/>
              <w:widowControl/>
              <w:tabs>
                <w:tab w:val="left" w:pos="3684"/>
                <w:tab w:val="left" w:pos="7961"/>
              </w:tabs>
              <w:kinsoku w:val="0"/>
              <w:overflowPunct w:val="0"/>
              <w:jc w:val="center"/>
              <w:rPr>
                <w:bCs/>
                <w:sz w:val="22"/>
                <w:szCs w:val="22"/>
                <w:lang w:val="de-DE"/>
              </w:rPr>
            </w:pPr>
          </w:p>
        </w:tc>
      </w:tr>
      <w:tr w:rsidR="00FE291A" w14:paraId="56F9EA4C" w14:textId="77777777">
        <w:tc>
          <w:tcPr>
            <w:tcW w:w="4810" w:type="dxa"/>
          </w:tcPr>
          <w:p w14:paraId="1FC6DF82" w14:textId="77777777" w:rsidR="00FE291A" w:rsidRDefault="00C8738F">
            <w:pPr>
              <w:pStyle w:val="BodyText"/>
              <w:keepNext/>
              <w:widowControl/>
              <w:ind w:left="0"/>
              <w:rPr>
                <w:lang w:val="de-DE"/>
              </w:rPr>
            </w:pPr>
            <w:r>
              <w:rPr>
                <w:lang w:val="de-DE" w:eastAsia="en-US"/>
              </w:rPr>
              <w:t>Anhaltendes Ansprechen</w:t>
            </w:r>
          </w:p>
        </w:tc>
        <w:tc>
          <w:tcPr>
            <w:tcW w:w="1843" w:type="dxa"/>
          </w:tcPr>
          <w:p w14:paraId="2B7951D9" w14:textId="77777777" w:rsidR="00FE291A" w:rsidRDefault="00C8738F">
            <w:pPr>
              <w:pStyle w:val="BodyText"/>
              <w:keepNext/>
              <w:widowControl/>
              <w:ind w:left="0"/>
              <w:jc w:val="center"/>
              <w:rPr>
                <w:lang w:val="de-DE"/>
              </w:rPr>
            </w:pPr>
            <w:r>
              <w:rPr>
                <w:lang w:val="de-DE"/>
              </w:rPr>
              <w:t>12 %</w:t>
            </w:r>
          </w:p>
        </w:tc>
        <w:tc>
          <w:tcPr>
            <w:tcW w:w="2268" w:type="dxa"/>
          </w:tcPr>
          <w:p w14:paraId="6845C094" w14:textId="77777777" w:rsidR="00FE291A" w:rsidRDefault="00C8738F">
            <w:pPr>
              <w:pStyle w:val="BodyText"/>
              <w:keepNext/>
              <w:widowControl/>
              <w:ind w:left="0"/>
              <w:jc w:val="center"/>
              <w:rPr>
                <w:lang w:val="de-DE"/>
              </w:rPr>
            </w:pPr>
            <w:r>
              <w:rPr>
                <w:lang w:val="de-DE"/>
              </w:rPr>
              <w:t>24 %**</w:t>
            </w:r>
          </w:p>
        </w:tc>
      </w:tr>
      <w:tr w:rsidR="00FE291A" w14:paraId="67552529" w14:textId="77777777">
        <w:tc>
          <w:tcPr>
            <w:tcW w:w="4810" w:type="dxa"/>
          </w:tcPr>
          <w:p w14:paraId="4C9E3B1A" w14:textId="77777777" w:rsidR="00FE291A" w:rsidRDefault="00C8738F">
            <w:pPr>
              <w:pStyle w:val="BodyText"/>
              <w:keepNext/>
              <w:widowControl/>
              <w:ind w:left="0"/>
              <w:rPr>
                <w:lang w:val="de-DE"/>
              </w:rPr>
            </w:pPr>
            <w:r>
              <w:rPr>
                <w:lang w:val="de-DE" w:eastAsia="en-US"/>
              </w:rPr>
              <w:t>Anhaltende Remission</w:t>
            </w:r>
          </w:p>
        </w:tc>
        <w:tc>
          <w:tcPr>
            <w:tcW w:w="1843" w:type="dxa"/>
          </w:tcPr>
          <w:p w14:paraId="6D4E37F3" w14:textId="77777777" w:rsidR="00FE291A" w:rsidRDefault="00C8738F">
            <w:pPr>
              <w:pStyle w:val="BodyText"/>
              <w:keepNext/>
              <w:widowControl/>
              <w:ind w:left="0"/>
              <w:jc w:val="center"/>
              <w:rPr>
                <w:lang w:val="de-DE"/>
              </w:rPr>
            </w:pPr>
            <w:r>
              <w:rPr>
                <w:lang w:val="de-DE"/>
              </w:rPr>
              <w:t>4 %</w:t>
            </w:r>
          </w:p>
        </w:tc>
        <w:tc>
          <w:tcPr>
            <w:tcW w:w="2268" w:type="dxa"/>
          </w:tcPr>
          <w:p w14:paraId="6CC54782" w14:textId="77777777" w:rsidR="00FE291A" w:rsidRDefault="00C8738F">
            <w:pPr>
              <w:pStyle w:val="BodyText"/>
              <w:keepNext/>
              <w:widowControl/>
              <w:ind w:left="0"/>
              <w:jc w:val="center"/>
              <w:rPr>
                <w:lang w:val="de-DE"/>
              </w:rPr>
            </w:pPr>
            <w:r>
              <w:rPr>
                <w:lang w:val="de-DE"/>
              </w:rPr>
              <w:t>8 %*</w:t>
            </w:r>
          </w:p>
        </w:tc>
      </w:tr>
      <w:tr w:rsidR="00FE291A" w14:paraId="255FD8E0" w14:textId="77777777">
        <w:tc>
          <w:tcPr>
            <w:tcW w:w="4810" w:type="dxa"/>
          </w:tcPr>
          <w:p w14:paraId="487F7521" w14:textId="77777777" w:rsidR="00FE291A" w:rsidRDefault="00C8738F">
            <w:pPr>
              <w:pStyle w:val="BodyText"/>
              <w:keepNext/>
              <w:widowControl/>
              <w:ind w:left="0"/>
              <w:rPr>
                <w:lang w:val="de-DE"/>
              </w:rPr>
            </w:pPr>
            <w:r>
              <w:rPr>
                <w:lang w:val="de-DE" w:eastAsia="en-US"/>
              </w:rPr>
              <w:t>Anhaltende Mukosaheilung</w:t>
            </w:r>
          </w:p>
        </w:tc>
        <w:tc>
          <w:tcPr>
            <w:tcW w:w="1843" w:type="dxa"/>
          </w:tcPr>
          <w:p w14:paraId="5CBD47A8" w14:textId="77777777" w:rsidR="00FE291A" w:rsidRDefault="00C8738F">
            <w:pPr>
              <w:pStyle w:val="BodyText"/>
              <w:keepNext/>
              <w:widowControl/>
              <w:ind w:left="0"/>
              <w:jc w:val="center"/>
              <w:rPr>
                <w:lang w:val="de-DE"/>
              </w:rPr>
            </w:pPr>
            <w:r>
              <w:rPr>
                <w:lang w:val="de-DE"/>
              </w:rPr>
              <w:t>11 %</w:t>
            </w:r>
          </w:p>
        </w:tc>
        <w:tc>
          <w:tcPr>
            <w:tcW w:w="2268" w:type="dxa"/>
          </w:tcPr>
          <w:p w14:paraId="6472DB9C" w14:textId="77777777" w:rsidR="00FE291A" w:rsidRDefault="00C8738F">
            <w:pPr>
              <w:pStyle w:val="BodyText"/>
              <w:keepNext/>
              <w:widowControl/>
              <w:ind w:left="0"/>
              <w:jc w:val="center"/>
              <w:rPr>
                <w:lang w:val="de-DE"/>
              </w:rPr>
            </w:pPr>
            <w:r>
              <w:rPr>
                <w:lang w:val="de-DE"/>
              </w:rPr>
              <w:t>19 %*</w:t>
            </w:r>
          </w:p>
        </w:tc>
      </w:tr>
    </w:tbl>
    <w:p w14:paraId="690FBDBF" w14:textId="77777777" w:rsidR="00FE291A" w:rsidRDefault="00C8738F">
      <w:pPr>
        <w:keepNext/>
        <w:widowControl/>
        <w:rPr>
          <w:sz w:val="20"/>
          <w:szCs w:val="20"/>
          <w:lang w:val="de-DE"/>
        </w:rPr>
      </w:pPr>
      <w:r>
        <w:rPr>
          <w:sz w:val="20"/>
          <w:szCs w:val="20"/>
          <w:lang w:val="de-DE"/>
        </w:rPr>
        <w:t xml:space="preserve">Klinische Remission bedeutet </w:t>
      </w:r>
      <w:r>
        <w:rPr>
          <w:i/>
          <w:iCs/>
          <w:sz w:val="20"/>
          <w:szCs w:val="20"/>
          <w:lang w:val="de-DE"/>
        </w:rPr>
        <w:t>Mayo-Score</w:t>
      </w:r>
      <w:r>
        <w:rPr>
          <w:sz w:val="20"/>
          <w:szCs w:val="20"/>
          <w:lang w:val="de-DE"/>
        </w:rPr>
        <w:t xml:space="preserve"> </w:t>
      </w:r>
      <w:r>
        <w:rPr>
          <w:rFonts w:eastAsia="TimesNewRomanPSMT"/>
          <w:sz w:val="20"/>
          <w:szCs w:val="20"/>
          <w:lang w:val="de-DE"/>
        </w:rPr>
        <w:t xml:space="preserve">≤ </w:t>
      </w:r>
      <w:r>
        <w:rPr>
          <w:sz w:val="20"/>
          <w:szCs w:val="20"/>
          <w:lang w:val="de-DE"/>
        </w:rPr>
        <w:t xml:space="preserve">2 mit keinem </w:t>
      </w:r>
      <w:r>
        <w:rPr>
          <w:i/>
          <w:iCs/>
          <w:sz w:val="20"/>
          <w:szCs w:val="20"/>
          <w:lang w:val="de-DE"/>
        </w:rPr>
        <w:t>Subscore</w:t>
      </w:r>
      <w:r>
        <w:rPr>
          <w:sz w:val="20"/>
          <w:szCs w:val="20"/>
          <w:lang w:val="de-DE"/>
        </w:rPr>
        <w:t xml:space="preserve"> &gt; 1;</w:t>
      </w:r>
    </w:p>
    <w:p w14:paraId="1BEF4751" w14:textId="77777777" w:rsidR="00FE291A" w:rsidRDefault="00C8738F">
      <w:pPr>
        <w:keepNext/>
        <w:widowControl/>
        <w:rPr>
          <w:sz w:val="20"/>
          <w:szCs w:val="20"/>
          <w:lang w:val="de-DE"/>
        </w:rPr>
      </w:pPr>
      <w:r>
        <w:rPr>
          <w:sz w:val="20"/>
          <w:szCs w:val="20"/>
          <w:lang w:val="de-DE"/>
        </w:rPr>
        <w:t xml:space="preserve">Klinisches Ansprechen bedeutet eine Abnahme im </w:t>
      </w:r>
      <w:r>
        <w:rPr>
          <w:i/>
          <w:iCs/>
          <w:sz w:val="20"/>
          <w:szCs w:val="20"/>
          <w:lang w:val="de-DE"/>
        </w:rPr>
        <w:t>Mayo-Score</w:t>
      </w:r>
      <w:r>
        <w:rPr>
          <w:sz w:val="20"/>
          <w:szCs w:val="20"/>
          <w:lang w:val="de-DE"/>
        </w:rPr>
        <w:t xml:space="preserve"> gegenüber Studienbeginn um </w:t>
      </w:r>
      <w:r>
        <w:rPr>
          <w:rFonts w:eastAsia="TimesNewRomanPSMT"/>
          <w:sz w:val="20"/>
          <w:szCs w:val="20"/>
          <w:lang w:val="de-DE"/>
        </w:rPr>
        <w:t>≥ </w:t>
      </w:r>
      <w:r>
        <w:rPr>
          <w:sz w:val="20"/>
          <w:szCs w:val="20"/>
          <w:lang w:val="de-DE"/>
        </w:rPr>
        <w:t xml:space="preserve">3 </w:t>
      </w:r>
      <w:r>
        <w:rPr>
          <w:rFonts w:eastAsia="TimesNewRomanPSMT"/>
          <w:sz w:val="20"/>
          <w:szCs w:val="20"/>
          <w:lang w:val="de-DE"/>
        </w:rPr>
        <w:t>Punkte und ≥ </w:t>
      </w:r>
      <w:r>
        <w:rPr>
          <w:sz w:val="20"/>
          <w:szCs w:val="20"/>
          <w:lang w:val="de-DE"/>
        </w:rPr>
        <w:t>30 % plus eine Abnahme im rektalen Blutungs-</w:t>
      </w:r>
      <w:r>
        <w:rPr>
          <w:rFonts w:eastAsia="TimesNewRomanPSMT"/>
          <w:i/>
          <w:iCs/>
          <w:sz w:val="20"/>
          <w:szCs w:val="20"/>
          <w:lang w:val="de-DE"/>
        </w:rPr>
        <w:t>Subscore</w:t>
      </w:r>
      <w:r>
        <w:rPr>
          <w:rFonts w:eastAsia="TimesNewRomanPSMT"/>
          <w:sz w:val="20"/>
          <w:szCs w:val="20"/>
          <w:lang w:val="de-DE"/>
        </w:rPr>
        <w:t xml:space="preserve"> [RBS] ≥ </w:t>
      </w:r>
      <w:r>
        <w:rPr>
          <w:sz w:val="20"/>
          <w:szCs w:val="20"/>
          <w:lang w:val="de-DE"/>
        </w:rPr>
        <w:t>1 oder einen absoluten RBS von 0 oder 1;</w:t>
      </w:r>
    </w:p>
    <w:p w14:paraId="458FBCBA" w14:textId="77777777" w:rsidR="00FE291A" w:rsidRDefault="00C8738F">
      <w:pPr>
        <w:keepNext/>
        <w:widowControl/>
        <w:rPr>
          <w:sz w:val="20"/>
          <w:szCs w:val="20"/>
          <w:lang w:val="de-DE"/>
        </w:rPr>
      </w:pPr>
      <w:r>
        <w:rPr>
          <w:sz w:val="20"/>
          <w:szCs w:val="20"/>
          <w:lang w:val="de-DE"/>
        </w:rPr>
        <w:t xml:space="preserve">* p &lt; 0,05 für Adalimumab </w:t>
      </w:r>
      <w:r>
        <w:rPr>
          <w:i/>
          <w:iCs/>
          <w:sz w:val="20"/>
          <w:szCs w:val="20"/>
          <w:lang w:val="de-DE"/>
        </w:rPr>
        <w:t xml:space="preserve">versus </w:t>
      </w:r>
      <w:r>
        <w:rPr>
          <w:sz w:val="20"/>
          <w:szCs w:val="20"/>
          <w:lang w:val="de-DE"/>
        </w:rPr>
        <w:t>Placebo paarweiser Vergleich der Anteile</w:t>
      </w:r>
    </w:p>
    <w:p w14:paraId="3647FE4B" w14:textId="77777777" w:rsidR="00FE291A" w:rsidRDefault="00C8738F">
      <w:pPr>
        <w:keepNext/>
        <w:widowControl/>
        <w:rPr>
          <w:sz w:val="20"/>
          <w:szCs w:val="20"/>
          <w:lang w:val="de-DE"/>
        </w:rPr>
      </w:pPr>
      <w:r>
        <w:rPr>
          <w:sz w:val="20"/>
          <w:szCs w:val="20"/>
          <w:lang w:val="de-DE"/>
        </w:rPr>
        <w:t xml:space="preserve">** p &lt; 0,001 für Adalimumab </w:t>
      </w:r>
      <w:r>
        <w:rPr>
          <w:i/>
          <w:iCs/>
          <w:sz w:val="20"/>
          <w:szCs w:val="20"/>
          <w:lang w:val="de-DE"/>
        </w:rPr>
        <w:t xml:space="preserve">versus </w:t>
      </w:r>
      <w:r>
        <w:rPr>
          <w:sz w:val="20"/>
          <w:szCs w:val="20"/>
          <w:lang w:val="de-DE"/>
        </w:rPr>
        <w:t>Placebo paarweiser Vergleich der Anteile</w:t>
      </w:r>
    </w:p>
    <w:p w14:paraId="02F34B1B" w14:textId="77777777" w:rsidR="00FE291A" w:rsidRDefault="00C8738F">
      <w:pPr>
        <w:keepNext/>
        <w:widowControl/>
        <w:kinsoku w:val="0"/>
        <w:overflowPunct w:val="0"/>
        <w:rPr>
          <w:sz w:val="20"/>
          <w:szCs w:val="20"/>
          <w:lang w:val="de-DE"/>
        </w:rPr>
      </w:pPr>
      <w:r>
        <w:rPr>
          <w:sz w:val="20"/>
          <w:szCs w:val="20"/>
          <w:vertAlign w:val="superscript"/>
          <w:lang w:val="de-DE"/>
        </w:rPr>
        <w:t>a</w:t>
      </w:r>
      <w:r>
        <w:rPr>
          <w:sz w:val="20"/>
          <w:szCs w:val="20"/>
          <w:lang w:val="de-DE"/>
        </w:rPr>
        <w:t xml:space="preserve"> Verabreichung</w:t>
      </w:r>
      <w:r>
        <w:rPr>
          <w:sz w:val="22"/>
          <w:szCs w:val="22"/>
          <w:lang w:val="de-DE"/>
        </w:rPr>
        <w:t xml:space="preserve"> </w:t>
      </w:r>
      <w:r>
        <w:rPr>
          <w:sz w:val="20"/>
          <w:szCs w:val="20"/>
          <w:lang w:val="de-DE"/>
        </w:rPr>
        <w:t>von Kortikosteroiden zu Studienbeginn</w:t>
      </w:r>
    </w:p>
    <w:p w14:paraId="4A9505B4" w14:textId="77777777" w:rsidR="00FE291A" w:rsidRDefault="00FE291A">
      <w:pPr>
        <w:pStyle w:val="BodyText"/>
        <w:widowControl/>
        <w:kinsoku w:val="0"/>
        <w:overflowPunct w:val="0"/>
        <w:ind w:left="0"/>
        <w:rPr>
          <w:lang w:val="de-DE"/>
        </w:rPr>
      </w:pPr>
    </w:p>
    <w:p w14:paraId="52089B64" w14:textId="77777777" w:rsidR="00FE291A" w:rsidRDefault="00C8738F">
      <w:pPr>
        <w:pStyle w:val="BodyText"/>
        <w:widowControl/>
        <w:kinsoku w:val="0"/>
        <w:overflowPunct w:val="0"/>
        <w:ind w:left="0"/>
        <w:rPr>
          <w:lang w:val="de-DE"/>
        </w:rPr>
      </w:pPr>
      <w:r>
        <w:rPr>
          <w:lang w:val="de-DE"/>
        </w:rPr>
        <w:t>Von den Patienten mit einem Ansprechen in Woche 8 sprachen in Woche 52 47 % an, waren 29 % in Remission, hatten 41 % eine Mukosaheilung und waren 20 % in steroidfreier Remission für ≥ 90 Tage.</w:t>
      </w:r>
    </w:p>
    <w:p w14:paraId="2F3E235F" w14:textId="77777777" w:rsidR="00FE291A" w:rsidRDefault="00FE291A">
      <w:pPr>
        <w:pStyle w:val="BodyText"/>
        <w:widowControl/>
        <w:kinsoku w:val="0"/>
        <w:overflowPunct w:val="0"/>
        <w:ind w:left="0"/>
        <w:rPr>
          <w:lang w:val="de-DE"/>
        </w:rPr>
      </w:pPr>
    </w:p>
    <w:p w14:paraId="7DDFB765" w14:textId="77777777" w:rsidR="00FE291A" w:rsidRDefault="00C8738F">
      <w:pPr>
        <w:pStyle w:val="BodyText"/>
        <w:widowControl/>
        <w:kinsoku w:val="0"/>
        <w:overflowPunct w:val="0"/>
        <w:ind w:left="0"/>
        <w:rPr>
          <w:lang w:val="de-DE"/>
        </w:rPr>
      </w:pPr>
      <w:r>
        <w:rPr>
          <w:lang w:val="de-DE"/>
        </w:rPr>
        <w:t>Bei annähernd 40 % Patienten der UC-II-Studie hatte zuvor die Anti-TNF-Behandlung mit Infliximab versagt. Die Wirksamkeit von Adalimumab war bei diesen Patienten im Vergleich zu Patienten, die Anti-TNF naiv waren, verringert. Unter den Patienten, bei denen zuvor eine Anti-TNF-Behandlung versagt hatte, wurde bei 3 % der Patienten, die Placebo erhalten hatten, und bei 10 % der Patienten, die Adalimumab erhalten hatten, in Woche 52 eine Remission erreicht.</w:t>
      </w:r>
    </w:p>
    <w:p w14:paraId="0A8B8D43" w14:textId="77777777" w:rsidR="00FE291A" w:rsidRDefault="00FE291A">
      <w:pPr>
        <w:widowControl/>
        <w:kinsoku w:val="0"/>
        <w:overflowPunct w:val="0"/>
        <w:rPr>
          <w:sz w:val="22"/>
          <w:szCs w:val="22"/>
          <w:lang w:val="de-DE"/>
        </w:rPr>
      </w:pPr>
    </w:p>
    <w:p w14:paraId="26B708A6" w14:textId="77777777" w:rsidR="00FE291A" w:rsidRDefault="00C8738F">
      <w:pPr>
        <w:pStyle w:val="BodyText"/>
        <w:widowControl/>
        <w:kinsoku w:val="0"/>
        <w:overflowPunct w:val="0"/>
        <w:ind w:left="0"/>
        <w:rPr>
          <w:lang w:val="de-DE"/>
        </w:rPr>
      </w:pPr>
      <w:r>
        <w:rPr>
          <w:lang w:val="de-DE"/>
        </w:rPr>
        <w:t xml:space="preserve">Patienten aus den UC-I- und UC-II-Studien hatten die Möglichkeit, an einer offenen Langzeit- Fortsetzungsstudie (UC-III) teilzunehmen. Nach Behandlung mit Adalimumab über 3 Jahre waren 75 % (301/402) nach </w:t>
      </w:r>
      <w:r>
        <w:rPr>
          <w:i/>
          <w:iCs/>
          <w:lang w:val="de-DE"/>
        </w:rPr>
        <w:t>Partial-Mayo-Score</w:t>
      </w:r>
      <w:r>
        <w:rPr>
          <w:lang w:val="de-DE"/>
        </w:rPr>
        <w:t xml:space="preserve"> weiterhin in klinischer Remission.</w:t>
      </w:r>
    </w:p>
    <w:p w14:paraId="56D3A2D1" w14:textId="77777777" w:rsidR="00FE291A" w:rsidRDefault="00FE291A">
      <w:pPr>
        <w:widowControl/>
        <w:kinsoku w:val="0"/>
        <w:overflowPunct w:val="0"/>
        <w:rPr>
          <w:sz w:val="22"/>
          <w:szCs w:val="22"/>
          <w:lang w:val="de-DE"/>
        </w:rPr>
      </w:pPr>
    </w:p>
    <w:p w14:paraId="101A15F4" w14:textId="77777777" w:rsidR="00FE291A" w:rsidRDefault="00C8738F">
      <w:pPr>
        <w:keepNext/>
        <w:widowControl/>
        <w:kinsoku w:val="0"/>
        <w:overflowPunct w:val="0"/>
        <w:rPr>
          <w:sz w:val="22"/>
          <w:szCs w:val="22"/>
          <w:lang w:val="de-DE"/>
        </w:rPr>
      </w:pPr>
      <w:r>
        <w:rPr>
          <w:i/>
          <w:iCs/>
          <w:sz w:val="22"/>
          <w:szCs w:val="22"/>
          <w:u w:val="single"/>
          <w:lang w:val="de-DE"/>
        </w:rPr>
        <w:t>Hospitalisierungsraten</w:t>
      </w:r>
    </w:p>
    <w:p w14:paraId="53C8E5F1" w14:textId="77777777" w:rsidR="00FE291A" w:rsidRDefault="00FE291A">
      <w:pPr>
        <w:keepNext/>
        <w:widowControl/>
        <w:kinsoku w:val="0"/>
        <w:overflowPunct w:val="0"/>
        <w:rPr>
          <w:sz w:val="22"/>
          <w:szCs w:val="22"/>
          <w:lang w:val="de-DE"/>
        </w:rPr>
      </w:pPr>
    </w:p>
    <w:p w14:paraId="5D2A2025" w14:textId="77777777" w:rsidR="00FE291A" w:rsidRDefault="00C8738F">
      <w:pPr>
        <w:pStyle w:val="BodyText"/>
        <w:widowControl/>
        <w:kinsoku w:val="0"/>
        <w:overflowPunct w:val="0"/>
        <w:ind w:left="0"/>
        <w:rPr>
          <w:lang w:val="de-DE"/>
        </w:rPr>
      </w:pPr>
      <w:r>
        <w:rPr>
          <w:lang w:val="de-DE"/>
        </w:rPr>
        <w:t>Innerhalb der 52 Wochen der Studien UC-I und UC-II wurden für den Adalimumab-Behandlungsarm im Vergleich zum Placeboarm niedrigere Raten bezüglich allgemeiner sowie Colitis-ulcerosa-bedingter Krankenhausaufenthalte beobachtet. Die Zahl an allgemeinen Hospitalisierungen betrug in der Adalimumab-Behandlungsgruppe 0,18 pro Patientenjahr gegenüber 0,26 pro Patientenjahr in der Placebogruppe, und die entsprechenden Zahlen für Colitis-ulcerosa-verursachte Hospitalisierungen waren 0,12 pro Patientenjahr gegenüber 0,22 pro Patientenjahr.</w:t>
      </w:r>
    </w:p>
    <w:p w14:paraId="3420243A" w14:textId="77777777" w:rsidR="00FE291A" w:rsidRDefault="00FE291A">
      <w:pPr>
        <w:widowControl/>
        <w:kinsoku w:val="0"/>
        <w:overflowPunct w:val="0"/>
        <w:rPr>
          <w:sz w:val="22"/>
          <w:szCs w:val="22"/>
          <w:lang w:val="de-DE"/>
        </w:rPr>
      </w:pPr>
    </w:p>
    <w:p w14:paraId="501A976A" w14:textId="77777777" w:rsidR="00FE291A" w:rsidRDefault="00C8738F">
      <w:pPr>
        <w:keepNext/>
        <w:widowControl/>
        <w:kinsoku w:val="0"/>
        <w:overflowPunct w:val="0"/>
        <w:rPr>
          <w:sz w:val="22"/>
          <w:szCs w:val="22"/>
          <w:lang w:val="de-DE"/>
        </w:rPr>
      </w:pPr>
      <w:r>
        <w:rPr>
          <w:i/>
          <w:iCs/>
          <w:sz w:val="22"/>
          <w:szCs w:val="22"/>
          <w:u w:val="single"/>
          <w:lang w:val="de-DE"/>
        </w:rPr>
        <w:t>Lebensqualität</w:t>
      </w:r>
    </w:p>
    <w:p w14:paraId="272FAF40" w14:textId="77777777" w:rsidR="00FE291A" w:rsidRDefault="00FE291A">
      <w:pPr>
        <w:keepNext/>
        <w:widowControl/>
        <w:kinsoku w:val="0"/>
        <w:overflowPunct w:val="0"/>
        <w:rPr>
          <w:sz w:val="22"/>
          <w:szCs w:val="22"/>
          <w:lang w:val="de-DE"/>
        </w:rPr>
      </w:pPr>
    </w:p>
    <w:p w14:paraId="6B62F9BF" w14:textId="77777777" w:rsidR="00FE291A" w:rsidRDefault="00C8738F">
      <w:pPr>
        <w:pStyle w:val="BodyText"/>
        <w:widowControl/>
        <w:kinsoku w:val="0"/>
        <w:overflowPunct w:val="0"/>
        <w:ind w:left="0"/>
        <w:rPr>
          <w:lang w:val="de-DE"/>
        </w:rPr>
      </w:pPr>
      <w:r>
        <w:rPr>
          <w:lang w:val="de-DE"/>
        </w:rPr>
        <w:t xml:space="preserve">In der Studie UC-II resultierte die Behandlung mit Adalimumab in einer Verbesserung des </w:t>
      </w:r>
      <w:r>
        <w:rPr>
          <w:i/>
          <w:iCs/>
          <w:lang w:val="de-DE"/>
        </w:rPr>
        <w:t xml:space="preserve">Inflammatory-Bowel-Disease-Questionnaire </w:t>
      </w:r>
      <w:r>
        <w:rPr>
          <w:lang w:val="de-DE"/>
        </w:rPr>
        <w:t>(IBDQ)-</w:t>
      </w:r>
      <w:r>
        <w:rPr>
          <w:i/>
          <w:iCs/>
          <w:lang w:val="de-DE"/>
        </w:rPr>
        <w:t>Score</w:t>
      </w:r>
      <w:r>
        <w:rPr>
          <w:lang w:val="de-DE"/>
        </w:rPr>
        <w:t xml:space="preserve">. </w:t>
      </w:r>
    </w:p>
    <w:p w14:paraId="4F1409E0" w14:textId="77777777" w:rsidR="00FE291A" w:rsidRDefault="00FE291A">
      <w:pPr>
        <w:widowControl/>
        <w:kinsoku w:val="0"/>
        <w:overflowPunct w:val="0"/>
        <w:rPr>
          <w:i/>
          <w:iCs/>
          <w:sz w:val="22"/>
          <w:szCs w:val="22"/>
          <w:lang w:val="de-DE"/>
        </w:rPr>
      </w:pPr>
    </w:p>
    <w:p w14:paraId="4ECBA905" w14:textId="77777777" w:rsidR="00FE291A" w:rsidRDefault="00C8738F">
      <w:pPr>
        <w:widowControl/>
        <w:kinsoku w:val="0"/>
        <w:overflowPunct w:val="0"/>
        <w:rPr>
          <w:sz w:val="22"/>
          <w:szCs w:val="22"/>
          <w:lang w:val="de-DE"/>
        </w:rPr>
      </w:pPr>
      <w:r>
        <w:rPr>
          <w:i/>
          <w:iCs/>
          <w:sz w:val="22"/>
          <w:szCs w:val="22"/>
          <w:lang w:val="de-DE"/>
        </w:rPr>
        <w:t>Uveitis</w:t>
      </w:r>
    </w:p>
    <w:p w14:paraId="76200C11" w14:textId="77777777" w:rsidR="00FE291A" w:rsidRDefault="00FE291A">
      <w:pPr>
        <w:pStyle w:val="BodyText"/>
        <w:widowControl/>
        <w:kinsoku w:val="0"/>
        <w:overflowPunct w:val="0"/>
        <w:ind w:left="0"/>
        <w:rPr>
          <w:lang w:val="de-DE"/>
        </w:rPr>
      </w:pPr>
    </w:p>
    <w:p w14:paraId="467BCD8E" w14:textId="77777777" w:rsidR="00FE291A" w:rsidRDefault="00C8738F">
      <w:pPr>
        <w:pStyle w:val="BodyText"/>
        <w:widowControl/>
        <w:kinsoku w:val="0"/>
        <w:overflowPunct w:val="0"/>
        <w:ind w:left="0"/>
        <w:rPr>
          <w:lang w:val="de-DE"/>
        </w:rPr>
      </w:pPr>
      <w:r>
        <w:rPr>
          <w:lang w:val="de-DE"/>
        </w:rPr>
        <w:t>Die Sicherheit und Wirksamkeit von Adalimumab wurden in zwei randomisierten, doppelmaskierten, placebokontrollierten Studien (UV I und II) bei erwachsenen Patienten mit nicht infektiöser Uveitis intermedia, Uveitis posterior und Panuveitis beurteilt, ausgenommen Patienten mit isolierter Uveitis anterior. Die Patienten erhielten Placebo oder eine Induktionsdosis von 80 mg Adalimumab, gefolgt von 40 mg alle zwei Wochen, beginnend eine Woche nach der Induktionsdosis. Eine Begleitmedikation in gleichbleibender Dosierung mit einem nicht biologischen Immunsuppressivum war erlaubt.</w:t>
      </w:r>
    </w:p>
    <w:p w14:paraId="16899149" w14:textId="77777777" w:rsidR="00FE291A" w:rsidRDefault="00FE291A">
      <w:pPr>
        <w:widowControl/>
        <w:kinsoku w:val="0"/>
        <w:overflowPunct w:val="0"/>
        <w:rPr>
          <w:sz w:val="22"/>
          <w:szCs w:val="22"/>
          <w:lang w:val="de-DE"/>
        </w:rPr>
      </w:pPr>
    </w:p>
    <w:p w14:paraId="3697690C" w14:textId="77777777" w:rsidR="00FE291A" w:rsidRDefault="00C8738F">
      <w:pPr>
        <w:pStyle w:val="BodyText"/>
        <w:widowControl/>
        <w:kinsoku w:val="0"/>
        <w:overflowPunct w:val="0"/>
        <w:ind w:left="0"/>
        <w:rPr>
          <w:lang w:val="de-DE"/>
        </w:rPr>
      </w:pPr>
      <w:r>
        <w:rPr>
          <w:lang w:val="de-DE"/>
        </w:rPr>
        <w:t>In der Studie UV I wurden 217 Patienten untersucht, die trotz Behandlung mit Kortikosteroiden (Prednison oral in einer Dosierung von 10 bis 60 mg/Tag) eine aktive Uveitis aufwiesen. Alle Patienten erhielten bei Eintritt in die Studie 2 Wochen lang eine standardisierte Prednison-Dosis von 60 mg/Tag. Darauf folgte eine verpflichtende Steroidausschleichung, sodass die Kortikosteroide bis Woche 15 vollständig abgesetzt waren.</w:t>
      </w:r>
    </w:p>
    <w:p w14:paraId="69A5CECB" w14:textId="77777777" w:rsidR="00FE291A" w:rsidRDefault="00FE291A">
      <w:pPr>
        <w:widowControl/>
        <w:kinsoku w:val="0"/>
        <w:overflowPunct w:val="0"/>
        <w:rPr>
          <w:sz w:val="22"/>
          <w:szCs w:val="22"/>
          <w:lang w:val="de-DE"/>
        </w:rPr>
      </w:pPr>
    </w:p>
    <w:p w14:paraId="18FB2EFF" w14:textId="77777777" w:rsidR="00FE291A" w:rsidRDefault="00C8738F">
      <w:pPr>
        <w:pStyle w:val="BodyText"/>
        <w:widowControl/>
        <w:kinsoku w:val="0"/>
        <w:overflowPunct w:val="0"/>
        <w:ind w:left="0"/>
        <w:rPr>
          <w:lang w:val="de-DE"/>
        </w:rPr>
      </w:pPr>
      <w:r>
        <w:rPr>
          <w:lang w:val="de-DE"/>
        </w:rPr>
        <w:t xml:space="preserve">In der Studie UV II wurden 226 Patienten mit inaktiver Uveitis untersucht, die bei </w:t>
      </w:r>
      <w:r>
        <w:rPr>
          <w:i/>
          <w:iCs/>
          <w:lang w:val="de-DE"/>
        </w:rPr>
        <w:t>Baseline</w:t>
      </w:r>
      <w:r>
        <w:rPr>
          <w:lang w:val="de-DE"/>
        </w:rPr>
        <w:t xml:space="preserve"> zur Kontrolle ihrer Erkrankung dauerhaft mit Kortikosteroiden behandelt werden mussten (Prednison oral 10 bis 35 mg/Tag). Danach folgte eine verpflichtende Steroidausschleichung, sodass die Kortikosteroide bis Woche 19 vollständig abgesetzt waren.</w:t>
      </w:r>
    </w:p>
    <w:p w14:paraId="774699AA" w14:textId="77777777" w:rsidR="00FE291A" w:rsidRDefault="00FE291A">
      <w:pPr>
        <w:widowControl/>
        <w:kinsoku w:val="0"/>
        <w:overflowPunct w:val="0"/>
        <w:rPr>
          <w:sz w:val="22"/>
          <w:szCs w:val="22"/>
          <w:lang w:val="de-DE"/>
        </w:rPr>
      </w:pPr>
    </w:p>
    <w:p w14:paraId="6A821554" w14:textId="77777777" w:rsidR="00FE291A" w:rsidRDefault="00C8738F">
      <w:pPr>
        <w:pStyle w:val="BodyText"/>
        <w:widowControl/>
        <w:kinsoku w:val="0"/>
        <w:overflowPunct w:val="0"/>
        <w:ind w:left="0"/>
        <w:rPr>
          <w:lang w:val="de-DE"/>
        </w:rPr>
      </w:pPr>
      <w:r>
        <w:rPr>
          <w:lang w:val="de-DE"/>
        </w:rPr>
        <w:t>Der primäre Wirksamkeitsendpunkt beider Studien war die „Dauer bis zum Behandlungsversagen“. Das Behandlungsversagen wurde definiert durch eine Verschlechterung in einer der vier Komponenten: entzündliche Läsionen der Ader- und Netzhaut und/oder entzündliche Gefäßläsionen der Netzhaut, Grad der Vorderkammerzellen, Grad der Glaskörpertrübung und bestkorrigierter Visus (</w:t>
      </w:r>
      <w:r>
        <w:rPr>
          <w:i/>
          <w:lang w:val="de-DE"/>
        </w:rPr>
        <w:t>best corrected visual acuity</w:t>
      </w:r>
      <w:r>
        <w:rPr>
          <w:lang w:val="de-DE"/>
        </w:rPr>
        <w:t>, BCVA).</w:t>
      </w:r>
    </w:p>
    <w:p w14:paraId="1B791A0D" w14:textId="77777777" w:rsidR="00FE291A" w:rsidRDefault="00FE291A">
      <w:pPr>
        <w:pStyle w:val="BodyText"/>
        <w:widowControl/>
        <w:kinsoku w:val="0"/>
        <w:overflowPunct w:val="0"/>
        <w:ind w:left="0"/>
        <w:rPr>
          <w:lang w:val="de-DE"/>
        </w:rPr>
      </w:pPr>
    </w:p>
    <w:p w14:paraId="0FE912BB" w14:textId="77777777" w:rsidR="00FE291A" w:rsidRDefault="00C8738F">
      <w:pPr>
        <w:pStyle w:val="BodyText"/>
        <w:widowControl/>
        <w:kinsoku w:val="0"/>
        <w:overflowPunct w:val="0"/>
        <w:ind w:left="0"/>
        <w:rPr>
          <w:lang w:val="de-DE"/>
        </w:rPr>
      </w:pPr>
      <w:r>
        <w:rPr>
          <w:lang w:val="de-DE"/>
        </w:rPr>
        <w:t>Die Patienten, die die Studien UV I und UV II abgeschlossen hatten, konnten in eine unkontrollierte Langzeit-Fortsetzungsstudie mit einer ursprünglich geplanten Dauer von 78 Wochen eingeschlossen werden. Die Patienten durften die Studienmedikation über die Woche 78 hinaus fortsetzen, bis sie Zugang zu Adalimumab hatten.</w:t>
      </w:r>
    </w:p>
    <w:p w14:paraId="7B8057A3" w14:textId="77777777" w:rsidR="00FE291A" w:rsidRDefault="00FE291A">
      <w:pPr>
        <w:widowControl/>
        <w:kinsoku w:val="0"/>
        <w:overflowPunct w:val="0"/>
        <w:rPr>
          <w:sz w:val="22"/>
          <w:szCs w:val="22"/>
          <w:lang w:val="de-DE"/>
        </w:rPr>
      </w:pPr>
    </w:p>
    <w:p w14:paraId="05AF01E7" w14:textId="77777777" w:rsidR="00FE291A" w:rsidRDefault="00C8738F">
      <w:pPr>
        <w:keepNext/>
        <w:widowControl/>
        <w:kinsoku w:val="0"/>
        <w:overflowPunct w:val="0"/>
        <w:rPr>
          <w:sz w:val="22"/>
          <w:szCs w:val="22"/>
          <w:lang w:val="de-DE"/>
        </w:rPr>
      </w:pPr>
      <w:r>
        <w:rPr>
          <w:i/>
          <w:iCs/>
          <w:sz w:val="22"/>
          <w:szCs w:val="22"/>
          <w:u w:val="single"/>
          <w:lang w:val="de-DE"/>
        </w:rPr>
        <w:t>Klinisches Ansprechen</w:t>
      </w:r>
    </w:p>
    <w:p w14:paraId="25E8ADCC" w14:textId="77777777" w:rsidR="00FE291A" w:rsidRDefault="00FE291A">
      <w:pPr>
        <w:widowControl/>
        <w:kinsoku w:val="0"/>
        <w:overflowPunct w:val="0"/>
        <w:rPr>
          <w:sz w:val="22"/>
          <w:szCs w:val="22"/>
          <w:lang w:val="de-DE"/>
        </w:rPr>
      </w:pPr>
    </w:p>
    <w:p w14:paraId="6A602B65" w14:textId="77777777" w:rsidR="00FE291A" w:rsidRDefault="00C8738F">
      <w:pPr>
        <w:pStyle w:val="BodyText"/>
        <w:widowControl/>
        <w:kinsoku w:val="0"/>
        <w:overflowPunct w:val="0"/>
        <w:ind w:left="0"/>
        <w:rPr>
          <w:lang w:val="de-DE"/>
        </w:rPr>
      </w:pPr>
      <w:r>
        <w:rPr>
          <w:lang w:val="de-DE"/>
        </w:rPr>
        <w:t>Die Ergebnisse aus beiden Studien zeigten eine statistisch signifikante Reduktion des Risikos eines Behandlungsversagens bei Patienten unter Behandlung mit Adalimumab gegenüber Patienten, die Placebo erhielten (siehe Tabelle 24). Beide Studien zeigten im Vergleich zu Placebo eine frühzeitig einsetzende und anhaltende Auswirkung von Adalimumab auf die Rate an Behandlungsversagen (siehe Abbildung 2).</w:t>
      </w:r>
    </w:p>
    <w:p w14:paraId="066DBC0E" w14:textId="77777777" w:rsidR="00FE291A" w:rsidRDefault="00FE291A">
      <w:pPr>
        <w:widowControl/>
        <w:kinsoku w:val="0"/>
        <w:overflowPunct w:val="0"/>
        <w:rPr>
          <w:sz w:val="22"/>
          <w:szCs w:val="26"/>
          <w:lang w:val="de-DE"/>
        </w:rPr>
      </w:pPr>
    </w:p>
    <w:p w14:paraId="3AD409F4" w14:textId="77777777" w:rsidR="00FE291A" w:rsidRDefault="00C8738F">
      <w:pPr>
        <w:pStyle w:val="Heading1"/>
        <w:widowControl/>
        <w:kinsoku w:val="0"/>
        <w:overflowPunct w:val="0"/>
        <w:ind w:left="0"/>
        <w:rPr>
          <w:lang w:val="de-DE"/>
        </w:rPr>
      </w:pPr>
      <w:r>
        <w:rPr>
          <w:lang w:val="de-DE"/>
        </w:rPr>
        <w:t>Tabelle 24: Dauer bis zum Behandlungsversagen in den Studien UV I und UV II</w:t>
      </w:r>
    </w:p>
    <w:p w14:paraId="738E9733" w14:textId="77777777" w:rsidR="00FE291A" w:rsidRDefault="00FE291A">
      <w:pPr>
        <w:widowControl/>
        <w:kinsoku w:val="0"/>
        <w:overflowPunct w:val="0"/>
        <w:rPr>
          <w:sz w:val="26"/>
          <w:szCs w:val="26"/>
          <w:lang w:val="de-DE"/>
        </w:rPr>
      </w:pPr>
    </w:p>
    <w:tbl>
      <w:tblPr>
        <w:tblW w:w="9254" w:type="dxa"/>
        <w:tblInd w:w="108" w:type="dxa"/>
        <w:tblLook w:val="04A0" w:firstRow="1" w:lastRow="0" w:firstColumn="1" w:lastColumn="0" w:noHBand="0" w:noVBand="1"/>
      </w:tblPr>
      <w:tblGrid>
        <w:gridCol w:w="2231"/>
        <w:gridCol w:w="806"/>
        <w:gridCol w:w="1250"/>
        <w:gridCol w:w="1809"/>
        <w:gridCol w:w="992"/>
        <w:gridCol w:w="992"/>
        <w:gridCol w:w="1174"/>
      </w:tblGrid>
      <w:tr w:rsidR="00FE291A" w14:paraId="75B8D98F" w14:textId="77777777">
        <w:trPr>
          <w:tblHeader/>
        </w:trPr>
        <w:tc>
          <w:tcPr>
            <w:tcW w:w="2231" w:type="dxa"/>
            <w:tcBorders>
              <w:top w:val="single" w:sz="4" w:space="0" w:color="auto"/>
              <w:left w:val="single" w:sz="4" w:space="0" w:color="auto"/>
              <w:bottom w:val="single" w:sz="4" w:space="0" w:color="auto"/>
              <w:right w:val="single" w:sz="4" w:space="0" w:color="auto"/>
            </w:tcBorders>
          </w:tcPr>
          <w:p w14:paraId="404B7D42" w14:textId="77777777" w:rsidR="00FE291A" w:rsidRDefault="00C8738F">
            <w:pPr>
              <w:widowControl/>
              <w:kinsoku w:val="0"/>
              <w:overflowPunct w:val="0"/>
              <w:rPr>
                <w:b/>
                <w:bCs/>
                <w:sz w:val="22"/>
                <w:szCs w:val="22"/>
                <w:lang w:val="de-DE" w:eastAsia="en-US"/>
              </w:rPr>
            </w:pPr>
            <w:r>
              <w:rPr>
                <w:b/>
                <w:bCs/>
                <w:sz w:val="22"/>
                <w:szCs w:val="22"/>
                <w:lang w:val="de-DE" w:eastAsia="en-US"/>
              </w:rPr>
              <w:t>Auswertung</w:t>
            </w:r>
          </w:p>
          <w:p w14:paraId="2B111F06" w14:textId="77777777" w:rsidR="00FE291A" w:rsidRDefault="00C8738F">
            <w:pPr>
              <w:widowControl/>
              <w:kinsoku w:val="0"/>
              <w:overflowPunct w:val="0"/>
              <w:rPr>
                <w:sz w:val="22"/>
                <w:szCs w:val="22"/>
                <w:lang w:val="de-DE"/>
              </w:rPr>
            </w:pPr>
            <w:r>
              <w:rPr>
                <w:b/>
                <w:bCs/>
                <w:sz w:val="22"/>
                <w:szCs w:val="22"/>
                <w:lang w:val="de-DE" w:eastAsia="en-US"/>
              </w:rPr>
              <w:t>Behandlung</w:t>
            </w:r>
          </w:p>
        </w:tc>
        <w:tc>
          <w:tcPr>
            <w:tcW w:w="806" w:type="dxa"/>
            <w:tcBorders>
              <w:top w:val="single" w:sz="4" w:space="0" w:color="auto"/>
              <w:left w:val="single" w:sz="4" w:space="0" w:color="auto"/>
              <w:bottom w:val="single" w:sz="4" w:space="0" w:color="auto"/>
              <w:right w:val="single" w:sz="4" w:space="0" w:color="auto"/>
            </w:tcBorders>
          </w:tcPr>
          <w:p w14:paraId="4ADFFF0C" w14:textId="77777777" w:rsidR="00FE291A" w:rsidRDefault="00C8738F">
            <w:pPr>
              <w:widowControl/>
              <w:kinsoku w:val="0"/>
              <w:overflowPunct w:val="0"/>
              <w:jc w:val="center"/>
              <w:rPr>
                <w:sz w:val="22"/>
                <w:szCs w:val="22"/>
                <w:lang w:val="de-DE"/>
              </w:rPr>
            </w:pPr>
            <w:r>
              <w:rPr>
                <w:b/>
                <w:bCs/>
                <w:sz w:val="22"/>
                <w:szCs w:val="22"/>
                <w:lang w:val="de-DE" w:eastAsia="en-US"/>
              </w:rPr>
              <w:t>N</w:t>
            </w:r>
          </w:p>
        </w:tc>
        <w:tc>
          <w:tcPr>
            <w:tcW w:w="1250" w:type="dxa"/>
            <w:tcBorders>
              <w:top w:val="single" w:sz="4" w:space="0" w:color="auto"/>
              <w:left w:val="single" w:sz="4" w:space="0" w:color="auto"/>
              <w:bottom w:val="single" w:sz="4" w:space="0" w:color="auto"/>
              <w:right w:val="single" w:sz="4" w:space="0" w:color="auto"/>
            </w:tcBorders>
          </w:tcPr>
          <w:p w14:paraId="0E484F59" w14:textId="77777777" w:rsidR="00FE291A" w:rsidRDefault="00C8738F">
            <w:pPr>
              <w:widowControl/>
              <w:jc w:val="center"/>
              <w:rPr>
                <w:b/>
                <w:bCs/>
                <w:sz w:val="22"/>
                <w:szCs w:val="22"/>
                <w:lang w:val="de-DE" w:eastAsia="en-US"/>
              </w:rPr>
            </w:pPr>
            <w:r>
              <w:rPr>
                <w:b/>
                <w:bCs/>
                <w:sz w:val="22"/>
                <w:szCs w:val="22"/>
                <w:lang w:val="de-DE" w:eastAsia="en-US"/>
              </w:rPr>
              <w:t>Versagen</w:t>
            </w:r>
          </w:p>
          <w:p w14:paraId="0718B099" w14:textId="77777777" w:rsidR="00FE291A" w:rsidRDefault="00C8738F">
            <w:pPr>
              <w:widowControl/>
              <w:kinsoku w:val="0"/>
              <w:overflowPunct w:val="0"/>
              <w:jc w:val="center"/>
              <w:rPr>
                <w:sz w:val="22"/>
                <w:szCs w:val="22"/>
                <w:lang w:val="de-DE"/>
              </w:rPr>
            </w:pPr>
            <w:r>
              <w:rPr>
                <w:b/>
                <w:bCs/>
                <w:sz w:val="22"/>
                <w:szCs w:val="22"/>
                <w:lang w:val="de-DE" w:eastAsia="en-US"/>
              </w:rPr>
              <w:t>N (%)</w:t>
            </w:r>
          </w:p>
        </w:tc>
        <w:tc>
          <w:tcPr>
            <w:tcW w:w="1809" w:type="dxa"/>
            <w:tcBorders>
              <w:top w:val="single" w:sz="4" w:space="0" w:color="auto"/>
              <w:left w:val="single" w:sz="4" w:space="0" w:color="auto"/>
              <w:bottom w:val="single" w:sz="4" w:space="0" w:color="auto"/>
              <w:right w:val="single" w:sz="4" w:space="0" w:color="auto"/>
            </w:tcBorders>
          </w:tcPr>
          <w:p w14:paraId="593B97F3" w14:textId="77777777" w:rsidR="00FE291A" w:rsidRDefault="00C8738F">
            <w:pPr>
              <w:widowControl/>
              <w:jc w:val="center"/>
              <w:rPr>
                <w:b/>
                <w:bCs/>
                <w:sz w:val="22"/>
                <w:szCs w:val="22"/>
                <w:lang w:val="de-DE" w:eastAsia="en-US"/>
              </w:rPr>
            </w:pPr>
            <w:r>
              <w:rPr>
                <w:b/>
                <w:bCs/>
                <w:sz w:val="22"/>
                <w:szCs w:val="22"/>
                <w:lang w:val="de-DE" w:eastAsia="en-US"/>
              </w:rPr>
              <w:t>Dauer (Median)</w:t>
            </w:r>
          </w:p>
          <w:p w14:paraId="5E413239" w14:textId="77777777" w:rsidR="00FE291A" w:rsidRDefault="00C8738F">
            <w:pPr>
              <w:widowControl/>
              <w:kinsoku w:val="0"/>
              <w:overflowPunct w:val="0"/>
              <w:jc w:val="center"/>
              <w:rPr>
                <w:b/>
                <w:bCs/>
                <w:sz w:val="22"/>
                <w:szCs w:val="22"/>
                <w:lang w:val="de-DE" w:eastAsia="en-US"/>
              </w:rPr>
            </w:pPr>
            <w:r>
              <w:rPr>
                <w:b/>
                <w:bCs/>
                <w:sz w:val="22"/>
                <w:szCs w:val="22"/>
                <w:lang w:val="de-DE" w:eastAsia="en-US"/>
              </w:rPr>
              <w:t>bis zum Versagen (Monate)</w:t>
            </w:r>
          </w:p>
          <w:p w14:paraId="06309299" w14:textId="77777777" w:rsidR="00FE291A" w:rsidRDefault="00FE291A">
            <w:pPr>
              <w:widowControl/>
              <w:kinsoku w:val="0"/>
              <w:overflowPunct w:val="0"/>
              <w:jc w:val="center"/>
              <w:rPr>
                <w:sz w:val="22"/>
                <w:szCs w:val="22"/>
                <w:lang w:val="de-DE"/>
              </w:rPr>
            </w:pPr>
          </w:p>
        </w:tc>
        <w:tc>
          <w:tcPr>
            <w:tcW w:w="992" w:type="dxa"/>
            <w:tcBorders>
              <w:top w:val="single" w:sz="4" w:space="0" w:color="auto"/>
              <w:left w:val="single" w:sz="4" w:space="0" w:color="auto"/>
              <w:bottom w:val="single" w:sz="4" w:space="0" w:color="auto"/>
              <w:right w:val="single" w:sz="4" w:space="0" w:color="auto"/>
            </w:tcBorders>
          </w:tcPr>
          <w:p w14:paraId="10749B8D" w14:textId="77777777" w:rsidR="00FE291A" w:rsidRDefault="00C8738F">
            <w:pPr>
              <w:widowControl/>
              <w:kinsoku w:val="0"/>
              <w:overflowPunct w:val="0"/>
              <w:jc w:val="center"/>
              <w:rPr>
                <w:sz w:val="22"/>
                <w:szCs w:val="22"/>
                <w:lang w:val="de-DE"/>
              </w:rPr>
            </w:pPr>
            <w:r>
              <w:rPr>
                <w:b/>
                <w:bCs/>
                <w:sz w:val="22"/>
                <w:szCs w:val="22"/>
                <w:lang w:val="de-DE" w:eastAsia="en-US"/>
              </w:rPr>
              <w:t>HR</w:t>
            </w:r>
            <w:r>
              <w:rPr>
                <w:b/>
                <w:bCs/>
                <w:sz w:val="22"/>
                <w:szCs w:val="22"/>
                <w:vertAlign w:val="superscript"/>
                <w:lang w:val="de-DE" w:eastAsia="en-US"/>
              </w:rPr>
              <w:t>a</w:t>
            </w:r>
          </w:p>
        </w:tc>
        <w:tc>
          <w:tcPr>
            <w:tcW w:w="992" w:type="dxa"/>
            <w:tcBorders>
              <w:top w:val="single" w:sz="4" w:space="0" w:color="auto"/>
              <w:left w:val="single" w:sz="4" w:space="0" w:color="auto"/>
              <w:bottom w:val="single" w:sz="4" w:space="0" w:color="auto"/>
              <w:right w:val="single" w:sz="4" w:space="0" w:color="auto"/>
            </w:tcBorders>
          </w:tcPr>
          <w:p w14:paraId="64802AE4" w14:textId="77777777" w:rsidR="00FE291A" w:rsidRDefault="00C8738F">
            <w:pPr>
              <w:widowControl/>
              <w:rPr>
                <w:b/>
                <w:bCs/>
                <w:sz w:val="22"/>
                <w:szCs w:val="22"/>
                <w:lang w:val="de-DE" w:eastAsia="en-US"/>
              </w:rPr>
            </w:pPr>
            <w:r>
              <w:rPr>
                <w:b/>
                <w:bCs/>
                <w:sz w:val="22"/>
                <w:szCs w:val="22"/>
                <w:lang w:val="de-DE" w:eastAsia="en-US"/>
              </w:rPr>
              <w:t>95 % KI</w:t>
            </w:r>
          </w:p>
          <w:p w14:paraId="23FA4F49" w14:textId="77777777" w:rsidR="00FE291A" w:rsidRDefault="00C8738F">
            <w:pPr>
              <w:widowControl/>
              <w:kinsoku w:val="0"/>
              <w:overflowPunct w:val="0"/>
              <w:jc w:val="center"/>
              <w:rPr>
                <w:sz w:val="22"/>
                <w:szCs w:val="22"/>
                <w:lang w:val="de-DE"/>
              </w:rPr>
            </w:pPr>
            <w:r>
              <w:rPr>
                <w:b/>
                <w:bCs/>
                <w:sz w:val="22"/>
                <w:szCs w:val="22"/>
                <w:lang w:val="de-DE" w:eastAsia="en-US"/>
              </w:rPr>
              <w:t>für HR</w:t>
            </w:r>
            <w:r>
              <w:rPr>
                <w:b/>
                <w:bCs/>
                <w:sz w:val="22"/>
                <w:szCs w:val="22"/>
                <w:vertAlign w:val="superscript"/>
                <w:lang w:val="de-DE" w:eastAsia="en-US"/>
              </w:rPr>
              <w:t>a</w:t>
            </w:r>
          </w:p>
        </w:tc>
        <w:tc>
          <w:tcPr>
            <w:tcW w:w="1174" w:type="dxa"/>
            <w:tcBorders>
              <w:top w:val="single" w:sz="4" w:space="0" w:color="auto"/>
              <w:left w:val="single" w:sz="4" w:space="0" w:color="auto"/>
              <w:bottom w:val="single" w:sz="4" w:space="0" w:color="auto"/>
              <w:right w:val="single" w:sz="4" w:space="0" w:color="auto"/>
            </w:tcBorders>
          </w:tcPr>
          <w:p w14:paraId="54C070EB" w14:textId="77777777" w:rsidR="00FE291A" w:rsidRDefault="00C8738F">
            <w:pPr>
              <w:widowControl/>
              <w:kinsoku w:val="0"/>
              <w:overflowPunct w:val="0"/>
              <w:jc w:val="center"/>
              <w:rPr>
                <w:sz w:val="22"/>
                <w:szCs w:val="22"/>
                <w:lang w:val="de-DE"/>
              </w:rPr>
            </w:pPr>
            <w:r>
              <w:rPr>
                <w:b/>
                <w:bCs/>
                <w:i/>
                <w:sz w:val="22"/>
                <w:szCs w:val="22"/>
                <w:lang w:val="de-DE" w:eastAsia="en-US"/>
              </w:rPr>
              <w:t>p</w:t>
            </w:r>
            <w:r>
              <w:rPr>
                <w:b/>
                <w:bCs/>
                <w:sz w:val="22"/>
                <w:szCs w:val="22"/>
                <w:lang w:val="de-DE" w:eastAsia="en-US"/>
              </w:rPr>
              <w:t>-Wert</w:t>
            </w:r>
            <w:r>
              <w:rPr>
                <w:bCs/>
                <w:sz w:val="22"/>
                <w:szCs w:val="22"/>
                <w:vertAlign w:val="superscript"/>
                <w:lang w:val="de-DE" w:eastAsia="en-US"/>
              </w:rPr>
              <w:t>b</w:t>
            </w:r>
          </w:p>
        </w:tc>
      </w:tr>
      <w:tr w:rsidR="00FE291A" w:rsidRPr="00723069" w14:paraId="5F378CD0" w14:textId="77777777">
        <w:tc>
          <w:tcPr>
            <w:tcW w:w="9254" w:type="dxa"/>
            <w:gridSpan w:val="7"/>
            <w:tcBorders>
              <w:top w:val="single" w:sz="4" w:space="0" w:color="auto"/>
              <w:left w:val="single" w:sz="4" w:space="0" w:color="auto"/>
              <w:right w:val="single" w:sz="4" w:space="0" w:color="auto"/>
            </w:tcBorders>
          </w:tcPr>
          <w:p w14:paraId="4F7F3C42" w14:textId="77777777" w:rsidR="00FE291A" w:rsidRDefault="00C8738F">
            <w:pPr>
              <w:widowControl/>
              <w:kinsoku w:val="0"/>
              <w:overflowPunct w:val="0"/>
              <w:rPr>
                <w:sz w:val="22"/>
                <w:szCs w:val="22"/>
                <w:lang w:val="de-DE"/>
              </w:rPr>
            </w:pPr>
            <w:r>
              <w:rPr>
                <w:b/>
                <w:bCs/>
                <w:sz w:val="22"/>
                <w:szCs w:val="22"/>
                <w:lang w:val="de-DE" w:eastAsia="en-US"/>
              </w:rPr>
              <w:t>Dauer bis zum Behandlungsversagen in oder nach Woche 6 in der Studie UV I</w:t>
            </w:r>
          </w:p>
        </w:tc>
      </w:tr>
      <w:tr w:rsidR="00FE291A" w14:paraId="7D1DBCDD" w14:textId="77777777">
        <w:tc>
          <w:tcPr>
            <w:tcW w:w="9254" w:type="dxa"/>
            <w:gridSpan w:val="7"/>
            <w:tcBorders>
              <w:left w:val="single" w:sz="4" w:space="0" w:color="auto"/>
              <w:bottom w:val="single" w:sz="4" w:space="0" w:color="auto"/>
              <w:right w:val="single" w:sz="4" w:space="0" w:color="auto"/>
            </w:tcBorders>
          </w:tcPr>
          <w:p w14:paraId="7121E36C" w14:textId="77777777" w:rsidR="00FE291A" w:rsidRDefault="00C8738F">
            <w:pPr>
              <w:widowControl/>
              <w:kinsoku w:val="0"/>
              <w:overflowPunct w:val="0"/>
              <w:rPr>
                <w:sz w:val="22"/>
                <w:szCs w:val="22"/>
                <w:lang w:val="de-DE" w:eastAsia="en-US"/>
              </w:rPr>
            </w:pPr>
            <w:r>
              <w:rPr>
                <w:sz w:val="22"/>
                <w:szCs w:val="22"/>
                <w:lang w:val="de-DE" w:eastAsia="en-US"/>
              </w:rPr>
              <w:t>Primäre Auswertung (ITT)</w:t>
            </w:r>
          </w:p>
          <w:p w14:paraId="3C1E9A99" w14:textId="77777777" w:rsidR="00FE291A" w:rsidRDefault="00FE291A">
            <w:pPr>
              <w:widowControl/>
              <w:kinsoku w:val="0"/>
              <w:overflowPunct w:val="0"/>
              <w:rPr>
                <w:sz w:val="22"/>
                <w:szCs w:val="22"/>
                <w:lang w:val="de-DE"/>
              </w:rPr>
            </w:pPr>
          </w:p>
        </w:tc>
      </w:tr>
      <w:tr w:rsidR="00FE291A" w14:paraId="5AB2193F" w14:textId="77777777">
        <w:tc>
          <w:tcPr>
            <w:tcW w:w="2231" w:type="dxa"/>
            <w:tcBorders>
              <w:top w:val="single" w:sz="4" w:space="0" w:color="auto"/>
              <w:left w:val="single" w:sz="4" w:space="0" w:color="auto"/>
              <w:bottom w:val="single" w:sz="4" w:space="0" w:color="auto"/>
              <w:right w:val="single" w:sz="4" w:space="0" w:color="auto"/>
            </w:tcBorders>
          </w:tcPr>
          <w:p w14:paraId="78E36FF4" w14:textId="77777777" w:rsidR="00FE291A" w:rsidRDefault="00C8738F">
            <w:pPr>
              <w:widowControl/>
              <w:kinsoku w:val="0"/>
              <w:overflowPunct w:val="0"/>
              <w:rPr>
                <w:sz w:val="22"/>
                <w:szCs w:val="22"/>
                <w:lang w:val="de-DE"/>
              </w:rPr>
            </w:pPr>
            <w:r>
              <w:rPr>
                <w:sz w:val="22"/>
                <w:szCs w:val="22"/>
                <w:lang w:val="de-DE" w:eastAsia="en-US"/>
              </w:rPr>
              <w:t>Placebo</w:t>
            </w:r>
          </w:p>
        </w:tc>
        <w:tc>
          <w:tcPr>
            <w:tcW w:w="806" w:type="dxa"/>
            <w:tcBorders>
              <w:top w:val="single" w:sz="4" w:space="0" w:color="auto"/>
              <w:left w:val="single" w:sz="4" w:space="0" w:color="auto"/>
              <w:bottom w:val="single" w:sz="4" w:space="0" w:color="auto"/>
              <w:right w:val="single" w:sz="4" w:space="0" w:color="auto"/>
            </w:tcBorders>
          </w:tcPr>
          <w:p w14:paraId="484AE5A4" w14:textId="77777777" w:rsidR="00FE291A" w:rsidRDefault="00C8738F">
            <w:pPr>
              <w:widowControl/>
              <w:kinsoku w:val="0"/>
              <w:overflowPunct w:val="0"/>
              <w:jc w:val="center"/>
              <w:rPr>
                <w:sz w:val="22"/>
                <w:szCs w:val="22"/>
                <w:lang w:val="de-DE"/>
              </w:rPr>
            </w:pPr>
            <w:r>
              <w:rPr>
                <w:sz w:val="22"/>
                <w:szCs w:val="22"/>
                <w:lang w:val="de-DE" w:eastAsia="en-US"/>
              </w:rPr>
              <w:t>107</w:t>
            </w:r>
          </w:p>
        </w:tc>
        <w:tc>
          <w:tcPr>
            <w:tcW w:w="1250" w:type="dxa"/>
            <w:tcBorders>
              <w:top w:val="single" w:sz="4" w:space="0" w:color="auto"/>
              <w:left w:val="single" w:sz="4" w:space="0" w:color="auto"/>
              <w:bottom w:val="single" w:sz="4" w:space="0" w:color="auto"/>
              <w:right w:val="single" w:sz="4" w:space="0" w:color="auto"/>
            </w:tcBorders>
          </w:tcPr>
          <w:p w14:paraId="7C58A41C" w14:textId="77777777" w:rsidR="00FE291A" w:rsidRDefault="00C8738F">
            <w:pPr>
              <w:widowControl/>
              <w:kinsoku w:val="0"/>
              <w:overflowPunct w:val="0"/>
              <w:jc w:val="center"/>
              <w:rPr>
                <w:sz w:val="22"/>
                <w:szCs w:val="22"/>
                <w:lang w:val="de-DE"/>
              </w:rPr>
            </w:pPr>
            <w:r>
              <w:rPr>
                <w:sz w:val="22"/>
                <w:szCs w:val="22"/>
                <w:lang w:val="de-DE" w:eastAsia="en-US"/>
              </w:rPr>
              <w:t>84 (78,5)</w:t>
            </w:r>
          </w:p>
        </w:tc>
        <w:tc>
          <w:tcPr>
            <w:tcW w:w="1809" w:type="dxa"/>
            <w:tcBorders>
              <w:top w:val="single" w:sz="4" w:space="0" w:color="auto"/>
              <w:left w:val="single" w:sz="4" w:space="0" w:color="auto"/>
              <w:bottom w:val="single" w:sz="4" w:space="0" w:color="auto"/>
              <w:right w:val="single" w:sz="4" w:space="0" w:color="auto"/>
            </w:tcBorders>
          </w:tcPr>
          <w:p w14:paraId="6F9CB6B6" w14:textId="77777777" w:rsidR="00FE291A" w:rsidRDefault="00C8738F">
            <w:pPr>
              <w:widowControl/>
              <w:kinsoku w:val="0"/>
              <w:overflowPunct w:val="0"/>
              <w:rPr>
                <w:sz w:val="22"/>
                <w:szCs w:val="22"/>
                <w:lang w:val="de-DE"/>
              </w:rPr>
            </w:pPr>
            <w:r>
              <w:rPr>
                <w:sz w:val="22"/>
                <w:szCs w:val="22"/>
                <w:lang w:val="de-DE" w:eastAsia="en-US"/>
              </w:rPr>
              <w:t>3,0</w:t>
            </w:r>
          </w:p>
        </w:tc>
        <w:tc>
          <w:tcPr>
            <w:tcW w:w="992" w:type="dxa"/>
            <w:tcBorders>
              <w:top w:val="single" w:sz="4" w:space="0" w:color="auto"/>
              <w:left w:val="single" w:sz="4" w:space="0" w:color="auto"/>
              <w:bottom w:val="single" w:sz="4" w:space="0" w:color="auto"/>
              <w:right w:val="single" w:sz="4" w:space="0" w:color="auto"/>
            </w:tcBorders>
          </w:tcPr>
          <w:p w14:paraId="6A1A5DB9" w14:textId="77777777" w:rsidR="00FE291A" w:rsidRDefault="00C8738F">
            <w:pPr>
              <w:widowControl/>
              <w:kinsoku w:val="0"/>
              <w:overflowPunct w:val="0"/>
              <w:rPr>
                <w:sz w:val="22"/>
                <w:szCs w:val="22"/>
                <w:lang w:val="de-DE"/>
              </w:rPr>
            </w:pPr>
            <w:r>
              <w:rPr>
                <w:sz w:val="22"/>
                <w:szCs w:val="22"/>
                <w:lang w:val="de-DE" w:eastAsia="en-US"/>
              </w:rPr>
              <w:t>--</w:t>
            </w:r>
          </w:p>
        </w:tc>
        <w:tc>
          <w:tcPr>
            <w:tcW w:w="992" w:type="dxa"/>
            <w:tcBorders>
              <w:top w:val="single" w:sz="4" w:space="0" w:color="auto"/>
              <w:left w:val="single" w:sz="4" w:space="0" w:color="auto"/>
              <w:bottom w:val="single" w:sz="4" w:space="0" w:color="auto"/>
              <w:right w:val="single" w:sz="4" w:space="0" w:color="auto"/>
            </w:tcBorders>
          </w:tcPr>
          <w:p w14:paraId="108A7AEB" w14:textId="77777777" w:rsidR="00FE291A" w:rsidRDefault="00C8738F">
            <w:pPr>
              <w:widowControl/>
              <w:kinsoku w:val="0"/>
              <w:overflowPunct w:val="0"/>
              <w:rPr>
                <w:sz w:val="22"/>
                <w:szCs w:val="22"/>
                <w:lang w:val="de-DE"/>
              </w:rPr>
            </w:pPr>
            <w:r>
              <w:rPr>
                <w:sz w:val="22"/>
                <w:szCs w:val="22"/>
                <w:lang w:val="de-DE" w:eastAsia="en-US"/>
              </w:rPr>
              <w:t>--</w:t>
            </w:r>
          </w:p>
        </w:tc>
        <w:tc>
          <w:tcPr>
            <w:tcW w:w="1174" w:type="dxa"/>
            <w:tcBorders>
              <w:top w:val="single" w:sz="4" w:space="0" w:color="auto"/>
              <w:left w:val="single" w:sz="4" w:space="0" w:color="auto"/>
              <w:bottom w:val="single" w:sz="4" w:space="0" w:color="auto"/>
              <w:right w:val="single" w:sz="4" w:space="0" w:color="auto"/>
            </w:tcBorders>
          </w:tcPr>
          <w:p w14:paraId="2B9A54C0" w14:textId="77777777" w:rsidR="00FE291A" w:rsidRDefault="00C8738F">
            <w:pPr>
              <w:widowControl/>
              <w:kinsoku w:val="0"/>
              <w:overflowPunct w:val="0"/>
              <w:rPr>
                <w:sz w:val="22"/>
                <w:szCs w:val="22"/>
                <w:lang w:val="de-DE"/>
              </w:rPr>
            </w:pPr>
            <w:r>
              <w:rPr>
                <w:sz w:val="22"/>
                <w:szCs w:val="22"/>
                <w:lang w:val="de-DE" w:eastAsia="en-US"/>
              </w:rPr>
              <w:t>--</w:t>
            </w:r>
          </w:p>
        </w:tc>
      </w:tr>
      <w:tr w:rsidR="00FE291A" w14:paraId="14EBF133" w14:textId="77777777">
        <w:tc>
          <w:tcPr>
            <w:tcW w:w="2231" w:type="dxa"/>
            <w:tcBorders>
              <w:top w:val="single" w:sz="4" w:space="0" w:color="auto"/>
              <w:left w:val="single" w:sz="4" w:space="0" w:color="auto"/>
              <w:bottom w:val="single" w:sz="4" w:space="0" w:color="auto"/>
              <w:right w:val="single" w:sz="4" w:space="0" w:color="auto"/>
            </w:tcBorders>
          </w:tcPr>
          <w:p w14:paraId="7D7F7B5F" w14:textId="77777777" w:rsidR="00FE291A" w:rsidRDefault="00C8738F">
            <w:pPr>
              <w:widowControl/>
              <w:kinsoku w:val="0"/>
              <w:overflowPunct w:val="0"/>
              <w:rPr>
                <w:sz w:val="22"/>
                <w:szCs w:val="22"/>
                <w:lang w:val="de-DE"/>
              </w:rPr>
            </w:pPr>
            <w:r>
              <w:rPr>
                <w:sz w:val="22"/>
                <w:szCs w:val="22"/>
                <w:lang w:val="de-DE" w:eastAsia="en-US"/>
              </w:rPr>
              <w:t>Adalimumab</w:t>
            </w:r>
          </w:p>
        </w:tc>
        <w:tc>
          <w:tcPr>
            <w:tcW w:w="806" w:type="dxa"/>
            <w:tcBorders>
              <w:top w:val="single" w:sz="4" w:space="0" w:color="auto"/>
              <w:left w:val="single" w:sz="4" w:space="0" w:color="auto"/>
              <w:bottom w:val="single" w:sz="4" w:space="0" w:color="auto"/>
              <w:right w:val="single" w:sz="4" w:space="0" w:color="auto"/>
            </w:tcBorders>
          </w:tcPr>
          <w:p w14:paraId="1EACE486" w14:textId="77777777" w:rsidR="00FE291A" w:rsidRDefault="00C8738F">
            <w:pPr>
              <w:widowControl/>
              <w:kinsoku w:val="0"/>
              <w:overflowPunct w:val="0"/>
              <w:jc w:val="center"/>
              <w:rPr>
                <w:sz w:val="22"/>
                <w:szCs w:val="22"/>
                <w:lang w:val="de-DE"/>
              </w:rPr>
            </w:pPr>
            <w:r>
              <w:rPr>
                <w:sz w:val="22"/>
                <w:szCs w:val="22"/>
                <w:lang w:val="de-DE" w:eastAsia="en-US"/>
              </w:rPr>
              <w:t>110</w:t>
            </w:r>
          </w:p>
        </w:tc>
        <w:tc>
          <w:tcPr>
            <w:tcW w:w="1250" w:type="dxa"/>
            <w:tcBorders>
              <w:top w:val="single" w:sz="4" w:space="0" w:color="auto"/>
              <w:left w:val="single" w:sz="4" w:space="0" w:color="auto"/>
              <w:bottom w:val="single" w:sz="4" w:space="0" w:color="auto"/>
              <w:right w:val="single" w:sz="4" w:space="0" w:color="auto"/>
            </w:tcBorders>
          </w:tcPr>
          <w:p w14:paraId="69C7A9A4" w14:textId="77777777" w:rsidR="00FE291A" w:rsidRDefault="00C8738F">
            <w:pPr>
              <w:widowControl/>
              <w:kinsoku w:val="0"/>
              <w:overflowPunct w:val="0"/>
              <w:jc w:val="center"/>
              <w:rPr>
                <w:sz w:val="22"/>
                <w:szCs w:val="22"/>
                <w:lang w:val="de-DE"/>
              </w:rPr>
            </w:pPr>
            <w:r>
              <w:rPr>
                <w:sz w:val="22"/>
                <w:szCs w:val="22"/>
                <w:lang w:val="de-DE" w:eastAsia="en-US"/>
              </w:rPr>
              <w:t>60 (54,5)</w:t>
            </w:r>
          </w:p>
        </w:tc>
        <w:tc>
          <w:tcPr>
            <w:tcW w:w="1809" w:type="dxa"/>
            <w:tcBorders>
              <w:top w:val="single" w:sz="4" w:space="0" w:color="auto"/>
              <w:left w:val="single" w:sz="4" w:space="0" w:color="auto"/>
              <w:bottom w:val="single" w:sz="4" w:space="0" w:color="auto"/>
              <w:right w:val="single" w:sz="4" w:space="0" w:color="auto"/>
            </w:tcBorders>
          </w:tcPr>
          <w:p w14:paraId="2BC3E4ED" w14:textId="77777777" w:rsidR="00FE291A" w:rsidRDefault="00C8738F">
            <w:pPr>
              <w:widowControl/>
              <w:kinsoku w:val="0"/>
              <w:overflowPunct w:val="0"/>
              <w:rPr>
                <w:sz w:val="22"/>
                <w:szCs w:val="22"/>
                <w:lang w:val="de-DE"/>
              </w:rPr>
            </w:pPr>
            <w:r>
              <w:rPr>
                <w:sz w:val="22"/>
                <w:szCs w:val="22"/>
                <w:lang w:val="de-DE" w:eastAsia="en-US"/>
              </w:rPr>
              <w:t>5,6</w:t>
            </w:r>
          </w:p>
        </w:tc>
        <w:tc>
          <w:tcPr>
            <w:tcW w:w="992" w:type="dxa"/>
            <w:tcBorders>
              <w:top w:val="single" w:sz="4" w:space="0" w:color="auto"/>
              <w:left w:val="single" w:sz="4" w:space="0" w:color="auto"/>
              <w:bottom w:val="single" w:sz="4" w:space="0" w:color="auto"/>
              <w:right w:val="single" w:sz="4" w:space="0" w:color="auto"/>
            </w:tcBorders>
          </w:tcPr>
          <w:p w14:paraId="1532249A" w14:textId="77777777" w:rsidR="00FE291A" w:rsidRDefault="00C8738F">
            <w:pPr>
              <w:widowControl/>
              <w:kinsoku w:val="0"/>
              <w:overflowPunct w:val="0"/>
              <w:rPr>
                <w:sz w:val="22"/>
                <w:szCs w:val="22"/>
                <w:lang w:val="de-DE"/>
              </w:rPr>
            </w:pPr>
            <w:r>
              <w:rPr>
                <w:sz w:val="22"/>
                <w:szCs w:val="22"/>
                <w:lang w:val="de-DE" w:eastAsia="en-US"/>
              </w:rPr>
              <w:t>0,50</w:t>
            </w:r>
          </w:p>
        </w:tc>
        <w:tc>
          <w:tcPr>
            <w:tcW w:w="992" w:type="dxa"/>
            <w:tcBorders>
              <w:top w:val="single" w:sz="4" w:space="0" w:color="auto"/>
              <w:left w:val="single" w:sz="4" w:space="0" w:color="auto"/>
              <w:bottom w:val="single" w:sz="4" w:space="0" w:color="auto"/>
              <w:right w:val="single" w:sz="4" w:space="0" w:color="auto"/>
            </w:tcBorders>
          </w:tcPr>
          <w:p w14:paraId="3FB2ECE1" w14:textId="77777777" w:rsidR="00FE291A" w:rsidRDefault="00C8738F">
            <w:pPr>
              <w:widowControl/>
              <w:kinsoku w:val="0"/>
              <w:overflowPunct w:val="0"/>
              <w:rPr>
                <w:sz w:val="22"/>
                <w:szCs w:val="22"/>
                <w:lang w:val="de-DE"/>
              </w:rPr>
            </w:pPr>
            <w:r>
              <w:rPr>
                <w:sz w:val="22"/>
                <w:szCs w:val="22"/>
                <w:lang w:val="de-DE" w:eastAsia="en-US"/>
              </w:rPr>
              <w:t>0,36; 0,70</w:t>
            </w:r>
          </w:p>
        </w:tc>
        <w:tc>
          <w:tcPr>
            <w:tcW w:w="1174" w:type="dxa"/>
            <w:tcBorders>
              <w:top w:val="single" w:sz="4" w:space="0" w:color="auto"/>
              <w:left w:val="single" w:sz="4" w:space="0" w:color="auto"/>
              <w:bottom w:val="single" w:sz="4" w:space="0" w:color="auto"/>
              <w:right w:val="single" w:sz="4" w:space="0" w:color="auto"/>
            </w:tcBorders>
          </w:tcPr>
          <w:p w14:paraId="4E3651C6" w14:textId="77777777" w:rsidR="00FE291A" w:rsidRDefault="00C8738F">
            <w:pPr>
              <w:widowControl/>
              <w:kinsoku w:val="0"/>
              <w:overflowPunct w:val="0"/>
              <w:rPr>
                <w:sz w:val="22"/>
                <w:szCs w:val="22"/>
                <w:lang w:val="de-DE"/>
              </w:rPr>
            </w:pPr>
            <w:r>
              <w:rPr>
                <w:sz w:val="22"/>
                <w:szCs w:val="22"/>
                <w:lang w:val="de-DE" w:eastAsia="en-US"/>
              </w:rPr>
              <w:t>&lt; 0,001</w:t>
            </w:r>
          </w:p>
        </w:tc>
      </w:tr>
      <w:tr w:rsidR="00FE291A" w:rsidRPr="00723069" w14:paraId="6385EAD8" w14:textId="77777777">
        <w:tc>
          <w:tcPr>
            <w:tcW w:w="9254" w:type="dxa"/>
            <w:gridSpan w:val="7"/>
            <w:tcBorders>
              <w:top w:val="single" w:sz="4" w:space="0" w:color="auto"/>
              <w:left w:val="single" w:sz="4" w:space="0" w:color="auto"/>
              <w:right w:val="single" w:sz="4" w:space="0" w:color="auto"/>
            </w:tcBorders>
          </w:tcPr>
          <w:p w14:paraId="3A90E3F4" w14:textId="77777777" w:rsidR="00FE291A" w:rsidRDefault="00C8738F">
            <w:pPr>
              <w:keepNext/>
              <w:widowControl/>
              <w:kinsoku w:val="0"/>
              <w:overflowPunct w:val="0"/>
              <w:rPr>
                <w:sz w:val="22"/>
                <w:szCs w:val="22"/>
                <w:lang w:val="de-DE"/>
              </w:rPr>
            </w:pPr>
            <w:r>
              <w:rPr>
                <w:b/>
                <w:bCs/>
                <w:sz w:val="22"/>
                <w:szCs w:val="22"/>
                <w:lang w:val="de-DE" w:eastAsia="en-US"/>
              </w:rPr>
              <w:t>Dauer bis zum Behandlungsversagen in oder nach Woche 2 in der Studie UV II</w:t>
            </w:r>
          </w:p>
        </w:tc>
      </w:tr>
      <w:tr w:rsidR="00FE291A" w14:paraId="1896E45A" w14:textId="77777777">
        <w:tc>
          <w:tcPr>
            <w:tcW w:w="9254" w:type="dxa"/>
            <w:gridSpan w:val="7"/>
            <w:tcBorders>
              <w:left w:val="single" w:sz="4" w:space="0" w:color="auto"/>
              <w:bottom w:val="single" w:sz="4" w:space="0" w:color="auto"/>
              <w:right w:val="single" w:sz="4" w:space="0" w:color="auto"/>
            </w:tcBorders>
          </w:tcPr>
          <w:p w14:paraId="238F4D31" w14:textId="77777777" w:rsidR="00FE291A" w:rsidRDefault="00C8738F">
            <w:pPr>
              <w:keepNext/>
              <w:widowControl/>
              <w:kinsoku w:val="0"/>
              <w:overflowPunct w:val="0"/>
              <w:rPr>
                <w:sz w:val="22"/>
                <w:szCs w:val="22"/>
                <w:lang w:val="de-DE" w:eastAsia="en-US"/>
              </w:rPr>
            </w:pPr>
            <w:r>
              <w:rPr>
                <w:sz w:val="22"/>
                <w:szCs w:val="22"/>
                <w:lang w:val="de-DE" w:eastAsia="en-US"/>
              </w:rPr>
              <w:t>Primäre Auswertung (ITT)</w:t>
            </w:r>
          </w:p>
          <w:p w14:paraId="4B9119C8" w14:textId="77777777" w:rsidR="00FE291A" w:rsidRDefault="00FE291A">
            <w:pPr>
              <w:keepNext/>
              <w:widowControl/>
              <w:kinsoku w:val="0"/>
              <w:overflowPunct w:val="0"/>
              <w:rPr>
                <w:sz w:val="22"/>
                <w:szCs w:val="22"/>
                <w:lang w:val="de-DE"/>
              </w:rPr>
            </w:pPr>
          </w:p>
        </w:tc>
      </w:tr>
      <w:tr w:rsidR="00FE291A" w14:paraId="52741D23" w14:textId="77777777">
        <w:tc>
          <w:tcPr>
            <w:tcW w:w="2231" w:type="dxa"/>
            <w:tcBorders>
              <w:top w:val="single" w:sz="4" w:space="0" w:color="auto"/>
              <w:left w:val="single" w:sz="4" w:space="0" w:color="auto"/>
              <w:bottom w:val="single" w:sz="4" w:space="0" w:color="auto"/>
              <w:right w:val="single" w:sz="4" w:space="0" w:color="auto"/>
            </w:tcBorders>
          </w:tcPr>
          <w:p w14:paraId="6FC30A3D" w14:textId="77777777" w:rsidR="00FE291A" w:rsidRDefault="00C8738F">
            <w:pPr>
              <w:keepNext/>
              <w:widowControl/>
              <w:kinsoku w:val="0"/>
              <w:overflowPunct w:val="0"/>
              <w:rPr>
                <w:sz w:val="22"/>
                <w:szCs w:val="22"/>
                <w:lang w:val="de-DE"/>
              </w:rPr>
            </w:pPr>
            <w:r>
              <w:rPr>
                <w:sz w:val="22"/>
                <w:szCs w:val="22"/>
                <w:lang w:val="de-DE" w:eastAsia="en-US"/>
              </w:rPr>
              <w:t>Placebo</w:t>
            </w:r>
          </w:p>
        </w:tc>
        <w:tc>
          <w:tcPr>
            <w:tcW w:w="806" w:type="dxa"/>
            <w:tcBorders>
              <w:top w:val="single" w:sz="4" w:space="0" w:color="auto"/>
              <w:left w:val="single" w:sz="4" w:space="0" w:color="auto"/>
              <w:bottom w:val="single" w:sz="4" w:space="0" w:color="auto"/>
              <w:right w:val="single" w:sz="4" w:space="0" w:color="auto"/>
            </w:tcBorders>
          </w:tcPr>
          <w:p w14:paraId="286CB32F" w14:textId="77777777" w:rsidR="00FE291A" w:rsidRDefault="00C8738F">
            <w:pPr>
              <w:keepNext/>
              <w:widowControl/>
              <w:kinsoku w:val="0"/>
              <w:overflowPunct w:val="0"/>
              <w:rPr>
                <w:sz w:val="22"/>
                <w:szCs w:val="22"/>
                <w:lang w:val="de-DE"/>
              </w:rPr>
            </w:pPr>
            <w:r>
              <w:rPr>
                <w:sz w:val="22"/>
                <w:szCs w:val="22"/>
                <w:lang w:val="de-DE" w:eastAsia="en-US"/>
              </w:rPr>
              <w:t>111</w:t>
            </w:r>
          </w:p>
        </w:tc>
        <w:tc>
          <w:tcPr>
            <w:tcW w:w="1250" w:type="dxa"/>
            <w:tcBorders>
              <w:top w:val="single" w:sz="4" w:space="0" w:color="auto"/>
              <w:left w:val="single" w:sz="4" w:space="0" w:color="auto"/>
              <w:bottom w:val="single" w:sz="4" w:space="0" w:color="auto"/>
              <w:right w:val="single" w:sz="4" w:space="0" w:color="auto"/>
            </w:tcBorders>
          </w:tcPr>
          <w:p w14:paraId="6D22D0A3" w14:textId="77777777" w:rsidR="00FE291A" w:rsidRDefault="00C8738F">
            <w:pPr>
              <w:keepNext/>
              <w:widowControl/>
              <w:kinsoku w:val="0"/>
              <w:overflowPunct w:val="0"/>
              <w:rPr>
                <w:sz w:val="22"/>
                <w:szCs w:val="22"/>
                <w:lang w:val="de-DE"/>
              </w:rPr>
            </w:pPr>
            <w:r>
              <w:rPr>
                <w:sz w:val="22"/>
                <w:szCs w:val="22"/>
                <w:lang w:val="de-DE" w:eastAsia="en-US"/>
              </w:rPr>
              <w:t>61 (55,0)</w:t>
            </w:r>
          </w:p>
        </w:tc>
        <w:tc>
          <w:tcPr>
            <w:tcW w:w="1809" w:type="dxa"/>
            <w:tcBorders>
              <w:top w:val="single" w:sz="4" w:space="0" w:color="auto"/>
              <w:left w:val="single" w:sz="4" w:space="0" w:color="auto"/>
              <w:bottom w:val="single" w:sz="4" w:space="0" w:color="auto"/>
              <w:right w:val="single" w:sz="4" w:space="0" w:color="auto"/>
            </w:tcBorders>
          </w:tcPr>
          <w:p w14:paraId="6BAAF0C0" w14:textId="77777777" w:rsidR="00FE291A" w:rsidRDefault="00C8738F">
            <w:pPr>
              <w:keepNext/>
              <w:widowControl/>
              <w:kinsoku w:val="0"/>
              <w:overflowPunct w:val="0"/>
              <w:rPr>
                <w:sz w:val="22"/>
                <w:szCs w:val="22"/>
                <w:lang w:val="de-DE"/>
              </w:rPr>
            </w:pPr>
            <w:r>
              <w:rPr>
                <w:sz w:val="22"/>
                <w:szCs w:val="22"/>
                <w:lang w:val="de-DE" w:eastAsia="en-US"/>
              </w:rPr>
              <w:t>8,3</w:t>
            </w:r>
          </w:p>
        </w:tc>
        <w:tc>
          <w:tcPr>
            <w:tcW w:w="992" w:type="dxa"/>
            <w:tcBorders>
              <w:top w:val="single" w:sz="4" w:space="0" w:color="auto"/>
              <w:left w:val="single" w:sz="4" w:space="0" w:color="auto"/>
              <w:bottom w:val="single" w:sz="4" w:space="0" w:color="auto"/>
              <w:right w:val="single" w:sz="4" w:space="0" w:color="auto"/>
            </w:tcBorders>
          </w:tcPr>
          <w:p w14:paraId="17E2F98D" w14:textId="77777777" w:rsidR="00FE291A" w:rsidRDefault="00C8738F">
            <w:pPr>
              <w:keepNext/>
              <w:widowControl/>
              <w:kinsoku w:val="0"/>
              <w:overflowPunct w:val="0"/>
              <w:rPr>
                <w:sz w:val="22"/>
                <w:szCs w:val="22"/>
                <w:lang w:val="de-DE"/>
              </w:rPr>
            </w:pPr>
            <w:r>
              <w:rPr>
                <w:sz w:val="22"/>
                <w:szCs w:val="22"/>
                <w:lang w:val="de-DE" w:eastAsia="en-US"/>
              </w:rPr>
              <w:t>--</w:t>
            </w:r>
          </w:p>
        </w:tc>
        <w:tc>
          <w:tcPr>
            <w:tcW w:w="992" w:type="dxa"/>
            <w:tcBorders>
              <w:top w:val="single" w:sz="4" w:space="0" w:color="auto"/>
              <w:left w:val="single" w:sz="4" w:space="0" w:color="auto"/>
              <w:bottom w:val="single" w:sz="4" w:space="0" w:color="auto"/>
              <w:right w:val="single" w:sz="4" w:space="0" w:color="auto"/>
            </w:tcBorders>
          </w:tcPr>
          <w:p w14:paraId="798C5D2D" w14:textId="77777777" w:rsidR="00FE291A" w:rsidRDefault="00C8738F">
            <w:pPr>
              <w:keepNext/>
              <w:widowControl/>
              <w:kinsoku w:val="0"/>
              <w:overflowPunct w:val="0"/>
              <w:rPr>
                <w:sz w:val="22"/>
                <w:szCs w:val="22"/>
                <w:lang w:val="de-DE"/>
              </w:rPr>
            </w:pPr>
            <w:r>
              <w:rPr>
                <w:sz w:val="22"/>
                <w:szCs w:val="22"/>
                <w:lang w:val="de-DE" w:eastAsia="en-US"/>
              </w:rPr>
              <w:t>--</w:t>
            </w:r>
          </w:p>
        </w:tc>
        <w:tc>
          <w:tcPr>
            <w:tcW w:w="1174" w:type="dxa"/>
            <w:tcBorders>
              <w:top w:val="single" w:sz="4" w:space="0" w:color="auto"/>
              <w:left w:val="single" w:sz="4" w:space="0" w:color="auto"/>
              <w:bottom w:val="single" w:sz="4" w:space="0" w:color="auto"/>
              <w:right w:val="single" w:sz="4" w:space="0" w:color="auto"/>
            </w:tcBorders>
          </w:tcPr>
          <w:p w14:paraId="18DF8814" w14:textId="77777777" w:rsidR="00FE291A" w:rsidRDefault="00C8738F">
            <w:pPr>
              <w:keepNext/>
              <w:widowControl/>
              <w:kinsoku w:val="0"/>
              <w:overflowPunct w:val="0"/>
              <w:rPr>
                <w:sz w:val="22"/>
                <w:szCs w:val="22"/>
                <w:lang w:val="de-DE"/>
              </w:rPr>
            </w:pPr>
            <w:r>
              <w:rPr>
                <w:sz w:val="22"/>
                <w:szCs w:val="22"/>
                <w:lang w:val="de-DE" w:eastAsia="en-US"/>
              </w:rPr>
              <w:t>--</w:t>
            </w:r>
          </w:p>
        </w:tc>
      </w:tr>
      <w:tr w:rsidR="00FE291A" w14:paraId="1CBD17BF" w14:textId="77777777">
        <w:tc>
          <w:tcPr>
            <w:tcW w:w="2231" w:type="dxa"/>
            <w:tcBorders>
              <w:top w:val="single" w:sz="4" w:space="0" w:color="auto"/>
              <w:left w:val="single" w:sz="4" w:space="0" w:color="auto"/>
              <w:bottom w:val="single" w:sz="4" w:space="0" w:color="auto"/>
              <w:right w:val="single" w:sz="4" w:space="0" w:color="auto"/>
            </w:tcBorders>
          </w:tcPr>
          <w:p w14:paraId="4B8EB88E" w14:textId="77777777" w:rsidR="00FE291A" w:rsidRDefault="00C8738F">
            <w:pPr>
              <w:keepNext/>
              <w:widowControl/>
              <w:kinsoku w:val="0"/>
              <w:overflowPunct w:val="0"/>
              <w:rPr>
                <w:sz w:val="22"/>
                <w:szCs w:val="22"/>
                <w:lang w:val="de-DE"/>
              </w:rPr>
            </w:pPr>
            <w:r>
              <w:rPr>
                <w:sz w:val="22"/>
                <w:szCs w:val="22"/>
                <w:lang w:val="de-DE" w:eastAsia="en-US"/>
              </w:rPr>
              <w:t>Adalimumab</w:t>
            </w:r>
          </w:p>
        </w:tc>
        <w:tc>
          <w:tcPr>
            <w:tcW w:w="806" w:type="dxa"/>
            <w:tcBorders>
              <w:top w:val="single" w:sz="4" w:space="0" w:color="auto"/>
              <w:left w:val="single" w:sz="4" w:space="0" w:color="auto"/>
              <w:bottom w:val="single" w:sz="4" w:space="0" w:color="auto"/>
              <w:right w:val="single" w:sz="4" w:space="0" w:color="auto"/>
            </w:tcBorders>
          </w:tcPr>
          <w:p w14:paraId="3D4B0E8E" w14:textId="77777777" w:rsidR="00FE291A" w:rsidRDefault="00C8738F">
            <w:pPr>
              <w:keepNext/>
              <w:widowControl/>
              <w:kinsoku w:val="0"/>
              <w:overflowPunct w:val="0"/>
              <w:rPr>
                <w:sz w:val="22"/>
                <w:szCs w:val="22"/>
                <w:lang w:val="de-DE"/>
              </w:rPr>
            </w:pPr>
            <w:r>
              <w:rPr>
                <w:sz w:val="22"/>
                <w:szCs w:val="22"/>
                <w:lang w:val="de-DE" w:eastAsia="en-US"/>
              </w:rPr>
              <w:t>115</w:t>
            </w:r>
          </w:p>
        </w:tc>
        <w:tc>
          <w:tcPr>
            <w:tcW w:w="1250" w:type="dxa"/>
            <w:tcBorders>
              <w:top w:val="single" w:sz="4" w:space="0" w:color="auto"/>
              <w:left w:val="single" w:sz="4" w:space="0" w:color="auto"/>
              <w:bottom w:val="single" w:sz="4" w:space="0" w:color="auto"/>
              <w:right w:val="single" w:sz="4" w:space="0" w:color="auto"/>
            </w:tcBorders>
          </w:tcPr>
          <w:p w14:paraId="037A37CE" w14:textId="77777777" w:rsidR="00FE291A" w:rsidRDefault="00C8738F">
            <w:pPr>
              <w:keepNext/>
              <w:widowControl/>
              <w:kinsoku w:val="0"/>
              <w:overflowPunct w:val="0"/>
              <w:rPr>
                <w:sz w:val="22"/>
                <w:szCs w:val="22"/>
                <w:lang w:val="de-DE"/>
              </w:rPr>
            </w:pPr>
            <w:r>
              <w:rPr>
                <w:sz w:val="22"/>
                <w:szCs w:val="22"/>
                <w:lang w:val="de-DE" w:eastAsia="en-US"/>
              </w:rPr>
              <w:t>45 (39,1)</w:t>
            </w:r>
          </w:p>
        </w:tc>
        <w:tc>
          <w:tcPr>
            <w:tcW w:w="1809" w:type="dxa"/>
            <w:tcBorders>
              <w:top w:val="single" w:sz="4" w:space="0" w:color="auto"/>
              <w:left w:val="single" w:sz="4" w:space="0" w:color="auto"/>
              <w:bottom w:val="single" w:sz="4" w:space="0" w:color="auto"/>
              <w:right w:val="single" w:sz="4" w:space="0" w:color="auto"/>
            </w:tcBorders>
          </w:tcPr>
          <w:p w14:paraId="02BB81A0" w14:textId="77777777" w:rsidR="00FE291A" w:rsidRDefault="00C8738F">
            <w:pPr>
              <w:keepNext/>
              <w:widowControl/>
              <w:kinsoku w:val="0"/>
              <w:overflowPunct w:val="0"/>
              <w:rPr>
                <w:sz w:val="22"/>
                <w:szCs w:val="22"/>
                <w:lang w:val="de-DE"/>
              </w:rPr>
            </w:pPr>
            <w:r>
              <w:rPr>
                <w:sz w:val="22"/>
                <w:szCs w:val="22"/>
                <w:lang w:val="de-DE" w:eastAsia="en-US"/>
              </w:rPr>
              <w:t>n. b.</w:t>
            </w:r>
            <w:r>
              <w:rPr>
                <w:sz w:val="22"/>
                <w:szCs w:val="22"/>
                <w:vertAlign w:val="superscript"/>
                <w:lang w:val="de-DE" w:eastAsia="en-US"/>
              </w:rPr>
              <w:t>c</w:t>
            </w:r>
          </w:p>
        </w:tc>
        <w:tc>
          <w:tcPr>
            <w:tcW w:w="992" w:type="dxa"/>
            <w:tcBorders>
              <w:top w:val="single" w:sz="4" w:space="0" w:color="auto"/>
              <w:left w:val="single" w:sz="4" w:space="0" w:color="auto"/>
              <w:bottom w:val="single" w:sz="4" w:space="0" w:color="auto"/>
              <w:right w:val="single" w:sz="4" w:space="0" w:color="auto"/>
            </w:tcBorders>
          </w:tcPr>
          <w:p w14:paraId="6E689BE8" w14:textId="77777777" w:rsidR="00FE291A" w:rsidRDefault="00C8738F">
            <w:pPr>
              <w:keepNext/>
              <w:widowControl/>
              <w:kinsoku w:val="0"/>
              <w:overflowPunct w:val="0"/>
              <w:rPr>
                <w:sz w:val="22"/>
                <w:szCs w:val="22"/>
                <w:lang w:val="de-DE"/>
              </w:rPr>
            </w:pPr>
            <w:r>
              <w:rPr>
                <w:sz w:val="22"/>
                <w:szCs w:val="22"/>
                <w:lang w:val="de-DE" w:eastAsia="en-US"/>
              </w:rPr>
              <w:t>0,57</w:t>
            </w:r>
          </w:p>
        </w:tc>
        <w:tc>
          <w:tcPr>
            <w:tcW w:w="992" w:type="dxa"/>
            <w:tcBorders>
              <w:top w:val="single" w:sz="4" w:space="0" w:color="auto"/>
              <w:left w:val="single" w:sz="4" w:space="0" w:color="auto"/>
              <w:bottom w:val="single" w:sz="4" w:space="0" w:color="auto"/>
              <w:right w:val="single" w:sz="4" w:space="0" w:color="auto"/>
            </w:tcBorders>
          </w:tcPr>
          <w:p w14:paraId="3E3209BF" w14:textId="77777777" w:rsidR="00FE291A" w:rsidRDefault="00C8738F">
            <w:pPr>
              <w:keepNext/>
              <w:widowControl/>
              <w:kinsoku w:val="0"/>
              <w:overflowPunct w:val="0"/>
              <w:rPr>
                <w:sz w:val="22"/>
                <w:szCs w:val="22"/>
                <w:lang w:val="de-DE"/>
              </w:rPr>
            </w:pPr>
            <w:r>
              <w:rPr>
                <w:sz w:val="22"/>
                <w:szCs w:val="22"/>
                <w:lang w:val="de-DE" w:eastAsia="en-US"/>
              </w:rPr>
              <w:t>0,39; 0,84</w:t>
            </w:r>
          </w:p>
        </w:tc>
        <w:tc>
          <w:tcPr>
            <w:tcW w:w="1174" w:type="dxa"/>
            <w:tcBorders>
              <w:top w:val="single" w:sz="4" w:space="0" w:color="auto"/>
              <w:left w:val="single" w:sz="4" w:space="0" w:color="auto"/>
              <w:bottom w:val="single" w:sz="4" w:space="0" w:color="auto"/>
              <w:right w:val="single" w:sz="4" w:space="0" w:color="auto"/>
            </w:tcBorders>
          </w:tcPr>
          <w:p w14:paraId="20ACB589" w14:textId="77777777" w:rsidR="00FE291A" w:rsidRDefault="00C8738F">
            <w:pPr>
              <w:keepNext/>
              <w:widowControl/>
              <w:kinsoku w:val="0"/>
              <w:overflowPunct w:val="0"/>
              <w:rPr>
                <w:sz w:val="22"/>
                <w:szCs w:val="22"/>
                <w:lang w:val="de-DE"/>
              </w:rPr>
            </w:pPr>
            <w:r>
              <w:rPr>
                <w:sz w:val="22"/>
                <w:szCs w:val="22"/>
                <w:lang w:val="de-DE" w:eastAsia="en-US"/>
              </w:rPr>
              <w:t>0,004</w:t>
            </w:r>
          </w:p>
        </w:tc>
      </w:tr>
    </w:tbl>
    <w:p w14:paraId="1D44BF19" w14:textId="77777777" w:rsidR="00FE291A" w:rsidRDefault="00C8738F">
      <w:pPr>
        <w:keepNext/>
        <w:widowControl/>
        <w:rPr>
          <w:sz w:val="20"/>
          <w:szCs w:val="20"/>
          <w:lang w:val="de-DE"/>
        </w:rPr>
      </w:pPr>
      <w:r>
        <w:rPr>
          <w:sz w:val="20"/>
          <w:szCs w:val="20"/>
          <w:lang w:val="de-DE"/>
        </w:rPr>
        <w:t>Hinweis: Ein Behandlungsversagen in oder nach Woche 6 (Studie UV I) bzw. in oder nach Woche 2 (Studie UV II) wurde als Ereignis gewertet. Ein Ausscheiden aus anderen Gründen als Behandlungsversagen wurde zum Zeitpunkt des Ausscheidens zensiert.</w:t>
      </w:r>
    </w:p>
    <w:p w14:paraId="7163EB36" w14:textId="77777777" w:rsidR="00FE291A" w:rsidRDefault="00C8738F">
      <w:pPr>
        <w:keepNext/>
        <w:widowControl/>
        <w:rPr>
          <w:sz w:val="20"/>
          <w:szCs w:val="20"/>
          <w:lang w:val="de-DE"/>
        </w:rPr>
      </w:pPr>
      <w:r>
        <w:rPr>
          <w:sz w:val="20"/>
          <w:szCs w:val="20"/>
          <w:vertAlign w:val="superscript"/>
          <w:lang w:val="de-DE"/>
        </w:rPr>
        <w:t>a</w:t>
      </w:r>
      <w:r>
        <w:rPr>
          <w:sz w:val="20"/>
          <w:szCs w:val="20"/>
          <w:lang w:val="de-DE"/>
        </w:rPr>
        <w:t xml:space="preserve"> HR von Adalimumab gegenüber Placebo der Cox-Regressionsanalyse mit Behandlung als Faktor.</w:t>
      </w:r>
    </w:p>
    <w:p w14:paraId="21435B40" w14:textId="77777777" w:rsidR="00FE291A" w:rsidRDefault="00C8738F">
      <w:pPr>
        <w:keepNext/>
        <w:widowControl/>
        <w:rPr>
          <w:sz w:val="20"/>
          <w:szCs w:val="20"/>
          <w:lang w:val="de-DE"/>
        </w:rPr>
      </w:pPr>
      <w:r>
        <w:rPr>
          <w:sz w:val="20"/>
          <w:szCs w:val="20"/>
          <w:vertAlign w:val="superscript"/>
          <w:lang w:val="de-DE"/>
        </w:rPr>
        <w:t>b</w:t>
      </w:r>
      <w:r>
        <w:rPr>
          <w:sz w:val="20"/>
          <w:szCs w:val="20"/>
          <w:lang w:val="de-DE"/>
        </w:rPr>
        <w:t xml:space="preserve"> 2-seitiger </w:t>
      </w:r>
      <w:r>
        <w:rPr>
          <w:i/>
          <w:sz w:val="20"/>
          <w:szCs w:val="20"/>
          <w:lang w:val="de-DE"/>
        </w:rPr>
        <w:t>p</w:t>
      </w:r>
      <w:r>
        <w:rPr>
          <w:sz w:val="20"/>
          <w:szCs w:val="20"/>
          <w:lang w:val="de-DE"/>
        </w:rPr>
        <w:t xml:space="preserve">-Wert vom </w:t>
      </w:r>
      <w:r>
        <w:rPr>
          <w:i/>
          <w:iCs/>
          <w:sz w:val="20"/>
          <w:szCs w:val="20"/>
          <w:lang w:val="de-DE"/>
        </w:rPr>
        <w:t>Log-Rank-Test</w:t>
      </w:r>
      <w:r>
        <w:rPr>
          <w:sz w:val="20"/>
          <w:szCs w:val="20"/>
          <w:lang w:val="de-DE"/>
        </w:rPr>
        <w:t>.</w:t>
      </w:r>
    </w:p>
    <w:p w14:paraId="301057A1" w14:textId="77777777" w:rsidR="00FE291A" w:rsidRDefault="00C8738F">
      <w:pPr>
        <w:keepNext/>
        <w:widowControl/>
        <w:rPr>
          <w:sz w:val="20"/>
          <w:szCs w:val="20"/>
          <w:lang w:val="de-DE"/>
        </w:rPr>
      </w:pPr>
      <w:r>
        <w:rPr>
          <w:sz w:val="20"/>
          <w:szCs w:val="20"/>
          <w:vertAlign w:val="superscript"/>
          <w:lang w:val="de-DE"/>
        </w:rPr>
        <w:t>c</w:t>
      </w:r>
      <w:r>
        <w:rPr>
          <w:sz w:val="20"/>
          <w:szCs w:val="20"/>
          <w:lang w:val="de-DE"/>
        </w:rPr>
        <w:t xml:space="preserve"> n. b. = nicht bestimmbar. Bei weniger als der Hälfte der Risikopatienten kam es zu einem Ereignis.</w:t>
      </w:r>
    </w:p>
    <w:p w14:paraId="7DFE89DC" w14:textId="77777777" w:rsidR="00FE291A" w:rsidRDefault="00FE291A">
      <w:pPr>
        <w:widowControl/>
        <w:kinsoku w:val="0"/>
        <w:overflowPunct w:val="0"/>
        <w:rPr>
          <w:sz w:val="22"/>
          <w:szCs w:val="26"/>
          <w:lang w:val="de-DE"/>
        </w:rPr>
      </w:pPr>
    </w:p>
    <w:p w14:paraId="28FBBCFA" w14:textId="77777777" w:rsidR="00FE291A" w:rsidRDefault="00C8738F">
      <w:pPr>
        <w:keepNext/>
        <w:widowControl/>
        <w:kinsoku w:val="0"/>
        <w:overflowPunct w:val="0"/>
        <w:rPr>
          <w:sz w:val="22"/>
          <w:szCs w:val="22"/>
          <w:lang w:val="de-DE"/>
        </w:rPr>
      </w:pPr>
      <w:r>
        <w:rPr>
          <w:b/>
          <w:bCs/>
          <w:sz w:val="22"/>
          <w:szCs w:val="22"/>
          <w:lang w:val="de-DE"/>
        </w:rPr>
        <w:t>Abbildung 2: Kaplan-Meier-Kurven zur Darstellung der Dauer bis zum Behandlungsversagen in oder nach Woche 6 (Studie UV I) bzw. Woche 2 (Studie UV II)</w:t>
      </w:r>
    </w:p>
    <w:p w14:paraId="5C8D86A1" w14:textId="77777777" w:rsidR="00FE291A" w:rsidRDefault="00FE291A">
      <w:pPr>
        <w:keepNext/>
        <w:widowControl/>
        <w:kinsoku w:val="0"/>
        <w:overflowPunct w:val="0"/>
        <w:rPr>
          <w:sz w:val="22"/>
          <w:szCs w:val="22"/>
          <w:lang w:val="de-DE"/>
        </w:rPr>
      </w:pPr>
    </w:p>
    <w:p w14:paraId="3C72B717" w14:textId="2AB67927" w:rsidR="00FE291A" w:rsidRDefault="009C5B62">
      <w:pPr>
        <w:pStyle w:val="BodyText"/>
        <w:keepNext/>
        <w:widowControl/>
        <w:tabs>
          <w:tab w:val="left" w:pos="5326"/>
          <w:tab w:val="left" w:pos="7577"/>
        </w:tabs>
        <w:kinsoku w:val="0"/>
        <w:overflowPunct w:val="0"/>
        <w:ind w:left="0"/>
        <w:rPr>
          <w:szCs w:val="20"/>
          <w:lang w:val="de-DE"/>
        </w:rPr>
      </w:pPr>
      <w:r>
        <w:rPr>
          <w:noProof/>
          <w:lang w:val="de-DE" w:eastAsia="en-GB"/>
        </w:rPr>
        <w:drawing>
          <wp:inline distT="0" distB="0" distL="0" distR="0" wp14:anchorId="49B72659" wp14:editId="11169749">
            <wp:extent cx="5640705" cy="2600325"/>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0705" cy="2600325"/>
                    </a:xfrm>
                    <a:prstGeom prst="rect">
                      <a:avLst/>
                    </a:prstGeom>
                    <a:noFill/>
                    <a:ln>
                      <a:noFill/>
                    </a:ln>
                  </pic:spPr>
                </pic:pic>
              </a:graphicData>
            </a:graphic>
          </wp:inline>
        </w:drawing>
      </w:r>
    </w:p>
    <w:p w14:paraId="17E6B6B7" w14:textId="25D52011" w:rsidR="00FE291A" w:rsidRDefault="009C5B62">
      <w:pPr>
        <w:pStyle w:val="BodyText"/>
        <w:keepNext/>
        <w:widowControl/>
        <w:tabs>
          <w:tab w:val="left" w:pos="4435"/>
          <w:tab w:val="left" w:pos="6637"/>
        </w:tabs>
        <w:kinsoku w:val="0"/>
        <w:overflowPunct w:val="0"/>
        <w:ind w:left="0"/>
        <w:rPr>
          <w:lang w:val="de-DE"/>
        </w:rPr>
      </w:pPr>
      <w:r>
        <w:rPr>
          <w:noProof/>
          <w:lang w:val="de-DE" w:eastAsia="en-GB"/>
        </w:rPr>
        <w:drawing>
          <wp:inline distT="0" distB="0" distL="0" distR="0" wp14:anchorId="70362EAF" wp14:editId="74817792">
            <wp:extent cx="5709285" cy="2526030"/>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9285" cy="2526030"/>
                    </a:xfrm>
                    <a:prstGeom prst="rect">
                      <a:avLst/>
                    </a:prstGeom>
                    <a:noFill/>
                    <a:ln>
                      <a:noFill/>
                    </a:ln>
                  </pic:spPr>
                </pic:pic>
              </a:graphicData>
            </a:graphic>
          </wp:inline>
        </w:drawing>
      </w:r>
    </w:p>
    <w:p w14:paraId="08FC374B" w14:textId="77777777" w:rsidR="00FE291A" w:rsidRDefault="00C8738F">
      <w:pPr>
        <w:pStyle w:val="BodyText"/>
        <w:widowControl/>
        <w:tabs>
          <w:tab w:val="left" w:pos="4435"/>
          <w:tab w:val="left" w:pos="6637"/>
        </w:tabs>
        <w:kinsoku w:val="0"/>
        <w:overflowPunct w:val="0"/>
        <w:ind w:left="0"/>
        <w:rPr>
          <w:sz w:val="20"/>
          <w:szCs w:val="20"/>
          <w:lang w:val="de-DE"/>
        </w:rPr>
      </w:pPr>
      <w:r>
        <w:rPr>
          <w:sz w:val="20"/>
          <w:szCs w:val="20"/>
          <w:lang w:val="de-DE"/>
        </w:rPr>
        <w:t>Hinweis: P# = Placebo (Anzahl an Ereignissen/Anzahl Risikopatienten); A# = Adalimumab (Anzahl an Ereignissen/Anzahl Risikopatienten).</w:t>
      </w:r>
    </w:p>
    <w:p w14:paraId="4EE1DD2F" w14:textId="77777777" w:rsidR="00FE291A" w:rsidRDefault="00FE291A">
      <w:pPr>
        <w:widowControl/>
        <w:kinsoku w:val="0"/>
        <w:overflowPunct w:val="0"/>
        <w:rPr>
          <w:sz w:val="22"/>
          <w:szCs w:val="20"/>
          <w:lang w:val="de-DE"/>
        </w:rPr>
      </w:pPr>
    </w:p>
    <w:p w14:paraId="49EF42F8" w14:textId="77777777" w:rsidR="00FE291A" w:rsidRDefault="00C8738F">
      <w:pPr>
        <w:pStyle w:val="BodyText"/>
        <w:widowControl/>
        <w:kinsoku w:val="0"/>
        <w:overflowPunct w:val="0"/>
        <w:ind w:left="0"/>
        <w:rPr>
          <w:lang w:val="de-DE"/>
        </w:rPr>
      </w:pPr>
      <w:r>
        <w:rPr>
          <w:lang w:val="de-DE"/>
        </w:rPr>
        <w:t>In der Studie UV I wurden für jede Komponente des Behandlungsversagens statistisch signifikante Unterschiede zugunsten von Adalimumab gegenüber Placebo festgestellt. In der Studie UV II wurden statistisch signifikante Unterschiede nur für die Sehschärfe festgestellt, doch die Ergebnisse der anderen Komponenten fielen numerisch zugunsten von Adalimumab aus.</w:t>
      </w:r>
    </w:p>
    <w:p w14:paraId="7AE8F756" w14:textId="77777777" w:rsidR="00FE291A" w:rsidRDefault="00FE291A">
      <w:pPr>
        <w:widowControl/>
        <w:kinsoku w:val="0"/>
        <w:overflowPunct w:val="0"/>
        <w:rPr>
          <w:sz w:val="22"/>
          <w:szCs w:val="22"/>
          <w:lang w:val="de-DE"/>
        </w:rPr>
      </w:pPr>
    </w:p>
    <w:p w14:paraId="566596E0" w14:textId="77777777" w:rsidR="00FE291A" w:rsidRDefault="00C8738F">
      <w:pPr>
        <w:widowControl/>
        <w:kinsoku w:val="0"/>
        <w:overflowPunct w:val="0"/>
        <w:rPr>
          <w:sz w:val="22"/>
          <w:szCs w:val="22"/>
          <w:lang w:val="de-DE"/>
        </w:rPr>
      </w:pPr>
      <w:r>
        <w:rPr>
          <w:sz w:val="22"/>
          <w:szCs w:val="22"/>
          <w:lang w:val="de-DE"/>
        </w:rPr>
        <w:t>Von den 424 Studienteilnehmern, die in die unkontrollierte Langzeit-Fortsetzungsstudie von den Studien UV I und UV II eingeschlossen waren, erwiesen sich 60 Studienteilnehmer als nicht auswertbar (z. B. aufgrund von Abweichungen oder durch Komplikationen nachrangig einer diabetischen Retinopathie, die auf eine Operation des grauen Stars oder Glaskörperentfernung zurückzuführen waren). Sie wurden deshalb von der primären Wirksamkeitsanalyse ausgeschlossen. Von den 364 verbleibenden Patienten erreichten 269 der auswertbaren Patienten (74 %) 78 Wochen der offenen Adalimumab-Behandlung. Basierend auf dem betrachteten datenbasierten Ansatz waren 216 (80,3 %) Patienten in einer Ruhephase (keine aktiven entzündlichen Läsionen, Grad der Vorderkammerzellen ≤ 0,5+, Grad der Glaskörpertrübung ≤ 0,5+) mit einer einhergehenden Steroiddosis ≤ 7,5 mg pro Tag, und 178 (66,2 %) waren in einer steroidfreien Ruhephase. In Woche 78 wurde bei 88,6 % der Augen der bestkorrigierte Visus (</w:t>
      </w:r>
      <w:r>
        <w:rPr>
          <w:i/>
          <w:sz w:val="22"/>
          <w:szCs w:val="22"/>
          <w:lang w:val="de-DE"/>
        </w:rPr>
        <w:t>best corrected visual acuity</w:t>
      </w:r>
      <w:r>
        <w:rPr>
          <w:sz w:val="22"/>
          <w:szCs w:val="22"/>
          <w:lang w:val="de-DE"/>
        </w:rPr>
        <w:t>, BCVA) entweder verbessert oder erhalten (&lt; 5 Zeichen der Verschlechterung). Daten über die Woche 78 hinaus waren im Allgemeinen übereinstimmend mit diesen Ergebnissen, aber die Anzahl von eingeschlossenen Studienteilnehmern ging nach dieser Zeit zurück. Ursächlich für die vorzeitige Beendigung der Studie waren in 18 % der Fälle das Auftreten von Nebenwirkungen und in 8 % der Fälle ein unzureichendes Ansprechen auf die Behandlung mit Adalimumab.</w:t>
      </w:r>
    </w:p>
    <w:p w14:paraId="1259FA4D" w14:textId="77777777" w:rsidR="00FE291A" w:rsidRDefault="00FE291A">
      <w:pPr>
        <w:widowControl/>
        <w:kinsoku w:val="0"/>
        <w:overflowPunct w:val="0"/>
        <w:rPr>
          <w:sz w:val="22"/>
          <w:szCs w:val="22"/>
          <w:lang w:val="de-DE"/>
        </w:rPr>
      </w:pPr>
    </w:p>
    <w:p w14:paraId="20E4172B" w14:textId="77777777" w:rsidR="00FE291A" w:rsidRDefault="00C8738F">
      <w:pPr>
        <w:keepNext/>
        <w:widowControl/>
        <w:kinsoku w:val="0"/>
        <w:overflowPunct w:val="0"/>
        <w:rPr>
          <w:sz w:val="22"/>
          <w:szCs w:val="22"/>
          <w:lang w:val="de-DE"/>
        </w:rPr>
      </w:pPr>
      <w:r>
        <w:rPr>
          <w:i/>
          <w:iCs/>
          <w:sz w:val="22"/>
          <w:szCs w:val="22"/>
          <w:u w:val="single"/>
          <w:lang w:val="de-DE"/>
        </w:rPr>
        <w:t>Lebensqualität</w:t>
      </w:r>
    </w:p>
    <w:p w14:paraId="69599320" w14:textId="77777777" w:rsidR="00FE291A" w:rsidRDefault="00FE291A">
      <w:pPr>
        <w:keepNext/>
        <w:widowControl/>
        <w:kinsoku w:val="0"/>
        <w:overflowPunct w:val="0"/>
        <w:rPr>
          <w:sz w:val="22"/>
          <w:szCs w:val="22"/>
          <w:lang w:val="de-DE"/>
        </w:rPr>
      </w:pPr>
    </w:p>
    <w:p w14:paraId="2C6E2FE8" w14:textId="77777777" w:rsidR="00FE291A" w:rsidRDefault="00C8738F">
      <w:pPr>
        <w:pStyle w:val="BodyText"/>
        <w:widowControl/>
        <w:kinsoku w:val="0"/>
        <w:overflowPunct w:val="0"/>
        <w:ind w:left="0"/>
        <w:rPr>
          <w:lang w:val="de-DE"/>
        </w:rPr>
      </w:pPr>
      <w:r>
        <w:rPr>
          <w:lang w:val="de-DE"/>
        </w:rPr>
        <w:t>In beiden klinischen Studien wurde die Therapiebewertung aus Patientensicht (</w:t>
      </w:r>
      <w:r>
        <w:rPr>
          <w:i/>
          <w:lang w:val="de-DE"/>
        </w:rPr>
        <w:t>patient reported outcome</w:t>
      </w:r>
      <w:r>
        <w:rPr>
          <w:lang w:val="de-DE"/>
        </w:rPr>
        <w:t xml:space="preserve">, PRO) hinsichtlich des Sehvermögens mithilfe des NEI VFQ-25 beurteilt. Bei den meisten </w:t>
      </w:r>
      <w:r>
        <w:rPr>
          <w:i/>
          <w:iCs/>
          <w:lang w:val="de-DE"/>
        </w:rPr>
        <w:t>Subscores</w:t>
      </w:r>
      <w:r>
        <w:rPr>
          <w:lang w:val="de-DE"/>
        </w:rPr>
        <w:t xml:space="preserve"> fielen die Ergebnisse numerisch zugunsten von Adalimumab aus – ein statistisch signifikanter mittlerer Unterschied bestand in der Studie UV I beim allgemeinen Sehvermögen, bei Augenschmerzen, Nahsicht, mentaler Gesundheit und dem Gesamtscore, in der Studie UV II beim allgemeinen Sehvermögen und der mentalen Gesundheit. Weitere Wirkungen in Bezug auf das Sehvermögen fielen in der Studie UV I beim Farbsehen und in der Studie UV II beim Farbsehen, dem peripheren Sehen und der Nahsicht numerisch nicht zugunsten von Adalimumab aus.</w:t>
      </w:r>
    </w:p>
    <w:p w14:paraId="1A30A5BC" w14:textId="77777777" w:rsidR="00FE291A" w:rsidRDefault="00FE291A">
      <w:pPr>
        <w:widowControl/>
        <w:kinsoku w:val="0"/>
        <w:overflowPunct w:val="0"/>
        <w:rPr>
          <w:sz w:val="22"/>
          <w:szCs w:val="22"/>
          <w:lang w:val="de-DE"/>
        </w:rPr>
      </w:pPr>
    </w:p>
    <w:p w14:paraId="5752D797" w14:textId="77777777" w:rsidR="00FE291A" w:rsidRDefault="00C8738F">
      <w:pPr>
        <w:pStyle w:val="BodyText"/>
        <w:keepNext/>
        <w:widowControl/>
        <w:kinsoku w:val="0"/>
        <w:overflowPunct w:val="0"/>
        <w:ind w:left="0"/>
        <w:rPr>
          <w:lang w:val="de-DE"/>
        </w:rPr>
      </w:pPr>
      <w:r>
        <w:rPr>
          <w:u w:val="single"/>
          <w:lang w:val="de-DE"/>
        </w:rPr>
        <w:t>Immunogenität</w:t>
      </w:r>
    </w:p>
    <w:p w14:paraId="2025A1D6" w14:textId="77777777" w:rsidR="00FE291A" w:rsidRDefault="00FE291A">
      <w:pPr>
        <w:keepNext/>
        <w:widowControl/>
        <w:kinsoku w:val="0"/>
        <w:overflowPunct w:val="0"/>
        <w:rPr>
          <w:sz w:val="22"/>
          <w:szCs w:val="19"/>
          <w:lang w:val="de-DE"/>
        </w:rPr>
      </w:pPr>
    </w:p>
    <w:p w14:paraId="5EBE4A62" w14:textId="77777777" w:rsidR="00FE291A" w:rsidRDefault="00C8738F">
      <w:pPr>
        <w:pStyle w:val="BodyText"/>
        <w:widowControl/>
        <w:kinsoku w:val="0"/>
        <w:overflowPunct w:val="0"/>
        <w:ind w:left="0"/>
        <w:rPr>
          <w:lang w:val="de-DE"/>
        </w:rPr>
      </w:pPr>
      <w:r>
        <w:rPr>
          <w:lang w:val="de-DE"/>
        </w:rPr>
        <w:t xml:space="preserve">Während einer Adalimumab-Behandlung können sich Anti-Adalimumab-Antikörper entwickeln. Die Bildung von Anti-Adalimumab-Antikörpern ist mit einer erhöhten </w:t>
      </w:r>
      <w:r>
        <w:rPr>
          <w:i/>
          <w:iCs/>
          <w:lang w:val="de-DE"/>
        </w:rPr>
        <w:t>Clearance</w:t>
      </w:r>
      <w:r>
        <w:rPr>
          <w:lang w:val="de-DE"/>
        </w:rPr>
        <w:t xml:space="preserve"> und einer verminderten Wirksamkeit von Adalimumab verbunden. Zwischen der Anwesenheit von Anti-Adalimumab-Antikörpern und dem Auftreten von unerwünschten Ereignissen gibt es keinen offensichtlichen Zusammenhang.</w:t>
      </w:r>
    </w:p>
    <w:p w14:paraId="453881EB" w14:textId="77777777" w:rsidR="00FE291A" w:rsidRDefault="00FE291A">
      <w:pPr>
        <w:widowControl/>
        <w:kinsoku w:val="0"/>
        <w:overflowPunct w:val="0"/>
        <w:rPr>
          <w:sz w:val="22"/>
          <w:szCs w:val="22"/>
          <w:lang w:val="de-DE"/>
        </w:rPr>
      </w:pPr>
    </w:p>
    <w:p w14:paraId="23DCF8ED" w14:textId="77777777" w:rsidR="00FE291A" w:rsidRDefault="00C8738F">
      <w:pPr>
        <w:widowControl/>
        <w:rPr>
          <w:color w:val="000000"/>
          <w:sz w:val="22"/>
          <w:szCs w:val="22"/>
          <w:u w:val="single"/>
          <w:lang w:val="de-DE"/>
        </w:rPr>
      </w:pPr>
      <w:r>
        <w:rPr>
          <w:color w:val="000000"/>
          <w:sz w:val="22"/>
          <w:szCs w:val="22"/>
          <w:u w:val="single"/>
          <w:lang w:val="de-DE"/>
        </w:rPr>
        <w:t xml:space="preserve">Kinder und Jugendliche </w:t>
      </w:r>
    </w:p>
    <w:p w14:paraId="6F466CCB" w14:textId="77777777" w:rsidR="00FE291A" w:rsidRDefault="00FE291A">
      <w:pPr>
        <w:widowControl/>
        <w:rPr>
          <w:color w:val="000000"/>
          <w:sz w:val="22"/>
          <w:szCs w:val="22"/>
          <w:lang w:val="de-DE"/>
        </w:rPr>
      </w:pPr>
    </w:p>
    <w:p w14:paraId="7BC899A2" w14:textId="77777777" w:rsidR="00FE291A" w:rsidRDefault="00C8738F">
      <w:pPr>
        <w:widowControl/>
        <w:rPr>
          <w:i/>
          <w:iCs/>
          <w:color w:val="000000"/>
          <w:sz w:val="22"/>
          <w:szCs w:val="22"/>
          <w:lang w:val="de-DE"/>
        </w:rPr>
      </w:pPr>
      <w:r>
        <w:rPr>
          <w:i/>
          <w:iCs/>
          <w:color w:val="000000"/>
          <w:sz w:val="22"/>
          <w:szCs w:val="22"/>
          <w:lang w:val="de-DE"/>
        </w:rPr>
        <w:t xml:space="preserve">Juvenile idiopathische Arthritis (JIA) </w:t>
      </w:r>
    </w:p>
    <w:p w14:paraId="59BADFA6" w14:textId="77777777" w:rsidR="00FE291A" w:rsidRDefault="00FE291A">
      <w:pPr>
        <w:widowControl/>
        <w:rPr>
          <w:color w:val="000000"/>
          <w:sz w:val="22"/>
          <w:szCs w:val="22"/>
          <w:lang w:val="de-DE"/>
        </w:rPr>
      </w:pPr>
    </w:p>
    <w:p w14:paraId="7122D09F" w14:textId="77777777" w:rsidR="00FE291A" w:rsidRDefault="00C8738F">
      <w:pPr>
        <w:keepNext/>
        <w:widowControl/>
        <w:rPr>
          <w:i/>
          <w:iCs/>
          <w:color w:val="000000"/>
          <w:sz w:val="22"/>
          <w:szCs w:val="22"/>
          <w:lang w:val="de-DE"/>
        </w:rPr>
      </w:pPr>
      <w:r>
        <w:rPr>
          <w:i/>
          <w:iCs/>
          <w:color w:val="000000"/>
          <w:sz w:val="22"/>
          <w:szCs w:val="22"/>
          <w:u w:val="single"/>
          <w:lang w:val="de-DE"/>
        </w:rPr>
        <w:t>Polyartikuläre juvenile idiopathische Arthritis (pJIA</w:t>
      </w:r>
      <w:r>
        <w:rPr>
          <w:i/>
          <w:iCs/>
          <w:color w:val="000000"/>
          <w:sz w:val="22"/>
          <w:szCs w:val="22"/>
          <w:lang w:val="de-DE"/>
        </w:rPr>
        <w:t>)</w:t>
      </w:r>
    </w:p>
    <w:p w14:paraId="5FAA647D" w14:textId="77777777" w:rsidR="00FE291A" w:rsidRDefault="00FE291A">
      <w:pPr>
        <w:keepNext/>
        <w:widowControl/>
        <w:rPr>
          <w:color w:val="000000"/>
          <w:sz w:val="22"/>
          <w:szCs w:val="22"/>
          <w:lang w:val="de-DE"/>
        </w:rPr>
      </w:pPr>
    </w:p>
    <w:p w14:paraId="26DDEBA6" w14:textId="77777777" w:rsidR="00FE291A" w:rsidRDefault="00C8738F">
      <w:pPr>
        <w:widowControl/>
        <w:rPr>
          <w:color w:val="000000"/>
          <w:sz w:val="22"/>
          <w:szCs w:val="22"/>
          <w:lang w:val="de-DE"/>
        </w:rPr>
      </w:pPr>
      <w:r>
        <w:rPr>
          <w:color w:val="000000"/>
          <w:sz w:val="22"/>
          <w:szCs w:val="22"/>
          <w:lang w:val="de-DE"/>
        </w:rPr>
        <w:t xml:space="preserve">Die Sicherheit und Wirksamkeit von Adalimumab wurden in zwei Studien (pJIA I und II) an Kindern mit aktiver polyartikulärer juveniler idiopathischer Arthritis oder polyartikulärem Verlauf untersucht, die zu Erkrankungsbeginn verschiedene Subtypen der juvenilen idiopathischen Arthritis aufwiesen (am häufigsten waren Rheumafaktor negative oder positive Polyarthritis und erweiterte Oligoarthritis). </w:t>
      </w:r>
    </w:p>
    <w:p w14:paraId="2AA609C9" w14:textId="77777777" w:rsidR="00FE291A" w:rsidRDefault="00FE291A">
      <w:pPr>
        <w:widowControl/>
        <w:rPr>
          <w:color w:val="000000"/>
          <w:sz w:val="22"/>
          <w:szCs w:val="22"/>
          <w:lang w:val="de-DE"/>
        </w:rPr>
      </w:pPr>
    </w:p>
    <w:p w14:paraId="3ED22CA0" w14:textId="77777777" w:rsidR="00FE291A" w:rsidRDefault="00C8738F">
      <w:pPr>
        <w:keepNext/>
        <w:widowControl/>
        <w:rPr>
          <w:color w:val="000000"/>
          <w:sz w:val="22"/>
          <w:szCs w:val="22"/>
          <w:lang w:val="de-DE"/>
        </w:rPr>
      </w:pPr>
      <w:r>
        <w:rPr>
          <w:color w:val="000000"/>
          <w:sz w:val="22"/>
          <w:szCs w:val="22"/>
          <w:lang w:val="de-DE"/>
        </w:rPr>
        <w:t>pJIA I</w:t>
      </w:r>
    </w:p>
    <w:p w14:paraId="2006D057" w14:textId="77777777" w:rsidR="00FE291A" w:rsidRDefault="00FE291A">
      <w:pPr>
        <w:keepNext/>
        <w:widowControl/>
        <w:rPr>
          <w:color w:val="000000"/>
          <w:sz w:val="22"/>
          <w:szCs w:val="22"/>
          <w:lang w:val="de-DE"/>
        </w:rPr>
      </w:pPr>
    </w:p>
    <w:p w14:paraId="407367C2" w14:textId="77777777" w:rsidR="00FE291A" w:rsidRDefault="00C8738F">
      <w:pPr>
        <w:widowControl/>
        <w:rPr>
          <w:sz w:val="22"/>
          <w:szCs w:val="22"/>
          <w:lang w:val="de-DE"/>
        </w:rPr>
      </w:pPr>
      <w:r>
        <w:rPr>
          <w:color w:val="000000"/>
          <w:sz w:val="22"/>
          <w:szCs w:val="22"/>
          <w:lang w:val="de-DE"/>
        </w:rPr>
        <w:t xml:space="preserve">Die Sicherheit und Wirksamkeit von Adalimumab wurden in einer multizentrischen, randomisierten, doppelblinden Parallelgruppenstudie an 171 Kindern und Jugendlichen (4 – 17 Jahre alt) mit polyartikulärer JIA untersucht. In der offenen Einleitungsphase (OL-LI) wurden die Patienten in zwei Gruppen stratifiziert: mit Methotrexat (MTX) behandelte oder nicht mit MTX behandelte Patienten. </w:t>
      </w:r>
      <w:r>
        <w:rPr>
          <w:sz w:val="22"/>
          <w:szCs w:val="22"/>
          <w:lang w:val="de-DE"/>
        </w:rPr>
        <w:t>Patienten, die im Nicht-MTX-Arm waren, waren entweder MTX-naiv oder MTX war mindestens zwei Wochen vor Verabreichung der Studienmedikation abgesetzt worden. Die Patienten erhielten stabile Dosen eines nicht steroidalen Antirheumatikums (NSAR) und/oder Prednison (≤ 0,2 mg/kg/Tag oder maximal 10 mg/Tag). In der OL-LI-Phase erhielten alle Patienten 16 Wochen lang 24 mg/m</w:t>
      </w:r>
      <w:r>
        <w:rPr>
          <w:sz w:val="22"/>
          <w:szCs w:val="22"/>
          <w:vertAlign w:val="superscript"/>
          <w:lang w:val="de-DE"/>
        </w:rPr>
        <w:t>2</w:t>
      </w:r>
      <w:r>
        <w:rPr>
          <w:sz w:val="14"/>
          <w:szCs w:val="14"/>
          <w:lang w:val="de-DE"/>
        </w:rPr>
        <w:t xml:space="preserve"> </w:t>
      </w:r>
      <w:r>
        <w:rPr>
          <w:sz w:val="22"/>
          <w:szCs w:val="22"/>
          <w:lang w:val="de-DE"/>
        </w:rPr>
        <w:t>bis zu einer Maximaldosis von 40 mg Adalimumab jede zweite Woche. Die Patientenverteilung nach Alter und minimaler, mittlerer und maximaler Dosis, wie sie während der OL-LI-Phase verabreicht wurde, ist in Tabelle 25 dargestellt.</w:t>
      </w:r>
    </w:p>
    <w:p w14:paraId="26604243" w14:textId="77777777" w:rsidR="00FE291A" w:rsidRDefault="00FE291A">
      <w:pPr>
        <w:rPr>
          <w:sz w:val="22"/>
          <w:szCs w:val="22"/>
          <w:lang w:val="de-DE"/>
        </w:rPr>
      </w:pPr>
    </w:p>
    <w:p w14:paraId="55DAD470" w14:textId="77777777" w:rsidR="00FE291A" w:rsidRDefault="00C8738F">
      <w:pPr>
        <w:pStyle w:val="Default"/>
        <w:keepNext/>
        <w:rPr>
          <w:b/>
          <w:sz w:val="22"/>
          <w:szCs w:val="22"/>
          <w:lang w:val="de-DE" w:eastAsia="en-GB"/>
        </w:rPr>
      </w:pPr>
      <w:r>
        <w:rPr>
          <w:b/>
          <w:sz w:val="22"/>
          <w:szCs w:val="22"/>
          <w:lang w:val="de-DE" w:eastAsia="en-GB"/>
        </w:rPr>
        <w:t xml:space="preserve">Tabelle 25: </w:t>
      </w:r>
      <w:r>
        <w:rPr>
          <w:rFonts w:eastAsia="PMingLiU"/>
          <w:b/>
          <w:bCs/>
          <w:sz w:val="22"/>
          <w:szCs w:val="22"/>
          <w:lang w:val="de-DE" w:eastAsia="en-IN"/>
        </w:rPr>
        <w:t xml:space="preserve">Patientenverteilung nach Alter und verabreichter Adalimumab-Dosis während der </w:t>
      </w:r>
      <w:r>
        <w:rPr>
          <w:b/>
          <w:bCs/>
          <w:sz w:val="22"/>
          <w:szCs w:val="22"/>
          <w:lang w:val="de-DE"/>
        </w:rPr>
        <w:t>OL-LI-Phase</w:t>
      </w:r>
    </w:p>
    <w:p w14:paraId="4714AD32" w14:textId="77777777" w:rsidR="00FE291A" w:rsidRDefault="00FE291A">
      <w:pPr>
        <w:keepNext/>
        <w:rPr>
          <w:sz w:val="22"/>
          <w:szCs w:val="22"/>
          <w:lang w:val="de-DE" w:eastAsia="en-GB"/>
        </w:rPr>
      </w:pP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6"/>
        <w:gridCol w:w="3024"/>
        <w:gridCol w:w="3024"/>
      </w:tblGrid>
      <w:tr w:rsidR="00FE291A" w:rsidRPr="00723069" w14:paraId="01813380" w14:textId="77777777">
        <w:trPr>
          <w:trHeight w:val="293"/>
        </w:trPr>
        <w:tc>
          <w:tcPr>
            <w:tcW w:w="2916" w:type="dxa"/>
          </w:tcPr>
          <w:p w14:paraId="7F452F34" w14:textId="77777777" w:rsidR="00FE291A" w:rsidRDefault="00C8738F">
            <w:pPr>
              <w:keepNext/>
              <w:rPr>
                <w:b/>
                <w:sz w:val="22"/>
                <w:szCs w:val="22"/>
                <w:lang w:val="de-DE" w:eastAsia="en-GB"/>
              </w:rPr>
            </w:pPr>
            <w:r>
              <w:rPr>
                <w:b/>
                <w:sz w:val="22"/>
                <w:szCs w:val="22"/>
                <w:lang w:val="de-DE"/>
              </w:rPr>
              <w:t>Altersgruppe</w:t>
            </w:r>
          </w:p>
        </w:tc>
        <w:tc>
          <w:tcPr>
            <w:tcW w:w="3024" w:type="dxa"/>
          </w:tcPr>
          <w:p w14:paraId="1C30C824" w14:textId="77777777" w:rsidR="00FE291A" w:rsidRDefault="00C8738F">
            <w:pPr>
              <w:keepNext/>
              <w:jc w:val="center"/>
              <w:rPr>
                <w:b/>
                <w:sz w:val="22"/>
                <w:szCs w:val="22"/>
                <w:lang w:val="de-DE" w:eastAsia="en-GB"/>
              </w:rPr>
            </w:pPr>
            <w:r>
              <w:rPr>
                <w:b/>
                <w:sz w:val="22"/>
                <w:szCs w:val="22"/>
                <w:lang w:val="de-DE"/>
              </w:rPr>
              <w:t xml:space="preserve">Patientenanzahl zu Studienbeginn n (%) </w:t>
            </w:r>
          </w:p>
        </w:tc>
        <w:tc>
          <w:tcPr>
            <w:tcW w:w="3024" w:type="dxa"/>
          </w:tcPr>
          <w:p w14:paraId="167AD670" w14:textId="77777777" w:rsidR="00FE291A" w:rsidRDefault="00C8738F">
            <w:pPr>
              <w:keepNext/>
              <w:jc w:val="center"/>
              <w:rPr>
                <w:b/>
                <w:sz w:val="22"/>
                <w:szCs w:val="22"/>
                <w:lang w:val="de-DE" w:eastAsia="en-GB"/>
              </w:rPr>
            </w:pPr>
            <w:r>
              <w:rPr>
                <w:b/>
                <w:sz w:val="22"/>
                <w:szCs w:val="22"/>
                <w:lang w:val="de-DE"/>
              </w:rPr>
              <w:t xml:space="preserve">Minimale, mittlere und maximale Dosis </w:t>
            </w:r>
          </w:p>
        </w:tc>
      </w:tr>
      <w:tr w:rsidR="00FE291A" w14:paraId="57489D5C" w14:textId="77777777">
        <w:trPr>
          <w:trHeight w:val="147"/>
        </w:trPr>
        <w:tc>
          <w:tcPr>
            <w:tcW w:w="2916" w:type="dxa"/>
          </w:tcPr>
          <w:p w14:paraId="54A15A70" w14:textId="77777777" w:rsidR="00FE291A" w:rsidRDefault="00C8738F">
            <w:pPr>
              <w:keepNext/>
              <w:rPr>
                <w:sz w:val="22"/>
                <w:szCs w:val="22"/>
                <w:lang w:val="de-DE" w:eastAsia="en-GB"/>
              </w:rPr>
            </w:pPr>
            <w:r>
              <w:rPr>
                <w:sz w:val="22"/>
                <w:szCs w:val="22"/>
                <w:lang w:val="de-DE"/>
              </w:rPr>
              <w:t xml:space="preserve">4 bis 7 Jahre </w:t>
            </w:r>
          </w:p>
        </w:tc>
        <w:tc>
          <w:tcPr>
            <w:tcW w:w="3024" w:type="dxa"/>
          </w:tcPr>
          <w:p w14:paraId="4D176995" w14:textId="77777777" w:rsidR="00FE291A" w:rsidRDefault="00C8738F">
            <w:pPr>
              <w:keepNext/>
              <w:jc w:val="center"/>
              <w:rPr>
                <w:sz w:val="22"/>
                <w:szCs w:val="22"/>
                <w:lang w:val="de-DE" w:eastAsia="en-GB"/>
              </w:rPr>
            </w:pPr>
            <w:r>
              <w:rPr>
                <w:sz w:val="22"/>
                <w:szCs w:val="22"/>
                <w:lang w:val="de-DE"/>
              </w:rPr>
              <w:t xml:space="preserve">31 (18,1) </w:t>
            </w:r>
          </w:p>
        </w:tc>
        <w:tc>
          <w:tcPr>
            <w:tcW w:w="3024" w:type="dxa"/>
          </w:tcPr>
          <w:p w14:paraId="163A57D7" w14:textId="77777777" w:rsidR="00FE291A" w:rsidRDefault="00C8738F">
            <w:pPr>
              <w:keepNext/>
              <w:jc w:val="center"/>
              <w:rPr>
                <w:sz w:val="22"/>
                <w:szCs w:val="22"/>
                <w:lang w:val="de-DE" w:eastAsia="en-GB"/>
              </w:rPr>
            </w:pPr>
            <w:r>
              <w:rPr>
                <w:sz w:val="22"/>
                <w:szCs w:val="22"/>
                <w:lang w:val="de-DE"/>
              </w:rPr>
              <w:t xml:space="preserve">10, 20 und 25 mg </w:t>
            </w:r>
          </w:p>
        </w:tc>
      </w:tr>
      <w:tr w:rsidR="00FE291A" w14:paraId="04CFE185" w14:textId="77777777">
        <w:trPr>
          <w:trHeight w:val="147"/>
        </w:trPr>
        <w:tc>
          <w:tcPr>
            <w:tcW w:w="2916" w:type="dxa"/>
          </w:tcPr>
          <w:p w14:paraId="17C9AC7D" w14:textId="77777777" w:rsidR="00FE291A" w:rsidRDefault="00C8738F">
            <w:pPr>
              <w:rPr>
                <w:sz w:val="22"/>
                <w:szCs w:val="22"/>
                <w:lang w:val="de-DE" w:eastAsia="en-GB"/>
              </w:rPr>
            </w:pPr>
            <w:r>
              <w:rPr>
                <w:sz w:val="22"/>
                <w:szCs w:val="22"/>
                <w:lang w:val="de-DE"/>
              </w:rPr>
              <w:t xml:space="preserve">8 bis 12 Jahre </w:t>
            </w:r>
          </w:p>
        </w:tc>
        <w:tc>
          <w:tcPr>
            <w:tcW w:w="3024" w:type="dxa"/>
          </w:tcPr>
          <w:p w14:paraId="2EEAF7A0" w14:textId="77777777" w:rsidR="00FE291A" w:rsidRDefault="00C8738F">
            <w:pPr>
              <w:jc w:val="center"/>
              <w:rPr>
                <w:sz w:val="22"/>
                <w:szCs w:val="22"/>
                <w:lang w:val="de-DE" w:eastAsia="en-GB"/>
              </w:rPr>
            </w:pPr>
            <w:r>
              <w:rPr>
                <w:sz w:val="22"/>
                <w:szCs w:val="22"/>
                <w:lang w:val="de-DE"/>
              </w:rPr>
              <w:t xml:space="preserve">71 (41,5) </w:t>
            </w:r>
          </w:p>
        </w:tc>
        <w:tc>
          <w:tcPr>
            <w:tcW w:w="3024" w:type="dxa"/>
          </w:tcPr>
          <w:p w14:paraId="072A8228" w14:textId="77777777" w:rsidR="00FE291A" w:rsidRDefault="00C8738F">
            <w:pPr>
              <w:jc w:val="center"/>
              <w:rPr>
                <w:sz w:val="22"/>
                <w:szCs w:val="22"/>
                <w:lang w:val="de-DE" w:eastAsia="en-GB"/>
              </w:rPr>
            </w:pPr>
            <w:r>
              <w:rPr>
                <w:sz w:val="22"/>
                <w:szCs w:val="22"/>
                <w:lang w:val="de-DE"/>
              </w:rPr>
              <w:t xml:space="preserve">20, 25 und 40 mg </w:t>
            </w:r>
          </w:p>
        </w:tc>
      </w:tr>
      <w:tr w:rsidR="00FE291A" w14:paraId="475302AC" w14:textId="77777777">
        <w:trPr>
          <w:trHeight w:val="147"/>
        </w:trPr>
        <w:tc>
          <w:tcPr>
            <w:tcW w:w="2916" w:type="dxa"/>
          </w:tcPr>
          <w:p w14:paraId="360B6C81" w14:textId="77777777" w:rsidR="00FE291A" w:rsidRDefault="00C8738F">
            <w:pPr>
              <w:rPr>
                <w:sz w:val="22"/>
                <w:szCs w:val="22"/>
                <w:lang w:val="de-DE" w:eastAsia="en-GB"/>
              </w:rPr>
            </w:pPr>
            <w:r>
              <w:rPr>
                <w:sz w:val="22"/>
                <w:szCs w:val="22"/>
                <w:lang w:val="de-DE"/>
              </w:rPr>
              <w:t xml:space="preserve">13 bis 17 Jahre </w:t>
            </w:r>
          </w:p>
        </w:tc>
        <w:tc>
          <w:tcPr>
            <w:tcW w:w="3024" w:type="dxa"/>
          </w:tcPr>
          <w:p w14:paraId="6F4E6BC0" w14:textId="77777777" w:rsidR="00FE291A" w:rsidRDefault="00C8738F">
            <w:pPr>
              <w:jc w:val="center"/>
              <w:rPr>
                <w:sz w:val="22"/>
                <w:szCs w:val="22"/>
                <w:lang w:val="de-DE" w:eastAsia="en-GB"/>
              </w:rPr>
            </w:pPr>
            <w:r>
              <w:rPr>
                <w:sz w:val="22"/>
                <w:szCs w:val="22"/>
                <w:lang w:val="de-DE"/>
              </w:rPr>
              <w:t xml:space="preserve">69 (40,4) </w:t>
            </w:r>
          </w:p>
        </w:tc>
        <w:tc>
          <w:tcPr>
            <w:tcW w:w="3024" w:type="dxa"/>
          </w:tcPr>
          <w:p w14:paraId="2E888B41" w14:textId="77777777" w:rsidR="00FE291A" w:rsidRDefault="00C8738F">
            <w:pPr>
              <w:jc w:val="center"/>
              <w:rPr>
                <w:sz w:val="22"/>
                <w:szCs w:val="22"/>
                <w:lang w:val="de-DE" w:eastAsia="en-GB"/>
              </w:rPr>
            </w:pPr>
            <w:r>
              <w:rPr>
                <w:sz w:val="22"/>
                <w:szCs w:val="22"/>
                <w:lang w:val="de-DE"/>
              </w:rPr>
              <w:t xml:space="preserve">25, 40 und 40 mg </w:t>
            </w:r>
          </w:p>
        </w:tc>
      </w:tr>
    </w:tbl>
    <w:p w14:paraId="569A53F4" w14:textId="77777777" w:rsidR="00FE291A" w:rsidRDefault="00FE291A">
      <w:pPr>
        <w:pStyle w:val="BodyText"/>
        <w:widowControl/>
        <w:kinsoku w:val="0"/>
        <w:overflowPunct w:val="0"/>
        <w:ind w:left="0"/>
        <w:rPr>
          <w:u w:val="single"/>
          <w:lang w:val="de-DE"/>
        </w:rPr>
      </w:pPr>
    </w:p>
    <w:p w14:paraId="79939ED0" w14:textId="77777777" w:rsidR="00FE291A" w:rsidRDefault="00C8738F">
      <w:pPr>
        <w:pStyle w:val="BodyText"/>
        <w:widowControl/>
        <w:kinsoku w:val="0"/>
        <w:overflowPunct w:val="0"/>
        <w:ind w:left="0"/>
        <w:rPr>
          <w:u w:val="single"/>
          <w:lang w:val="de-DE"/>
        </w:rPr>
      </w:pPr>
      <w:r>
        <w:rPr>
          <w:lang w:val="de-DE"/>
        </w:rPr>
        <w:t>Die Patienten, die ein pädiatrisches ACR-30-Ansprechen in Woche 16 zeigten, waren für die Randomisierung in die doppelblinde (DB-)Studienphase geeignet und erhielten entweder Adalimumab (24 mg/m</w:t>
      </w:r>
      <w:r>
        <w:rPr>
          <w:vertAlign w:val="superscript"/>
          <w:lang w:val="de-DE"/>
        </w:rPr>
        <w:t>2</w:t>
      </w:r>
      <w:r>
        <w:rPr>
          <w:sz w:val="14"/>
          <w:szCs w:val="14"/>
          <w:lang w:val="de-DE"/>
        </w:rPr>
        <w:t xml:space="preserve"> </w:t>
      </w:r>
      <w:r>
        <w:rPr>
          <w:lang w:val="de-DE"/>
        </w:rPr>
        <w:t>bis zu einer maximalen Einzeldosis von 40 mg) oder Placebo jede zweite Woche für weitere 32 Wochen oder bis zu einem Wiederaufflammen der Erkrankung. Kriterien für ein Wiederaufflammen der Erkrankung waren definiert als eine Verschlechterung von ≥ 30 % im Vergleich zu Studienbeginn bei ≥ 3 von 6 pädiatrischen ACR-</w:t>
      </w:r>
      <w:r>
        <w:rPr>
          <w:i/>
          <w:iCs/>
          <w:lang w:val="de-DE"/>
        </w:rPr>
        <w:t>Core</w:t>
      </w:r>
      <w:r>
        <w:rPr>
          <w:lang w:val="de-DE"/>
        </w:rPr>
        <w:t>-Kriterien, ≥ 2 aktive Gelenke und eine Verbesserung von &gt; 30 % in nicht mehr als einem der 6 Kriterien. Nach 32 Wochen oder bei Wiederaufflammen der Erkrankung waren die Patienten für die Überführung in die offene Fortsetzungsphase (OLE) geeignet.</w:t>
      </w:r>
    </w:p>
    <w:p w14:paraId="2F409656" w14:textId="77777777" w:rsidR="00FE291A" w:rsidRDefault="00FE291A">
      <w:pPr>
        <w:pStyle w:val="BodyText"/>
        <w:widowControl/>
        <w:kinsoku w:val="0"/>
        <w:overflowPunct w:val="0"/>
        <w:ind w:left="0"/>
        <w:rPr>
          <w:u w:val="single"/>
          <w:lang w:val="de-DE"/>
        </w:rPr>
      </w:pPr>
    </w:p>
    <w:p w14:paraId="5BD435FC" w14:textId="77777777" w:rsidR="00FE291A" w:rsidRDefault="00C8738F">
      <w:pPr>
        <w:keepNext/>
        <w:keepLines/>
        <w:widowControl/>
        <w:rPr>
          <w:b/>
          <w:color w:val="000000"/>
          <w:sz w:val="22"/>
          <w:szCs w:val="22"/>
          <w:lang w:val="de-DE" w:eastAsia="en-GB"/>
        </w:rPr>
      </w:pPr>
      <w:r>
        <w:rPr>
          <w:b/>
          <w:color w:val="000000"/>
          <w:sz w:val="22"/>
          <w:szCs w:val="22"/>
          <w:lang w:val="de-DE" w:eastAsia="en-GB"/>
        </w:rPr>
        <w:t xml:space="preserve">Tabelle 26: </w:t>
      </w:r>
      <w:r>
        <w:rPr>
          <w:b/>
          <w:bCs/>
          <w:sz w:val="22"/>
          <w:szCs w:val="22"/>
          <w:lang w:val="de-DE"/>
        </w:rPr>
        <w:t>Pädiatrisches ACR-30-Ansprechen in der JIA-Studie</w:t>
      </w:r>
    </w:p>
    <w:p w14:paraId="7727EF18" w14:textId="77777777" w:rsidR="00FE291A" w:rsidRDefault="00FE291A">
      <w:pPr>
        <w:keepNext/>
        <w:keepLines/>
        <w:widowControl/>
        <w:rPr>
          <w:color w:val="000000"/>
          <w:sz w:val="22"/>
          <w:szCs w:val="22"/>
          <w:lang w:val="de-DE" w:eastAsia="en-GB"/>
        </w:rPr>
      </w:pP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593"/>
        <w:gridCol w:w="1701"/>
        <w:gridCol w:w="1701"/>
        <w:gridCol w:w="1701"/>
      </w:tblGrid>
      <w:tr w:rsidR="00FE291A" w14:paraId="6C9CB7B2" w14:textId="77777777">
        <w:trPr>
          <w:cantSplit/>
          <w:trHeight w:val="149"/>
          <w:tblHeader/>
        </w:trPr>
        <w:tc>
          <w:tcPr>
            <w:tcW w:w="2268" w:type="dxa"/>
          </w:tcPr>
          <w:p w14:paraId="520C50CC" w14:textId="77777777" w:rsidR="00FE291A" w:rsidRDefault="00C8738F">
            <w:pPr>
              <w:keepNext/>
              <w:keepLines/>
              <w:widowControl/>
              <w:rPr>
                <w:color w:val="000000"/>
                <w:sz w:val="22"/>
                <w:szCs w:val="22"/>
                <w:lang w:val="de-DE" w:eastAsia="en-GB"/>
              </w:rPr>
            </w:pPr>
            <w:r>
              <w:rPr>
                <w:b/>
                <w:bCs/>
                <w:color w:val="000000"/>
                <w:sz w:val="22"/>
                <w:szCs w:val="22"/>
                <w:lang w:val="de-DE" w:eastAsia="en-GB"/>
              </w:rPr>
              <w:t>Studienarm</w:t>
            </w:r>
          </w:p>
        </w:tc>
        <w:tc>
          <w:tcPr>
            <w:tcW w:w="3294" w:type="dxa"/>
            <w:gridSpan w:val="2"/>
          </w:tcPr>
          <w:p w14:paraId="3D847D4C" w14:textId="77777777" w:rsidR="00FE291A" w:rsidRDefault="00C8738F">
            <w:pPr>
              <w:keepNext/>
              <w:keepLines/>
              <w:widowControl/>
              <w:jc w:val="center"/>
              <w:rPr>
                <w:color w:val="000000"/>
                <w:sz w:val="22"/>
                <w:szCs w:val="22"/>
                <w:lang w:val="de-DE" w:eastAsia="en-GB"/>
              </w:rPr>
            </w:pPr>
            <w:r>
              <w:rPr>
                <w:b/>
                <w:bCs/>
                <w:color w:val="000000"/>
                <w:sz w:val="22"/>
                <w:szCs w:val="22"/>
                <w:lang w:val="de-DE" w:eastAsia="en-GB"/>
              </w:rPr>
              <w:t>MTX</w:t>
            </w:r>
          </w:p>
        </w:tc>
        <w:tc>
          <w:tcPr>
            <w:tcW w:w="3402" w:type="dxa"/>
            <w:gridSpan w:val="2"/>
          </w:tcPr>
          <w:p w14:paraId="1EC7A8A0" w14:textId="77777777" w:rsidR="00FE291A" w:rsidRDefault="00C8738F">
            <w:pPr>
              <w:keepNext/>
              <w:keepLines/>
              <w:widowControl/>
              <w:jc w:val="center"/>
              <w:rPr>
                <w:color w:val="000000"/>
                <w:sz w:val="22"/>
                <w:szCs w:val="22"/>
                <w:lang w:val="de-DE" w:eastAsia="en-GB"/>
              </w:rPr>
            </w:pPr>
            <w:r>
              <w:rPr>
                <w:b/>
                <w:bCs/>
                <w:color w:val="000000"/>
                <w:sz w:val="22"/>
                <w:szCs w:val="22"/>
                <w:lang w:val="de-DE" w:eastAsia="en-GB"/>
              </w:rPr>
              <w:t>Ohne MTX</w:t>
            </w:r>
          </w:p>
        </w:tc>
      </w:tr>
      <w:tr w:rsidR="00FE291A" w14:paraId="5E8B69E0" w14:textId="77777777">
        <w:trPr>
          <w:cantSplit/>
          <w:trHeight w:val="149"/>
          <w:tblHeader/>
        </w:trPr>
        <w:tc>
          <w:tcPr>
            <w:tcW w:w="8964" w:type="dxa"/>
            <w:gridSpan w:val="5"/>
          </w:tcPr>
          <w:p w14:paraId="534022FF" w14:textId="77777777" w:rsidR="00FE291A" w:rsidRDefault="00C8738F">
            <w:pPr>
              <w:keepNext/>
              <w:keepLines/>
              <w:widowControl/>
              <w:rPr>
                <w:color w:val="000000"/>
                <w:sz w:val="22"/>
                <w:szCs w:val="22"/>
                <w:lang w:val="de-DE" w:eastAsia="en-GB"/>
              </w:rPr>
            </w:pPr>
            <w:r>
              <w:rPr>
                <w:b/>
                <w:bCs/>
                <w:color w:val="000000"/>
                <w:sz w:val="22"/>
                <w:szCs w:val="22"/>
                <w:lang w:val="de-DE" w:eastAsia="en-GB"/>
              </w:rPr>
              <w:t xml:space="preserve">Phase </w:t>
            </w:r>
          </w:p>
        </w:tc>
      </w:tr>
      <w:tr w:rsidR="00FE291A" w14:paraId="2F369759" w14:textId="77777777">
        <w:trPr>
          <w:trHeight w:val="147"/>
        </w:trPr>
        <w:tc>
          <w:tcPr>
            <w:tcW w:w="2268" w:type="dxa"/>
          </w:tcPr>
          <w:p w14:paraId="25699D07" w14:textId="77777777" w:rsidR="00FE291A" w:rsidRDefault="00C8738F">
            <w:pPr>
              <w:pStyle w:val="Default"/>
              <w:keepNext/>
              <w:keepLines/>
              <w:rPr>
                <w:sz w:val="22"/>
                <w:szCs w:val="22"/>
                <w:lang w:val="de-DE"/>
              </w:rPr>
            </w:pPr>
            <w:r>
              <w:rPr>
                <w:sz w:val="22"/>
                <w:szCs w:val="22"/>
                <w:lang w:val="de-DE"/>
              </w:rPr>
              <w:t xml:space="preserve">OL-LI 16 Wochen </w:t>
            </w:r>
          </w:p>
        </w:tc>
        <w:tc>
          <w:tcPr>
            <w:tcW w:w="3294" w:type="dxa"/>
            <w:gridSpan w:val="2"/>
          </w:tcPr>
          <w:p w14:paraId="5FB9E989" w14:textId="77777777" w:rsidR="00FE291A" w:rsidRDefault="00FE291A">
            <w:pPr>
              <w:keepNext/>
              <w:keepLines/>
              <w:widowControl/>
              <w:rPr>
                <w:color w:val="000000"/>
                <w:sz w:val="22"/>
                <w:szCs w:val="22"/>
                <w:lang w:val="de-DE" w:eastAsia="en-GB"/>
              </w:rPr>
            </w:pPr>
          </w:p>
        </w:tc>
        <w:tc>
          <w:tcPr>
            <w:tcW w:w="3402" w:type="dxa"/>
            <w:gridSpan w:val="2"/>
          </w:tcPr>
          <w:p w14:paraId="7A411E5C" w14:textId="77777777" w:rsidR="00FE291A" w:rsidRDefault="00FE291A">
            <w:pPr>
              <w:keepNext/>
              <w:keepLines/>
              <w:widowControl/>
              <w:rPr>
                <w:color w:val="000000"/>
                <w:sz w:val="22"/>
                <w:szCs w:val="22"/>
                <w:lang w:val="de-DE" w:eastAsia="en-GB"/>
              </w:rPr>
            </w:pPr>
          </w:p>
        </w:tc>
      </w:tr>
      <w:tr w:rsidR="00FE291A" w14:paraId="1FEA35D0" w14:textId="77777777">
        <w:trPr>
          <w:trHeight w:val="283"/>
        </w:trPr>
        <w:tc>
          <w:tcPr>
            <w:tcW w:w="2268" w:type="dxa"/>
          </w:tcPr>
          <w:p w14:paraId="5C5908C6" w14:textId="77777777" w:rsidR="00FE291A" w:rsidRDefault="00C8738F">
            <w:pPr>
              <w:pStyle w:val="Default"/>
              <w:keepNext/>
              <w:keepLines/>
              <w:rPr>
                <w:sz w:val="22"/>
                <w:szCs w:val="22"/>
                <w:lang w:val="de-DE"/>
              </w:rPr>
            </w:pPr>
            <w:r>
              <w:rPr>
                <w:sz w:val="22"/>
                <w:szCs w:val="22"/>
                <w:lang w:val="de-DE"/>
              </w:rPr>
              <w:t>pädiatrisches ACR-30-Ansprechen (n/n)</w:t>
            </w:r>
          </w:p>
        </w:tc>
        <w:tc>
          <w:tcPr>
            <w:tcW w:w="3294" w:type="dxa"/>
            <w:gridSpan w:val="2"/>
          </w:tcPr>
          <w:p w14:paraId="5EB26CCB" w14:textId="77777777" w:rsidR="00FE291A" w:rsidRDefault="00C8738F">
            <w:pPr>
              <w:pStyle w:val="Default"/>
              <w:keepNext/>
              <w:keepLines/>
              <w:jc w:val="center"/>
              <w:rPr>
                <w:sz w:val="22"/>
                <w:szCs w:val="22"/>
                <w:lang w:val="de-DE"/>
              </w:rPr>
            </w:pPr>
            <w:r>
              <w:rPr>
                <w:sz w:val="22"/>
                <w:szCs w:val="22"/>
                <w:lang w:val="de-DE"/>
              </w:rPr>
              <w:t>94,1 % (80/85)</w:t>
            </w:r>
          </w:p>
          <w:p w14:paraId="7E0491EB" w14:textId="77777777" w:rsidR="00FE291A" w:rsidRDefault="00FE291A">
            <w:pPr>
              <w:keepNext/>
              <w:keepLines/>
              <w:widowControl/>
              <w:jc w:val="center"/>
              <w:rPr>
                <w:sz w:val="22"/>
                <w:szCs w:val="22"/>
                <w:lang w:val="de-DE" w:eastAsia="en-GB"/>
              </w:rPr>
            </w:pPr>
          </w:p>
        </w:tc>
        <w:tc>
          <w:tcPr>
            <w:tcW w:w="3402" w:type="dxa"/>
            <w:gridSpan w:val="2"/>
          </w:tcPr>
          <w:p w14:paraId="105ECCF9" w14:textId="77777777" w:rsidR="00FE291A" w:rsidRDefault="00C8738F">
            <w:pPr>
              <w:keepNext/>
              <w:keepLines/>
              <w:widowControl/>
              <w:jc w:val="center"/>
              <w:rPr>
                <w:sz w:val="22"/>
                <w:szCs w:val="22"/>
                <w:lang w:val="de-DE" w:eastAsia="en-GB"/>
              </w:rPr>
            </w:pPr>
            <w:r>
              <w:rPr>
                <w:sz w:val="22"/>
                <w:szCs w:val="22"/>
                <w:lang w:val="de-DE" w:eastAsia="en-GB"/>
              </w:rPr>
              <w:t>74,4 % (64/86)</w:t>
            </w:r>
          </w:p>
        </w:tc>
      </w:tr>
      <w:tr w:rsidR="00FE291A" w14:paraId="04DCDA9B" w14:textId="77777777">
        <w:trPr>
          <w:trHeight w:val="147"/>
        </w:trPr>
        <w:tc>
          <w:tcPr>
            <w:tcW w:w="8964" w:type="dxa"/>
            <w:gridSpan w:val="5"/>
          </w:tcPr>
          <w:p w14:paraId="771F3FBB" w14:textId="77777777" w:rsidR="00FE291A" w:rsidRDefault="00C8738F">
            <w:pPr>
              <w:keepNext/>
              <w:keepLines/>
              <w:widowControl/>
              <w:rPr>
                <w:sz w:val="22"/>
                <w:szCs w:val="22"/>
                <w:lang w:val="de-DE" w:eastAsia="en-GB"/>
              </w:rPr>
            </w:pPr>
            <w:r>
              <w:rPr>
                <w:sz w:val="22"/>
                <w:szCs w:val="22"/>
                <w:lang w:val="de-DE" w:eastAsia="en-GB"/>
              </w:rPr>
              <w:t>Ergebnisse zur Wirksamkeit</w:t>
            </w:r>
          </w:p>
        </w:tc>
      </w:tr>
      <w:tr w:rsidR="00FE291A" w14:paraId="51423489" w14:textId="77777777">
        <w:trPr>
          <w:trHeight w:val="283"/>
        </w:trPr>
        <w:tc>
          <w:tcPr>
            <w:tcW w:w="2268" w:type="dxa"/>
          </w:tcPr>
          <w:p w14:paraId="27BB0E8D" w14:textId="77777777" w:rsidR="00FE291A" w:rsidRDefault="00C8738F">
            <w:pPr>
              <w:keepNext/>
              <w:keepLines/>
              <w:rPr>
                <w:sz w:val="22"/>
                <w:szCs w:val="22"/>
                <w:lang w:val="de-DE" w:eastAsia="en-GB"/>
              </w:rPr>
            </w:pPr>
            <w:r>
              <w:rPr>
                <w:sz w:val="22"/>
                <w:szCs w:val="22"/>
                <w:lang w:val="de-DE"/>
              </w:rPr>
              <w:t>Doppelblind 32 Wochen</w:t>
            </w:r>
          </w:p>
        </w:tc>
        <w:tc>
          <w:tcPr>
            <w:tcW w:w="1593" w:type="dxa"/>
          </w:tcPr>
          <w:p w14:paraId="4E2A1170" w14:textId="77777777" w:rsidR="00FE291A" w:rsidRDefault="00C8738F">
            <w:pPr>
              <w:pStyle w:val="Default"/>
              <w:jc w:val="center"/>
              <w:rPr>
                <w:sz w:val="22"/>
                <w:szCs w:val="22"/>
                <w:lang w:val="de-DE"/>
              </w:rPr>
            </w:pPr>
            <w:r>
              <w:rPr>
                <w:rFonts w:eastAsia="Times New Roman"/>
                <w:sz w:val="22"/>
                <w:szCs w:val="22"/>
                <w:lang w:val="de-DE"/>
              </w:rPr>
              <w:t>Adalimumab</w:t>
            </w:r>
            <w:r>
              <w:rPr>
                <w:sz w:val="22"/>
                <w:szCs w:val="22"/>
                <w:lang w:val="de-DE"/>
              </w:rPr>
              <w:t>/ MTX</w:t>
            </w:r>
          </w:p>
          <w:p w14:paraId="3EEBC3D7" w14:textId="77777777" w:rsidR="00FE291A" w:rsidRDefault="00C8738F">
            <w:pPr>
              <w:keepNext/>
              <w:keepLines/>
              <w:jc w:val="center"/>
              <w:rPr>
                <w:sz w:val="22"/>
                <w:szCs w:val="22"/>
                <w:lang w:val="de-DE" w:eastAsia="en-GB"/>
              </w:rPr>
            </w:pPr>
            <w:r>
              <w:rPr>
                <w:sz w:val="22"/>
                <w:szCs w:val="22"/>
                <w:lang w:val="de-DE"/>
              </w:rPr>
              <w:t>(n = 38)</w:t>
            </w:r>
          </w:p>
        </w:tc>
        <w:tc>
          <w:tcPr>
            <w:tcW w:w="1701" w:type="dxa"/>
          </w:tcPr>
          <w:p w14:paraId="75C4D3E3" w14:textId="77777777" w:rsidR="00FE291A" w:rsidRDefault="00C8738F">
            <w:pPr>
              <w:pStyle w:val="Default"/>
              <w:jc w:val="center"/>
              <w:rPr>
                <w:sz w:val="22"/>
                <w:szCs w:val="22"/>
                <w:lang w:val="de-DE"/>
              </w:rPr>
            </w:pPr>
            <w:r>
              <w:rPr>
                <w:rFonts w:eastAsia="Times New Roman"/>
                <w:sz w:val="22"/>
                <w:szCs w:val="22"/>
                <w:lang w:val="de-DE"/>
              </w:rPr>
              <w:t>Adalimumab</w:t>
            </w:r>
            <w:r>
              <w:rPr>
                <w:sz w:val="22"/>
                <w:szCs w:val="22"/>
                <w:lang w:val="de-DE"/>
              </w:rPr>
              <w:t>/ MTX</w:t>
            </w:r>
          </w:p>
          <w:p w14:paraId="1B01A1EE" w14:textId="77777777" w:rsidR="00FE291A" w:rsidRDefault="00C8738F">
            <w:pPr>
              <w:keepNext/>
              <w:keepLines/>
              <w:jc w:val="center"/>
              <w:rPr>
                <w:sz w:val="22"/>
                <w:szCs w:val="22"/>
                <w:lang w:val="de-DE" w:eastAsia="en-GB"/>
              </w:rPr>
            </w:pPr>
            <w:r>
              <w:rPr>
                <w:sz w:val="22"/>
                <w:szCs w:val="22"/>
                <w:lang w:val="de-DE"/>
              </w:rPr>
              <w:t>(n = 37)</w:t>
            </w:r>
          </w:p>
        </w:tc>
        <w:tc>
          <w:tcPr>
            <w:tcW w:w="1701" w:type="dxa"/>
          </w:tcPr>
          <w:p w14:paraId="28ADE1AF" w14:textId="77777777" w:rsidR="00FE291A" w:rsidRDefault="00C8738F">
            <w:pPr>
              <w:keepNext/>
              <w:keepLines/>
              <w:jc w:val="center"/>
              <w:rPr>
                <w:sz w:val="22"/>
                <w:szCs w:val="22"/>
                <w:lang w:val="de-DE" w:eastAsia="en-GB"/>
              </w:rPr>
            </w:pPr>
            <w:r>
              <w:rPr>
                <w:rFonts w:eastAsia="Times New Roman"/>
                <w:color w:val="000000"/>
                <w:sz w:val="22"/>
                <w:szCs w:val="22"/>
                <w:lang w:val="de-DE"/>
              </w:rPr>
              <w:t>Adalimumab</w:t>
            </w:r>
            <w:r>
              <w:rPr>
                <w:sz w:val="22"/>
                <w:szCs w:val="22"/>
                <w:lang w:val="de-DE"/>
              </w:rPr>
              <w:t xml:space="preserve"> (n = 30) </w:t>
            </w:r>
          </w:p>
        </w:tc>
        <w:tc>
          <w:tcPr>
            <w:tcW w:w="1701" w:type="dxa"/>
          </w:tcPr>
          <w:p w14:paraId="31B7AF39" w14:textId="77777777" w:rsidR="00FE291A" w:rsidRDefault="00C8738F">
            <w:pPr>
              <w:pStyle w:val="Default"/>
              <w:jc w:val="center"/>
              <w:rPr>
                <w:sz w:val="22"/>
                <w:szCs w:val="22"/>
                <w:lang w:val="de-DE"/>
              </w:rPr>
            </w:pPr>
            <w:r>
              <w:rPr>
                <w:sz w:val="22"/>
                <w:szCs w:val="22"/>
                <w:lang w:val="de-DE"/>
              </w:rPr>
              <w:t>Placebo</w:t>
            </w:r>
          </w:p>
          <w:p w14:paraId="6EC9DD78" w14:textId="77777777" w:rsidR="00FE291A" w:rsidRDefault="00C8738F">
            <w:pPr>
              <w:keepNext/>
              <w:keepLines/>
              <w:jc w:val="center"/>
              <w:rPr>
                <w:sz w:val="22"/>
                <w:szCs w:val="22"/>
                <w:lang w:val="de-DE" w:eastAsia="en-GB"/>
              </w:rPr>
            </w:pPr>
            <w:r>
              <w:rPr>
                <w:sz w:val="22"/>
                <w:szCs w:val="22"/>
                <w:lang w:val="de-DE"/>
              </w:rPr>
              <w:t xml:space="preserve">(n = 28) </w:t>
            </w:r>
          </w:p>
        </w:tc>
      </w:tr>
      <w:tr w:rsidR="00FE291A" w14:paraId="03FBC4DF" w14:textId="77777777">
        <w:trPr>
          <w:trHeight w:val="426"/>
        </w:trPr>
        <w:tc>
          <w:tcPr>
            <w:tcW w:w="2268" w:type="dxa"/>
          </w:tcPr>
          <w:p w14:paraId="73E653FE" w14:textId="77777777" w:rsidR="00FE291A" w:rsidRDefault="00C8738F">
            <w:pPr>
              <w:keepNext/>
              <w:keepLines/>
              <w:rPr>
                <w:sz w:val="22"/>
                <w:szCs w:val="22"/>
                <w:lang w:val="de-DE" w:eastAsia="en-GB"/>
              </w:rPr>
            </w:pPr>
            <w:r>
              <w:rPr>
                <w:sz w:val="22"/>
                <w:szCs w:val="22"/>
                <w:lang w:val="de-DE"/>
              </w:rPr>
              <w:t>Wiederaufflammen der Erkrankung nach 32 Wochen</w:t>
            </w:r>
            <w:r>
              <w:rPr>
                <w:sz w:val="22"/>
                <w:szCs w:val="22"/>
                <w:vertAlign w:val="superscript"/>
                <w:lang w:val="de-DE"/>
              </w:rPr>
              <w:t>a</w:t>
            </w:r>
            <w:r>
              <w:rPr>
                <w:sz w:val="22"/>
                <w:szCs w:val="22"/>
                <w:lang w:val="de-DE"/>
              </w:rPr>
              <w:t xml:space="preserve"> (n/n)</w:t>
            </w:r>
          </w:p>
        </w:tc>
        <w:tc>
          <w:tcPr>
            <w:tcW w:w="1593" w:type="dxa"/>
          </w:tcPr>
          <w:p w14:paraId="66312A83" w14:textId="77777777" w:rsidR="00FE291A" w:rsidRDefault="00C8738F">
            <w:pPr>
              <w:keepNext/>
              <w:keepLines/>
              <w:jc w:val="center"/>
              <w:rPr>
                <w:sz w:val="22"/>
                <w:szCs w:val="22"/>
                <w:lang w:val="de-DE" w:eastAsia="en-GB"/>
              </w:rPr>
            </w:pPr>
            <w:r>
              <w:rPr>
                <w:sz w:val="22"/>
                <w:szCs w:val="22"/>
                <w:lang w:val="de-DE"/>
              </w:rPr>
              <w:t>36,8 % (14/38)</w:t>
            </w:r>
          </w:p>
        </w:tc>
        <w:tc>
          <w:tcPr>
            <w:tcW w:w="1701" w:type="dxa"/>
          </w:tcPr>
          <w:p w14:paraId="0738CB85" w14:textId="77777777" w:rsidR="00FE291A" w:rsidRDefault="00C8738F">
            <w:pPr>
              <w:keepNext/>
              <w:keepLines/>
              <w:jc w:val="center"/>
              <w:rPr>
                <w:sz w:val="22"/>
                <w:szCs w:val="22"/>
                <w:lang w:val="de-DE" w:eastAsia="en-GB"/>
              </w:rPr>
            </w:pPr>
            <w:r>
              <w:rPr>
                <w:sz w:val="22"/>
                <w:szCs w:val="22"/>
                <w:lang w:val="de-DE"/>
              </w:rPr>
              <w:t>64,9 % (24/37)</w:t>
            </w:r>
            <w:r>
              <w:rPr>
                <w:sz w:val="22"/>
                <w:szCs w:val="22"/>
                <w:vertAlign w:val="superscript"/>
                <w:lang w:val="de-DE"/>
              </w:rPr>
              <w:t>b</w:t>
            </w:r>
          </w:p>
        </w:tc>
        <w:tc>
          <w:tcPr>
            <w:tcW w:w="1701" w:type="dxa"/>
          </w:tcPr>
          <w:p w14:paraId="28E45E52" w14:textId="77777777" w:rsidR="00FE291A" w:rsidRDefault="00C8738F">
            <w:pPr>
              <w:keepNext/>
              <w:keepLines/>
              <w:jc w:val="center"/>
              <w:rPr>
                <w:sz w:val="22"/>
                <w:szCs w:val="22"/>
                <w:lang w:val="de-DE" w:eastAsia="en-GB"/>
              </w:rPr>
            </w:pPr>
            <w:r>
              <w:rPr>
                <w:sz w:val="22"/>
                <w:szCs w:val="22"/>
                <w:lang w:val="de-DE"/>
              </w:rPr>
              <w:t>43,3 % (13/30)</w:t>
            </w:r>
          </w:p>
        </w:tc>
        <w:tc>
          <w:tcPr>
            <w:tcW w:w="1701" w:type="dxa"/>
          </w:tcPr>
          <w:p w14:paraId="5C0341AF" w14:textId="77777777" w:rsidR="00FE291A" w:rsidRDefault="00C8738F">
            <w:pPr>
              <w:keepNext/>
              <w:keepLines/>
              <w:jc w:val="center"/>
              <w:rPr>
                <w:sz w:val="22"/>
                <w:szCs w:val="22"/>
                <w:lang w:val="de-DE" w:eastAsia="en-GB"/>
              </w:rPr>
            </w:pPr>
            <w:r>
              <w:rPr>
                <w:sz w:val="22"/>
                <w:szCs w:val="22"/>
                <w:lang w:val="de-DE"/>
              </w:rPr>
              <w:t>71,4 % (20/28)</w:t>
            </w:r>
            <w:r>
              <w:rPr>
                <w:sz w:val="22"/>
                <w:szCs w:val="22"/>
                <w:vertAlign w:val="superscript"/>
                <w:lang w:val="de-DE"/>
              </w:rPr>
              <w:t>c</w:t>
            </w:r>
          </w:p>
        </w:tc>
      </w:tr>
      <w:tr w:rsidR="00FE291A" w14:paraId="758EACE8" w14:textId="77777777">
        <w:trPr>
          <w:trHeight w:val="70"/>
        </w:trPr>
        <w:tc>
          <w:tcPr>
            <w:tcW w:w="2268" w:type="dxa"/>
          </w:tcPr>
          <w:p w14:paraId="6CBC60DF" w14:textId="77777777" w:rsidR="00FE291A" w:rsidRDefault="00C8738F">
            <w:pPr>
              <w:keepNext/>
              <w:keepLines/>
              <w:rPr>
                <w:sz w:val="22"/>
                <w:szCs w:val="22"/>
                <w:lang w:val="de-DE" w:eastAsia="en-GB"/>
              </w:rPr>
            </w:pPr>
            <w:r>
              <w:rPr>
                <w:sz w:val="22"/>
                <w:szCs w:val="22"/>
                <w:lang w:val="de-DE"/>
              </w:rPr>
              <w:t>Mittlere Zeit bis zum Wiederaufflammen der Erkrankung</w:t>
            </w:r>
          </w:p>
        </w:tc>
        <w:tc>
          <w:tcPr>
            <w:tcW w:w="1593" w:type="dxa"/>
          </w:tcPr>
          <w:p w14:paraId="11DD3E41" w14:textId="77777777" w:rsidR="00FE291A" w:rsidRDefault="00C8738F">
            <w:pPr>
              <w:keepNext/>
              <w:keepLines/>
              <w:jc w:val="center"/>
              <w:rPr>
                <w:sz w:val="22"/>
                <w:szCs w:val="22"/>
                <w:lang w:val="de-DE" w:eastAsia="en-GB"/>
              </w:rPr>
            </w:pPr>
            <w:r>
              <w:rPr>
                <w:sz w:val="22"/>
                <w:szCs w:val="22"/>
                <w:lang w:val="de-DE"/>
              </w:rPr>
              <w:t>&gt; 32 Wochen</w:t>
            </w:r>
          </w:p>
        </w:tc>
        <w:tc>
          <w:tcPr>
            <w:tcW w:w="1701" w:type="dxa"/>
          </w:tcPr>
          <w:p w14:paraId="6FAA052C" w14:textId="77777777" w:rsidR="00FE291A" w:rsidRDefault="00C8738F">
            <w:pPr>
              <w:keepNext/>
              <w:keepLines/>
              <w:jc w:val="center"/>
              <w:rPr>
                <w:sz w:val="22"/>
                <w:szCs w:val="22"/>
                <w:lang w:val="de-DE" w:eastAsia="en-GB"/>
              </w:rPr>
            </w:pPr>
            <w:r>
              <w:rPr>
                <w:sz w:val="22"/>
                <w:szCs w:val="22"/>
                <w:lang w:val="de-DE"/>
              </w:rPr>
              <w:t>20 Wochen</w:t>
            </w:r>
          </w:p>
        </w:tc>
        <w:tc>
          <w:tcPr>
            <w:tcW w:w="1701" w:type="dxa"/>
          </w:tcPr>
          <w:p w14:paraId="689566B6" w14:textId="77777777" w:rsidR="00FE291A" w:rsidRDefault="00C8738F">
            <w:pPr>
              <w:keepNext/>
              <w:keepLines/>
              <w:jc w:val="center"/>
              <w:rPr>
                <w:sz w:val="22"/>
                <w:szCs w:val="22"/>
                <w:lang w:val="de-DE" w:eastAsia="en-GB"/>
              </w:rPr>
            </w:pPr>
            <w:r>
              <w:rPr>
                <w:sz w:val="22"/>
                <w:szCs w:val="22"/>
                <w:lang w:val="de-DE"/>
              </w:rPr>
              <w:t>&gt; 32 Wochen</w:t>
            </w:r>
          </w:p>
        </w:tc>
        <w:tc>
          <w:tcPr>
            <w:tcW w:w="1701" w:type="dxa"/>
          </w:tcPr>
          <w:p w14:paraId="46924C87" w14:textId="77777777" w:rsidR="00FE291A" w:rsidRDefault="00C8738F">
            <w:pPr>
              <w:keepNext/>
              <w:keepLines/>
              <w:jc w:val="center"/>
              <w:rPr>
                <w:sz w:val="22"/>
                <w:szCs w:val="22"/>
                <w:lang w:val="de-DE" w:eastAsia="en-GB"/>
              </w:rPr>
            </w:pPr>
            <w:r>
              <w:rPr>
                <w:sz w:val="22"/>
                <w:szCs w:val="22"/>
                <w:lang w:val="de-DE"/>
              </w:rPr>
              <w:t>14 Wochen</w:t>
            </w:r>
          </w:p>
        </w:tc>
      </w:tr>
    </w:tbl>
    <w:p w14:paraId="7D8C46A0" w14:textId="77777777" w:rsidR="00FE291A" w:rsidRDefault="00C8738F">
      <w:pPr>
        <w:keepNext/>
        <w:rPr>
          <w:sz w:val="20"/>
          <w:szCs w:val="20"/>
          <w:lang w:val="de-DE"/>
        </w:rPr>
      </w:pPr>
      <w:r>
        <w:rPr>
          <w:sz w:val="20"/>
          <w:vertAlign w:val="superscript"/>
          <w:lang w:val="de-DE" w:eastAsia="en-GB"/>
        </w:rPr>
        <w:t>a</w:t>
      </w:r>
      <w:r>
        <w:rPr>
          <w:sz w:val="20"/>
          <w:lang w:val="de-DE" w:eastAsia="en-GB"/>
        </w:rPr>
        <w:t xml:space="preserve"> </w:t>
      </w:r>
      <w:r>
        <w:rPr>
          <w:sz w:val="20"/>
          <w:szCs w:val="20"/>
          <w:lang w:val="de-DE"/>
        </w:rPr>
        <w:t>pädiatrisches ACR-30/50/70-Ansprechen in Woche 48 war signifikant größer als bei mit Placebo behandelten Patienten</w:t>
      </w:r>
    </w:p>
    <w:p w14:paraId="097E5C31" w14:textId="77777777" w:rsidR="00FE291A" w:rsidRDefault="00C8738F">
      <w:pPr>
        <w:keepNext/>
        <w:rPr>
          <w:sz w:val="20"/>
          <w:lang w:val="de-DE" w:eastAsia="en-GB"/>
        </w:rPr>
      </w:pPr>
      <w:r>
        <w:rPr>
          <w:sz w:val="20"/>
          <w:szCs w:val="20"/>
          <w:vertAlign w:val="superscript"/>
          <w:lang w:val="de-DE" w:eastAsia="en-GB"/>
        </w:rPr>
        <w:t>b</w:t>
      </w:r>
      <w:r>
        <w:rPr>
          <w:sz w:val="20"/>
          <w:szCs w:val="20"/>
          <w:lang w:val="de-DE" w:eastAsia="en-GB"/>
        </w:rPr>
        <w:t xml:space="preserve"> p</w:t>
      </w:r>
      <w:r>
        <w:rPr>
          <w:sz w:val="20"/>
          <w:szCs w:val="20"/>
          <w:lang w:val="de-DE"/>
        </w:rPr>
        <w:t> </w:t>
      </w:r>
      <w:r>
        <w:rPr>
          <w:sz w:val="20"/>
          <w:szCs w:val="20"/>
          <w:lang w:val="de-DE" w:eastAsia="en-GB"/>
        </w:rPr>
        <w:t>=</w:t>
      </w:r>
      <w:r>
        <w:rPr>
          <w:sz w:val="20"/>
          <w:szCs w:val="20"/>
          <w:lang w:val="de-DE"/>
        </w:rPr>
        <w:t> </w:t>
      </w:r>
      <w:r>
        <w:rPr>
          <w:sz w:val="20"/>
          <w:szCs w:val="20"/>
          <w:lang w:val="de-DE" w:eastAsia="en-GB"/>
        </w:rPr>
        <w:t>0,015</w:t>
      </w:r>
    </w:p>
    <w:p w14:paraId="4FA38536" w14:textId="77777777" w:rsidR="00FE291A" w:rsidRDefault="00C8738F">
      <w:pPr>
        <w:rPr>
          <w:sz w:val="20"/>
          <w:lang w:val="de-DE" w:eastAsia="en-GB"/>
        </w:rPr>
      </w:pPr>
      <w:r>
        <w:rPr>
          <w:sz w:val="20"/>
          <w:vertAlign w:val="superscript"/>
          <w:lang w:val="de-DE" w:eastAsia="en-GB"/>
        </w:rPr>
        <w:t>c</w:t>
      </w:r>
      <w:r>
        <w:rPr>
          <w:sz w:val="20"/>
          <w:lang w:val="de-DE" w:eastAsia="en-GB"/>
        </w:rPr>
        <w:t xml:space="preserve"> p</w:t>
      </w:r>
      <w:r>
        <w:rPr>
          <w:sz w:val="20"/>
          <w:lang w:val="de-DE"/>
        </w:rPr>
        <w:t> </w:t>
      </w:r>
      <w:r>
        <w:rPr>
          <w:sz w:val="20"/>
          <w:lang w:val="de-DE" w:eastAsia="en-GB"/>
        </w:rPr>
        <w:t>=</w:t>
      </w:r>
      <w:r>
        <w:rPr>
          <w:sz w:val="20"/>
          <w:lang w:val="de-DE"/>
        </w:rPr>
        <w:t> </w:t>
      </w:r>
      <w:r>
        <w:rPr>
          <w:sz w:val="20"/>
          <w:lang w:val="de-DE" w:eastAsia="en-GB"/>
        </w:rPr>
        <w:t>0,031</w:t>
      </w:r>
    </w:p>
    <w:p w14:paraId="4F3A5869" w14:textId="77777777" w:rsidR="00FE291A" w:rsidRDefault="00FE291A">
      <w:pPr>
        <w:rPr>
          <w:sz w:val="20"/>
          <w:lang w:val="de-DE" w:eastAsia="en-GB"/>
        </w:rPr>
      </w:pPr>
    </w:p>
    <w:p w14:paraId="0C5E8E49" w14:textId="77777777" w:rsidR="00FE291A" w:rsidRDefault="00C8738F">
      <w:pPr>
        <w:pStyle w:val="Default"/>
        <w:rPr>
          <w:rFonts w:eastAsia="PMingLiU"/>
          <w:sz w:val="22"/>
          <w:szCs w:val="22"/>
          <w:lang w:val="de-DE" w:eastAsia="en-IN"/>
        </w:rPr>
      </w:pPr>
      <w:r>
        <w:rPr>
          <w:sz w:val="22"/>
          <w:szCs w:val="22"/>
          <w:lang w:val="de-DE"/>
        </w:rPr>
        <w:t>Unter den Patienten, die in Woche 16 (n = 144) ansprachen, wurde das pädiatrische ACR-30/50/70/90</w:t>
      </w:r>
      <w:r>
        <w:rPr>
          <w:sz w:val="22"/>
          <w:szCs w:val="22"/>
          <w:lang w:val="de-DE"/>
        </w:rPr>
        <w:noBreakHyphen/>
        <w:t xml:space="preserve">Ansprechen für bis zu sechs Jahre in der OLE-Phase bei denjenigen aufrechterhalten, die Adalimumab während der ganzen Studie über erhielten. Insgesamt wurden 19 Patienten (11 zu </w:t>
      </w:r>
      <w:r>
        <w:rPr>
          <w:rFonts w:eastAsia="PMingLiU"/>
          <w:sz w:val="22"/>
          <w:szCs w:val="22"/>
          <w:lang w:val="de-DE" w:eastAsia="en-IN"/>
        </w:rPr>
        <w:t xml:space="preserve">Studienbeginn in der Altersgruppe von 4 bis 12 Jahren und 8 zu Studienbeginn in der Altersgruppe von 13 bis 17 Jahren) 6 Jahre oder länger behandelt. </w:t>
      </w:r>
    </w:p>
    <w:p w14:paraId="22854DB4" w14:textId="77777777" w:rsidR="00FE291A" w:rsidRDefault="00FE291A">
      <w:pPr>
        <w:pStyle w:val="Default"/>
        <w:rPr>
          <w:rFonts w:eastAsia="PMingLiU"/>
          <w:sz w:val="22"/>
          <w:szCs w:val="22"/>
          <w:lang w:val="de-DE" w:eastAsia="en-IN"/>
        </w:rPr>
      </w:pPr>
    </w:p>
    <w:p w14:paraId="6F02BB4B" w14:textId="77777777" w:rsidR="00FE291A" w:rsidRDefault="00C8738F">
      <w:pPr>
        <w:widowControl/>
        <w:rPr>
          <w:color w:val="000000"/>
          <w:sz w:val="22"/>
          <w:szCs w:val="22"/>
          <w:lang w:val="de-DE"/>
        </w:rPr>
      </w:pPr>
      <w:r>
        <w:rPr>
          <w:color w:val="000000"/>
          <w:sz w:val="22"/>
          <w:szCs w:val="22"/>
          <w:lang w:val="de-DE"/>
        </w:rPr>
        <w:t xml:space="preserve">Das Gesamtansprechen bei der Kombinationstherapie von </w:t>
      </w:r>
      <w:r>
        <w:rPr>
          <w:sz w:val="22"/>
          <w:szCs w:val="22"/>
          <w:lang w:val="de-DE"/>
        </w:rPr>
        <w:t xml:space="preserve">Adalimumab </w:t>
      </w:r>
      <w:r>
        <w:rPr>
          <w:color w:val="000000"/>
          <w:sz w:val="22"/>
          <w:szCs w:val="22"/>
          <w:lang w:val="de-DE"/>
        </w:rPr>
        <w:t xml:space="preserve">und MTX war allgemein besser, und weniger Patienten entwickelten Antikörper im Vergleich zur </w:t>
      </w:r>
      <w:r>
        <w:rPr>
          <w:sz w:val="22"/>
          <w:szCs w:val="22"/>
          <w:lang w:val="de-DE"/>
        </w:rPr>
        <w:t>Adalimumab</w:t>
      </w:r>
      <w:r>
        <w:rPr>
          <w:color w:val="000000"/>
          <w:sz w:val="22"/>
          <w:szCs w:val="22"/>
          <w:lang w:val="de-DE"/>
        </w:rPr>
        <w:t xml:space="preserve">-Monotherapie. Unter Berücksichtigung dieser Ergebnisse wird der Einsatz von </w:t>
      </w:r>
      <w:r>
        <w:rPr>
          <w:sz w:val="22"/>
          <w:szCs w:val="22"/>
          <w:lang w:val="de-DE"/>
        </w:rPr>
        <w:t xml:space="preserve">Adalimumab </w:t>
      </w:r>
      <w:r>
        <w:rPr>
          <w:color w:val="000000"/>
          <w:sz w:val="22"/>
          <w:szCs w:val="22"/>
          <w:lang w:val="de-DE"/>
        </w:rPr>
        <w:t xml:space="preserve">in Kombination mit MTX empfohlen. Bei Patienten, bei denen der MTX-Einsatz nicht geeignet ist, wird eine Monotherapie mit </w:t>
      </w:r>
      <w:r>
        <w:rPr>
          <w:sz w:val="22"/>
          <w:szCs w:val="22"/>
          <w:lang w:val="de-DE"/>
        </w:rPr>
        <w:t xml:space="preserve">Adalimumab </w:t>
      </w:r>
      <w:r>
        <w:rPr>
          <w:color w:val="000000"/>
          <w:sz w:val="22"/>
          <w:szCs w:val="22"/>
          <w:lang w:val="de-DE"/>
        </w:rPr>
        <w:t xml:space="preserve">empfohlen (siehe Abschnitt 4.2). </w:t>
      </w:r>
    </w:p>
    <w:p w14:paraId="56D82255" w14:textId="77777777" w:rsidR="00FE291A" w:rsidRDefault="00FE291A">
      <w:pPr>
        <w:widowControl/>
        <w:rPr>
          <w:color w:val="000000"/>
          <w:sz w:val="22"/>
          <w:szCs w:val="22"/>
          <w:lang w:val="de-DE"/>
        </w:rPr>
      </w:pPr>
    </w:p>
    <w:p w14:paraId="3CA9FAE9" w14:textId="77777777" w:rsidR="00FE291A" w:rsidRDefault="00C8738F">
      <w:pPr>
        <w:keepNext/>
        <w:widowControl/>
        <w:rPr>
          <w:color w:val="000000"/>
          <w:sz w:val="22"/>
          <w:szCs w:val="22"/>
          <w:lang w:val="de-DE"/>
        </w:rPr>
      </w:pPr>
      <w:r>
        <w:rPr>
          <w:color w:val="000000"/>
          <w:sz w:val="22"/>
          <w:szCs w:val="22"/>
          <w:lang w:val="de-DE"/>
        </w:rPr>
        <w:t xml:space="preserve">pJIA II </w:t>
      </w:r>
    </w:p>
    <w:p w14:paraId="600B82ED" w14:textId="77777777" w:rsidR="00FE291A" w:rsidRDefault="00FE291A">
      <w:pPr>
        <w:keepNext/>
        <w:widowControl/>
        <w:rPr>
          <w:color w:val="000000"/>
          <w:sz w:val="22"/>
          <w:szCs w:val="22"/>
          <w:lang w:val="de-DE"/>
        </w:rPr>
      </w:pPr>
    </w:p>
    <w:p w14:paraId="34AAA679" w14:textId="77777777" w:rsidR="00FE291A" w:rsidRDefault="00C8738F">
      <w:pPr>
        <w:widowControl/>
        <w:rPr>
          <w:color w:val="000000"/>
          <w:sz w:val="22"/>
          <w:szCs w:val="22"/>
          <w:lang w:val="de-DE"/>
        </w:rPr>
      </w:pPr>
      <w:r>
        <w:rPr>
          <w:color w:val="000000"/>
          <w:sz w:val="22"/>
          <w:szCs w:val="22"/>
          <w:lang w:val="de-DE"/>
        </w:rPr>
        <w:t xml:space="preserve">Die Sicherheit und Wirksamkeit von Adalimumab wurden in einer offenen, multizentrischen Studie an 32 Kleinkindern/Kindern (im Alter von 2 – &lt; 4 Jahren oder im Alter von 4 Jahren und älter mit einem Körpergewicht &lt; 15 kg) mit mittelschwerer bis schwerer aktiver polyartikulärer JIA untersucht. Die Patienten erhielten als Einzeldosis mittels subkutaner Injektion mindestens 24 Wochen lang jede zweite Woche 24 mg </w:t>
      </w:r>
      <w:r>
        <w:rPr>
          <w:sz w:val="22"/>
          <w:szCs w:val="22"/>
          <w:lang w:val="de-DE"/>
        </w:rPr>
        <w:t>Adalimumab</w:t>
      </w:r>
      <w:r>
        <w:rPr>
          <w:color w:val="000000"/>
          <w:sz w:val="22"/>
          <w:szCs w:val="22"/>
          <w:lang w:val="de-DE"/>
        </w:rPr>
        <w:t>/m</w:t>
      </w:r>
      <w:r>
        <w:rPr>
          <w:color w:val="000000"/>
          <w:sz w:val="22"/>
          <w:szCs w:val="22"/>
          <w:vertAlign w:val="superscript"/>
          <w:lang w:val="de-DE"/>
        </w:rPr>
        <w:t>2</w:t>
      </w:r>
      <w:r>
        <w:rPr>
          <w:color w:val="000000"/>
          <w:sz w:val="22"/>
          <w:szCs w:val="22"/>
          <w:lang w:val="de-DE"/>
        </w:rPr>
        <w:t xml:space="preserve"> Körperoberfläche bis zu einer maximalen Dosis von 20 mg. Während der Studie verwendeten die meisten Patienten eine MTX-Begleittherapie, die Anwendung von Kortikosteroiden oder NSARs wurde seltener berichtet. </w:t>
      </w:r>
    </w:p>
    <w:p w14:paraId="11C14AC6" w14:textId="77777777" w:rsidR="00FE291A" w:rsidRDefault="00FE291A">
      <w:pPr>
        <w:widowControl/>
        <w:rPr>
          <w:color w:val="000000"/>
          <w:sz w:val="22"/>
          <w:szCs w:val="22"/>
          <w:lang w:val="de-DE"/>
        </w:rPr>
      </w:pPr>
    </w:p>
    <w:p w14:paraId="3F5E471A" w14:textId="77777777" w:rsidR="00FE291A" w:rsidRDefault="00C8738F">
      <w:pPr>
        <w:widowControl/>
        <w:rPr>
          <w:color w:val="000000"/>
          <w:sz w:val="22"/>
          <w:szCs w:val="22"/>
          <w:lang w:val="de-DE"/>
        </w:rPr>
      </w:pPr>
      <w:r>
        <w:rPr>
          <w:color w:val="000000"/>
          <w:sz w:val="22"/>
          <w:szCs w:val="22"/>
          <w:lang w:val="de-DE"/>
        </w:rPr>
        <w:t xml:space="preserve">In Woche 12 und Woche 24 betrug unter Auswertung der beobachteten Daten das pädiatrische ACR-30-Ansprechen 93,5 % bzw. 90,0 %. Die Anteile an Patienten mit pädiatrischem ACR-50/70/90-Ansprechen betrugen 90,3 %/61,3 %/38,7 % bzw. 83,3 %/73,3 %/36,7 % in Woche 12 und Woche 24. Von den Patienten, die in Woche 24 ein pädiatrisches ACR-30-Ansprechen zeigten (n = 27 von 30 Patienten), wurde das pädiatrische ACR-30-Ansprechen bis zu 60 Wochen in der OLE-Phase bei den Patienten aufrechterhalten, die Adalimumab über diesen Zeitraum erhielten. Insgesamt wurden 20 Patienten 60 Wochen oder länger behandelt. </w:t>
      </w:r>
    </w:p>
    <w:p w14:paraId="1EDA7AA0" w14:textId="77777777" w:rsidR="00FE291A" w:rsidRDefault="00FE291A">
      <w:pPr>
        <w:widowControl/>
        <w:rPr>
          <w:color w:val="000000"/>
          <w:sz w:val="22"/>
          <w:szCs w:val="22"/>
          <w:lang w:val="de-DE"/>
        </w:rPr>
      </w:pPr>
    </w:p>
    <w:p w14:paraId="3E9F1F39" w14:textId="77777777" w:rsidR="00FE291A" w:rsidRDefault="00C8738F">
      <w:pPr>
        <w:keepNext/>
        <w:widowControl/>
        <w:rPr>
          <w:i/>
          <w:iCs/>
          <w:color w:val="000000"/>
          <w:sz w:val="22"/>
          <w:szCs w:val="22"/>
          <w:u w:val="single"/>
          <w:lang w:val="de-DE"/>
        </w:rPr>
      </w:pPr>
      <w:r>
        <w:rPr>
          <w:i/>
          <w:iCs/>
          <w:color w:val="000000"/>
          <w:sz w:val="22"/>
          <w:szCs w:val="22"/>
          <w:u w:val="single"/>
          <w:lang w:val="de-DE"/>
        </w:rPr>
        <w:t>Enthesitis-assoziierte Arthritis</w:t>
      </w:r>
    </w:p>
    <w:p w14:paraId="797D920A" w14:textId="77777777" w:rsidR="00FE291A" w:rsidRDefault="00FE291A">
      <w:pPr>
        <w:keepNext/>
        <w:widowControl/>
        <w:rPr>
          <w:color w:val="000000"/>
          <w:sz w:val="22"/>
          <w:szCs w:val="22"/>
          <w:lang w:val="de-DE"/>
        </w:rPr>
      </w:pPr>
    </w:p>
    <w:p w14:paraId="61587CA5" w14:textId="77777777" w:rsidR="00FE291A" w:rsidRDefault="00C8738F">
      <w:pPr>
        <w:widowControl/>
        <w:rPr>
          <w:color w:val="000000"/>
          <w:sz w:val="22"/>
          <w:szCs w:val="22"/>
          <w:lang w:val="de-DE"/>
        </w:rPr>
      </w:pPr>
      <w:r>
        <w:rPr>
          <w:color w:val="000000"/>
          <w:sz w:val="22"/>
          <w:szCs w:val="22"/>
          <w:lang w:val="de-DE"/>
        </w:rPr>
        <w:t>Die Sicherheit und Wirksamkeit von Adalimumab wurden in einer multizentrischen, randomisierten, doppelblinden Studie bei 46 Kindern und Jugendlichen (im Alter von 6 bis 17 Jahren) mit mittelschwerer Enthesitis-assoziierter Arthritis untersucht. Die Patienten wurden randomisiert und erhielten 12 Wochen lang entweder 24 mg Adalimumab/m</w:t>
      </w:r>
      <w:r>
        <w:rPr>
          <w:color w:val="000000"/>
          <w:sz w:val="22"/>
          <w:szCs w:val="22"/>
          <w:vertAlign w:val="superscript"/>
          <w:lang w:val="de-DE"/>
        </w:rPr>
        <w:t>2</w:t>
      </w:r>
      <w:r>
        <w:rPr>
          <w:color w:val="000000"/>
          <w:sz w:val="22"/>
          <w:szCs w:val="22"/>
          <w:lang w:val="de-DE"/>
        </w:rPr>
        <w:t> Körperoberfläche (KOF) bis zu maximal 40 mg Adalimumab oder Placebo jede zweite Woche. Der doppelblinden Phase folgte eine offene Fortsetzungsphase (OL). Während dieser Zeit erhielten die Patienten subkutan bis zu weiteren 192 Wochen jede zweite Woche 24 mg Adalimumab/m</w:t>
      </w:r>
      <w:r>
        <w:rPr>
          <w:color w:val="000000"/>
          <w:sz w:val="22"/>
          <w:szCs w:val="22"/>
          <w:vertAlign w:val="superscript"/>
          <w:lang w:val="de-DE"/>
        </w:rPr>
        <w:t>2</w:t>
      </w:r>
      <w:r>
        <w:rPr>
          <w:color w:val="000000"/>
          <w:sz w:val="22"/>
          <w:szCs w:val="22"/>
          <w:lang w:val="de-DE"/>
        </w:rPr>
        <w:t> (KOF) bis zu maximal 40 mg Adalimumab. Der primäre Endpunkt war die prozentuale Veränderung in der Anzahl der aktiven Gelenke mit Arthritis (Schwellung nicht als Folge von Deformierung oder Gelenke mit Bewegungsverlust plus Schmerzen und/oder Druckschmerzempfindlichkeit) in Woche 12 gegenüber dem Therapiebeginn. Er wurde mit einer durchschnittlichen prozentualen Abnahme von -62,6 % (Median der prozentualen Abnahme </w:t>
      </w:r>
    </w:p>
    <w:p w14:paraId="1AB2BF41" w14:textId="77777777" w:rsidR="00FE291A" w:rsidRDefault="00C8738F">
      <w:pPr>
        <w:widowControl/>
        <w:rPr>
          <w:color w:val="000000"/>
          <w:sz w:val="22"/>
          <w:szCs w:val="22"/>
          <w:lang w:val="de-DE"/>
        </w:rPr>
      </w:pPr>
      <w:r>
        <w:rPr>
          <w:color w:val="000000"/>
          <w:sz w:val="22"/>
          <w:szCs w:val="22"/>
          <w:lang w:val="de-DE"/>
        </w:rPr>
        <w:t xml:space="preserve">-88,9 %) bei Patienten in der Adalimumab-Gruppe im Vergleich zu -11,6 % (Median der prozentualen Abnahme -50 %) bei Patienten in der Placebogruppe erreicht. Die Verbesserung in der Anzahl der aktiven Gelenke mit Arthritis wurde während der OL-Phase bis Woche 156 für 26 von 31 (84 %) Patienten der Adalimumab-Gruppe, die in der Studie verblieben sind, aufrechterhalten. Obwohl statistisch nicht signifikant, zeigte die Mehrheit der Patienten eine klinische Verbesserung bei den sekundären Endpunkten, wie z. B. Anzahl der Stellen mit Enthesitis, Anzahl schmerzempfindlicher Gelenke (TJC), Anzahl geschwollener Gelenke (SJC), pädiatrisches ACR-50-Ansprechen und pädiatrisches ACR-70-Ansprechen. </w:t>
      </w:r>
    </w:p>
    <w:p w14:paraId="565FD703" w14:textId="77777777" w:rsidR="00FE291A" w:rsidRDefault="00FE291A">
      <w:pPr>
        <w:widowControl/>
        <w:rPr>
          <w:color w:val="000000"/>
          <w:sz w:val="22"/>
          <w:szCs w:val="22"/>
          <w:lang w:val="de-DE"/>
        </w:rPr>
      </w:pPr>
    </w:p>
    <w:p w14:paraId="35C862FC" w14:textId="77777777" w:rsidR="00FE291A" w:rsidRDefault="00C8738F">
      <w:pPr>
        <w:keepNext/>
        <w:widowControl/>
        <w:rPr>
          <w:i/>
          <w:iCs/>
          <w:color w:val="000000"/>
          <w:sz w:val="22"/>
          <w:szCs w:val="22"/>
          <w:lang w:val="de-DE"/>
        </w:rPr>
      </w:pPr>
      <w:r>
        <w:rPr>
          <w:i/>
          <w:iCs/>
          <w:color w:val="000000"/>
          <w:sz w:val="22"/>
          <w:szCs w:val="22"/>
          <w:lang w:val="de-DE"/>
        </w:rPr>
        <w:t xml:space="preserve">Plaque-Psoriasis bei Kindern und Jugendlichen </w:t>
      </w:r>
    </w:p>
    <w:p w14:paraId="638A2FAB" w14:textId="77777777" w:rsidR="00FE291A" w:rsidRDefault="00FE291A">
      <w:pPr>
        <w:keepNext/>
        <w:widowControl/>
        <w:rPr>
          <w:color w:val="000000"/>
          <w:sz w:val="22"/>
          <w:szCs w:val="22"/>
          <w:lang w:val="de-DE"/>
        </w:rPr>
      </w:pPr>
    </w:p>
    <w:p w14:paraId="47538FF5" w14:textId="77777777" w:rsidR="00FE291A" w:rsidRDefault="00C8738F">
      <w:pPr>
        <w:pStyle w:val="Default"/>
        <w:rPr>
          <w:rFonts w:eastAsia="PMingLiU"/>
          <w:sz w:val="22"/>
          <w:szCs w:val="22"/>
          <w:lang w:val="de-DE" w:eastAsia="en-IN"/>
        </w:rPr>
      </w:pPr>
      <w:r>
        <w:rPr>
          <w:sz w:val="22"/>
          <w:szCs w:val="22"/>
          <w:lang w:val="de-DE"/>
        </w:rPr>
        <w:t xml:space="preserve">Die Wirksamkeit von Adalimumab wurde in einer randomisierten, doppelblinden, kontrollierten Studie mit 114 Kindern und Jugendlichen ab 4 Jahren mit schwerer chronischer Plaque-Psoriasis untersucht, deren topische Therapie und Heliotherapie oder Phototherapie unzureichend war (schwere chronische Plaque-Psoriasis ist definiert durch einen PGA ≥ 4 oder &gt; 20 % KOF-Beteiligung oder &gt; 10 % KOF- </w:t>
      </w:r>
      <w:r>
        <w:rPr>
          <w:rFonts w:eastAsia="PMingLiU"/>
          <w:sz w:val="22"/>
          <w:szCs w:val="22"/>
          <w:lang w:val="de-DE" w:eastAsia="en-IN"/>
        </w:rPr>
        <w:t xml:space="preserve">Beteiligung mit sehr dicken Läsionen oder PASI ≥ 20 oder ≥ 10 mit klinisch relevanter Beteiligung von Gesicht, Genitalbereich oder Händen/Füßen). </w:t>
      </w:r>
    </w:p>
    <w:p w14:paraId="6BC685DD" w14:textId="77777777" w:rsidR="00FE291A" w:rsidRDefault="00FE291A">
      <w:pPr>
        <w:pStyle w:val="Default"/>
        <w:rPr>
          <w:rFonts w:eastAsia="PMingLiU"/>
          <w:sz w:val="22"/>
          <w:szCs w:val="22"/>
          <w:lang w:val="de-DE" w:eastAsia="en-IN"/>
        </w:rPr>
      </w:pPr>
    </w:p>
    <w:p w14:paraId="3A0A63A6" w14:textId="77777777" w:rsidR="00FE291A" w:rsidRDefault="00C8738F">
      <w:pPr>
        <w:rPr>
          <w:sz w:val="20"/>
          <w:lang w:val="de-DE"/>
        </w:rPr>
      </w:pPr>
      <w:r>
        <w:rPr>
          <w:color w:val="000000"/>
          <w:sz w:val="22"/>
          <w:szCs w:val="22"/>
          <w:lang w:val="de-DE"/>
        </w:rPr>
        <w:t>Patienten erhielten Adalimumab 0,8 mg/kg jede zweite Woche (bis zu 40 mg), 0,4 mg/kg jede zweite Woche (bis zu 20 mg) oder Methotrexat 0,1 – 0,4 mg/kg wöchentlich (bis zu 25 mg). In Woche 16 hatten mehr Patienten, die in die Adalimumab-Gruppe mit 0,8 mg/kg randomisiert waren, positive Wirksamkeitsnachweise (z. B. PASI-75) als jene, die in die Gruppe mit 0,4 mg/kg jede zweite Woche oder in die MTX-Gruppe randomisiert waren.</w:t>
      </w:r>
    </w:p>
    <w:p w14:paraId="3B9DB497" w14:textId="77777777" w:rsidR="00FE291A" w:rsidRDefault="00FE291A">
      <w:pPr>
        <w:pStyle w:val="BodyText"/>
        <w:keepNext/>
        <w:widowControl/>
        <w:kinsoku w:val="0"/>
        <w:overflowPunct w:val="0"/>
        <w:ind w:left="0"/>
        <w:rPr>
          <w:u w:val="single"/>
          <w:lang w:val="de-DE"/>
        </w:rPr>
      </w:pPr>
    </w:p>
    <w:p w14:paraId="2C25E42A" w14:textId="77777777" w:rsidR="00FE291A" w:rsidRDefault="00C8738F">
      <w:pPr>
        <w:pStyle w:val="Default"/>
        <w:rPr>
          <w:rFonts w:eastAsia="PMingLiU"/>
          <w:sz w:val="22"/>
          <w:szCs w:val="22"/>
          <w:lang w:val="de-DE" w:eastAsia="en-IN"/>
        </w:rPr>
      </w:pPr>
      <w:r>
        <w:rPr>
          <w:b/>
          <w:bCs/>
          <w:sz w:val="22"/>
          <w:szCs w:val="22"/>
          <w:lang w:val="de-DE" w:eastAsia="en-GB"/>
        </w:rPr>
        <w:t>Tabelle</w:t>
      </w:r>
      <w:r>
        <w:rPr>
          <w:sz w:val="22"/>
          <w:szCs w:val="22"/>
          <w:lang w:val="de-DE"/>
        </w:rPr>
        <w:t> </w:t>
      </w:r>
      <w:r>
        <w:rPr>
          <w:b/>
          <w:bCs/>
          <w:sz w:val="22"/>
          <w:szCs w:val="22"/>
          <w:lang w:val="de-DE" w:eastAsia="en-GB"/>
        </w:rPr>
        <w:t xml:space="preserve">27: </w:t>
      </w:r>
      <w:r>
        <w:rPr>
          <w:rFonts w:eastAsia="PMingLiU"/>
          <w:b/>
          <w:bCs/>
          <w:sz w:val="22"/>
          <w:szCs w:val="22"/>
          <w:lang w:val="de-DE" w:eastAsia="en-IN"/>
        </w:rPr>
        <w:t xml:space="preserve">Wirksamkeitsergebnisse bei pädiatrischer Plaque-Psoriasis in Woche 16 </w:t>
      </w:r>
    </w:p>
    <w:p w14:paraId="44AEFAE5" w14:textId="77777777" w:rsidR="00FE291A" w:rsidRDefault="00FE291A">
      <w:pPr>
        <w:keepNext/>
        <w:rPr>
          <w:sz w:val="22"/>
          <w:szCs w:val="22"/>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4"/>
        <w:gridCol w:w="2694"/>
        <w:gridCol w:w="2976"/>
      </w:tblGrid>
      <w:tr w:rsidR="00FE291A" w14:paraId="6B3CAF64" w14:textId="77777777">
        <w:trPr>
          <w:trHeight w:val="437"/>
        </w:trPr>
        <w:tc>
          <w:tcPr>
            <w:tcW w:w="3294" w:type="dxa"/>
          </w:tcPr>
          <w:p w14:paraId="07DC02A7" w14:textId="77777777" w:rsidR="00FE291A" w:rsidRDefault="00FE291A">
            <w:pPr>
              <w:keepNext/>
              <w:rPr>
                <w:sz w:val="22"/>
                <w:szCs w:val="22"/>
                <w:lang w:val="de-DE" w:eastAsia="en-GB"/>
              </w:rPr>
            </w:pPr>
          </w:p>
        </w:tc>
        <w:tc>
          <w:tcPr>
            <w:tcW w:w="2694" w:type="dxa"/>
          </w:tcPr>
          <w:p w14:paraId="1E5E83E2" w14:textId="77777777" w:rsidR="00FE291A" w:rsidRDefault="00C8738F">
            <w:pPr>
              <w:keepNext/>
              <w:jc w:val="center"/>
              <w:rPr>
                <w:b/>
                <w:bCs/>
                <w:sz w:val="22"/>
                <w:szCs w:val="22"/>
                <w:lang w:val="de-DE" w:eastAsia="en-GB"/>
              </w:rPr>
            </w:pPr>
            <w:r>
              <w:rPr>
                <w:b/>
                <w:bCs/>
                <w:sz w:val="22"/>
                <w:szCs w:val="22"/>
                <w:lang w:val="de-DE" w:eastAsia="en-GB"/>
              </w:rPr>
              <w:t>MTX</w:t>
            </w:r>
            <w:r>
              <w:rPr>
                <w:b/>
                <w:bCs/>
                <w:sz w:val="22"/>
                <w:szCs w:val="22"/>
                <w:vertAlign w:val="superscript"/>
                <w:lang w:val="de-DE" w:eastAsia="en-GB"/>
              </w:rPr>
              <w:t>a</w:t>
            </w:r>
          </w:p>
          <w:p w14:paraId="2AF625F5" w14:textId="77777777" w:rsidR="00FE291A" w:rsidRDefault="00C8738F">
            <w:pPr>
              <w:keepNext/>
              <w:jc w:val="center"/>
              <w:rPr>
                <w:b/>
                <w:sz w:val="22"/>
                <w:szCs w:val="22"/>
                <w:lang w:val="de-DE" w:eastAsia="en-GB"/>
              </w:rPr>
            </w:pPr>
            <w:r>
              <w:rPr>
                <w:b/>
                <w:bCs/>
                <w:sz w:val="22"/>
                <w:szCs w:val="22"/>
                <w:lang w:val="de-DE" w:eastAsia="en-GB"/>
              </w:rPr>
              <w:t>n = 37</w:t>
            </w:r>
          </w:p>
        </w:tc>
        <w:tc>
          <w:tcPr>
            <w:tcW w:w="2976" w:type="dxa"/>
          </w:tcPr>
          <w:p w14:paraId="401AEBF7" w14:textId="77777777" w:rsidR="00FE291A" w:rsidRDefault="00C8738F">
            <w:pPr>
              <w:keepNext/>
              <w:jc w:val="center"/>
              <w:rPr>
                <w:b/>
                <w:sz w:val="22"/>
                <w:szCs w:val="22"/>
                <w:lang w:val="de-DE" w:eastAsia="en-GB"/>
              </w:rPr>
            </w:pPr>
            <w:r>
              <w:rPr>
                <w:rFonts w:eastAsia="Times New Roman"/>
                <w:b/>
                <w:color w:val="000000"/>
                <w:sz w:val="22"/>
                <w:szCs w:val="22"/>
                <w:lang w:val="de-DE"/>
              </w:rPr>
              <w:t>Adalimumab</w:t>
            </w:r>
            <w:r>
              <w:rPr>
                <w:b/>
                <w:bCs/>
                <w:sz w:val="22"/>
                <w:szCs w:val="22"/>
                <w:lang w:val="de-DE" w:eastAsia="en-GB"/>
              </w:rPr>
              <w:t xml:space="preserve"> 0,8</w:t>
            </w:r>
            <w:r>
              <w:rPr>
                <w:color w:val="000000"/>
                <w:sz w:val="22"/>
                <w:szCs w:val="22"/>
                <w:lang w:val="de-DE"/>
              </w:rPr>
              <w:t> </w:t>
            </w:r>
            <w:r>
              <w:rPr>
                <w:b/>
                <w:bCs/>
                <w:sz w:val="22"/>
                <w:szCs w:val="22"/>
                <w:lang w:val="de-DE" w:eastAsia="en-GB"/>
              </w:rPr>
              <w:t>mg/kg jede zweite Woche</w:t>
            </w:r>
          </w:p>
          <w:p w14:paraId="63DB32E7" w14:textId="77777777" w:rsidR="00FE291A" w:rsidRDefault="00C8738F">
            <w:pPr>
              <w:keepNext/>
              <w:jc w:val="center"/>
              <w:rPr>
                <w:b/>
                <w:sz w:val="22"/>
                <w:szCs w:val="22"/>
                <w:lang w:val="de-DE" w:eastAsia="en-GB"/>
              </w:rPr>
            </w:pPr>
            <w:r>
              <w:rPr>
                <w:b/>
                <w:bCs/>
                <w:sz w:val="22"/>
                <w:szCs w:val="22"/>
                <w:lang w:val="de-DE" w:eastAsia="en-GB"/>
              </w:rPr>
              <w:t>n</w:t>
            </w:r>
            <w:r>
              <w:rPr>
                <w:b/>
                <w:sz w:val="22"/>
                <w:szCs w:val="22"/>
                <w:lang w:val="de-DE"/>
              </w:rPr>
              <w:t> </w:t>
            </w:r>
            <w:r>
              <w:rPr>
                <w:b/>
                <w:bCs/>
                <w:sz w:val="22"/>
                <w:szCs w:val="22"/>
                <w:lang w:val="de-DE" w:eastAsia="en-GB"/>
              </w:rPr>
              <w:t>=</w:t>
            </w:r>
            <w:r>
              <w:rPr>
                <w:b/>
                <w:sz w:val="22"/>
                <w:szCs w:val="22"/>
                <w:lang w:val="de-DE"/>
              </w:rPr>
              <w:t> </w:t>
            </w:r>
            <w:r>
              <w:rPr>
                <w:b/>
                <w:bCs/>
                <w:sz w:val="22"/>
                <w:szCs w:val="22"/>
                <w:lang w:val="de-DE" w:eastAsia="en-GB"/>
              </w:rPr>
              <w:t>38</w:t>
            </w:r>
          </w:p>
        </w:tc>
      </w:tr>
      <w:tr w:rsidR="00FE291A" w14:paraId="1182893E" w14:textId="77777777">
        <w:trPr>
          <w:trHeight w:val="162"/>
        </w:trPr>
        <w:tc>
          <w:tcPr>
            <w:tcW w:w="3294" w:type="dxa"/>
          </w:tcPr>
          <w:p w14:paraId="1221899D" w14:textId="77777777" w:rsidR="00FE291A" w:rsidRDefault="00C8738F">
            <w:pPr>
              <w:keepNext/>
              <w:rPr>
                <w:sz w:val="22"/>
                <w:szCs w:val="22"/>
                <w:lang w:val="de-DE" w:eastAsia="en-GB"/>
              </w:rPr>
            </w:pPr>
            <w:r>
              <w:rPr>
                <w:sz w:val="22"/>
                <w:szCs w:val="22"/>
                <w:lang w:val="de-DE" w:eastAsia="en-GB"/>
              </w:rPr>
              <w:t>PASI 75</w:t>
            </w:r>
            <w:r>
              <w:rPr>
                <w:sz w:val="22"/>
                <w:szCs w:val="22"/>
                <w:vertAlign w:val="superscript"/>
                <w:lang w:val="de-DE" w:eastAsia="en-GB"/>
              </w:rPr>
              <w:t>b</w:t>
            </w:r>
          </w:p>
        </w:tc>
        <w:tc>
          <w:tcPr>
            <w:tcW w:w="2694" w:type="dxa"/>
          </w:tcPr>
          <w:p w14:paraId="2BA9104C" w14:textId="77777777" w:rsidR="00FE291A" w:rsidRDefault="00C8738F">
            <w:pPr>
              <w:keepNext/>
              <w:jc w:val="center"/>
              <w:rPr>
                <w:sz w:val="22"/>
                <w:szCs w:val="22"/>
                <w:lang w:val="de-DE" w:eastAsia="en-GB"/>
              </w:rPr>
            </w:pPr>
            <w:r>
              <w:rPr>
                <w:sz w:val="22"/>
                <w:szCs w:val="22"/>
                <w:lang w:val="de-DE"/>
              </w:rPr>
              <w:t>12 (32,4 %)</w:t>
            </w:r>
          </w:p>
        </w:tc>
        <w:tc>
          <w:tcPr>
            <w:tcW w:w="2976" w:type="dxa"/>
          </w:tcPr>
          <w:p w14:paraId="0FE2F94C" w14:textId="77777777" w:rsidR="00FE291A" w:rsidRDefault="00C8738F">
            <w:pPr>
              <w:keepNext/>
              <w:jc w:val="center"/>
              <w:rPr>
                <w:sz w:val="22"/>
                <w:szCs w:val="22"/>
                <w:lang w:val="de-DE" w:eastAsia="en-GB"/>
              </w:rPr>
            </w:pPr>
            <w:r>
              <w:rPr>
                <w:sz w:val="22"/>
                <w:szCs w:val="22"/>
                <w:lang w:val="de-DE"/>
              </w:rPr>
              <w:t>22 (57,9 %)</w:t>
            </w:r>
          </w:p>
        </w:tc>
      </w:tr>
      <w:tr w:rsidR="00FE291A" w14:paraId="14258EA4" w14:textId="77777777">
        <w:trPr>
          <w:trHeight w:val="162"/>
        </w:trPr>
        <w:tc>
          <w:tcPr>
            <w:tcW w:w="3294" w:type="dxa"/>
            <w:tcBorders>
              <w:bottom w:val="single" w:sz="4" w:space="0" w:color="auto"/>
            </w:tcBorders>
          </w:tcPr>
          <w:p w14:paraId="57D7BE94" w14:textId="77777777" w:rsidR="00FE291A" w:rsidRDefault="00C8738F">
            <w:pPr>
              <w:keepNext/>
              <w:rPr>
                <w:sz w:val="22"/>
                <w:szCs w:val="22"/>
                <w:lang w:val="de-DE" w:eastAsia="en-GB"/>
              </w:rPr>
            </w:pPr>
            <w:r>
              <w:rPr>
                <w:bCs/>
                <w:sz w:val="22"/>
                <w:szCs w:val="22"/>
                <w:lang w:val="de-DE" w:eastAsia="en-GB"/>
              </w:rPr>
              <w:t>PGA: erscheinungsfrei/minimal</w:t>
            </w:r>
            <w:r>
              <w:rPr>
                <w:sz w:val="22"/>
                <w:szCs w:val="22"/>
                <w:vertAlign w:val="superscript"/>
                <w:lang w:val="de-DE" w:eastAsia="en-GB"/>
              </w:rPr>
              <w:t>c</w:t>
            </w:r>
          </w:p>
        </w:tc>
        <w:tc>
          <w:tcPr>
            <w:tcW w:w="2694" w:type="dxa"/>
            <w:tcBorders>
              <w:bottom w:val="single" w:sz="4" w:space="0" w:color="auto"/>
            </w:tcBorders>
          </w:tcPr>
          <w:p w14:paraId="0AB7104E" w14:textId="77777777" w:rsidR="00FE291A" w:rsidRDefault="00C8738F">
            <w:pPr>
              <w:keepNext/>
              <w:jc w:val="center"/>
              <w:rPr>
                <w:sz w:val="22"/>
                <w:szCs w:val="22"/>
                <w:lang w:val="de-DE" w:eastAsia="en-GB"/>
              </w:rPr>
            </w:pPr>
            <w:r>
              <w:rPr>
                <w:sz w:val="22"/>
                <w:szCs w:val="22"/>
                <w:lang w:val="de-DE"/>
              </w:rPr>
              <w:t>15 (40,5 %)</w:t>
            </w:r>
          </w:p>
        </w:tc>
        <w:tc>
          <w:tcPr>
            <w:tcW w:w="2976" w:type="dxa"/>
            <w:tcBorders>
              <w:bottom w:val="single" w:sz="4" w:space="0" w:color="auto"/>
            </w:tcBorders>
          </w:tcPr>
          <w:p w14:paraId="2BF94054" w14:textId="77777777" w:rsidR="00FE291A" w:rsidRDefault="00C8738F">
            <w:pPr>
              <w:keepNext/>
              <w:jc w:val="center"/>
              <w:rPr>
                <w:sz w:val="22"/>
                <w:szCs w:val="22"/>
                <w:lang w:val="de-DE" w:eastAsia="en-GB"/>
              </w:rPr>
            </w:pPr>
            <w:r>
              <w:rPr>
                <w:sz w:val="22"/>
                <w:szCs w:val="22"/>
                <w:lang w:val="de-DE"/>
              </w:rPr>
              <w:t>23 (60,5 %)</w:t>
            </w:r>
          </w:p>
        </w:tc>
      </w:tr>
    </w:tbl>
    <w:p w14:paraId="7FDDDEEC" w14:textId="77777777" w:rsidR="00FE291A" w:rsidRDefault="00C8738F">
      <w:pPr>
        <w:pStyle w:val="Default"/>
        <w:keepNext/>
        <w:rPr>
          <w:sz w:val="20"/>
          <w:szCs w:val="20"/>
          <w:lang w:val="de-DE"/>
        </w:rPr>
      </w:pPr>
      <w:r>
        <w:rPr>
          <w:sz w:val="20"/>
          <w:szCs w:val="20"/>
          <w:vertAlign w:val="superscript"/>
          <w:lang w:val="de-DE"/>
        </w:rPr>
        <w:t xml:space="preserve">a </w:t>
      </w:r>
      <w:r>
        <w:rPr>
          <w:sz w:val="20"/>
          <w:szCs w:val="20"/>
          <w:lang w:val="de-DE"/>
        </w:rPr>
        <w:t>MTX = Methotrexat</w:t>
      </w:r>
    </w:p>
    <w:p w14:paraId="7DBE1085" w14:textId="77777777" w:rsidR="00FE291A" w:rsidRDefault="00C8738F">
      <w:pPr>
        <w:pStyle w:val="Default"/>
        <w:keepNext/>
        <w:rPr>
          <w:sz w:val="20"/>
          <w:szCs w:val="20"/>
          <w:lang w:val="de-DE"/>
        </w:rPr>
      </w:pPr>
      <w:r>
        <w:rPr>
          <w:sz w:val="20"/>
          <w:szCs w:val="20"/>
          <w:vertAlign w:val="superscript"/>
          <w:lang w:val="de-DE"/>
        </w:rPr>
        <w:t xml:space="preserve">b </w:t>
      </w:r>
      <w:r>
        <w:rPr>
          <w:sz w:val="20"/>
          <w:szCs w:val="20"/>
          <w:lang w:val="de-DE"/>
        </w:rPr>
        <w:t xml:space="preserve">p = 0,027; </w:t>
      </w:r>
      <w:r>
        <w:rPr>
          <w:rFonts w:eastAsia="Times New Roman"/>
          <w:sz w:val="20"/>
          <w:szCs w:val="20"/>
          <w:lang w:val="de-DE"/>
        </w:rPr>
        <w:t>Adalimumab</w:t>
      </w:r>
      <w:r>
        <w:rPr>
          <w:sz w:val="20"/>
          <w:szCs w:val="20"/>
          <w:lang w:val="de-DE"/>
        </w:rPr>
        <w:t xml:space="preserve"> 0,8 mg/kg </w:t>
      </w:r>
      <w:r>
        <w:rPr>
          <w:i/>
          <w:sz w:val="20"/>
          <w:szCs w:val="20"/>
          <w:lang w:val="de-DE"/>
        </w:rPr>
        <w:t>versus</w:t>
      </w:r>
      <w:r>
        <w:rPr>
          <w:sz w:val="20"/>
          <w:szCs w:val="20"/>
          <w:lang w:val="de-DE"/>
        </w:rPr>
        <w:t xml:space="preserve"> MTX</w:t>
      </w:r>
    </w:p>
    <w:p w14:paraId="7F8CCA34" w14:textId="77777777" w:rsidR="00FE291A" w:rsidRDefault="00C8738F">
      <w:pPr>
        <w:rPr>
          <w:sz w:val="20"/>
          <w:szCs w:val="18"/>
          <w:lang w:val="de-DE"/>
        </w:rPr>
      </w:pPr>
      <w:r>
        <w:rPr>
          <w:sz w:val="20"/>
          <w:vertAlign w:val="superscript"/>
          <w:lang w:val="de-DE"/>
        </w:rPr>
        <w:t xml:space="preserve">c </w:t>
      </w:r>
      <w:r>
        <w:rPr>
          <w:sz w:val="20"/>
          <w:lang w:val="de-DE"/>
        </w:rPr>
        <w:t xml:space="preserve">p = 0,083; </w:t>
      </w:r>
      <w:r>
        <w:rPr>
          <w:rFonts w:eastAsia="Times New Roman"/>
          <w:color w:val="000000"/>
          <w:sz w:val="20"/>
          <w:lang w:val="de-DE"/>
        </w:rPr>
        <w:t>Adalimumab</w:t>
      </w:r>
      <w:r>
        <w:rPr>
          <w:sz w:val="20"/>
          <w:lang w:val="de-DE"/>
        </w:rPr>
        <w:t xml:space="preserve"> 0,8</w:t>
      </w:r>
      <w:r>
        <w:rPr>
          <w:color w:val="000000"/>
          <w:sz w:val="22"/>
          <w:szCs w:val="21"/>
          <w:lang w:val="de-DE"/>
        </w:rPr>
        <w:t> </w:t>
      </w:r>
      <w:r>
        <w:rPr>
          <w:sz w:val="20"/>
          <w:lang w:val="de-DE"/>
        </w:rPr>
        <w:t xml:space="preserve">mg/kg </w:t>
      </w:r>
      <w:r>
        <w:rPr>
          <w:i/>
          <w:sz w:val="20"/>
          <w:lang w:val="de-DE"/>
        </w:rPr>
        <w:t>versus</w:t>
      </w:r>
      <w:r>
        <w:rPr>
          <w:sz w:val="20"/>
          <w:lang w:val="de-DE"/>
        </w:rPr>
        <w:t xml:space="preserve"> MTX</w:t>
      </w:r>
    </w:p>
    <w:p w14:paraId="573631E3" w14:textId="77777777" w:rsidR="00FE291A" w:rsidRDefault="00FE291A">
      <w:pPr>
        <w:rPr>
          <w:sz w:val="22"/>
          <w:szCs w:val="21"/>
          <w:lang w:val="de-DE"/>
        </w:rPr>
      </w:pPr>
    </w:p>
    <w:p w14:paraId="5524BB30" w14:textId="77777777" w:rsidR="00FE291A" w:rsidRDefault="00C8738F">
      <w:pPr>
        <w:widowControl/>
        <w:rPr>
          <w:color w:val="000000"/>
          <w:sz w:val="22"/>
          <w:szCs w:val="22"/>
          <w:lang w:val="de-DE"/>
        </w:rPr>
      </w:pPr>
      <w:r>
        <w:rPr>
          <w:color w:val="000000"/>
          <w:sz w:val="22"/>
          <w:szCs w:val="22"/>
          <w:lang w:val="de-DE"/>
        </w:rPr>
        <w:t>Bei Patienten, die PASI-75 und einen PGA, definiert als „erscheinungsfrei“ oder „minimal“, erreichten, wurde die Behandlung bis zu 36 Wochen lang abgesetzt. Diese Patienten wurden dahingehend beobachtet, ob sie einen Rückfall erlitten (z. B. Verschlechterung des PGA um mindestens zwei Grade). Die Behandlung der Patienten wurde dann wieder mit 0,8 mg Adalimumab/kg jede zweite Woche für weitere 16 Wochen aufgenommen. Die Ansprechraten, die während der erneuten Behandlung beobachtet wurden, waren vergleichbar mit denen in der vorherigen doppelblinden Phase: PASI-75-Ansprechen von 78,9 % (15 von 19 Patienten) und PGA (definiert als „erscheinungsfrei“ oder „minimal“) von 52,6 % (10 von 19 Patienten).</w:t>
      </w:r>
    </w:p>
    <w:p w14:paraId="7D2E0596" w14:textId="77777777" w:rsidR="00FE291A" w:rsidRDefault="00FE291A">
      <w:pPr>
        <w:widowControl/>
        <w:rPr>
          <w:color w:val="000000"/>
          <w:sz w:val="22"/>
          <w:szCs w:val="22"/>
          <w:lang w:val="de-DE"/>
        </w:rPr>
      </w:pPr>
    </w:p>
    <w:p w14:paraId="699953EF" w14:textId="77777777" w:rsidR="00FE291A" w:rsidRDefault="00C8738F">
      <w:pPr>
        <w:widowControl/>
        <w:rPr>
          <w:color w:val="000000"/>
          <w:sz w:val="22"/>
          <w:szCs w:val="22"/>
          <w:lang w:val="de-DE"/>
        </w:rPr>
      </w:pPr>
      <w:r>
        <w:rPr>
          <w:color w:val="000000"/>
          <w:sz w:val="22"/>
          <w:szCs w:val="22"/>
          <w:lang w:val="de-DE"/>
        </w:rPr>
        <w:t xml:space="preserve">In der offenen Fortsetzungsphase der Studie wurden für bis zu weitere 52 Wochen ein PASI-75-Ansprechen und PGA, definiert als „erscheinungsfrei“ oder „minimal“, aufrechterhalten; es gab keine neuen Erkenntnisse zur Sicherheit. </w:t>
      </w:r>
    </w:p>
    <w:p w14:paraId="3A35EF30" w14:textId="77777777" w:rsidR="00FE291A" w:rsidRDefault="00FE291A">
      <w:pPr>
        <w:widowControl/>
        <w:rPr>
          <w:color w:val="000000"/>
          <w:sz w:val="22"/>
          <w:szCs w:val="22"/>
          <w:lang w:val="de-DE"/>
        </w:rPr>
      </w:pPr>
    </w:p>
    <w:p w14:paraId="4225C57A" w14:textId="77777777" w:rsidR="00FE291A" w:rsidRDefault="00C8738F">
      <w:pPr>
        <w:keepNext/>
        <w:widowControl/>
        <w:rPr>
          <w:i/>
          <w:iCs/>
          <w:color w:val="000000"/>
          <w:sz w:val="22"/>
          <w:szCs w:val="22"/>
          <w:lang w:val="de-DE"/>
        </w:rPr>
      </w:pPr>
      <w:r>
        <w:rPr>
          <w:i/>
          <w:iCs/>
          <w:color w:val="000000"/>
          <w:sz w:val="22"/>
          <w:szCs w:val="22"/>
          <w:lang w:val="de-DE"/>
        </w:rPr>
        <w:t xml:space="preserve">Hidradenitis suppurativa (Acne inversa) bei Jugendlichen </w:t>
      </w:r>
    </w:p>
    <w:p w14:paraId="3E15A646" w14:textId="77777777" w:rsidR="00FE291A" w:rsidRDefault="00FE291A">
      <w:pPr>
        <w:keepNext/>
        <w:widowControl/>
        <w:rPr>
          <w:color w:val="000000"/>
          <w:sz w:val="22"/>
          <w:szCs w:val="22"/>
          <w:lang w:val="de-DE"/>
        </w:rPr>
      </w:pPr>
    </w:p>
    <w:p w14:paraId="5F9893CF" w14:textId="77777777" w:rsidR="00FE291A" w:rsidRDefault="00C8738F">
      <w:pPr>
        <w:widowControl/>
        <w:rPr>
          <w:color w:val="000000"/>
          <w:sz w:val="22"/>
          <w:szCs w:val="22"/>
          <w:lang w:val="de-DE"/>
        </w:rPr>
      </w:pPr>
      <w:r>
        <w:rPr>
          <w:color w:val="000000"/>
          <w:sz w:val="22"/>
          <w:szCs w:val="22"/>
          <w:lang w:val="de-DE"/>
        </w:rPr>
        <w:t xml:space="preserve">Es gibt keine klinischen Studien mit Adalimumab bei jugendlichen Patienten mit HS. Es ist zu erwarten, dass Adalimumab bei der Behandlung von jugendlichen Patienten mit HS wirksam ist, da die Wirksamkeit und die Dosis-Wirkungsbeziehung bei erwachsenen HS-Patienten nachgewiesen wurde und es wahrscheinlich ist, dass Krankheitsverlauf, Pathophysiologie und Arzneimittelwirkungen bei gleicher Exposition im Wesentlichen ähnlich sind wie bei Erwachsenen. Die Sicherheit der empfohlenen Adalimumab-Dosis bei Jugendlichen mit HS basiert auf dem indikationsübergreifenden Sicherheitsprofil von Adalimumab bei Erwachsenen sowie Kindern und Jugendlichen bei ähnlicher Dosierung oder häufigerer Gabe (siehe Abschnitt 5.2). </w:t>
      </w:r>
    </w:p>
    <w:p w14:paraId="7B6B57DE" w14:textId="77777777" w:rsidR="00FE291A" w:rsidRDefault="00FE291A">
      <w:pPr>
        <w:widowControl/>
        <w:rPr>
          <w:color w:val="000000"/>
          <w:sz w:val="22"/>
          <w:szCs w:val="22"/>
          <w:lang w:val="de-DE"/>
        </w:rPr>
      </w:pPr>
    </w:p>
    <w:p w14:paraId="6016E086" w14:textId="77777777" w:rsidR="00FE291A" w:rsidRDefault="00C8738F">
      <w:pPr>
        <w:keepNext/>
        <w:widowControl/>
        <w:rPr>
          <w:i/>
          <w:iCs/>
          <w:color w:val="000000"/>
          <w:sz w:val="22"/>
          <w:szCs w:val="22"/>
          <w:lang w:val="de-DE"/>
        </w:rPr>
      </w:pPr>
      <w:r>
        <w:rPr>
          <w:i/>
          <w:iCs/>
          <w:color w:val="000000"/>
          <w:sz w:val="22"/>
          <w:szCs w:val="22"/>
          <w:lang w:val="de-DE"/>
        </w:rPr>
        <w:t>Morbus Crohn bei Kindern und Jugendlichen</w:t>
      </w:r>
    </w:p>
    <w:p w14:paraId="68B05EB3" w14:textId="77777777" w:rsidR="00FE291A" w:rsidRDefault="00FE291A">
      <w:pPr>
        <w:keepNext/>
        <w:widowControl/>
        <w:rPr>
          <w:color w:val="000000"/>
          <w:sz w:val="22"/>
          <w:szCs w:val="22"/>
          <w:lang w:val="de-DE"/>
        </w:rPr>
      </w:pPr>
    </w:p>
    <w:p w14:paraId="512DFA0E" w14:textId="77777777" w:rsidR="00FE291A" w:rsidRDefault="00C8738F">
      <w:pPr>
        <w:pStyle w:val="Default"/>
        <w:rPr>
          <w:rFonts w:eastAsia="PMingLiU"/>
          <w:sz w:val="22"/>
          <w:szCs w:val="22"/>
          <w:lang w:val="de-DE" w:eastAsia="en-IN"/>
        </w:rPr>
      </w:pPr>
      <w:r>
        <w:rPr>
          <w:sz w:val="22"/>
          <w:szCs w:val="22"/>
          <w:lang w:val="de-DE"/>
        </w:rPr>
        <w:t>Adalimumab wurde in einer multizentrischen, randomisierten, doppelblinden klinischen Studie untersucht, um die Wirksamkeit und Sicherheit einer Induktions- und Dauertherapie zu evaluieren. Es wurden 192 Kinder und Jugendliche im Alter zwischen 6 und einschließlich 17 Jahren mit mittelschwerem bis schwerem Morbus Crohn (MC), definiert als pädiatrischer Morbus-Crohn-Aktivitätsindex(PCDAI)-</w:t>
      </w:r>
      <w:r>
        <w:rPr>
          <w:i/>
          <w:iCs/>
          <w:sz w:val="22"/>
          <w:szCs w:val="22"/>
          <w:lang w:val="de-DE"/>
        </w:rPr>
        <w:t>Score</w:t>
      </w:r>
      <w:r>
        <w:rPr>
          <w:sz w:val="22"/>
          <w:szCs w:val="22"/>
          <w:lang w:val="de-DE"/>
        </w:rPr>
        <w:t xml:space="preserve"> &gt; 30, eingeschlossen. Die Dosis war abhängig vom Körpergewicht (&lt; 40 kg oder ≥ 40 kg). Eingeschlossen wurden Patienten, bei denen eine konventionelle MC-Therapie (einschließlich eines Kortikosteroids und/oder eines Immunsuppressivums) versagt hatte; es wurden auch Patienten </w:t>
      </w:r>
      <w:r>
        <w:rPr>
          <w:rFonts w:eastAsia="PMingLiU"/>
          <w:sz w:val="22"/>
          <w:szCs w:val="22"/>
          <w:lang w:val="de-DE" w:eastAsia="en-IN"/>
        </w:rPr>
        <w:t xml:space="preserve">eingeschlossen, die unter Infliximab-Therapie einen Verlust des klinischen Ansprechens oder eine Unverträglichkeit entwickelt hatten. </w:t>
      </w:r>
    </w:p>
    <w:p w14:paraId="6BDEBCAE" w14:textId="77777777" w:rsidR="00FE291A" w:rsidRDefault="00FE291A">
      <w:pPr>
        <w:pStyle w:val="Default"/>
        <w:rPr>
          <w:rFonts w:eastAsia="PMingLiU"/>
          <w:sz w:val="22"/>
          <w:szCs w:val="22"/>
          <w:lang w:val="de-DE" w:eastAsia="en-IN"/>
        </w:rPr>
      </w:pPr>
    </w:p>
    <w:p w14:paraId="5AF957FE" w14:textId="77777777" w:rsidR="00FE291A" w:rsidRDefault="00C8738F">
      <w:pPr>
        <w:widowControl/>
        <w:rPr>
          <w:color w:val="000000"/>
          <w:sz w:val="22"/>
          <w:szCs w:val="22"/>
          <w:lang w:val="de-DE"/>
        </w:rPr>
      </w:pPr>
      <w:r>
        <w:rPr>
          <w:color w:val="000000"/>
          <w:sz w:val="22"/>
          <w:szCs w:val="22"/>
          <w:lang w:val="de-DE"/>
        </w:rPr>
        <w:t>Alle Patienten erhielten eine offene Induktionstherapie mit einer Dosis auf Basis des Körpergewichts zu Studienbeginn: 160 mg in Woche 0 und 80 mg in Woche 2 für Patienten ≥ 40 kg bzw. 80 mg und 40 mg für Patienten &lt; 40 kg.</w:t>
      </w:r>
    </w:p>
    <w:p w14:paraId="2AB1A3FC" w14:textId="77777777" w:rsidR="00FE291A" w:rsidRDefault="00FE291A">
      <w:pPr>
        <w:widowControl/>
        <w:rPr>
          <w:color w:val="000000"/>
          <w:sz w:val="22"/>
          <w:szCs w:val="22"/>
          <w:lang w:val="de-DE"/>
        </w:rPr>
      </w:pPr>
    </w:p>
    <w:p w14:paraId="7BECC5EC" w14:textId="77777777" w:rsidR="00FE291A" w:rsidRDefault="00C8738F">
      <w:pPr>
        <w:pStyle w:val="BodyText"/>
        <w:widowControl/>
        <w:kinsoku w:val="0"/>
        <w:overflowPunct w:val="0"/>
        <w:ind w:left="0"/>
        <w:rPr>
          <w:color w:val="000000"/>
          <w:lang w:val="de-DE"/>
        </w:rPr>
      </w:pPr>
      <w:r>
        <w:rPr>
          <w:color w:val="000000"/>
          <w:lang w:val="de-DE"/>
        </w:rPr>
        <w:t>In Woche 4 wurden die Patienten 1:1 auf Basis des derzeitigen Körpergewichts entweder einem Behandlungsschema mit niedriger Dosis oder Standarddosis nach dem Zufallsprinzip zugeteilt (siehe Tabelle 28).</w:t>
      </w:r>
    </w:p>
    <w:p w14:paraId="4571E499" w14:textId="77777777" w:rsidR="00FE291A" w:rsidRDefault="00FE291A">
      <w:pPr>
        <w:pStyle w:val="BodyText"/>
        <w:widowControl/>
        <w:kinsoku w:val="0"/>
        <w:overflowPunct w:val="0"/>
        <w:ind w:left="0"/>
        <w:rPr>
          <w:color w:val="000000"/>
          <w:lang w:val="de-DE"/>
        </w:rPr>
      </w:pPr>
    </w:p>
    <w:p w14:paraId="3D5B90C8" w14:textId="77777777" w:rsidR="00FE291A" w:rsidRDefault="00C8738F">
      <w:pPr>
        <w:keepNext/>
        <w:rPr>
          <w:color w:val="000000"/>
          <w:sz w:val="22"/>
          <w:szCs w:val="22"/>
          <w:lang w:val="de-DE" w:eastAsia="en-GB"/>
        </w:rPr>
      </w:pPr>
      <w:r>
        <w:rPr>
          <w:b/>
          <w:bCs/>
          <w:color w:val="000000"/>
          <w:sz w:val="22"/>
          <w:szCs w:val="22"/>
          <w:lang w:val="de-DE" w:eastAsia="en-GB"/>
        </w:rPr>
        <w:t>Tabelle 28: Erhaltungsdosis</w:t>
      </w:r>
    </w:p>
    <w:p w14:paraId="7CCE2244" w14:textId="77777777" w:rsidR="00FE291A" w:rsidRDefault="00FE291A">
      <w:pPr>
        <w:keepNext/>
        <w:rPr>
          <w:sz w:val="22"/>
          <w:szCs w:val="22"/>
          <w:lang w:val="de-DE"/>
        </w:rPr>
      </w:pP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2986"/>
        <w:gridCol w:w="2986"/>
      </w:tblGrid>
      <w:tr w:rsidR="00FE291A" w14:paraId="46437551" w14:textId="77777777">
        <w:trPr>
          <w:trHeight w:val="293"/>
          <w:jc w:val="center"/>
        </w:trPr>
        <w:tc>
          <w:tcPr>
            <w:tcW w:w="1666" w:type="pct"/>
          </w:tcPr>
          <w:p w14:paraId="0B059433" w14:textId="77777777" w:rsidR="00FE291A" w:rsidRDefault="00C8738F">
            <w:pPr>
              <w:rPr>
                <w:color w:val="000000"/>
                <w:sz w:val="22"/>
                <w:szCs w:val="22"/>
                <w:lang w:val="de-DE" w:eastAsia="en-GB"/>
              </w:rPr>
            </w:pPr>
            <w:r>
              <w:rPr>
                <w:b/>
                <w:bCs/>
                <w:sz w:val="22"/>
                <w:szCs w:val="22"/>
                <w:lang w:val="de-DE"/>
              </w:rPr>
              <w:t>Patientengewicht</w:t>
            </w:r>
          </w:p>
        </w:tc>
        <w:tc>
          <w:tcPr>
            <w:tcW w:w="1667" w:type="pct"/>
          </w:tcPr>
          <w:p w14:paraId="701327FD" w14:textId="77777777" w:rsidR="00FE291A" w:rsidRDefault="00C8738F">
            <w:pPr>
              <w:rPr>
                <w:color w:val="000000"/>
                <w:sz w:val="22"/>
                <w:szCs w:val="22"/>
                <w:lang w:val="de-DE" w:eastAsia="en-GB"/>
              </w:rPr>
            </w:pPr>
            <w:r>
              <w:rPr>
                <w:b/>
                <w:bCs/>
                <w:sz w:val="22"/>
                <w:szCs w:val="22"/>
                <w:lang w:val="de-DE"/>
              </w:rPr>
              <w:t>Niedrige Dosis</w:t>
            </w:r>
          </w:p>
        </w:tc>
        <w:tc>
          <w:tcPr>
            <w:tcW w:w="1667" w:type="pct"/>
          </w:tcPr>
          <w:p w14:paraId="29F20F58" w14:textId="77777777" w:rsidR="00FE291A" w:rsidRDefault="00C8738F">
            <w:pPr>
              <w:rPr>
                <w:color w:val="000000"/>
                <w:sz w:val="22"/>
                <w:szCs w:val="22"/>
                <w:lang w:val="de-DE" w:eastAsia="en-GB"/>
              </w:rPr>
            </w:pPr>
            <w:r>
              <w:rPr>
                <w:b/>
                <w:bCs/>
                <w:sz w:val="22"/>
                <w:szCs w:val="22"/>
                <w:lang w:val="de-DE"/>
              </w:rPr>
              <w:t>Standarddosis</w:t>
            </w:r>
          </w:p>
        </w:tc>
      </w:tr>
      <w:tr w:rsidR="00FE291A" w14:paraId="77305BCB" w14:textId="77777777">
        <w:trPr>
          <w:trHeight w:val="283"/>
          <w:jc w:val="center"/>
        </w:trPr>
        <w:tc>
          <w:tcPr>
            <w:tcW w:w="1666" w:type="pct"/>
          </w:tcPr>
          <w:p w14:paraId="24F86FCE" w14:textId="77777777" w:rsidR="00FE291A" w:rsidRDefault="00C8738F">
            <w:pPr>
              <w:rPr>
                <w:color w:val="000000"/>
                <w:sz w:val="22"/>
                <w:szCs w:val="22"/>
                <w:lang w:val="de-DE" w:eastAsia="en-GB"/>
              </w:rPr>
            </w:pPr>
            <w:r>
              <w:rPr>
                <w:sz w:val="22"/>
                <w:szCs w:val="22"/>
                <w:lang w:val="de-DE"/>
              </w:rPr>
              <w:t>&lt; 40 kg</w:t>
            </w:r>
          </w:p>
        </w:tc>
        <w:tc>
          <w:tcPr>
            <w:tcW w:w="1667" w:type="pct"/>
          </w:tcPr>
          <w:p w14:paraId="69E60155" w14:textId="77777777" w:rsidR="00FE291A" w:rsidRDefault="00C8738F">
            <w:pPr>
              <w:rPr>
                <w:color w:val="000000"/>
                <w:sz w:val="22"/>
                <w:szCs w:val="22"/>
                <w:lang w:val="de-DE" w:eastAsia="en-GB"/>
              </w:rPr>
            </w:pPr>
            <w:r>
              <w:rPr>
                <w:sz w:val="22"/>
                <w:szCs w:val="22"/>
                <w:lang w:val="de-DE"/>
              </w:rPr>
              <w:t>10 mg jede zweite Woche</w:t>
            </w:r>
          </w:p>
        </w:tc>
        <w:tc>
          <w:tcPr>
            <w:tcW w:w="1667" w:type="pct"/>
          </w:tcPr>
          <w:p w14:paraId="37CE0F5E" w14:textId="77777777" w:rsidR="00FE291A" w:rsidRDefault="00C8738F">
            <w:pPr>
              <w:rPr>
                <w:color w:val="000000"/>
                <w:sz w:val="22"/>
                <w:szCs w:val="22"/>
                <w:lang w:val="de-DE" w:eastAsia="en-GB"/>
              </w:rPr>
            </w:pPr>
            <w:r>
              <w:rPr>
                <w:sz w:val="22"/>
                <w:szCs w:val="22"/>
                <w:lang w:val="de-DE"/>
              </w:rPr>
              <w:t>20 mg jede zweite Woche</w:t>
            </w:r>
          </w:p>
        </w:tc>
      </w:tr>
      <w:tr w:rsidR="00FE291A" w14:paraId="5D04FA9B" w14:textId="77777777">
        <w:trPr>
          <w:trHeight w:val="283"/>
          <w:jc w:val="center"/>
        </w:trPr>
        <w:tc>
          <w:tcPr>
            <w:tcW w:w="1666" w:type="pct"/>
          </w:tcPr>
          <w:p w14:paraId="153E6200" w14:textId="77777777" w:rsidR="00FE291A" w:rsidRDefault="00C8738F">
            <w:pPr>
              <w:rPr>
                <w:color w:val="000000"/>
                <w:sz w:val="22"/>
                <w:szCs w:val="22"/>
                <w:lang w:val="de-DE" w:eastAsia="en-GB"/>
              </w:rPr>
            </w:pPr>
            <w:r>
              <w:rPr>
                <w:sz w:val="22"/>
                <w:szCs w:val="22"/>
                <w:lang w:val="de-DE"/>
              </w:rPr>
              <w:t>≥ 40 kg</w:t>
            </w:r>
          </w:p>
        </w:tc>
        <w:tc>
          <w:tcPr>
            <w:tcW w:w="1667" w:type="pct"/>
          </w:tcPr>
          <w:p w14:paraId="1542592B" w14:textId="77777777" w:rsidR="00FE291A" w:rsidRDefault="00C8738F">
            <w:pPr>
              <w:rPr>
                <w:color w:val="000000"/>
                <w:sz w:val="22"/>
                <w:szCs w:val="22"/>
                <w:lang w:val="de-DE" w:eastAsia="en-GB"/>
              </w:rPr>
            </w:pPr>
            <w:r>
              <w:rPr>
                <w:sz w:val="22"/>
                <w:szCs w:val="22"/>
                <w:lang w:val="de-DE"/>
              </w:rPr>
              <w:t>20 mg jede zweite Woche</w:t>
            </w:r>
          </w:p>
        </w:tc>
        <w:tc>
          <w:tcPr>
            <w:tcW w:w="1667" w:type="pct"/>
          </w:tcPr>
          <w:p w14:paraId="2D637ED2" w14:textId="77777777" w:rsidR="00FE291A" w:rsidRDefault="00C8738F">
            <w:pPr>
              <w:rPr>
                <w:color w:val="000000"/>
                <w:sz w:val="22"/>
                <w:szCs w:val="22"/>
                <w:lang w:val="de-DE" w:eastAsia="en-GB"/>
              </w:rPr>
            </w:pPr>
            <w:r>
              <w:rPr>
                <w:sz w:val="22"/>
                <w:szCs w:val="22"/>
                <w:lang w:val="de-DE"/>
              </w:rPr>
              <w:t>40 mg jede zweite Woche</w:t>
            </w:r>
          </w:p>
        </w:tc>
      </w:tr>
    </w:tbl>
    <w:p w14:paraId="230EEE9E" w14:textId="77777777" w:rsidR="00FE291A" w:rsidRDefault="00FE291A">
      <w:pPr>
        <w:pStyle w:val="BodyText"/>
        <w:widowControl/>
        <w:kinsoku w:val="0"/>
        <w:overflowPunct w:val="0"/>
        <w:ind w:left="0"/>
        <w:rPr>
          <w:color w:val="000000"/>
          <w:lang w:val="de-DE"/>
        </w:rPr>
      </w:pPr>
    </w:p>
    <w:p w14:paraId="0EE4E2DE" w14:textId="77777777" w:rsidR="00FE291A" w:rsidRDefault="00C8738F">
      <w:pPr>
        <w:keepNext/>
        <w:widowControl/>
        <w:rPr>
          <w:i/>
          <w:iCs/>
          <w:color w:val="000000"/>
          <w:sz w:val="22"/>
          <w:szCs w:val="22"/>
          <w:u w:val="single"/>
          <w:lang w:val="de-DE"/>
        </w:rPr>
      </w:pPr>
      <w:r>
        <w:rPr>
          <w:i/>
          <w:iCs/>
          <w:color w:val="000000"/>
          <w:sz w:val="22"/>
          <w:szCs w:val="22"/>
          <w:u w:val="single"/>
          <w:lang w:val="de-DE"/>
        </w:rPr>
        <w:t>Ergebnisse zur Wirksamkeit</w:t>
      </w:r>
    </w:p>
    <w:p w14:paraId="7DE00C5A" w14:textId="77777777" w:rsidR="00FE291A" w:rsidRDefault="00FE291A">
      <w:pPr>
        <w:keepNext/>
        <w:widowControl/>
        <w:rPr>
          <w:color w:val="000000"/>
          <w:sz w:val="22"/>
          <w:szCs w:val="22"/>
          <w:lang w:val="de-DE"/>
        </w:rPr>
      </w:pPr>
    </w:p>
    <w:p w14:paraId="1746D142" w14:textId="77777777" w:rsidR="00FE291A" w:rsidRDefault="00C8738F">
      <w:pPr>
        <w:widowControl/>
        <w:rPr>
          <w:color w:val="000000"/>
          <w:sz w:val="22"/>
          <w:szCs w:val="22"/>
          <w:lang w:val="de-DE"/>
        </w:rPr>
      </w:pPr>
      <w:r>
        <w:rPr>
          <w:color w:val="000000"/>
          <w:sz w:val="22"/>
          <w:szCs w:val="22"/>
          <w:lang w:val="de-DE"/>
        </w:rPr>
        <w:t>Der primäre Endpunkt der Studie war die klinische Remission in Woche 26, definiert als PCDAI-</w:t>
      </w:r>
      <w:r>
        <w:rPr>
          <w:i/>
          <w:iCs/>
          <w:color w:val="000000"/>
          <w:sz w:val="22"/>
          <w:szCs w:val="22"/>
          <w:lang w:val="de-DE"/>
        </w:rPr>
        <w:t>Score</w:t>
      </w:r>
      <w:r>
        <w:rPr>
          <w:color w:val="000000"/>
          <w:sz w:val="22"/>
          <w:szCs w:val="22"/>
          <w:lang w:val="de-DE"/>
        </w:rPr>
        <w:t xml:space="preserve"> ≤ 10. </w:t>
      </w:r>
    </w:p>
    <w:p w14:paraId="12D68E7F" w14:textId="77777777" w:rsidR="00FE291A" w:rsidRDefault="00FE291A">
      <w:pPr>
        <w:widowControl/>
        <w:rPr>
          <w:color w:val="000000"/>
          <w:sz w:val="22"/>
          <w:szCs w:val="22"/>
          <w:lang w:val="de-DE"/>
        </w:rPr>
      </w:pPr>
    </w:p>
    <w:p w14:paraId="4C25567B" w14:textId="77777777" w:rsidR="00FE291A" w:rsidRDefault="00C8738F">
      <w:pPr>
        <w:pStyle w:val="BodyText"/>
        <w:widowControl/>
        <w:kinsoku w:val="0"/>
        <w:overflowPunct w:val="0"/>
        <w:ind w:left="0"/>
        <w:rPr>
          <w:color w:val="000000"/>
          <w:lang w:val="de-DE"/>
        </w:rPr>
      </w:pPr>
      <w:r>
        <w:rPr>
          <w:color w:val="000000"/>
          <w:lang w:val="de-DE"/>
        </w:rPr>
        <w:t>Die Raten zur klinischen Remission und zum klinischen Ansprechen (definiert als Verringerung im PCDAI-</w:t>
      </w:r>
      <w:r>
        <w:rPr>
          <w:i/>
          <w:iCs/>
          <w:color w:val="000000"/>
          <w:lang w:val="de-DE"/>
        </w:rPr>
        <w:t>Score</w:t>
      </w:r>
      <w:r>
        <w:rPr>
          <w:color w:val="000000"/>
          <w:lang w:val="de-DE"/>
        </w:rPr>
        <w:t xml:space="preserve"> um mindestens 15 Punkte im Vergleich zu Studienbeginn) sind in Tabelle 29 dargestellt. Die Raten zum Absetzen von Kortikosteroiden oder Immunsuppressiva zeigt Tabelle 30.</w:t>
      </w:r>
    </w:p>
    <w:p w14:paraId="4F739D4D" w14:textId="77777777" w:rsidR="00FE291A" w:rsidRDefault="00FE291A">
      <w:pPr>
        <w:pStyle w:val="BodyText"/>
        <w:widowControl/>
        <w:kinsoku w:val="0"/>
        <w:overflowPunct w:val="0"/>
        <w:ind w:left="0"/>
        <w:rPr>
          <w:color w:val="000000"/>
          <w:lang w:val="de-DE"/>
        </w:rPr>
      </w:pPr>
    </w:p>
    <w:p w14:paraId="21666D0A" w14:textId="77777777" w:rsidR="00FE291A" w:rsidRDefault="00C8738F">
      <w:pPr>
        <w:pStyle w:val="Default"/>
        <w:keepNext/>
        <w:keepLines/>
        <w:rPr>
          <w:rFonts w:eastAsia="PMingLiU"/>
          <w:b/>
          <w:bCs/>
          <w:sz w:val="22"/>
          <w:szCs w:val="22"/>
          <w:lang w:val="de-DE" w:eastAsia="en-IN"/>
        </w:rPr>
      </w:pPr>
      <w:r>
        <w:rPr>
          <w:b/>
          <w:bCs/>
          <w:sz w:val="22"/>
          <w:szCs w:val="22"/>
          <w:lang w:val="de-DE" w:eastAsia="en-GB"/>
        </w:rPr>
        <w:t xml:space="preserve">Tabelle 29: </w:t>
      </w:r>
      <w:r>
        <w:rPr>
          <w:rFonts w:eastAsia="PMingLiU"/>
          <w:b/>
          <w:bCs/>
          <w:sz w:val="22"/>
          <w:szCs w:val="22"/>
          <w:lang w:val="de-DE" w:eastAsia="en-IN"/>
        </w:rPr>
        <w:t>Morbus-Crohn-Studie bei Kindern und Jugendlichen</w:t>
      </w:r>
    </w:p>
    <w:p w14:paraId="7171D8D8" w14:textId="77777777" w:rsidR="00FE291A" w:rsidRDefault="00C8738F">
      <w:pPr>
        <w:pStyle w:val="Default"/>
        <w:keepNext/>
        <w:keepLines/>
        <w:rPr>
          <w:b/>
          <w:bCs/>
          <w:sz w:val="22"/>
          <w:szCs w:val="22"/>
          <w:lang w:val="de-DE"/>
        </w:rPr>
      </w:pPr>
      <w:r>
        <w:rPr>
          <w:b/>
          <w:bCs/>
          <w:sz w:val="22"/>
          <w:szCs w:val="22"/>
          <w:lang w:val="de-DE"/>
        </w:rPr>
        <w:t>Klinische Remission und Ansprechen nach PCDAI</w:t>
      </w:r>
    </w:p>
    <w:p w14:paraId="3798C9DC" w14:textId="77777777" w:rsidR="00FE291A" w:rsidRDefault="00FE291A">
      <w:pPr>
        <w:pStyle w:val="Default"/>
        <w:keepNext/>
        <w:keepLines/>
        <w:rPr>
          <w:sz w:val="22"/>
          <w:szCs w:val="22"/>
          <w:lang w:val="de-DE" w:eastAsia="en-GB"/>
        </w:rPr>
      </w:pP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2268"/>
        <w:gridCol w:w="2268"/>
        <w:gridCol w:w="1842"/>
      </w:tblGrid>
      <w:tr w:rsidR="00FE291A" w14:paraId="1BF131AD" w14:textId="77777777">
        <w:trPr>
          <w:trHeight w:val="437"/>
        </w:trPr>
        <w:tc>
          <w:tcPr>
            <w:tcW w:w="2586" w:type="dxa"/>
          </w:tcPr>
          <w:p w14:paraId="7B84CC45" w14:textId="77777777" w:rsidR="00FE291A" w:rsidRDefault="00FE291A">
            <w:pPr>
              <w:keepNext/>
              <w:keepLines/>
              <w:widowControl/>
              <w:jc w:val="center"/>
              <w:rPr>
                <w:color w:val="000000"/>
                <w:sz w:val="22"/>
                <w:szCs w:val="22"/>
                <w:lang w:val="de-DE" w:eastAsia="en-GB"/>
              </w:rPr>
            </w:pPr>
          </w:p>
        </w:tc>
        <w:tc>
          <w:tcPr>
            <w:tcW w:w="2268" w:type="dxa"/>
          </w:tcPr>
          <w:p w14:paraId="309D5A9E" w14:textId="77777777" w:rsidR="00FE291A" w:rsidRDefault="00C8738F">
            <w:pPr>
              <w:pStyle w:val="Default"/>
              <w:keepNext/>
              <w:keepLines/>
              <w:jc w:val="center"/>
              <w:rPr>
                <w:sz w:val="22"/>
                <w:szCs w:val="22"/>
                <w:lang w:val="de-DE"/>
              </w:rPr>
            </w:pPr>
            <w:r>
              <w:rPr>
                <w:b/>
                <w:bCs/>
                <w:sz w:val="22"/>
                <w:szCs w:val="22"/>
                <w:lang w:val="de-DE"/>
              </w:rPr>
              <w:t>Standarddosis</w:t>
            </w:r>
          </w:p>
          <w:p w14:paraId="1FAA3A70" w14:textId="77777777" w:rsidR="00FE291A" w:rsidRDefault="00C8738F">
            <w:pPr>
              <w:pStyle w:val="Default"/>
              <w:keepNext/>
              <w:keepLines/>
              <w:jc w:val="center"/>
              <w:rPr>
                <w:sz w:val="22"/>
                <w:szCs w:val="22"/>
                <w:lang w:val="de-DE"/>
              </w:rPr>
            </w:pPr>
            <w:r>
              <w:rPr>
                <w:b/>
                <w:bCs/>
                <w:sz w:val="22"/>
                <w:szCs w:val="22"/>
                <w:lang w:val="de-DE"/>
              </w:rPr>
              <w:t>40/20 mg jede zweite Woche</w:t>
            </w:r>
          </w:p>
          <w:p w14:paraId="6090A8C3" w14:textId="77777777" w:rsidR="00FE291A" w:rsidRDefault="00C8738F">
            <w:pPr>
              <w:keepNext/>
              <w:keepLines/>
              <w:widowControl/>
              <w:jc w:val="center"/>
              <w:rPr>
                <w:color w:val="000000"/>
                <w:sz w:val="22"/>
                <w:szCs w:val="22"/>
                <w:lang w:val="de-DE" w:eastAsia="en-GB"/>
              </w:rPr>
            </w:pPr>
            <w:r>
              <w:rPr>
                <w:b/>
                <w:bCs/>
                <w:sz w:val="22"/>
                <w:szCs w:val="22"/>
                <w:lang w:val="de-DE"/>
              </w:rPr>
              <w:t>n = 93</w:t>
            </w:r>
          </w:p>
        </w:tc>
        <w:tc>
          <w:tcPr>
            <w:tcW w:w="2268" w:type="dxa"/>
          </w:tcPr>
          <w:p w14:paraId="28A72505" w14:textId="77777777" w:rsidR="00FE291A" w:rsidRDefault="00C8738F">
            <w:pPr>
              <w:pStyle w:val="Default"/>
              <w:keepNext/>
              <w:keepLines/>
              <w:jc w:val="center"/>
              <w:rPr>
                <w:sz w:val="22"/>
                <w:szCs w:val="22"/>
                <w:lang w:val="de-DE"/>
              </w:rPr>
            </w:pPr>
            <w:r>
              <w:rPr>
                <w:b/>
                <w:bCs/>
                <w:sz w:val="22"/>
                <w:szCs w:val="22"/>
                <w:lang w:val="de-DE"/>
              </w:rPr>
              <w:t>Niedrige Dosis</w:t>
            </w:r>
          </w:p>
          <w:p w14:paraId="2F44050A" w14:textId="77777777" w:rsidR="00FE291A" w:rsidRDefault="00C8738F">
            <w:pPr>
              <w:pStyle w:val="Default"/>
              <w:keepNext/>
              <w:keepLines/>
              <w:jc w:val="center"/>
              <w:rPr>
                <w:sz w:val="22"/>
                <w:szCs w:val="22"/>
                <w:lang w:val="de-DE"/>
              </w:rPr>
            </w:pPr>
            <w:r>
              <w:rPr>
                <w:b/>
                <w:bCs/>
                <w:sz w:val="22"/>
                <w:szCs w:val="22"/>
                <w:lang w:val="de-DE"/>
              </w:rPr>
              <w:t>20/10 mg jede zweite Woche</w:t>
            </w:r>
          </w:p>
          <w:p w14:paraId="5F820A67" w14:textId="77777777" w:rsidR="00FE291A" w:rsidRDefault="00C8738F">
            <w:pPr>
              <w:keepNext/>
              <w:keepLines/>
              <w:widowControl/>
              <w:jc w:val="center"/>
              <w:rPr>
                <w:color w:val="000000"/>
                <w:sz w:val="22"/>
                <w:szCs w:val="22"/>
                <w:lang w:val="de-DE" w:eastAsia="en-GB"/>
              </w:rPr>
            </w:pPr>
            <w:r>
              <w:rPr>
                <w:b/>
                <w:bCs/>
                <w:sz w:val="22"/>
                <w:szCs w:val="22"/>
                <w:lang w:val="de-DE"/>
              </w:rPr>
              <w:t>n = 95</w:t>
            </w:r>
          </w:p>
        </w:tc>
        <w:tc>
          <w:tcPr>
            <w:tcW w:w="1842" w:type="dxa"/>
          </w:tcPr>
          <w:p w14:paraId="1AD5ECFC" w14:textId="77777777" w:rsidR="00FE291A" w:rsidRDefault="00C8738F">
            <w:pPr>
              <w:keepNext/>
              <w:keepLines/>
              <w:widowControl/>
              <w:jc w:val="center"/>
              <w:rPr>
                <w:color w:val="000000"/>
                <w:sz w:val="22"/>
                <w:szCs w:val="22"/>
                <w:lang w:val="de-DE" w:eastAsia="en-GB"/>
              </w:rPr>
            </w:pPr>
            <w:r>
              <w:rPr>
                <w:b/>
                <w:bCs/>
                <w:color w:val="000000"/>
                <w:sz w:val="22"/>
                <w:szCs w:val="22"/>
                <w:lang w:val="de-DE" w:eastAsia="en-GB"/>
              </w:rPr>
              <w:t>p-Wert*</w:t>
            </w:r>
          </w:p>
        </w:tc>
      </w:tr>
      <w:tr w:rsidR="00FE291A" w14:paraId="4767988D" w14:textId="77777777">
        <w:trPr>
          <w:trHeight w:val="149"/>
        </w:trPr>
        <w:tc>
          <w:tcPr>
            <w:tcW w:w="8964" w:type="dxa"/>
            <w:gridSpan w:val="4"/>
          </w:tcPr>
          <w:p w14:paraId="0F0B812F" w14:textId="77777777" w:rsidR="00FE291A" w:rsidRDefault="00C8738F">
            <w:pPr>
              <w:keepNext/>
              <w:keepLines/>
              <w:rPr>
                <w:color w:val="000000"/>
                <w:sz w:val="22"/>
                <w:szCs w:val="22"/>
                <w:lang w:val="de-DE" w:eastAsia="en-GB"/>
              </w:rPr>
            </w:pPr>
            <w:r>
              <w:rPr>
                <w:b/>
                <w:bCs/>
                <w:color w:val="000000"/>
                <w:sz w:val="22"/>
                <w:szCs w:val="22"/>
                <w:lang w:val="de-DE" w:eastAsia="en-GB"/>
              </w:rPr>
              <w:t>Woche 26</w:t>
            </w:r>
          </w:p>
        </w:tc>
      </w:tr>
      <w:tr w:rsidR="00FE291A" w14:paraId="33A7581F" w14:textId="77777777">
        <w:trPr>
          <w:trHeight w:val="147"/>
        </w:trPr>
        <w:tc>
          <w:tcPr>
            <w:tcW w:w="2586" w:type="dxa"/>
          </w:tcPr>
          <w:p w14:paraId="6C544711" w14:textId="77777777" w:rsidR="00FE291A" w:rsidRDefault="00C8738F">
            <w:pPr>
              <w:keepNext/>
              <w:keepLines/>
              <w:tabs>
                <w:tab w:val="left" w:pos="276"/>
              </w:tabs>
              <w:rPr>
                <w:color w:val="000000"/>
                <w:sz w:val="22"/>
                <w:szCs w:val="22"/>
                <w:lang w:val="de-DE" w:eastAsia="en-GB"/>
              </w:rPr>
            </w:pPr>
            <w:r>
              <w:rPr>
                <w:color w:val="000000"/>
                <w:sz w:val="22"/>
                <w:szCs w:val="22"/>
                <w:lang w:val="de-DE" w:eastAsia="en-GB"/>
              </w:rPr>
              <w:tab/>
              <w:t>Klinische Remission</w:t>
            </w:r>
          </w:p>
        </w:tc>
        <w:tc>
          <w:tcPr>
            <w:tcW w:w="2268" w:type="dxa"/>
          </w:tcPr>
          <w:p w14:paraId="78373BF4" w14:textId="77777777" w:rsidR="00FE291A" w:rsidRDefault="00C8738F">
            <w:pPr>
              <w:keepNext/>
              <w:keepLines/>
              <w:jc w:val="center"/>
              <w:rPr>
                <w:color w:val="000000"/>
                <w:sz w:val="22"/>
                <w:szCs w:val="22"/>
                <w:lang w:val="de-DE" w:eastAsia="en-GB"/>
              </w:rPr>
            </w:pPr>
            <w:r>
              <w:rPr>
                <w:color w:val="000000"/>
                <w:sz w:val="22"/>
                <w:szCs w:val="22"/>
                <w:lang w:val="de-DE" w:eastAsia="en-GB"/>
              </w:rPr>
              <w:t>38,7 %</w:t>
            </w:r>
          </w:p>
        </w:tc>
        <w:tc>
          <w:tcPr>
            <w:tcW w:w="2268" w:type="dxa"/>
          </w:tcPr>
          <w:p w14:paraId="7A03E551" w14:textId="77777777" w:rsidR="00FE291A" w:rsidRDefault="00C8738F">
            <w:pPr>
              <w:keepNext/>
              <w:keepLines/>
              <w:jc w:val="center"/>
              <w:rPr>
                <w:color w:val="000000"/>
                <w:sz w:val="22"/>
                <w:szCs w:val="22"/>
                <w:lang w:val="de-DE" w:eastAsia="en-GB"/>
              </w:rPr>
            </w:pPr>
            <w:r>
              <w:rPr>
                <w:color w:val="000000"/>
                <w:sz w:val="22"/>
                <w:szCs w:val="22"/>
                <w:lang w:val="de-DE" w:eastAsia="en-GB"/>
              </w:rPr>
              <w:t>28,4 %</w:t>
            </w:r>
          </w:p>
        </w:tc>
        <w:tc>
          <w:tcPr>
            <w:tcW w:w="1842" w:type="dxa"/>
          </w:tcPr>
          <w:p w14:paraId="02814100" w14:textId="77777777" w:rsidR="00FE291A" w:rsidRDefault="00C8738F">
            <w:pPr>
              <w:keepNext/>
              <w:keepLines/>
              <w:jc w:val="center"/>
              <w:rPr>
                <w:color w:val="000000"/>
                <w:sz w:val="22"/>
                <w:szCs w:val="22"/>
                <w:lang w:val="de-DE" w:eastAsia="en-GB"/>
              </w:rPr>
            </w:pPr>
            <w:r>
              <w:rPr>
                <w:color w:val="000000"/>
                <w:sz w:val="22"/>
                <w:szCs w:val="22"/>
                <w:lang w:val="de-DE" w:eastAsia="en-GB"/>
              </w:rPr>
              <w:t>0,075</w:t>
            </w:r>
          </w:p>
        </w:tc>
      </w:tr>
      <w:tr w:rsidR="00FE291A" w14:paraId="0889E4A9" w14:textId="77777777">
        <w:trPr>
          <w:trHeight w:val="147"/>
        </w:trPr>
        <w:tc>
          <w:tcPr>
            <w:tcW w:w="2586" w:type="dxa"/>
          </w:tcPr>
          <w:p w14:paraId="35EC5CCE" w14:textId="77777777" w:rsidR="00FE291A" w:rsidRDefault="00C8738F">
            <w:pPr>
              <w:keepNext/>
              <w:keepLines/>
              <w:tabs>
                <w:tab w:val="left" w:pos="276"/>
              </w:tabs>
              <w:rPr>
                <w:color w:val="000000"/>
                <w:sz w:val="22"/>
                <w:szCs w:val="22"/>
                <w:lang w:val="de-DE" w:eastAsia="en-GB"/>
              </w:rPr>
            </w:pPr>
            <w:r>
              <w:rPr>
                <w:color w:val="000000"/>
                <w:sz w:val="22"/>
                <w:szCs w:val="22"/>
                <w:lang w:val="de-DE" w:eastAsia="en-GB"/>
              </w:rPr>
              <w:tab/>
              <w:t>Klinisches Ansprechen</w:t>
            </w:r>
          </w:p>
        </w:tc>
        <w:tc>
          <w:tcPr>
            <w:tcW w:w="2268" w:type="dxa"/>
          </w:tcPr>
          <w:p w14:paraId="47B11683" w14:textId="77777777" w:rsidR="00FE291A" w:rsidRDefault="00C8738F">
            <w:pPr>
              <w:keepNext/>
              <w:keepLines/>
              <w:jc w:val="center"/>
              <w:rPr>
                <w:color w:val="000000"/>
                <w:sz w:val="22"/>
                <w:szCs w:val="22"/>
                <w:lang w:val="de-DE" w:eastAsia="en-GB"/>
              </w:rPr>
            </w:pPr>
            <w:r>
              <w:rPr>
                <w:color w:val="000000"/>
                <w:sz w:val="22"/>
                <w:szCs w:val="22"/>
                <w:lang w:val="de-DE" w:eastAsia="en-GB"/>
              </w:rPr>
              <w:t>59,1 %</w:t>
            </w:r>
          </w:p>
        </w:tc>
        <w:tc>
          <w:tcPr>
            <w:tcW w:w="2268" w:type="dxa"/>
          </w:tcPr>
          <w:p w14:paraId="6FB98AF6" w14:textId="77777777" w:rsidR="00FE291A" w:rsidRDefault="00C8738F">
            <w:pPr>
              <w:keepNext/>
              <w:keepLines/>
              <w:jc w:val="center"/>
              <w:rPr>
                <w:color w:val="000000"/>
                <w:sz w:val="22"/>
                <w:szCs w:val="22"/>
                <w:lang w:val="de-DE" w:eastAsia="en-GB"/>
              </w:rPr>
            </w:pPr>
            <w:r>
              <w:rPr>
                <w:color w:val="000000"/>
                <w:sz w:val="22"/>
                <w:szCs w:val="22"/>
                <w:lang w:val="de-DE" w:eastAsia="en-GB"/>
              </w:rPr>
              <w:t>48,4 %</w:t>
            </w:r>
          </w:p>
        </w:tc>
        <w:tc>
          <w:tcPr>
            <w:tcW w:w="1842" w:type="dxa"/>
          </w:tcPr>
          <w:p w14:paraId="3C14E45F" w14:textId="77777777" w:rsidR="00FE291A" w:rsidRDefault="00C8738F">
            <w:pPr>
              <w:keepNext/>
              <w:keepLines/>
              <w:jc w:val="center"/>
              <w:rPr>
                <w:color w:val="000000"/>
                <w:sz w:val="22"/>
                <w:szCs w:val="22"/>
                <w:lang w:val="de-DE" w:eastAsia="en-GB"/>
              </w:rPr>
            </w:pPr>
            <w:r>
              <w:rPr>
                <w:color w:val="000000"/>
                <w:sz w:val="22"/>
                <w:szCs w:val="22"/>
                <w:lang w:val="de-DE" w:eastAsia="en-GB"/>
              </w:rPr>
              <w:t>0,073</w:t>
            </w:r>
          </w:p>
        </w:tc>
      </w:tr>
      <w:tr w:rsidR="00FE291A" w14:paraId="3A608FD9" w14:textId="77777777">
        <w:trPr>
          <w:trHeight w:val="149"/>
        </w:trPr>
        <w:tc>
          <w:tcPr>
            <w:tcW w:w="8964" w:type="dxa"/>
            <w:gridSpan w:val="4"/>
          </w:tcPr>
          <w:p w14:paraId="2D15DA33" w14:textId="77777777" w:rsidR="00FE291A" w:rsidRDefault="00C8738F">
            <w:pPr>
              <w:keepNext/>
              <w:keepLines/>
              <w:rPr>
                <w:color w:val="000000"/>
                <w:sz w:val="22"/>
                <w:szCs w:val="22"/>
                <w:lang w:val="de-DE" w:eastAsia="en-GB"/>
              </w:rPr>
            </w:pPr>
            <w:r>
              <w:rPr>
                <w:b/>
                <w:bCs/>
                <w:color w:val="000000"/>
                <w:sz w:val="22"/>
                <w:szCs w:val="22"/>
                <w:lang w:val="de-DE" w:eastAsia="en-GB"/>
              </w:rPr>
              <w:t>Woche 52</w:t>
            </w:r>
          </w:p>
        </w:tc>
      </w:tr>
      <w:tr w:rsidR="00FE291A" w14:paraId="6AEAD6A1" w14:textId="77777777">
        <w:trPr>
          <w:trHeight w:val="147"/>
        </w:trPr>
        <w:tc>
          <w:tcPr>
            <w:tcW w:w="2586" w:type="dxa"/>
          </w:tcPr>
          <w:p w14:paraId="257B4FF3" w14:textId="77777777" w:rsidR="00FE291A" w:rsidRDefault="00C8738F">
            <w:pPr>
              <w:keepNext/>
              <w:keepLines/>
              <w:tabs>
                <w:tab w:val="left" w:pos="276"/>
              </w:tabs>
              <w:rPr>
                <w:color w:val="000000"/>
                <w:sz w:val="22"/>
                <w:szCs w:val="22"/>
                <w:lang w:val="de-DE" w:eastAsia="en-GB"/>
              </w:rPr>
            </w:pPr>
            <w:r>
              <w:rPr>
                <w:color w:val="000000"/>
                <w:sz w:val="22"/>
                <w:szCs w:val="22"/>
                <w:lang w:val="de-DE" w:eastAsia="en-GB"/>
              </w:rPr>
              <w:tab/>
              <w:t>Klinische Remission</w:t>
            </w:r>
          </w:p>
        </w:tc>
        <w:tc>
          <w:tcPr>
            <w:tcW w:w="2268" w:type="dxa"/>
          </w:tcPr>
          <w:p w14:paraId="06B6E822" w14:textId="77777777" w:rsidR="00FE291A" w:rsidRDefault="00C8738F">
            <w:pPr>
              <w:keepNext/>
              <w:keepLines/>
              <w:jc w:val="center"/>
              <w:rPr>
                <w:color w:val="000000"/>
                <w:sz w:val="22"/>
                <w:szCs w:val="22"/>
                <w:lang w:val="de-DE" w:eastAsia="en-GB"/>
              </w:rPr>
            </w:pPr>
            <w:r>
              <w:rPr>
                <w:color w:val="000000"/>
                <w:sz w:val="22"/>
                <w:szCs w:val="22"/>
                <w:lang w:val="de-DE" w:eastAsia="en-GB"/>
              </w:rPr>
              <w:t>33,3 %</w:t>
            </w:r>
          </w:p>
        </w:tc>
        <w:tc>
          <w:tcPr>
            <w:tcW w:w="2268" w:type="dxa"/>
          </w:tcPr>
          <w:p w14:paraId="31F42570" w14:textId="77777777" w:rsidR="00FE291A" w:rsidRDefault="00C8738F">
            <w:pPr>
              <w:keepNext/>
              <w:keepLines/>
              <w:jc w:val="center"/>
              <w:rPr>
                <w:color w:val="000000"/>
                <w:sz w:val="22"/>
                <w:szCs w:val="22"/>
                <w:lang w:val="de-DE" w:eastAsia="en-GB"/>
              </w:rPr>
            </w:pPr>
            <w:r>
              <w:rPr>
                <w:color w:val="000000"/>
                <w:sz w:val="22"/>
                <w:szCs w:val="22"/>
                <w:lang w:val="de-DE" w:eastAsia="en-GB"/>
              </w:rPr>
              <w:t>23,2 %</w:t>
            </w:r>
          </w:p>
        </w:tc>
        <w:tc>
          <w:tcPr>
            <w:tcW w:w="1842" w:type="dxa"/>
          </w:tcPr>
          <w:p w14:paraId="7E4CFF4B" w14:textId="77777777" w:rsidR="00FE291A" w:rsidRDefault="00C8738F">
            <w:pPr>
              <w:keepNext/>
              <w:keepLines/>
              <w:jc w:val="center"/>
              <w:rPr>
                <w:color w:val="000000"/>
                <w:sz w:val="22"/>
                <w:szCs w:val="22"/>
                <w:lang w:val="de-DE" w:eastAsia="en-GB"/>
              </w:rPr>
            </w:pPr>
            <w:r>
              <w:rPr>
                <w:color w:val="000000"/>
                <w:sz w:val="22"/>
                <w:szCs w:val="22"/>
                <w:lang w:val="de-DE" w:eastAsia="en-GB"/>
              </w:rPr>
              <w:t>0,100</w:t>
            </w:r>
          </w:p>
        </w:tc>
      </w:tr>
      <w:tr w:rsidR="00FE291A" w14:paraId="0DCA06AC" w14:textId="77777777">
        <w:trPr>
          <w:trHeight w:val="147"/>
        </w:trPr>
        <w:tc>
          <w:tcPr>
            <w:tcW w:w="2586" w:type="dxa"/>
            <w:tcBorders>
              <w:bottom w:val="single" w:sz="4" w:space="0" w:color="auto"/>
            </w:tcBorders>
          </w:tcPr>
          <w:p w14:paraId="4E38DE64" w14:textId="77777777" w:rsidR="00FE291A" w:rsidRDefault="00C8738F">
            <w:pPr>
              <w:keepNext/>
              <w:keepLines/>
              <w:tabs>
                <w:tab w:val="left" w:pos="276"/>
              </w:tabs>
              <w:rPr>
                <w:color w:val="000000"/>
                <w:sz w:val="22"/>
                <w:szCs w:val="22"/>
                <w:lang w:val="de-DE" w:eastAsia="en-GB"/>
              </w:rPr>
            </w:pPr>
            <w:r>
              <w:rPr>
                <w:color w:val="000000"/>
                <w:sz w:val="22"/>
                <w:szCs w:val="22"/>
                <w:lang w:val="de-DE" w:eastAsia="en-GB"/>
              </w:rPr>
              <w:tab/>
              <w:t>Klinisches Ansprechen</w:t>
            </w:r>
          </w:p>
        </w:tc>
        <w:tc>
          <w:tcPr>
            <w:tcW w:w="2268" w:type="dxa"/>
            <w:tcBorders>
              <w:bottom w:val="single" w:sz="4" w:space="0" w:color="auto"/>
            </w:tcBorders>
          </w:tcPr>
          <w:p w14:paraId="76B87E90" w14:textId="77777777" w:rsidR="00FE291A" w:rsidRDefault="00C8738F">
            <w:pPr>
              <w:keepNext/>
              <w:keepLines/>
              <w:jc w:val="center"/>
              <w:rPr>
                <w:color w:val="000000"/>
                <w:sz w:val="22"/>
                <w:szCs w:val="22"/>
                <w:lang w:val="de-DE" w:eastAsia="en-GB"/>
              </w:rPr>
            </w:pPr>
            <w:r>
              <w:rPr>
                <w:color w:val="000000"/>
                <w:sz w:val="22"/>
                <w:szCs w:val="22"/>
                <w:lang w:val="de-DE" w:eastAsia="en-GB"/>
              </w:rPr>
              <w:t>41,9 %</w:t>
            </w:r>
          </w:p>
        </w:tc>
        <w:tc>
          <w:tcPr>
            <w:tcW w:w="2268" w:type="dxa"/>
            <w:tcBorders>
              <w:bottom w:val="single" w:sz="4" w:space="0" w:color="auto"/>
            </w:tcBorders>
          </w:tcPr>
          <w:p w14:paraId="1EDC4B28" w14:textId="77777777" w:rsidR="00FE291A" w:rsidRDefault="00C8738F">
            <w:pPr>
              <w:keepNext/>
              <w:keepLines/>
              <w:jc w:val="center"/>
              <w:rPr>
                <w:color w:val="000000"/>
                <w:sz w:val="22"/>
                <w:szCs w:val="22"/>
                <w:lang w:val="de-DE" w:eastAsia="en-GB"/>
              </w:rPr>
            </w:pPr>
            <w:r>
              <w:rPr>
                <w:color w:val="000000"/>
                <w:sz w:val="22"/>
                <w:szCs w:val="22"/>
                <w:lang w:val="de-DE" w:eastAsia="en-GB"/>
              </w:rPr>
              <w:t>28,4 %</w:t>
            </w:r>
          </w:p>
        </w:tc>
        <w:tc>
          <w:tcPr>
            <w:tcW w:w="1842" w:type="dxa"/>
            <w:tcBorders>
              <w:bottom w:val="single" w:sz="4" w:space="0" w:color="auto"/>
            </w:tcBorders>
          </w:tcPr>
          <w:p w14:paraId="043C064A" w14:textId="77777777" w:rsidR="00FE291A" w:rsidRDefault="00C8738F">
            <w:pPr>
              <w:keepNext/>
              <w:keepLines/>
              <w:jc w:val="center"/>
              <w:rPr>
                <w:color w:val="000000"/>
                <w:sz w:val="22"/>
                <w:szCs w:val="22"/>
                <w:lang w:val="de-DE" w:eastAsia="en-GB"/>
              </w:rPr>
            </w:pPr>
            <w:r>
              <w:rPr>
                <w:color w:val="000000"/>
                <w:sz w:val="22"/>
                <w:szCs w:val="22"/>
                <w:lang w:val="de-DE" w:eastAsia="en-GB"/>
              </w:rPr>
              <w:t>0,038</w:t>
            </w:r>
          </w:p>
        </w:tc>
      </w:tr>
    </w:tbl>
    <w:p w14:paraId="1A6EBA65" w14:textId="77777777" w:rsidR="00FE291A" w:rsidRDefault="00C8738F">
      <w:pPr>
        <w:keepNext/>
        <w:keepLines/>
        <w:rPr>
          <w:sz w:val="20"/>
          <w:szCs w:val="20"/>
          <w:lang w:val="de-DE" w:eastAsia="en-GB"/>
        </w:rPr>
      </w:pPr>
      <w:r>
        <w:rPr>
          <w:color w:val="000000"/>
          <w:sz w:val="20"/>
          <w:lang w:val="de-DE" w:eastAsia="en-GB"/>
        </w:rPr>
        <w:t xml:space="preserve">* </w:t>
      </w:r>
      <w:r>
        <w:rPr>
          <w:sz w:val="20"/>
          <w:szCs w:val="20"/>
          <w:lang w:val="de-DE"/>
        </w:rPr>
        <w:t>p-Wert für Vergleich von Standarddosis gegenüber Niedrigdosis</w:t>
      </w:r>
    </w:p>
    <w:p w14:paraId="24F17A3A" w14:textId="77777777" w:rsidR="00FE291A" w:rsidRDefault="00FE291A">
      <w:pPr>
        <w:rPr>
          <w:sz w:val="22"/>
          <w:szCs w:val="21"/>
          <w:lang w:val="de-DE"/>
        </w:rPr>
      </w:pPr>
    </w:p>
    <w:p w14:paraId="5EEACC20" w14:textId="77777777" w:rsidR="00FE291A" w:rsidRDefault="00C8738F">
      <w:pPr>
        <w:pStyle w:val="Default"/>
        <w:rPr>
          <w:rFonts w:eastAsia="PMingLiU"/>
          <w:b/>
          <w:bCs/>
          <w:sz w:val="22"/>
          <w:szCs w:val="22"/>
          <w:lang w:val="de-DE" w:eastAsia="en-IN"/>
        </w:rPr>
      </w:pPr>
      <w:r>
        <w:rPr>
          <w:b/>
          <w:bCs/>
          <w:sz w:val="22"/>
          <w:szCs w:val="22"/>
          <w:lang w:val="de-DE" w:eastAsia="en-GB"/>
        </w:rPr>
        <w:t xml:space="preserve">Tabelle 30: </w:t>
      </w:r>
      <w:r>
        <w:rPr>
          <w:rFonts w:eastAsia="PMingLiU"/>
          <w:b/>
          <w:bCs/>
          <w:sz w:val="22"/>
          <w:szCs w:val="22"/>
          <w:lang w:val="de-DE" w:eastAsia="en-IN"/>
        </w:rPr>
        <w:t>Morbus-Crohn-Studie bei Kindern und Jugendlichen</w:t>
      </w:r>
    </w:p>
    <w:p w14:paraId="70A5C548" w14:textId="77777777" w:rsidR="00FE291A" w:rsidRDefault="00C8738F">
      <w:pPr>
        <w:pStyle w:val="Default"/>
        <w:rPr>
          <w:b/>
          <w:bCs/>
          <w:sz w:val="22"/>
          <w:szCs w:val="22"/>
          <w:lang w:val="de-DE" w:eastAsia="en-GB"/>
        </w:rPr>
      </w:pPr>
      <w:r>
        <w:rPr>
          <w:b/>
          <w:bCs/>
          <w:sz w:val="22"/>
          <w:szCs w:val="22"/>
          <w:lang w:val="de-DE"/>
        </w:rPr>
        <w:t xml:space="preserve">Absetzen von Kortikosteroiden oder Immunsuppressiva und Remission von Fisteln </w:t>
      </w:r>
    </w:p>
    <w:p w14:paraId="228E5D4F" w14:textId="77777777" w:rsidR="00FE291A" w:rsidRDefault="00FE291A">
      <w:pPr>
        <w:rPr>
          <w:sz w:val="22"/>
          <w:szCs w:val="22"/>
          <w:lang w:val="de-DE"/>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2126"/>
        <w:gridCol w:w="2126"/>
        <w:gridCol w:w="1701"/>
      </w:tblGrid>
      <w:tr w:rsidR="00FE291A" w14:paraId="227B601C" w14:textId="77777777">
        <w:trPr>
          <w:cantSplit/>
          <w:trHeight w:val="300"/>
          <w:tblHeader/>
        </w:trPr>
        <w:tc>
          <w:tcPr>
            <w:tcW w:w="3006" w:type="dxa"/>
            <w:tcBorders>
              <w:top w:val="single" w:sz="4" w:space="0" w:color="auto"/>
            </w:tcBorders>
          </w:tcPr>
          <w:p w14:paraId="4A9E66CE" w14:textId="77777777" w:rsidR="00FE291A" w:rsidRDefault="00FE291A">
            <w:pPr>
              <w:keepNext/>
              <w:keepLines/>
              <w:rPr>
                <w:color w:val="000000"/>
                <w:sz w:val="22"/>
                <w:szCs w:val="22"/>
                <w:lang w:val="de-DE" w:eastAsia="en-GB"/>
              </w:rPr>
            </w:pPr>
          </w:p>
        </w:tc>
        <w:tc>
          <w:tcPr>
            <w:tcW w:w="2126" w:type="dxa"/>
            <w:tcBorders>
              <w:top w:val="single" w:sz="4" w:space="0" w:color="auto"/>
            </w:tcBorders>
          </w:tcPr>
          <w:p w14:paraId="39DAD523" w14:textId="77777777" w:rsidR="00FE291A" w:rsidRDefault="00C8738F">
            <w:pPr>
              <w:pStyle w:val="Default"/>
              <w:jc w:val="center"/>
              <w:rPr>
                <w:sz w:val="22"/>
                <w:szCs w:val="22"/>
                <w:lang w:val="de-DE"/>
              </w:rPr>
            </w:pPr>
            <w:r>
              <w:rPr>
                <w:b/>
                <w:bCs/>
                <w:sz w:val="22"/>
                <w:szCs w:val="22"/>
                <w:lang w:val="de-DE"/>
              </w:rPr>
              <w:t>Standarddosis</w:t>
            </w:r>
          </w:p>
          <w:p w14:paraId="1B2F7390" w14:textId="77777777" w:rsidR="00FE291A" w:rsidRDefault="00C8738F">
            <w:pPr>
              <w:keepNext/>
              <w:keepLines/>
              <w:jc w:val="center"/>
              <w:rPr>
                <w:color w:val="000000"/>
                <w:sz w:val="22"/>
                <w:szCs w:val="22"/>
                <w:lang w:val="de-DE" w:eastAsia="en-GB"/>
              </w:rPr>
            </w:pPr>
            <w:r>
              <w:rPr>
                <w:b/>
                <w:bCs/>
                <w:sz w:val="22"/>
                <w:szCs w:val="22"/>
                <w:lang w:val="de-DE"/>
              </w:rPr>
              <w:t>40/20 mg jede zweite Woche</w:t>
            </w:r>
          </w:p>
        </w:tc>
        <w:tc>
          <w:tcPr>
            <w:tcW w:w="2126" w:type="dxa"/>
            <w:tcBorders>
              <w:top w:val="single" w:sz="4" w:space="0" w:color="auto"/>
            </w:tcBorders>
          </w:tcPr>
          <w:p w14:paraId="0671189C" w14:textId="77777777" w:rsidR="00FE291A" w:rsidRDefault="00C8738F">
            <w:pPr>
              <w:pStyle w:val="Default"/>
              <w:jc w:val="center"/>
              <w:rPr>
                <w:sz w:val="22"/>
                <w:szCs w:val="22"/>
                <w:lang w:val="de-DE"/>
              </w:rPr>
            </w:pPr>
            <w:r>
              <w:rPr>
                <w:b/>
                <w:bCs/>
                <w:sz w:val="22"/>
                <w:szCs w:val="22"/>
                <w:lang w:val="de-DE"/>
              </w:rPr>
              <w:t>Niedrige Dosis</w:t>
            </w:r>
          </w:p>
          <w:p w14:paraId="3BC9BC1D" w14:textId="77777777" w:rsidR="00FE291A" w:rsidRDefault="00C8738F">
            <w:pPr>
              <w:keepNext/>
              <w:keepLines/>
              <w:jc w:val="center"/>
              <w:rPr>
                <w:color w:val="000000"/>
                <w:sz w:val="22"/>
                <w:szCs w:val="22"/>
                <w:lang w:val="de-DE" w:eastAsia="en-GB"/>
              </w:rPr>
            </w:pPr>
            <w:r>
              <w:rPr>
                <w:b/>
                <w:bCs/>
                <w:sz w:val="22"/>
                <w:szCs w:val="22"/>
                <w:lang w:val="de-DE"/>
              </w:rPr>
              <w:t>20/10 mg jede zweite Woche</w:t>
            </w:r>
          </w:p>
        </w:tc>
        <w:tc>
          <w:tcPr>
            <w:tcW w:w="1701" w:type="dxa"/>
            <w:tcBorders>
              <w:top w:val="single" w:sz="4" w:space="0" w:color="auto"/>
            </w:tcBorders>
          </w:tcPr>
          <w:p w14:paraId="45427B27" w14:textId="77777777" w:rsidR="00FE291A" w:rsidRDefault="00C8738F">
            <w:pPr>
              <w:jc w:val="center"/>
              <w:rPr>
                <w:color w:val="000000"/>
                <w:sz w:val="22"/>
                <w:szCs w:val="22"/>
                <w:lang w:val="de-DE" w:eastAsia="en-GB"/>
              </w:rPr>
            </w:pPr>
            <w:r>
              <w:rPr>
                <w:b/>
                <w:bCs/>
                <w:sz w:val="22"/>
                <w:szCs w:val="22"/>
                <w:lang w:val="de-DE"/>
              </w:rPr>
              <w:t>p-Wert</w:t>
            </w:r>
            <w:r>
              <w:rPr>
                <w:b/>
                <w:bCs/>
                <w:sz w:val="22"/>
                <w:szCs w:val="22"/>
                <w:vertAlign w:val="superscript"/>
                <w:lang w:val="de-DE"/>
              </w:rPr>
              <w:t>1</w:t>
            </w:r>
          </w:p>
        </w:tc>
      </w:tr>
      <w:tr w:rsidR="00FE291A" w14:paraId="5FA982DE" w14:textId="77777777">
        <w:trPr>
          <w:trHeight w:val="149"/>
        </w:trPr>
        <w:tc>
          <w:tcPr>
            <w:tcW w:w="3006" w:type="dxa"/>
          </w:tcPr>
          <w:p w14:paraId="7222DCF3" w14:textId="77777777" w:rsidR="00FE291A" w:rsidRDefault="00C8738F">
            <w:pPr>
              <w:pStyle w:val="Default"/>
              <w:rPr>
                <w:sz w:val="22"/>
                <w:szCs w:val="22"/>
                <w:lang w:val="de-DE"/>
              </w:rPr>
            </w:pPr>
            <w:r>
              <w:rPr>
                <w:b/>
                <w:bCs/>
                <w:sz w:val="22"/>
                <w:szCs w:val="22"/>
                <w:lang w:val="de-DE"/>
              </w:rPr>
              <w:t>Abgesetzte Kortikosteroide</w:t>
            </w:r>
          </w:p>
        </w:tc>
        <w:tc>
          <w:tcPr>
            <w:tcW w:w="2126" w:type="dxa"/>
          </w:tcPr>
          <w:p w14:paraId="3E833AC2" w14:textId="77777777" w:rsidR="00FE291A" w:rsidRDefault="00C8738F">
            <w:pPr>
              <w:keepNext/>
              <w:keepLines/>
              <w:jc w:val="center"/>
              <w:rPr>
                <w:color w:val="000000"/>
                <w:sz w:val="22"/>
                <w:szCs w:val="22"/>
                <w:lang w:val="de-DE" w:eastAsia="en-GB"/>
              </w:rPr>
            </w:pPr>
            <w:r>
              <w:rPr>
                <w:b/>
                <w:bCs/>
                <w:color w:val="000000"/>
                <w:sz w:val="22"/>
                <w:szCs w:val="22"/>
                <w:lang w:val="de-DE" w:eastAsia="en-GB"/>
              </w:rPr>
              <w:t>n</w:t>
            </w:r>
            <w:r>
              <w:rPr>
                <w:sz w:val="22"/>
                <w:szCs w:val="22"/>
                <w:lang w:val="de-DE"/>
              </w:rPr>
              <w:t> </w:t>
            </w:r>
            <w:r>
              <w:rPr>
                <w:b/>
                <w:bCs/>
                <w:color w:val="000000"/>
                <w:sz w:val="22"/>
                <w:szCs w:val="22"/>
                <w:lang w:val="de-DE" w:eastAsia="en-GB"/>
              </w:rPr>
              <w:t>=</w:t>
            </w:r>
            <w:r>
              <w:rPr>
                <w:sz w:val="22"/>
                <w:szCs w:val="22"/>
                <w:lang w:val="de-DE"/>
              </w:rPr>
              <w:t> </w:t>
            </w:r>
            <w:r>
              <w:rPr>
                <w:b/>
                <w:bCs/>
                <w:color w:val="000000"/>
                <w:sz w:val="22"/>
                <w:szCs w:val="22"/>
                <w:lang w:val="de-DE" w:eastAsia="en-GB"/>
              </w:rPr>
              <w:t>33</w:t>
            </w:r>
          </w:p>
        </w:tc>
        <w:tc>
          <w:tcPr>
            <w:tcW w:w="2126" w:type="dxa"/>
          </w:tcPr>
          <w:p w14:paraId="4B71EE48" w14:textId="77777777" w:rsidR="00FE291A" w:rsidRDefault="00C8738F">
            <w:pPr>
              <w:keepNext/>
              <w:keepLines/>
              <w:jc w:val="center"/>
              <w:rPr>
                <w:color w:val="000000"/>
                <w:sz w:val="22"/>
                <w:szCs w:val="22"/>
                <w:lang w:val="de-DE" w:eastAsia="en-GB"/>
              </w:rPr>
            </w:pPr>
            <w:r>
              <w:rPr>
                <w:b/>
                <w:bCs/>
                <w:color w:val="000000"/>
                <w:sz w:val="22"/>
                <w:szCs w:val="22"/>
                <w:lang w:val="de-DE" w:eastAsia="en-GB"/>
              </w:rPr>
              <w:t>n</w:t>
            </w:r>
            <w:r>
              <w:rPr>
                <w:sz w:val="22"/>
                <w:szCs w:val="22"/>
                <w:lang w:val="de-DE"/>
              </w:rPr>
              <w:t> </w:t>
            </w:r>
            <w:r>
              <w:rPr>
                <w:b/>
                <w:bCs/>
                <w:color w:val="000000"/>
                <w:sz w:val="22"/>
                <w:szCs w:val="22"/>
                <w:lang w:val="de-DE" w:eastAsia="en-GB"/>
              </w:rPr>
              <w:t>=</w:t>
            </w:r>
            <w:r>
              <w:rPr>
                <w:sz w:val="22"/>
                <w:szCs w:val="22"/>
                <w:lang w:val="de-DE"/>
              </w:rPr>
              <w:t> </w:t>
            </w:r>
            <w:r>
              <w:rPr>
                <w:b/>
                <w:bCs/>
                <w:color w:val="000000"/>
                <w:sz w:val="22"/>
                <w:szCs w:val="22"/>
                <w:lang w:val="de-DE" w:eastAsia="en-GB"/>
              </w:rPr>
              <w:t>38</w:t>
            </w:r>
          </w:p>
        </w:tc>
        <w:tc>
          <w:tcPr>
            <w:tcW w:w="1701" w:type="dxa"/>
          </w:tcPr>
          <w:p w14:paraId="6CCF16C5" w14:textId="77777777" w:rsidR="00FE291A" w:rsidRDefault="00FE291A">
            <w:pPr>
              <w:jc w:val="center"/>
              <w:rPr>
                <w:color w:val="000000"/>
                <w:sz w:val="22"/>
                <w:szCs w:val="22"/>
                <w:lang w:val="de-DE" w:eastAsia="en-GB"/>
              </w:rPr>
            </w:pPr>
          </w:p>
        </w:tc>
      </w:tr>
      <w:tr w:rsidR="00FE291A" w14:paraId="20CB52E1" w14:textId="77777777">
        <w:trPr>
          <w:trHeight w:val="147"/>
        </w:trPr>
        <w:tc>
          <w:tcPr>
            <w:tcW w:w="3006" w:type="dxa"/>
          </w:tcPr>
          <w:p w14:paraId="050E6FDE" w14:textId="77777777" w:rsidR="00FE291A" w:rsidRDefault="00C8738F">
            <w:pPr>
              <w:keepNext/>
              <w:keepLines/>
              <w:rPr>
                <w:color w:val="000000"/>
                <w:sz w:val="22"/>
                <w:szCs w:val="22"/>
                <w:lang w:val="de-DE" w:eastAsia="en-GB"/>
              </w:rPr>
            </w:pPr>
            <w:r>
              <w:rPr>
                <w:color w:val="000000"/>
                <w:sz w:val="22"/>
                <w:szCs w:val="22"/>
                <w:lang w:val="de-DE" w:eastAsia="en-GB"/>
              </w:rPr>
              <w:t>Woche</w:t>
            </w:r>
            <w:r>
              <w:rPr>
                <w:rFonts w:eastAsia="Times New Roman"/>
                <w:sz w:val="22"/>
                <w:szCs w:val="22"/>
                <w:lang w:val="de-DE"/>
              </w:rPr>
              <w:t> </w:t>
            </w:r>
            <w:r>
              <w:rPr>
                <w:color w:val="000000"/>
                <w:sz w:val="22"/>
                <w:szCs w:val="22"/>
                <w:lang w:val="de-DE" w:eastAsia="en-GB"/>
              </w:rPr>
              <w:t>26</w:t>
            </w:r>
          </w:p>
        </w:tc>
        <w:tc>
          <w:tcPr>
            <w:tcW w:w="2126" w:type="dxa"/>
          </w:tcPr>
          <w:p w14:paraId="15E65CBC" w14:textId="77777777" w:rsidR="00FE291A" w:rsidRDefault="00C8738F">
            <w:pPr>
              <w:keepNext/>
              <w:keepLines/>
              <w:jc w:val="center"/>
              <w:rPr>
                <w:color w:val="000000"/>
                <w:sz w:val="22"/>
                <w:szCs w:val="22"/>
                <w:lang w:val="de-DE" w:eastAsia="en-GB"/>
              </w:rPr>
            </w:pPr>
            <w:r>
              <w:rPr>
                <w:color w:val="000000"/>
                <w:sz w:val="22"/>
                <w:szCs w:val="22"/>
                <w:lang w:val="de-DE" w:eastAsia="en-GB"/>
              </w:rPr>
              <w:t>84,8 %</w:t>
            </w:r>
          </w:p>
        </w:tc>
        <w:tc>
          <w:tcPr>
            <w:tcW w:w="2126" w:type="dxa"/>
          </w:tcPr>
          <w:p w14:paraId="41805DE8" w14:textId="77777777" w:rsidR="00FE291A" w:rsidRDefault="00C8738F">
            <w:pPr>
              <w:keepNext/>
              <w:keepLines/>
              <w:jc w:val="center"/>
              <w:rPr>
                <w:color w:val="000000"/>
                <w:sz w:val="22"/>
                <w:szCs w:val="22"/>
                <w:lang w:val="de-DE" w:eastAsia="en-GB"/>
              </w:rPr>
            </w:pPr>
            <w:r>
              <w:rPr>
                <w:color w:val="000000"/>
                <w:sz w:val="22"/>
                <w:szCs w:val="22"/>
                <w:lang w:val="de-DE" w:eastAsia="en-GB"/>
              </w:rPr>
              <w:t>65,8 %</w:t>
            </w:r>
          </w:p>
        </w:tc>
        <w:tc>
          <w:tcPr>
            <w:tcW w:w="1701" w:type="dxa"/>
          </w:tcPr>
          <w:p w14:paraId="749F5D4D" w14:textId="77777777" w:rsidR="00FE291A" w:rsidRDefault="00C8738F">
            <w:pPr>
              <w:jc w:val="center"/>
              <w:rPr>
                <w:color w:val="000000"/>
                <w:sz w:val="22"/>
                <w:szCs w:val="22"/>
                <w:lang w:val="de-DE" w:eastAsia="en-GB"/>
              </w:rPr>
            </w:pPr>
            <w:r>
              <w:rPr>
                <w:color w:val="000000"/>
                <w:sz w:val="22"/>
                <w:szCs w:val="22"/>
                <w:lang w:val="de-DE" w:eastAsia="en-GB"/>
              </w:rPr>
              <w:t>0,066</w:t>
            </w:r>
          </w:p>
        </w:tc>
      </w:tr>
      <w:tr w:rsidR="00FE291A" w14:paraId="654ACD68" w14:textId="77777777">
        <w:trPr>
          <w:trHeight w:val="147"/>
        </w:trPr>
        <w:tc>
          <w:tcPr>
            <w:tcW w:w="3006" w:type="dxa"/>
          </w:tcPr>
          <w:p w14:paraId="3337379D" w14:textId="77777777" w:rsidR="00FE291A" w:rsidRDefault="00C8738F">
            <w:pPr>
              <w:keepNext/>
              <w:keepLines/>
              <w:rPr>
                <w:color w:val="000000"/>
                <w:sz w:val="22"/>
                <w:szCs w:val="22"/>
                <w:lang w:val="de-DE" w:eastAsia="en-GB"/>
              </w:rPr>
            </w:pPr>
            <w:r>
              <w:rPr>
                <w:color w:val="000000"/>
                <w:sz w:val="22"/>
                <w:szCs w:val="22"/>
                <w:lang w:val="de-DE" w:eastAsia="en-GB"/>
              </w:rPr>
              <w:t>Woche</w:t>
            </w:r>
            <w:r>
              <w:rPr>
                <w:rFonts w:eastAsia="Times New Roman"/>
                <w:sz w:val="22"/>
                <w:szCs w:val="22"/>
                <w:lang w:val="de-DE"/>
              </w:rPr>
              <w:t> </w:t>
            </w:r>
            <w:r>
              <w:rPr>
                <w:color w:val="000000"/>
                <w:sz w:val="22"/>
                <w:szCs w:val="22"/>
                <w:lang w:val="de-DE" w:eastAsia="en-GB"/>
              </w:rPr>
              <w:t>52</w:t>
            </w:r>
          </w:p>
        </w:tc>
        <w:tc>
          <w:tcPr>
            <w:tcW w:w="2126" w:type="dxa"/>
          </w:tcPr>
          <w:p w14:paraId="685D4C83" w14:textId="77777777" w:rsidR="00FE291A" w:rsidRDefault="00C8738F">
            <w:pPr>
              <w:keepNext/>
              <w:keepLines/>
              <w:jc w:val="center"/>
              <w:rPr>
                <w:color w:val="000000"/>
                <w:sz w:val="22"/>
                <w:szCs w:val="22"/>
                <w:lang w:val="de-DE" w:eastAsia="en-GB"/>
              </w:rPr>
            </w:pPr>
            <w:r>
              <w:rPr>
                <w:color w:val="000000"/>
                <w:sz w:val="22"/>
                <w:szCs w:val="22"/>
                <w:lang w:val="de-DE" w:eastAsia="en-GB"/>
              </w:rPr>
              <w:t>69,7 %</w:t>
            </w:r>
          </w:p>
        </w:tc>
        <w:tc>
          <w:tcPr>
            <w:tcW w:w="2126" w:type="dxa"/>
          </w:tcPr>
          <w:p w14:paraId="5E4D2C8F" w14:textId="77777777" w:rsidR="00FE291A" w:rsidRDefault="00C8738F">
            <w:pPr>
              <w:keepNext/>
              <w:keepLines/>
              <w:jc w:val="center"/>
              <w:rPr>
                <w:color w:val="000000"/>
                <w:sz w:val="22"/>
                <w:szCs w:val="22"/>
                <w:lang w:val="de-DE" w:eastAsia="en-GB"/>
              </w:rPr>
            </w:pPr>
            <w:r>
              <w:rPr>
                <w:color w:val="000000"/>
                <w:sz w:val="22"/>
                <w:szCs w:val="22"/>
                <w:lang w:val="de-DE" w:eastAsia="en-GB"/>
              </w:rPr>
              <w:t>60,5 %</w:t>
            </w:r>
          </w:p>
        </w:tc>
        <w:tc>
          <w:tcPr>
            <w:tcW w:w="1701" w:type="dxa"/>
          </w:tcPr>
          <w:p w14:paraId="51B3442A" w14:textId="77777777" w:rsidR="00FE291A" w:rsidRDefault="00C8738F">
            <w:pPr>
              <w:jc w:val="center"/>
              <w:rPr>
                <w:color w:val="000000"/>
                <w:sz w:val="22"/>
                <w:szCs w:val="22"/>
                <w:lang w:val="de-DE" w:eastAsia="en-GB"/>
              </w:rPr>
            </w:pPr>
            <w:r>
              <w:rPr>
                <w:color w:val="000000"/>
                <w:sz w:val="22"/>
                <w:szCs w:val="22"/>
                <w:lang w:val="de-DE" w:eastAsia="en-GB"/>
              </w:rPr>
              <w:t>0,420</w:t>
            </w:r>
          </w:p>
        </w:tc>
      </w:tr>
      <w:tr w:rsidR="00FE291A" w14:paraId="6835000A" w14:textId="77777777">
        <w:trPr>
          <w:trHeight w:val="156"/>
        </w:trPr>
        <w:tc>
          <w:tcPr>
            <w:tcW w:w="3006" w:type="dxa"/>
          </w:tcPr>
          <w:p w14:paraId="01B6F9EF" w14:textId="77777777" w:rsidR="00FE291A" w:rsidRDefault="00C8738F">
            <w:pPr>
              <w:pStyle w:val="Default"/>
              <w:rPr>
                <w:sz w:val="22"/>
                <w:szCs w:val="22"/>
                <w:lang w:val="de-DE"/>
              </w:rPr>
            </w:pPr>
            <w:r>
              <w:rPr>
                <w:b/>
                <w:bCs/>
                <w:sz w:val="22"/>
                <w:szCs w:val="22"/>
                <w:lang w:val="de-DE"/>
              </w:rPr>
              <w:t>Absetzen von Immunsuppressiva</w:t>
            </w:r>
            <w:r>
              <w:rPr>
                <w:b/>
                <w:bCs/>
                <w:sz w:val="22"/>
                <w:szCs w:val="22"/>
                <w:vertAlign w:val="superscript"/>
                <w:lang w:val="de-DE" w:eastAsia="en-GB"/>
              </w:rPr>
              <w:t>2</w:t>
            </w:r>
          </w:p>
        </w:tc>
        <w:tc>
          <w:tcPr>
            <w:tcW w:w="2126" w:type="dxa"/>
          </w:tcPr>
          <w:p w14:paraId="639EEF8F" w14:textId="77777777" w:rsidR="00FE291A" w:rsidRDefault="00C8738F">
            <w:pPr>
              <w:jc w:val="center"/>
              <w:rPr>
                <w:color w:val="000000"/>
                <w:sz w:val="22"/>
                <w:szCs w:val="22"/>
                <w:lang w:val="de-DE" w:eastAsia="en-GB"/>
              </w:rPr>
            </w:pPr>
            <w:r>
              <w:rPr>
                <w:b/>
                <w:bCs/>
                <w:color w:val="000000"/>
                <w:sz w:val="22"/>
                <w:szCs w:val="22"/>
                <w:lang w:val="de-DE" w:eastAsia="en-GB"/>
              </w:rPr>
              <w:t>n</w:t>
            </w:r>
            <w:r>
              <w:rPr>
                <w:sz w:val="22"/>
                <w:szCs w:val="22"/>
                <w:lang w:val="de-DE"/>
              </w:rPr>
              <w:t> </w:t>
            </w:r>
            <w:r>
              <w:rPr>
                <w:b/>
                <w:bCs/>
                <w:color w:val="000000"/>
                <w:sz w:val="22"/>
                <w:szCs w:val="22"/>
                <w:lang w:val="de-DE" w:eastAsia="en-GB"/>
              </w:rPr>
              <w:t>=</w:t>
            </w:r>
            <w:r>
              <w:rPr>
                <w:sz w:val="22"/>
                <w:szCs w:val="22"/>
                <w:lang w:val="de-DE"/>
              </w:rPr>
              <w:t> </w:t>
            </w:r>
            <w:r>
              <w:rPr>
                <w:b/>
                <w:bCs/>
                <w:color w:val="000000"/>
                <w:sz w:val="22"/>
                <w:szCs w:val="22"/>
                <w:lang w:val="de-DE" w:eastAsia="en-GB"/>
              </w:rPr>
              <w:t>60</w:t>
            </w:r>
          </w:p>
        </w:tc>
        <w:tc>
          <w:tcPr>
            <w:tcW w:w="2126" w:type="dxa"/>
          </w:tcPr>
          <w:p w14:paraId="63592175" w14:textId="77777777" w:rsidR="00FE291A" w:rsidRDefault="00C8738F">
            <w:pPr>
              <w:jc w:val="center"/>
              <w:rPr>
                <w:color w:val="000000"/>
                <w:sz w:val="22"/>
                <w:szCs w:val="22"/>
                <w:lang w:val="de-DE" w:eastAsia="en-GB"/>
              </w:rPr>
            </w:pPr>
            <w:r>
              <w:rPr>
                <w:b/>
                <w:bCs/>
                <w:color w:val="000000"/>
                <w:sz w:val="22"/>
                <w:szCs w:val="22"/>
                <w:lang w:val="de-DE" w:eastAsia="en-GB"/>
              </w:rPr>
              <w:t>n</w:t>
            </w:r>
            <w:r>
              <w:rPr>
                <w:sz w:val="22"/>
                <w:szCs w:val="22"/>
                <w:lang w:val="de-DE"/>
              </w:rPr>
              <w:t> </w:t>
            </w:r>
            <w:r>
              <w:rPr>
                <w:b/>
                <w:bCs/>
                <w:color w:val="000000"/>
                <w:sz w:val="22"/>
                <w:szCs w:val="22"/>
                <w:lang w:val="de-DE" w:eastAsia="en-GB"/>
              </w:rPr>
              <w:t>=</w:t>
            </w:r>
            <w:r>
              <w:rPr>
                <w:sz w:val="22"/>
                <w:szCs w:val="22"/>
                <w:lang w:val="de-DE"/>
              </w:rPr>
              <w:t> </w:t>
            </w:r>
            <w:r>
              <w:rPr>
                <w:b/>
                <w:bCs/>
                <w:color w:val="000000"/>
                <w:sz w:val="22"/>
                <w:szCs w:val="22"/>
                <w:lang w:val="de-DE" w:eastAsia="en-GB"/>
              </w:rPr>
              <w:t>57</w:t>
            </w:r>
          </w:p>
        </w:tc>
        <w:tc>
          <w:tcPr>
            <w:tcW w:w="1701" w:type="dxa"/>
          </w:tcPr>
          <w:p w14:paraId="6D65748C" w14:textId="77777777" w:rsidR="00FE291A" w:rsidRDefault="00FE291A">
            <w:pPr>
              <w:jc w:val="center"/>
              <w:rPr>
                <w:color w:val="000000"/>
                <w:sz w:val="22"/>
                <w:szCs w:val="22"/>
                <w:lang w:val="de-DE" w:eastAsia="en-GB"/>
              </w:rPr>
            </w:pPr>
          </w:p>
        </w:tc>
      </w:tr>
      <w:tr w:rsidR="00FE291A" w14:paraId="777A1AEB" w14:textId="77777777">
        <w:trPr>
          <w:trHeight w:val="147"/>
        </w:trPr>
        <w:tc>
          <w:tcPr>
            <w:tcW w:w="3006" w:type="dxa"/>
          </w:tcPr>
          <w:p w14:paraId="544F7019" w14:textId="77777777" w:rsidR="00FE291A" w:rsidRDefault="00C8738F">
            <w:pPr>
              <w:rPr>
                <w:color w:val="000000"/>
                <w:sz w:val="22"/>
                <w:szCs w:val="22"/>
                <w:lang w:val="de-DE" w:eastAsia="en-GB"/>
              </w:rPr>
            </w:pPr>
            <w:r>
              <w:rPr>
                <w:color w:val="000000"/>
                <w:sz w:val="22"/>
                <w:szCs w:val="22"/>
                <w:lang w:val="de-DE" w:eastAsia="en-GB"/>
              </w:rPr>
              <w:t>Woche</w:t>
            </w:r>
            <w:r>
              <w:rPr>
                <w:rFonts w:eastAsia="Times New Roman"/>
                <w:sz w:val="22"/>
                <w:szCs w:val="22"/>
                <w:lang w:val="de-DE"/>
              </w:rPr>
              <w:t> </w:t>
            </w:r>
            <w:r>
              <w:rPr>
                <w:color w:val="000000"/>
                <w:sz w:val="22"/>
                <w:szCs w:val="22"/>
                <w:lang w:val="de-DE" w:eastAsia="en-GB"/>
              </w:rPr>
              <w:t>52</w:t>
            </w:r>
          </w:p>
        </w:tc>
        <w:tc>
          <w:tcPr>
            <w:tcW w:w="2126" w:type="dxa"/>
          </w:tcPr>
          <w:p w14:paraId="068C6194" w14:textId="77777777" w:rsidR="00FE291A" w:rsidRDefault="00C8738F">
            <w:pPr>
              <w:jc w:val="center"/>
              <w:rPr>
                <w:color w:val="000000"/>
                <w:sz w:val="22"/>
                <w:szCs w:val="22"/>
                <w:lang w:val="de-DE" w:eastAsia="en-GB"/>
              </w:rPr>
            </w:pPr>
            <w:r>
              <w:rPr>
                <w:color w:val="000000"/>
                <w:sz w:val="22"/>
                <w:szCs w:val="22"/>
                <w:lang w:val="de-DE" w:eastAsia="en-GB"/>
              </w:rPr>
              <w:t>30,0 %</w:t>
            </w:r>
          </w:p>
        </w:tc>
        <w:tc>
          <w:tcPr>
            <w:tcW w:w="2126" w:type="dxa"/>
          </w:tcPr>
          <w:p w14:paraId="52880CDB" w14:textId="77777777" w:rsidR="00FE291A" w:rsidRDefault="00C8738F">
            <w:pPr>
              <w:jc w:val="center"/>
              <w:rPr>
                <w:color w:val="000000"/>
                <w:sz w:val="22"/>
                <w:szCs w:val="22"/>
                <w:lang w:val="de-DE" w:eastAsia="en-GB"/>
              </w:rPr>
            </w:pPr>
            <w:r>
              <w:rPr>
                <w:color w:val="000000"/>
                <w:sz w:val="22"/>
                <w:szCs w:val="22"/>
                <w:lang w:val="de-DE" w:eastAsia="en-GB"/>
              </w:rPr>
              <w:t>29,8 %</w:t>
            </w:r>
          </w:p>
        </w:tc>
        <w:tc>
          <w:tcPr>
            <w:tcW w:w="1701" w:type="dxa"/>
          </w:tcPr>
          <w:p w14:paraId="48622033" w14:textId="77777777" w:rsidR="00FE291A" w:rsidRDefault="00C8738F">
            <w:pPr>
              <w:jc w:val="center"/>
              <w:rPr>
                <w:color w:val="000000"/>
                <w:sz w:val="22"/>
                <w:szCs w:val="22"/>
                <w:lang w:val="de-DE" w:eastAsia="en-GB"/>
              </w:rPr>
            </w:pPr>
            <w:r>
              <w:rPr>
                <w:color w:val="000000"/>
                <w:sz w:val="22"/>
                <w:szCs w:val="22"/>
                <w:lang w:val="de-DE" w:eastAsia="en-GB"/>
              </w:rPr>
              <w:t>0,983</w:t>
            </w:r>
          </w:p>
        </w:tc>
      </w:tr>
      <w:tr w:rsidR="00FE291A" w14:paraId="2740D426" w14:textId="77777777">
        <w:trPr>
          <w:trHeight w:val="156"/>
        </w:trPr>
        <w:tc>
          <w:tcPr>
            <w:tcW w:w="3006" w:type="dxa"/>
          </w:tcPr>
          <w:p w14:paraId="226793C5" w14:textId="77777777" w:rsidR="00FE291A" w:rsidRDefault="00C8738F">
            <w:pPr>
              <w:keepNext/>
              <w:rPr>
                <w:color w:val="000000"/>
                <w:sz w:val="22"/>
                <w:szCs w:val="22"/>
                <w:lang w:val="de-DE" w:eastAsia="en-GB"/>
              </w:rPr>
            </w:pPr>
            <w:r>
              <w:rPr>
                <w:b/>
                <w:bCs/>
                <w:color w:val="000000"/>
                <w:sz w:val="22"/>
                <w:szCs w:val="22"/>
                <w:lang w:val="de-DE" w:eastAsia="en-GB"/>
              </w:rPr>
              <w:t>Fistelremission</w:t>
            </w:r>
            <w:r>
              <w:rPr>
                <w:b/>
                <w:bCs/>
                <w:color w:val="000000"/>
                <w:sz w:val="22"/>
                <w:szCs w:val="22"/>
                <w:vertAlign w:val="superscript"/>
                <w:lang w:val="de-DE" w:eastAsia="en-GB"/>
              </w:rPr>
              <w:t>3</w:t>
            </w:r>
          </w:p>
        </w:tc>
        <w:tc>
          <w:tcPr>
            <w:tcW w:w="2126" w:type="dxa"/>
          </w:tcPr>
          <w:p w14:paraId="7A9CC3B4" w14:textId="77777777" w:rsidR="00FE291A" w:rsidRDefault="00C8738F">
            <w:pPr>
              <w:keepNext/>
              <w:jc w:val="center"/>
              <w:rPr>
                <w:color w:val="000000"/>
                <w:sz w:val="22"/>
                <w:szCs w:val="22"/>
                <w:lang w:val="de-DE" w:eastAsia="en-GB"/>
              </w:rPr>
            </w:pPr>
            <w:r>
              <w:rPr>
                <w:b/>
                <w:bCs/>
                <w:color w:val="000000"/>
                <w:sz w:val="22"/>
                <w:szCs w:val="22"/>
                <w:lang w:val="de-DE" w:eastAsia="en-GB"/>
              </w:rPr>
              <w:t>n</w:t>
            </w:r>
            <w:r>
              <w:rPr>
                <w:sz w:val="22"/>
                <w:szCs w:val="22"/>
                <w:lang w:val="de-DE"/>
              </w:rPr>
              <w:t> </w:t>
            </w:r>
            <w:r>
              <w:rPr>
                <w:b/>
                <w:bCs/>
                <w:color w:val="000000"/>
                <w:sz w:val="22"/>
                <w:szCs w:val="22"/>
                <w:lang w:val="de-DE" w:eastAsia="en-GB"/>
              </w:rPr>
              <w:t>=</w:t>
            </w:r>
            <w:r>
              <w:rPr>
                <w:sz w:val="22"/>
                <w:szCs w:val="22"/>
                <w:lang w:val="de-DE"/>
              </w:rPr>
              <w:t> </w:t>
            </w:r>
            <w:r>
              <w:rPr>
                <w:b/>
                <w:bCs/>
                <w:color w:val="000000"/>
                <w:sz w:val="22"/>
                <w:szCs w:val="22"/>
                <w:lang w:val="de-DE" w:eastAsia="en-GB"/>
              </w:rPr>
              <w:t>15</w:t>
            </w:r>
          </w:p>
        </w:tc>
        <w:tc>
          <w:tcPr>
            <w:tcW w:w="2126" w:type="dxa"/>
          </w:tcPr>
          <w:p w14:paraId="6B0CDA1B" w14:textId="77777777" w:rsidR="00FE291A" w:rsidRDefault="00C8738F">
            <w:pPr>
              <w:keepNext/>
              <w:jc w:val="center"/>
              <w:rPr>
                <w:color w:val="000000"/>
                <w:sz w:val="22"/>
                <w:szCs w:val="22"/>
                <w:lang w:val="de-DE" w:eastAsia="en-GB"/>
              </w:rPr>
            </w:pPr>
            <w:r>
              <w:rPr>
                <w:b/>
                <w:bCs/>
                <w:color w:val="000000"/>
                <w:sz w:val="22"/>
                <w:szCs w:val="22"/>
                <w:lang w:val="de-DE" w:eastAsia="en-GB"/>
              </w:rPr>
              <w:t>n</w:t>
            </w:r>
            <w:r>
              <w:rPr>
                <w:sz w:val="22"/>
                <w:szCs w:val="22"/>
                <w:lang w:val="de-DE"/>
              </w:rPr>
              <w:t> </w:t>
            </w:r>
            <w:r>
              <w:rPr>
                <w:b/>
                <w:bCs/>
                <w:color w:val="000000"/>
                <w:sz w:val="22"/>
                <w:szCs w:val="22"/>
                <w:lang w:val="de-DE" w:eastAsia="en-GB"/>
              </w:rPr>
              <w:t>=</w:t>
            </w:r>
            <w:r>
              <w:rPr>
                <w:sz w:val="22"/>
                <w:szCs w:val="22"/>
                <w:lang w:val="de-DE"/>
              </w:rPr>
              <w:t> </w:t>
            </w:r>
            <w:r>
              <w:rPr>
                <w:b/>
                <w:bCs/>
                <w:color w:val="000000"/>
                <w:sz w:val="22"/>
                <w:szCs w:val="22"/>
                <w:lang w:val="de-DE" w:eastAsia="en-GB"/>
              </w:rPr>
              <w:t>21</w:t>
            </w:r>
          </w:p>
        </w:tc>
        <w:tc>
          <w:tcPr>
            <w:tcW w:w="1701" w:type="dxa"/>
          </w:tcPr>
          <w:p w14:paraId="6718389D" w14:textId="77777777" w:rsidR="00FE291A" w:rsidRDefault="00FE291A">
            <w:pPr>
              <w:keepNext/>
              <w:jc w:val="center"/>
              <w:rPr>
                <w:color w:val="000000"/>
                <w:sz w:val="22"/>
                <w:szCs w:val="22"/>
                <w:lang w:val="de-DE" w:eastAsia="en-GB"/>
              </w:rPr>
            </w:pPr>
          </w:p>
        </w:tc>
      </w:tr>
      <w:tr w:rsidR="00FE291A" w14:paraId="23F92837" w14:textId="77777777">
        <w:trPr>
          <w:trHeight w:val="147"/>
        </w:trPr>
        <w:tc>
          <w:tcPr>
            <w:tcW w:w="3006" w:type="dxa"/>
          </w:tcPr>
          <w:p w14:paraId="7D178BF8" w14:textId="77777777" w:rsidR="00FE291A" w:rsidRDefault="00C8738F">
            <w:pPr>
              <w:keepNext/>
              <w:rPr>
                <w:color w:val="000000"/>
                <w:sz w:val="22"/>
                <w:szCs w:val="22"/>
                <w:lang w:val="de-DE" w:eastAsia="en-GB"/>
              </w:rPr>
            </w:pPr>
            <w:r>
              <w:rPr>
                <w:color w:val="000000"/>
                <w:sz w:val="22"/>
                <w:szCs w:val="22"/>
                <w:lang w:val="de-DE" w:eastAsia="en-GB"/>
              </w:rPr>
              <w:t>Woche</w:t>
            </w:r>
            <w:r>
              <w:rPr>
                <w:rFonts w:eastAsia="Times New Roman"/>
                <w:sz w:val="22"/>
                <w:szCs w:val="22"/>
                <w:lang w:val="de-DE"/>
              </w:rPr>
              <w:t> </w:t>
            </w:r>
            <w:r>
              <w:rPr>
                <w:color w:val="000000"/>
                <w:sz w:val="22"/>
                <w:szCs w:val="22"/>
                <w:lang w:val="de-DE" w:eastAsia="en-GB"/>
              </w:rPr>
              <w:t>26</w:t>
            </w:r>
          </w:p>
        </w:tc>
        <w:tc>
          <w:tcPr>
            <w:tcW w:w="2126" w:type="dxa"/>
          </w:tcPr>
          <w:p w14:paraId="0B61A4F4" w14:textId="77777777" w:rsidR="00FE291A" w:rsidRDefault="00C8738F">
            <w:pPr>
              <w:keepNext/>
              <w:jc w:val="center"/>
              <w:rPr>
                <w:color w:val="000000"/>
                <w:sz w:val="22"/>
                <w:szCs w:val="22"/>
                <w:lang w:val="de-DE" w:eastAsia="en-GB"/>
              </w:rPr>
            </w:pPr>
            <w:r>
              <w:rPr>
                <w:color w:val="000000"/>
                <w:sz w:val="22"/>
                <w:szCs w:val="22"/>
                <w:lang w:val="de-DE" w:eastAsia="en-GB"/>
              </w:rPr>
              <w:t>46,7 %</w:t>
            </w:r>
          </w:p>
        </w:tc>
        <w:tc>
          <w:tcPr>
            <w:tcW w:w="2126" w:type="dxa"/>
          </w:tcPr>
          <w:p w14:paraId="3C01E1DC" w14:textId="77777777" w:rsidR="00FE291A" w:rsidRDefault="00C8738F">
            <w:pPr>
              <w:keepNext/>
              <w:jc w:val="center"/>
              <w:rPr>
                <w:color w:val="000000"/>
                <w:sz w:val="22"/>
                <w:szCs w:val="22"/>
                <w:lang w:val="de-DE" w:eastAsia="en-GB"/>
              </w:rPr>
            </w:pPr>
            <w:r>
              <w:rPr>
                <w:color w:val="000000"/>
                <w:sz w:val="22"/>
                <w:szCs w:val="22"/>
                <w:lang w:val="de-DE" w:eastAsia="en-GB"/>
              </w:rPr>
              <w:t>38,1 %</w:t>
            </w:r>
          </w:p>
        </w:tc>
        <w:tc>
          <w:tcPr>
            <w:tcW w:w="1701" w:type="dxa"/>
          </w:tcPr>
          <w:p w14:paraId="2F4277C2" w14:textId="77777777" w:rsidR="00FE291A" w:rsidRDefault="00C8738F">
            <w:pPr>
              <w:keepNext/>
              <w:jc w:val="center"/>
              <w:rPr>
                <w:color w:val="000000"/>
                <w:sz w:val="22"/>
                <w:szCs w:val="22"/>
                <w:lang w:val="de-DE" w:eastAsia="en-GB"/>
              </w:rPr>
            </w:pPr>
            <w:r>
              <w:rPr>
                <w:color w:val="000000"/>
                <w:sz w:val="22"/>
                <w:szCs w:val="22"/>
                <w:lang w:val="de-DE" w:eastAsia="en-GB"/>
              </w:rPr>
              <w:t>0,608</w:t>
            </w:r>
          </w:p>
        </w:tc>
      </w:tr>
      <w:tr w:rsidR="00FE291A" w14:paraId="52BDF9DF" w14:textId="77777777">
        <w:trPr>
          <w:trHeight w:val="147"/>
        </w:trPr>
        <w:tc>
          <w:tcPr>
            <w:tcW w:w="3006" w:type="dxa"/>
          </w:tcPr>
          <w:p w14:paraId="28889E8C" w14:textId="77777777" w:rsidR="00FE291A" w:rsidRDefault="00C8738F">
            <w:pPr>
              <w:keepNext/>
              <w:rPr>
                <w:color w:val="000000"/>
                <w:sz w:val="22"/>
                <w:szCs w:val="22"/>
                <w:lang w:val="de-DE" w:eastAsia="en-GB"/>
              </w:rPr>
            </w:pPr>
            <w:r>
              <w:rPr>
                <w:color w:val="000000"/>
                <w:sz w:val="22"/>
                <w:szCs w:val="22"/>
                <w:lang w:val="de-DE" w:eastAsia="en-GB"/>
              </w:rPr>
              <w:t>Woche</w:t>
            </w:r>
            <w:r>
              <w:rPr>
                <w:rFonts w:eastAsia="Times New Roman"/>
                <w:sz w:val="22"/>
                <w:szCs w:val="22"/>
                <w:lang w:val="de-DE"/>
              </w:rPr>
              <w:t> </w:t>
            </w:r>
            <w:r>
              <w:rPr>
                <w:color w:val="000000"/>
                <w:sz w:val="22"/>
                <w:szCs w:val="22"/>
                <w:lang w:val="de-DE" w:eastAsia="en-GB"/>
              </w:rPr>
              <w:t>52</w:t>
            </w:r>
          </w:p>
        </w:tc>
        <w:tc>
          <w:tcPr>
            <w:tcW w:w="2126" w:type="dxa"/>
          </w:tcPr>
          <w:p w14:paraId="1C372F29" w14:textId="77777777" w:rsidR="00FE291A" w:rsidRDefault="00C8738F">
            <w:pPr>
              <w:keepNext/>
              <w:jc w:val="center"/>
              <w:rPr>
                <w:color w:val="000000"/>
                <w:sz w:val="22"/>
                <w:szCs w:val="22"/>
                <w:lang w:val="de-DE" w:eastAsia="en-GB"/>
              </w:rPr>
            </w:pPr>
            <w:r>
              <w:rPr>
                <w:color w:val="000000"/>
                <w:sz w:val="22"/>
                <w:szCs w:val="22"/>
                <w:lang w:val="de-DE" w:eastAsia="en-GB"/>
              </w:rPr>
              <w:t>40,0 %</w:t>
            </w:r>
          </w:p>
        </w:tc>
        <w:tc>
          <w:tcPr>
            <w:tcW w:w="2126" w:type="dxa"/>
          </w:tcPr>
          <w:p w14:paraId="0C190A9E" w14:textId="77777777" w:rsidR="00FE291A" w:rsidRDefault="00C8738F">
            <w:pPr>
              <w:keepNext/>
              <w:jc w:val="center"/>
              <w:rPr>
                <w:color w:val="000000"/>
                <w:sz w:val="22"/>
                <w:szCs w:val="22"/>
                <w:lang w:val="de-DE" w:eastAsia="en-GB"/>
              </w:rPr>
            </w:pPr>
            <w:r>
              <w:rPr>
                <w:color w:val="000000"/>
                <w:sz w:val="22"/>
                <w:szCs w:val="22"/>
                <w:lang w:val="de-DE" w:eastAsia="en-GB"/>
              </w:rPr>
              <w:t>23,8 %</w:t>
            </w:r>
          </w:p>
        </w:tc>
        <w:tc>
          <w:tcPr>
            <w:tcW w:w="1701" w:type="dxa"/>
          </w:tcPr>
          <w:p w14:paraId="37B91741" w14:textId="77777777" w:rsidR="00FE291A" w:rsidRDefault="00C8738F">
            <w:pPr>
              <w:keepNext/>
              <w:jc w:val="center"/>
              <w:rPr>
                <w:color w:val="000000"/>
                <w:sz w:val="22"/>
                <w:szCs w:val="22"/>
                <w:lang w:val="de-DE" w:eastAsia="en-GB"/>
              </w:rPr>
            </w:pPr>
            <w:r>
              <w:rPr>
                <w:color w:val="000000"/>
                <w:sz w:val="22"/>
                <w:szCs w:val="22"/>
                <w:lang w:val="de-DE" w:eastAsia="en-GB"/>
              </w:rPr>
              <w:t>0,303</w:t>
            </w:r>
          </w:p>
        </w:tc>
      </w:tr>
    </w:tbl>
    <w:p w14:paraId="5D27B102" w14:textId="77777777" w:rsidR="00FE291A" w:rsidRDefault="00C8738F">
      <w:pPr>
        <w:pStyle w:val="Default"/>
        <w:keepNext/>
        <w:rPr>
          <w:sz w:val="20"/>
          <w:szCs w:val="20"/>
          <w:lang w:val="de-DE" w:eastAsia="en-IN"/>
        </w:rPr>
      </w:pPr>
      <w:r>
        <w:rPr>
          <w:sz w:val="20"/>
          <w:szCs w:val="20"/>
          <w:vertAlign w:val="superscript"/>
          <w:lang w:val="de-DE" w:eastAsia="en-GB"/>
        </w:rPr>
        <w:t>1</w:t>
      </w:r>
      <w:r>
        <w:rPr>
          <w:sz w:val="20"/>
          <w:szCs w:val="20"/>
          <w:lang w:val="de-DE" w:eastAsia="en-GB"/>
        </w:rPr>
        <w:t xml:space="preserve"> </w:t>
      </w:r>
      <w:r>
        <w:rPr>
          <w:rFonts w:eastAsia="PMingLiU"/>
          <w:sz w:val="20"/>
          <w:szCs w:val="20"/>
          <w:lang w:val="de-DE" w:eastAsia="en-IN"/>
        </w:rPr>
        <w:t>p-Wert für Vergleich von Standarddosis gegenüber Niedrigdosis</w:t>
      </w:r>
    </w:p>
    <w:p w14:paraId="56BE8120" w14:textId="77777777" w:rsidR="00FE291A" w:rsidRDefault="00C8738F">
      <w:pPr>
        <w:pStyle w:val="Default"/>
        <w:keepNext/>
        <w:rPr>
          <w:sz w:val="20"/>
          <w:szCs w:val="20"/>
          <w:lang w:val="de-DE" w:eastAsia="en-IN"/>
        </w:rPr>
      </w:pPr>
      <w:r>
        <w:rPr>
          <w:sz w:val="20"/>
          <w:szCs w:val="20"/>
          <w:vertAlign w:val="superscript"/>
          <w:lang w:val="de-DE" w:eastAsia="en-GB"/>
        </w:rPr>
        <w:t>2</w:t>
      </w:r>
      <w:r>
        <w:rPr>
          <w:sz w:val="20"/>
          <w:szCs w:val="20"/>
          <w:lang w:val="de-DE" w:eastAsia="en-GB"/>
        </w:rPr>
        <w:t xml:space="preserve"> </w:t>
      </w:r>
      <w:r>
        <w:rPr>
          <w:rFonts w:eastAsia="PMingLiU"/>
          <w:sz w:val="20"/>
          <w:szCs w:val="20"/>
          <w:lang w:val="de-DE" w:eastAsia="en-IN"/>
        </w:rPr>
        <w:t>Behandlung mit Immunsuppressiva konnte nach Ermessen des Prüfers erst zu oder nach Woche 26 beendet werden, wenn der Patient das Kriterium für ein klinisches Ansprechen erfüllte</w:t>
      </w:r>
    </w:p>
    <w:p w14:paraId="656C9BF0" w14:textId="77777777" w:rsidR="00FE291A" w:rsidRDefault="00C8738F">
      <w:pPr>
        <w:pStyle w:val="Default"/>
        <w:rPr>
          <w:rFonts w:eastAsia="PMingLiU"/>
          <w:sz w:val="20"/>
          <w:szCs w:val="20"/>
          <w:lang w:val="de-DE" w:eastAsia="en-IN"/>
        </w:rPr>
      </w:pPr>
      <w:r>
        <w:rPr>
          <w:sz w:val="20"/>
          <w:szCs w:val="20"/>
          <w:vertAlign w:val="superscript"/>
          <w:lang w:val="de-DE" w:eastAsia="en-GB"/>
        </w:rPr>
        <w:t>3</w:t>
      </w:r>
      <w:r>
        <w:rPr>
          <w:sz w:val="20"/>
          <w:szCs w:val="20"/>
          <w:lang w:val="de-DE" w:eastAsia="en-GB"/>
        </w:rPr>
        <w:t xml:space="preserve"> </w:t>
      </w:r>
      <w:r>
        <w:rPr>
          <w:rFonts w:eastAsia="PMingLiU"/>
          <w:sz w:val="20"/>
          <w:szCs w:val="20"/>
          <w:lang w:val="de-DE" w:eastAsia="en-IN"/>
        </w:rPr>
        <w:t xml:space="preserve">definiert als Verschluss aller zum Zeitpunkt des Studienbeginns drainierender Fisteln, nachgewiesen an mindestens zwei aufeinanderfolgenden Visiten im Studienverlauf </w:t>
      </w:r>
    </w:p>
    <w:p w14:paraId="12A734EF" w14:textId="77777777" w:rsidR="00FE291A" w:rsidRDefault="00FE291A">
      <w:pPr>
        <w:rPr>
          <w:color w:val="000000"/>
          <w:sz w:val="22"/>
          <w:szCs w:val="22"/>
          <w:lang w:val="de-DE"/>
        </w:rPr>
      </w:pPr>
    </w:p>
    <w:p w14:paraId="33A67A22" w14:textId="77777777" w:rsidR="00FE291A" w:rsidRDefault="00C8738F">
      <w:pPr>
        <w:widowControl/>
        <w:rPr>
          <w:color w:val="000000"/>
          <w:sz w:val="22"/>
          <w:szCs w:val="22"/>
          <w:lang w:val="de-DE"/>
        </w:rPr>
      </w:pPr>
      <w:r>
        <w:rPr>
          <w:color w:val="000000"/>
          <w:sz w:val="22"/>
          <w:szCs w:val="22"/>
          <w:lang w:val="de-DE"/>
        </w:rPr>
        <w:t xml:space="preserve">Statistisch signifikante Zunahmen (Verbesserungen) im Vergleich zum Studienbeginn wurden im </w:t>
      </w:r>
      <w:r>
        <w:rPr>
          <w:i/>
          <w:iCs/>
          <w:color w:val="000000"/>
          <w:sz w:val="22"/>
          <w:szCs w:val="22"/>
          <w:lang w:val="de-DE"/>
        </w:rPr>
        <w:t>Body-Mass-Index</w:t>
      </w:r>
      <w:r>
        <w:rPr>
          <w:color w:val="000000"/>
          <w:sz w:val="22"/>
          <w:szCs w:val="22"/>
          <w:lang w:val="de-DE"/>
        </w:rPr>
        <w:t xml:space="preserve"> und der Körpergröße in Woche 26 und Woche 52 für beide Behandlungsgruppen beobachtet. </w:t>
      </w:r>
    </w:p>
    <w:p w14:paraId="14A844DE" w14:textId="77777777" w:rsidR="00FE291A" w:rsidRDefault="00FE291A">
      <w:pPr>
        <w:widowControl/>
        <w:rPr>
          <w:color w:val="000000"/>
          <w:sz w:val="22"/>
          <w:szCs w:val="22"/>
          <w:lang w:val="de-DE"/>
        </w:rPr>
      </w:pPr>
    </w:p>
    <w:p w14:paraId="1666BC50" w14:textId="77777777" w:rsidR="00FE291A" w:rsidRDefault="00C8738F">
      <w:pPr>
        <w:widowControl/>
        <w:rPr>
          <w:color w:val="000000"/>
          <w:sz w:val="22"/>
          <w:szCs w:val="22"/>
          <w:lang w:val="de-DE"/>
        </w:rPr>
      </w:pPr>
      <w:r>
        <w:rPr>
          <w:color w:val="000000"/>
          <w:sz w:val="22"/>
          <w:szCs w:val="22"/>
          <w:lang w:val="de-DE"/>
        </w:rPr>
        <w:t xml:space="preserve">Statistisch und klinisch signifikante Verbesserungen im Vergleich zum Studienbeginn wurden auch in beiden Behandlungsgruppen für die Parameter zur Lebensqualität (einschließlich IMPACT III) beobachtet. </w:t>
      </w:r>
    </w:p>
    <w:p w14:paraId="7E52FD5C" w14:textId="77777777" w:rsidR="00FE291A" w:rsidRDefault="00FE291A">
      <w:pPr>
        <w:widowControl/>
        <w:rPr>
          <w:color w:val="000000"/>
          <w:sz w:val="22"/>
          <w:szCs w:val="22"/>
          <w:lang w:val="de-DE"/>
        </w:rPr>
      </w:pPr>
    </w:p>
    <w:p w14:paraId="50CEAA62" w14:textId="77777777" w:rsidR="00FE291A" w:rsidRDefault="00C8738F">
      <w:pPr>
        <w:widowControl/>
        <w:rPr>
          <w:color w:val="000000"/>
          <w:sz w:val="22"/>
          <w:szCs w:val="22"/>
          <w:lang w:val="de-DE"/>
        </w:rPr>
      </w:pPr>
      <w:r>
        <w:rPr>
          <w:color w:val="000000"/>
          <w:sz w:val="22"/>
          <w:szCs w:val="22"/>
          <w:lang w:val="de-DE"/>
        </w:rPr>
        <w:t>Einhundert Patienten (n = 100) der Studie zu pädiatrischem Morbus Crohn setzten diese in einer offenen Fortsetzungsphase zur Langzeitanwendung fort. Nach fünf Jahren unter Adalimumab-Therapie wiesen 74 % (37/50) der 50 in der Studie verbliebenen Patienten weiterhin eine klinische Remission und 92,0 % (46/50) ein klinisches Ansprechen nach PCDAI auf.</w:t>
      </w:r>
    </w:p>
    <w:p w14:paraId="236B441A" w14:textId="77777777" w:rsidR="00FE291A" w:rsidRDefault="00FE291A">
      <w:pPr>
        <w:widowControl/>
        <w:rPr>
          <w:color w:val="000000"/>
          <w:sz w:val="22"/>
          <w:szCs w:val="22"/>
          <w:lang w:val="de-DE"/>
        </w:rPr>
      </w:pPr>
    </w:p>
    <w:p w14:paraId="65204C65" w14:textId="77777777" w:rsidR="00FE291A" w:rsidRDefault="00C8738F">
      <w:pPr>
        <w:widowControl/>
        <w:rPr>
          <w:i/>
          <w:iCs/>
          <w:color w:val="000000"/>
          <w:sz w:val="22"/>
          <w:szCs w:val="22"/>
          <w:lang w:val="de-DE"/>
        </w:rPr>
      </w:pPr>
      <w:r>
        <w:rPr>
          <w:i/>
          <w:iCs/>
          <w:color w:val="000000"/>
          <w:sz w:val="22"/>
          <w:szCs w:val="22"/>
          <w:lang w:val="de-DE"/>
        </w:rPr>
        <w:t>Colitis ulcerosa bei Kindern und Jugendlichen</w:t>
      </w:r>
    </w:p>
    <w:p w14:paraId="231FAC50" w14:textId="77777777" w:rsidR="00FE291A" w:rsidRDefault="00FE291A">
      <w:pPr>
        <w:widowControl/>
        <w:rPr>
          <w:color w:val="000000"/>
          <w:sz w:val="22"/>
          <w:szCs w:val="22"/>
          <w:lang w:val="de-DE"/>
        </w:rPr>
      </w:pPr>
    </w:p>
    <w:p w14:paraId="112248F0" w14:textId="77777777" w:rsidR="00FE291A" w:rsidRDefault="00C8738F">
      <w:pPr>
        <w:widowControl/>
        <w:rPr>
          <w:color w:val="000000"/>
          <w:sz w:val="22"/>
          <w:szCs w:val="22"/>
          <w:lang w:val="de-DE"/>
        </w:rPr>
      </w:pPr>
      <w:r>
        <w:rPr>
          <w:color w:val="000000"/>
          <w:sz w:val="22"/>
          <w:szCs w:val="22"/>
          <w:lang w:val="de-DE"/>
        </w:rPr>
        <w:t>Die Sicherheit und Wirksamkeit von Adalimumab wurden in einer multizentrischen, randomisierten doppelblinden Studie bei 93 Kindern und Jugendlichen im Alter von 5 bis 17 Jahren mit mittelschwerer bis schwerer Colitis ulcerosa (</w:t>
      </w:r>
      <w:r>
        <w:rPr>
          <w:i/>
          <w:iCs/>
          <w:color w:val="000000"/>
          <w:sz w:val="22"/>
          <w:szCs w:val="22"/>
          <w:lang w:val="de-DE"/>
        </w:rPr>
        <w:t>Mayo-Score</w:t>
      </w:r>
      <w:r>
        <w:rPr>
          <w:color w:val="000000"/>
          <w:sz w:val="22"/>
          <w:szCs w:val="22"/>
          <w:lang w:val="de-DE"/>
        </w:rPr>
        <w:t> 6 bis 12 mit Endoskopie-</w:t>
      </w:r>
      <w:r>
        <w:rPr>
          <w:i/>
          <w:iCs/>
          <w:color w:val="000000"/>
          <w:sz w:val="22"/>
          <w:szCs w:val="22"/>
          <w:lang w:val="de-DE"/>
        </w:rPr>
        <w:t>Subscore</w:t>
      </w:r>
      <w:r>
        <w:rPr>
          <w:color w:val="000000"/>
          <w:sz w:val="22"/>
          <w:szCs w:val="22"/>
          <w:lang w:val="de-DE"/>
        </w:rPr>
        <w:t> 2 bis 3, bestätigt durch zentral ausgewertete endoskopische Aufnahmen) und unzureichendem Ansprechen auf oder Unverträglichkeit gegenüber konventionellen Therapien untersucht. Bei etwa 16 % der Patienten der Studie hatte zuvor eine Anti-TNF-Behandlung versagt. Bei Patienten, die bei Aufnahme in die Studie Kortikosteroide erhielten, war ein Ausschleichen nach Woche 4 erlaubt.</w:t>
      </w:r>
    </w:p>
    <w:p w14:paraId="6B54EACA" w14:textId="77777777" w:rsidR="00FE291A" w:rsidRDefault="00FE291A">
      <w:pPr>
        <w:widowControl/>
        <w:rPr>
          <w:color w:val="000000"/>
          <w:sz w:val="22"/>
          <w:szCs w:val="22"/>
          <w:lang w:val="de-DE"/>
        </w:rPr>
      </w:pPr>
    </w:p>
    <w:p w14:paraId="33C02BCA" w14:textId="77777777" w:rsidR="00FE291A" w:rsidRDefault="00C8738F">
      <w:pPr>
        <w:rPr>
          <w:color w:val="000000"/>
          <w:sz w:val="22"/>
          <w:szCs w:val="22"/>
          <w:lang w:val="de-DE"/>
        </w:rPr>
      </w:pPr>
      <w:r>
        <w:rPr>
          <w:color w:val="000000"/>
          <w:sz w:val="22"/>
          <w:szCs w:val="22"/>
          <w:lang w:val="de-DE"/>
        </w:rPr>
        <w:t>In der Induktionsphase der Studie wurden 77 Patienten im Verhältnis 3:2 randomisiert und erhielten eine doppelblinde Behandlung mit Adalimumab: eine Induktionsdosis von 2,4 mg/kg (maximal 160 mg) in Woche 0 und Woche 1 und 1,2 mg/kg (maximal 80 mg) in Woche 2 bzw. 2,4 mg/kg (maximal 160 mg) in Woche 0, Placebo in Woche 1 und 1,2 mg/kg (maximal 80</w:t>
      </w:r>
      <w:r>
        <w:rPr>
          <w:sz w:val="22"/>
          <w:szCs w:val="22"/>
          <w:lang w:val="de-DE"/>
        </w:rPr>
        <w:t> </w:t>
      </w:r>
      <w:r>
        <w:rPr>
          <w:color w:val="000000"/>
          <w:sz w:val="22"/>
          <w:szCs w:val="22"/>
          <w:lang w:val="de-DE"/>
        </w:rPr>
        <w:t>mg) in Woche 2. Beide Behandlungsarme erhielten 0,6 mg/kg (maximal 40 mg) in Woche 4 und Woche 6. Nach einer Änderung des Studiendesigns erhielten die verbleibenden 16 Patienten, die in die Induktionsphase aufgenommen wurden, eine offene Behandlung mit Adalimumab in der Induktionsdosis von 2,4 mg/kg (maximal 160 mg) in Woche 0 und Woche 1 und 1,2 mg/kg (maximal 80 mg) in Woche 2.</w:t>
      </w:r>
    </w:p>
    <w:p w14:paraId="6E5CA724" w14:textId="77777777" w:rsidR="00FE291A" w:rsidRDefault="00FE291A">
      <w:pPr>
        <w:rPr>
          <w:color w:val="000000"/>
          <w:sz w:val="22"/>
          <w:szCs w:val="22"/>
          <w:lang w:val="de-DE"/>
        </w:rPr>
      </w:pPr>
    </w:p>
    <w:p w14:paraId="73850A35" w14:textId="77777777" w:rsidR="00FE291A" w:rsidRDefault="00C8738F">
      <w:pPr>
        <w:widowControl/>
        <w:rPr>
          <w:color w:val="000000"/>
          <w:sz w:val="22"/>
          <w:szCs w:val="22"/>
          <w:lang w:val="de-DE"/>
        </w:rPr>
      </w:pPr>
      <w:r>
        <w:rPr>
          <w:color w:val="000000"/>
          <w:sz w:val="22"/>
          <w:szCs w:val="22"/>
          <w:lang w:val="de-DE"/>
        </w:rPr>
        <w:t xml:space="preserve">In Woche 8 wurden 62 Patienten, die nach </w:t>
      </w:r>
      <w:r>
        <w:rPr>
          <w:i/>
          <w:iCs/>
          <w:color w:val="000000"/>
          <w:sz w:val="22"/>
          <w:szCs w:val="22"/>
          <w:lang w:val="de-DE"/>
        </w:rPr>
        <w:t>Partial-Mayo-Score</w:t>
      </w:r>
      <w:r>
        <w:rPr>
          <w:color w:val="000000"/>
          <w:sz w:val="22"/>
          <w:szCs w:val="22"/>
          <w:lang w:val="de-DE"/>
        </w:rPr>
        <w:t xml:space="preserve"> (PMS, definiert als Abnahme um ≥ 2 Punkte und ≥ 30 % gegenüber </w:t>
      </w:r>
      <w:r>
        <w:rPr>
          <w:i/>
          <w:iCs/>
          <w:color w:val="000000"/>
          <w:sz w:val="22"/>
          <w:szCs w:val="22"/>
          <w:lang w:val="de-DE"/>
        </w:rPr>
        <w:t>Baseline</w:t>
      </w:r>
      <w:r>
        <w:rPr>
          <w:color w:val="000000"/>
          <w:sz w:val="22"/>
          <w:szCs w:val="22"/>
          <w:lang w:val="de-DE"/>
        </w:rPr>
        <w:t>) ein klinisches Ansprechen aufwiesen, im Verhältnis 1:1 randomisiert und erhielten eine doppelblinde Erhaltungstherapie mit Adalimumab in einer Dosis von 0,6 mg/kg (maximal 40 mg) wöchentlich oder jede zweite Woche. Vor der Änderung des Studiendesigns wurden 12 weitere Patienten, die nach PMS ein klinisches Ansprechen aufwiesen, randomisiert und erhielten Placebo, wurden aber nicht in die konfirmatorische Auswertung zur Wirksamkeit einbezogen.</w:t>
      </w:r>
    </w:p>
    <w:p w14:paraId="51E59674" w14:textId="77777777" w:rsidR="00FE291A" w:rsidRDefault="00FE291A">
      <w:pPr>
        <w:widowControl/>
        <w:rPr>
          <w:color w:val="000000"/>
          <w:sz w:val="22"/>
          <w:szCs w:val="22"/>
          <w:lang w:val="de-DE"/>
        </w:rPr>
      </w:pPr>
    </w:p>
    <w:p w14:paraId="6FC9BC13" w14:textId="77777777" w:rsidR="00FE291A" w:rsidRDefault="00C8738F">
      <w:pPr>
        <w:widowControl/>
        <w:rPr>
          <w:color w:val="000000"/>
          <w:sz w:val="22"/>
          <w:szCs w:val="22"/>
          <w:lang w:val="de-DE"/>
        </w:rPr>
      </w:pPr>
      <w:r>
        <w:rPr>
          <w:color w:val="000000"/>
          <w:sz w:val="22"/>
          <w:szCs w:val="22"/>
          <w:lang w:val="de-DE"/>
        </w:rPr>
        <w:t xml:space="preserve">Ein Krankheitsschub wurde definiert als Zunahme des PMS um mindestens 3 Punkte (bei Patienten mit einem PMS von 0–2 in Woche 8), mindestens 2 Punkte (bei Patienten mit einem PMS von 3–4 in Woche 8) oder mindestens 1 Punkt (bei Patienten mit einem PMS von 5–6 in Woche 8). </w:t>
      </w:r>
    </w:p>
    <w:p w14:paraId="2941203C" w14:textId="77777777" w:rsidR="00FE291A" w:rsidRDefault="00FE291A">
      <w:pPr>
        <w:widowControl/>
        <w:rPr>
          <w:color w:val="000000"/>
          <w:sz w:val="22"/>
          <w:szCs w:val="22"/>
          <w:lang w:val="de-DE"/>
        </w:rPr>
      </w:pPr>
    </w:p>
    <w:p w14:paraId="427E7709" w14:textId="77777777" w:rsidR="00FE291A" w:rsidRDefault="00C8738F">
      <w:pPr>
        <w:widowControl/>
        <w:rPr>
          <w:color w:val="000000"/>
          <w:sz w:val="22"/>
          <w:szCs w:val="22"/>
          <w:lang w:val="de-DE"/>
        </w:rPr>
      </w:pPr>
      <w:r>
        <w:rPr>
          <w:color w:val="000000"/>
          <w:sz w:val="22"/>
          <w:szCs w:val="22"/>
          <w:lang w:val="de-DE"/>
        </w:rPr>
        <w:t xml:space="preserve">Patienten, die in oder nach Woche 12 die Kriterien für einen Krankheitsschub erfüllten, wurden randomisiert und erhielten entweder eine erneute Induktionsdosis von 2,4 mg/kg (maximal 160 mg) oder eine Dosis von 0,6 mg/kg (maximal 40 mg) und führten anschließend die Behandlung in ihrer jeweiligen Erhaltungsdosis fort. </w:t>
      </w:r>
    </w:p>
    <w:p w14:paraId="08A97AED" w14:textId="77777777" w:rsidR="00FE291A" w:rsidRDefault="00FE291A">
      <w:pPr>
        <w:widowControl/>
        <w:rPr>
          <w:color w:val="000000"/>
          <w:sz w:val="22"/>
          <w:szCs w:val="22"/>
          <w:lang w:val="de-DE"/>
        </w:rPr>
      </w:pPr>
    </w:p>
    <w:p w14:paraId="68DD83BA" w14:textId="77777777" w:rsidR="00FE291A" w:rsidRDefault="00C8738F">
      <w:pPr>
        <w:widowControl/>
        <w:rPr>
          <w:i/>
          <w:iCs/>
          <w:color w:val="000000"/>
          <w:sz w:val="22"/>
          <w:szCs w:val="22"/>
          <w:lang w:val="de-DE"/>
        </w:rPr>
      </w:pPr>
      <w:r>
        <w:rPr>
          <w:i/>
          <w:iCs/>
          <w:color w:val="000000"/>
          <w:sz w:val="22"/>
          <w:szCs w:val="22"/>
          <w:lang w:val="de-DE"/>
        </w:rPr>
        <w:t>Ergebnisse zur Wirksamkeit</w:t>
      </w:r>
    </w:p>
    <w:p w14:paraId="1513682A" w14:textId="77777777" w:rsidR="00FE291A" w:rsidRDefault="00FE291A">
      <w:pPr>
        <w:widowControl/>
        <w:rPr>
          <w:color w:val="000000"/>
          <w:sz w:val="22"/>
          <w:szCs w:val="22"/>
          <w:lang w:val="de-DE"/>
        </w:rPr>
      </w:pPr>
    </w:p>
    <w:p w14:paraId="248FD4D2" w14:textId="77777777" w:rsidR="00FE291A" w:rsidRDefault="00C8738F">
      <w:pPr>
        <w:widowControl/>
        <w:rPr>
          <w:color w:val="000000"/>
          <w:sz w:val="22"/>
          <w:szCs w:val="22"/>
          <w:lang w:val="de-DE"/>
        </w:rPr>
      </w:pPr>
      <w:r>
        <w:rPr>
          <w:color w:val="000000"/>
          <w:sz w:val="22"/>
          <w:szCs w:val="22"/>
          <w:lang w:val="de-DE"/>
        </w:rPr>
        <w:t xml:space="preserve">Die koprimären Endpunkte der Studie waren die klinische Remission nach PMS (definiert als PMS ≤ 2 und kein einzelner </w:t>
      </w:r>
      <w:r>
        <w:rPr>
          <w:i/>
          <w:iCs/>
          <w:color w:val="000000"/>
          <w:sz w:val="22"/>
          <w:szCs w:val="22"/>
          <w:lang w:val="de-DE"/>
        </w:rPr>
        <w:t>Subscore</w:t>
      </w:r>
      <w:r>
        <w:rPr>
          <w:color w:val="000000"/>
          <w:sz w:val="22"/>
          <w:szCs w:val="22"/>
          <w:lang w:val="de-DE"/>
        </w:rPr>
        <w:t xml:space="preserve"> &gt; 1) in Woche 8 und die klinische Remission nach vollständigem </w:t>
      </w:r>
      <w:r>
        <w:rPr>
          <w:i/>
          <w:iCs/>
          <w:color w:val="000000"/>
          <w:sz w:val="22"/>
          <w:szCs w:val="22"/>
          <w:lang w:val="de-DE"/>
        </w:rPr>
        <w:t>Mayo-Score</w:t>
      </w:r>
      <w:r>
        <w:rPr>
          <w:color w:val="000000"/>
          <w:sz w:val="22"/>
          <w:szCs w:val="22"/>
          <w:lang w:val="de-DE"/>
        </w:rPr>
        <w:t xml:space="preserve"> (</w:t>
      </w:r>
      <w:r>
        <w:rPr>
          <w:i/>
          <w:iCs/>
          <w:color w:val="000000"/>
          <w:sz w:val="22"/>
          <w:szCs w:val="22"/>
          <w:lang w:val="de-DE"/>
        </w:rPr>
        <w:t>Full-Mayo-Score</w:t>
      </w:r>
      <w:r>
        <w:rPr>
          <w:color w:val="000000"/>
          <w:sz w:val="22"/>
          <w:szCs w:val="22"/>
          <w:lang w:val="de-DE"/>
        </w:rPr>
        <w:t xml:space="preserve">, FMS, definiert als </w:t>
      </w:r>
      <w:r>
        <w:rPr>
          <w:i/>
          <w:iCs/>
          <w:color w:val="000000"/>
          <w:sz w:val="22"/>
          <w:szCs w:val="22"/>
          <w:lang w:val="de-DE"/>
        </w:rPr>
        <w:t>Mayo-Score</w:t>
      </w:r>
      <w:r>
        <w:rPr>
          <w:color w:val="000000"/>
          <w:sz w:val="22"/>
          <w:szCs w:val="22"/>
          <w:lang w:val="de-DE"/>
        </w:rPr>
        <w:t xml:space="preserve"> von ≤ 2 und kein einzelner </w:t>
      </w:r>
      <w:r>
        <w:rPr>
          <w:i/>
          <w:iCs/>
          <w:color w:val="000000"/>
          <w:sz w:val="22"/>
          <w:szCs w:val="22"/>
          <w:lang w:val="de-DE"/>
        </w:rPr>
        <w:t>Subscore</w:t>
      </w:r>
      <w:r>
        <w:rPr>
          <w:color w:val="000000"/>
          <w:sz w:val="22"/>
          <w:szCs w:val="22"/>
          <w:lang w:val="de-DE"/>
        </w:rPr>
        <w:t xml:space="preserve"> &gt; 1) in Woche 52 bei Patienten, die in Woche 8 ein klinisches Ansprechen nach PMS erreichten. </w:t>
      </w:r>
    </w:p>
    <w:p w14:paraId="3CE453A8" w14:textId="77777777" w:rsidR="00FE291A" w:rsidRDefault="00FE291A">
      <w:pPr>
        <w:widowControl/>
        <w:rPr>
          <w:color w:val="000000"/>
          <w:sz w:val="22"/>
          <w:szCs w:val="22"/>
          <w:lang w:val="de-DE"/>
        </w:rPr>
      </w:pPr>
    </w:p>
    <w:p w14:paraId="1E6A25EE" w14:textId="77777777" w:rsidR="00FE291A" w:rsidRDefault="00C8738F">
      <w:pPr>
        <w:rPr>
          <w:color w:val="000000"/>
          <w:sz w:val="22"/>
          <w:szCs w:val="22"/>
          <w:lang w:val="de-DE"/>
        </w:rPr>
      </w:pPr>
      <w:r>
        <w:rPr>
          <w:color w:val="000000"/>
          <w:sz w:val="22"/>
          <w:szCs w:val="22"/>
          <w:lang w:val="de-DE"/>
        </w:rPr>
        <w:t>Die Raten der klinischen Remission nach PMS in Woche 8 für Patienten in jedem der Behandlungsarme mit doppelblinder Adalimumab-Induktionstherapie sind in Tabelle 31 dargestellt.</w:t>
      </w:r>
    </w:p>
    <w:p w14:paraId="693DE364" w14:textId="77777777" w:rsidR="00FE291A" w:rsidRDefault="00FE291A">
      <w:pPr>
        <w:pStyle w:val="BodyText"/>
        <w:keepNext/>
        <w:widowControl/>
        <w:kinsoku w:val="0"/>
        <w:overflowPunct w:val="0"/>
        <w:ind w:left="0"/>
        <w:rPr>
          <w:u w:val="single"/>
          <w:lang w:val="de-DE"/>
        </w:rPr>
      </w:pPr>
    </w:p>
    <w:p w14:paraId="06495B8F" w14:textId="77777777" w:rsidR="00FE291A" w:rsidRDefault="00C8738F">
      <w:pPr>
        <w:keepNext/>
        <w:rPr>
          <w:b/>
          <w:bCs/>
          <w:sz w:val="22"/>
          <w:szCs w:val="22"/>
          <w:lang w:val="de-DE"/>
        </w:rPr>
      </w:pPr>
      <w:r>
        <w:rPr>
          <w:b/>
          <w:bCs/>
          <w:sz w:val="22"/>
          <w:szCs w:val="22"/>
          <w:lang w:val="de-DE" w:eastAsia="en-GB"/>
        </w:rPr>
        <w:t xml:space="preserve">Tabelle 31: </w:t>
      </w:r>
      <w:r>
        <w:rPr>
          <w:b/>
          <w:bCs/>
          <w:sz w:val="22"/>
          <w:szCs w:val="22"/>
          <w:lang w:val="de-DE"/>
        </w:rPr>
        <w:t>Klinische Remission nach PMS in Woche 8</w:t>
      </w:r>
    </w:p>
    <w:p w14:paraId="474A2376" w14:textId="77777777" w:rsidR="00FE291A" w:rsidRDefault="00FE291A">
      <w:pPr>
        <w:keepNext/>
        <w:rPr>
          <w:i/>
          <w:iCs/>
          <w:sz w:val="22"/>
          <w:szCs w:val="22"/>
          <w:lang w:val="de-DE"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2"/>
        <w:gridCol w:w="3020"/>
        <w:gridCol w:w="3021"/>
      </w:tblGrid>
      <w:tr w:rsidR="00FE291A" w14:paraId="5344773E" w14:textId="77777777">
        <w:trPr>
          <w:cantSplit/>
        </w:trPr>
        <w:tc>
          <w:tcPr>
            <w:tcW w:w="2912" w:type="dxa"/>
          </w:tcPr>
          <w:p w14:paraId="023F4DA6" w14:textId="77777777" w:rsidR="00FE291A" w:rsidRDefault="00FE291A">
            <w:pPr>
              <w:keepNext/>
              <w:rPr>
                <w:sz w:val="22"/>
                <w:szCs w:val="22"/>
                <w:lang w:val="de-DE" w:eastAsia="en-GB"/>
              </w:rPr>
            </w:pPr>
          </w:p>
        </w:tc>
        <w:tc>
          <w:tcPr>
            <w:tcW w:w="3020" w:type="dxa"/>
          </w:tcPr>
          <w:p w14:paraId="51927C5F" w14:textId="77777777" w:rsidR="00FE291A" w:rsidRDefault="00C8738F">
            <w:pPr>
              <w:pStyle w:val="Default"/>
              <w:jc w:val="center"/>
              <w:rPr>
                <w:sz w:val="22"/>
                <w:szCs w:val="22"/>
                <w:lang w:val="de-DE"/>
              </w:rPr>
            </w:pPr>
            <w:r>
              <w:rPr>
                <w:b/>
                <w:bCs/>
                <w:sz w:val="22"/>
                <w:szCs w:val="22"/>
                <w:lang w:val="de-DE"/>
              </w:rPr>
              <w:t>Adalimumab</w:t>
            </w:r>
            <w:r>
              <w:rPr>
                <w:b/>
                <w:bCs/>
                <w:sz w:val="22"/>
                <w:szCs w:val="22"/>
                <w:vertAlign w:val="superscript"/>
                <w:lang w:val="de-DE"/>
              </w:rPr>
              <w:t>a</w:t>
            </w:r>
          </w:p>
          <w:p w14:paraId="7BBA22A6" w14:textId="77777777" w:rsidR="00FE291A" w:rsidRDefault="00C8738F">
            <w:pPr>
              <w:pStyle w:val="Default"/>
              <w:jc w:val="center"/>
              <w:rPr>
                <w:b/>
                <w:bCs/>
                <w:sz w:val="22"/>
                <w:szCs w:val="22"/>
                <w:lang w:val="de-DE"/>
              </w:rPr>
            </w:pPr>
            <w:r>
              <w:rPr>
                <w:b/>
                <w:bCs/>
                <w:sz w:val="22"/>
                <w:szCs w:val="22"/>
                <w:lang w:val="de-DE"/>
              </w:rPr>
              <w:t>Maximal 160 mg in Woche 0/</w:t>
            </w:r>
          </w:p>
          <w:p w14:paraId="2ED03EDB" w14:textId="77777777" w:rsidR="00FE291A" w:rsidRDefault="00C8738F">
            <w:pPr>
              <w:pStyle w:val="Default"/>
              <w:jc w:val="center"/>
              <w:rPr>
                <w:sz w:val="22"/>
                <w:szCs w:val="22"/>
                <w:lang w:val="de-DE"/>
              </w:rPr>
            </w:pPr>
            <w:r>
              <w:rPr>
                <w:b/>
                <w:bCs/>
                <w:sz w:val="22"/>
                <w:szCs w:val="22"/>
                <w:lang w:val="de-DE"/>
              </w:rPr>
              <w:t>Placebo in Woche 1</w:t>
            </w:r>
          </w:p>
          <w:p w14:paraId="0608177A" w14:textId="77777777" w:rsidR="00FE291A" w:rsidRDefault="00C8738F">
            <w:pPr>
              <w:keepNext/>
              <w:jc w:val="center"/>
              <w:rPr>
                <w:b/>
                <w:bCs/>
                <w:sz w:val="22"/>
                <w:szCs w:val="22"/>
                <w:lang w:val="de-DE" w:eastAsia="en-GB"/>
              </w:rPr>
            </w:pPr>
            <w:r>
              <w:rPr>
                <w:b/>
                <w:bCs/>
                <w:sz w:val="22"/>
                <w:szCs w:val="22"/>
                <w:lang w:val="de-DE"/>
              </w:rPr>
              <w:t>n = 30</w:t>
            </w:r>
          </w:p>
        </w:tc>
        <w:tc>
          <w:tcPr>
            <w:tcW w:w="3021" w:type="dxa"/>
          </w:tcPr>
          <w:p w14:paraId="7F795478" w14:textId="77777777" w:rsidR="00FE291A" w:rsidRDefault="00C8738F">
            <w:pPr>
              <w:pStyle w:val="Default"/>
              <w:jc w:val="center"/>
              <w:rPr>
                <w:sz w:val="22"/>
                <w:szCs w:val="22"/>
                <w:lang w:val="de-DE"/>
              </w:rPr>
            </w:pPr>
            <w:r>
              <w:rPr>
                <w:b/>
                <w:bCs/>
                <w:sz w:val="22"/>
                <w:szCs w:val="22"/>
                <w:lang w:val="de-DE"/>
              </w:rPr>
              <w:t>Adalimumab</w:t>
            </w:r>
            <w:r>
              <w:rPr>
                <w:b/>
                <w:bCs/>
                <w:sz w:val="22"/>
                <w:szCs w:val="22"/>
                <w:vertAlign w:val="superscript"/>
                <w:lang w:val="de-DE"/>
              </w:rPr>
              <w:t>b, c</w:t>
            </w:r>
          </w:p>
          <w:p w14:paraId="6CAA85CA" w14:textId="77777777" w:rsidR="00FE291A" w:rsidRDefault="00C8738F">
            <w:pPr>
              <w:pStyle w:val="Default"/>
              <w:jc w:val="center"/>
              <w:rPr>
                <w:sz w:val="22"/>
                <w:szCs w:val="22"/>
                <w:lang w:val="de-DE"/>
              </w:rPr>
            </w:pPr>
            <w:r>
              <w:rPr>
                <w:b/>
                <w:bCs/>
                <w:sz w:val="22"/>
                <w:szCs w:val="22"/>
                <w:lang w:val="de-DE"/>
              </w:rPr>
              <w:t>Maximal 160 mg in Woche 0 und Woche 1</w:t>
            </w:r>
          </w:p>
          <w:p w14:paraId="64DB7C82" w14:textId="77777777" w:rsidR="00FE291A" w:rsidRDefault="00C8738F">
            <w:pPr>
              <w:keepNext/>
              <w:jc w:val="center"/>
              <w:rPr>
                <w:b/>
                <w:bCs/>
                <w:sz w:val="22"/>
                <w:szCs w:val="22"/>
                <w:lang w:val="de-DE" w:eastAsia="en-GB"/>
              </w:rPr>
            </w:pPr>
            <w:r>
              <w:rPr>
                <w:b/>
                <w:bCs/>
                <w:sz w:val="22"/>
                <w:szCs w:val="22"/>
                <w:lang w:val="de-DE"/>
              </w:rPr>
              <w:t>n = 47</w:t>
            </w:r>
          </w:p>
        </w:tc>
      </w:tr>
      <w:tr w:rsidR="00FE291A" w14:paraId="0ACE69CE" w14:textId="77777777">
        <w:tc>
          <w:tcPr>
            <w:tcW w:w="2912" w:type="dxa"/>
          </w:tcPr>
          <w:p w14:paraId="049F7492" w14:textId="77777777" w:rsidR="00FE291A" w:rsidRDefault="00C8738F">
            <w:pPr>
              <w:rPr>
                <w:sz w:val="22"/>
                <w:szCs w:val="22"/>
                <w:lang w:val="de-DE" w:eastAsia="en-GB"/>
              </w:rPr>
            </w:pPr>
            <w:r>
              <w:rPr>
                <w:sz w:val="22"/>
                <w:szCs w:val="22"/>
                <w:lang w:val="de-DE"/>
              </w:rPr>
              <w:t>Klinische Remission</w:t>
            </w:r>
          </w:p>
        </w:tc>
        <w:tc>
          <w:tcPr>
            <w:tcW w:w="3020" w:type="dxa"/>
          </w:tcPr>
          <w:p w14:paraId="7447BFDB" w14:textId="77777777" w:rsidR="00FE291A" w:rsidRDefault="00C8738F">
            <w:pPr>
              <w:jc w:val="center"/>
              <w:rPr>
                <w:sz w:val="22"/>
                <w:szCs w:val="22"/>
                <w:lang w:val="de-DE" w:eastAsia="en-GB"/>
              </w:rPr>
            </w:pPr>
            <w:r>
              <w:rPr>
                <w:sz w:val="22"/>
                <w:szCs w:val="22"/>
                <w:lang w:val="de-DE"/>
              </w:rPr>
              <w:t>13/30 (43,3 %)</w:t>
            </w:r>
          </w:p>
        </w:tc>
        <w:tc>
          <w:tcPr>
            <w:tcW w:w="3021" w:type="dxa"/>
          </w:tcPr>
          <w:p w14:paraId="7F9824F3" w14:textId="77777777" w:rsidR="00FE291A" w:rsidRDefault="00C8738F">
            <w:pPr>
              <w:jc w:val="center"/>
              <w:rPr>
                <w:sz w:val="22"/>
                <w:szCs w:val="22"/>
                <w:lang w:val="de-DE" w:eastAsia="en-GB"/>
              </w:rPr>
            </w:pPr>
            <w:r>
              <w:rPr>
                <w:sz w:val="22"/>
                <w:szCs w:val="22"/>
                <w:lang w:val="de-DE"/>
              </w:rPr>
              <w:t>28/47 (59,6 %)</w:t>
            </w:r>
          </w:p>
        </w:tc>
      </w:tr>
      <w:tr w:rsidR="00FE291A" w:rsidRPr="00723069" w14:paraId="50AF6A9C" w14:textId="77777777">
        <w:tc>
          <w:tcPr>
            <w:tcW w:w="8953" w:type="dxa"/>
            <w:gridSpan w:val="3"/>
          </w:tcPr>
          <w:p w14:paraId="2BBDAA20" w14:textId="77777777" w:rsidR="00FE291A" w:rsidRDefault="00C8738F">
            <w:pPr>
              <w:rPr>
                <w:sz w:val="20"/>
                <w:lang w:val="de-DE" w:eastAsia="en-GB"/>
              </w:rPr>
            </w:pPr>
            <w:r>
              <w:rPr>
                <w:sz w:val="20"/>
                <w:vertAlign w:val="superscript"/>
                <w:lang w:val="de-DE" w:eastAsia="en-GB"/>
              </w:rPr>
              <w:t xml:space="preserve">a </w:t>
            </w:r>
            <w:r>
              <w:rPr>
                <w:sz w:val="20"/>
                <w:szCs w:val="20"/>
                <w:lang w:val="de-DE"/>
              </w:rPr>
              <w:t>Adalimumab 2,4 mg/kg (maximal 160 mg) in Woche 0, Placebo in Woche 1 und 1,2 mg/kg (maximal 80 mg) in Woche 2</w:t>
            </w:r>
          </w:p>
          <w:p w14:paraId="2634607F" w14:textId="77777777" w:rsidR="00FE291A" w:rsidRDefault="00C8738F">
            <w:pPr>
              <w:rPr>
                <w:sz w:val="20"/>
                <w:lang w:val="de-DE" w:eastAsia="en-GB"/>
              </w:rPr>
            </w:pPr>
            <w:r>
              <w:rPr>
                <w:sz w:val="20"/>
                <w:vertAlign w:val="superscript"/>
                <w:lang w:val="de-DE" w:eastAsia="en-GB"/>
              </w:rPr>
              <w:t>b</w:t>
            </w:r>
            <w:r>
              <w:rPr>
                <w:sz w:val="20"/>
                <w:lang w:val="de-DE" w:eastAsia="en-GB"/>
              </w:rPr>
              <w:t xml:space="preserve"> </w:t>
            </w:r>
            <w:r>
              <w:rPr>
                <w:sz w:val="20"/>
                <w:szCs w:val="20"/>
                <w:lang w:val="de-DE"/>
              </w:rPr>
              <w:t>Adalimumab 2,4 mg/kg (maximal 160 mg) in Woche 0 und Woche 1 und 1,2 mg/kg (maximal 80 mg) in Woche 2</w:t>
            </w:r>
          </w:p>
          <w:p w14:paraId="4266BDEE" w14:textId="77777777" w:rsidR="00FE291A" w:rsidRDefault="00C8738F">
            <w:pPr>
              <w:rPr>
                <w:sz w:val="20"/>
                <w:szCs w:val="20"/>
                <w:lang w:val="de-DE" w:eastAsia="en-GB"/>
              </w:rPr>
            </w:pPr>
            <w:r>
              <w:rPr>
                <w:sz w:val="20"/>
                <w:vertAlign w:val="superscript"/>
                <w:lang w:val="de-DE" w:eastAsia="en-GB"/>
              </w:rPr>
              <w:t>c</w:t>
            </w:r>
            <w:r>
              <w:rPr>
                <w:sz w:val="20"/>
                <w:lang w:val="de-DE" w:eastAsia="en-GB"/>
              </w:rPr>
              <w:t xml:space="preserve"> </w:t>
            </w:r>
            <w:r>
              <w:rPr>
                <w:sz w:val="20"/>
                <w:szCs w:val="20"/>
                <w:lang w:val="de-DE"/>
              </w:rPr>
              <w:t xml:space="preserve">Ohne Patienten unter offener Adalimumab-Induktionsdosis von 2,4 mg/kg (maximal 160 mg) in Woche 0 und Woche 1 und 1,2 mg/kg (maximal 80 mg) in Woche 2 </w:t>
            </w:r>
          </w:p>
          <w:p w14:paraId="7A912C79" w14:textId="77777777" w:rsidR="00FE291A" w:rsidRDefault="00C8738F">
            <w:pPr>
              <w:pStyle w:val="Default"/>
              <w:rPr>
                <w:sz w:val="20"/>
                <w:szCs w:val="20"/>
                <w:lang w:val="de-DE"/>
              </w:rPr>
            </w:pPr>
            <w:r>
              <w:rPr>
                <w:sz w:val="20"/>
                <w:szCs w:val="20"/>
                <w:lang w:val="de-DE"/>
              </w:rPr>
              <w:t>Hinweis 1: Beide Behandlungsarme mit Induktionsphase erhielten 0,6 mg/kg (maximal 40 mg) in Woche 4 und Woche 6.</w:t>
            </w:r>
          </w:p>
          <w:p w14:paraId="2E641612" w14:textId="77777777" w:rsidR="00FE291A" w:rsidRDefault="00C8738F">
            <w:pPr>
              <w:pStyle w:val="BodyText"/>
              <w:widowControl/>
              <w:kinsoku w:val="0"/>
              <w:overflowPunct w:val="0"/>
              <w:ind w:left="0"/>
              <w:rPr>
                <w:lang w:val="de-DE"/>
              </w:rPr>
            </w:pPr>
            <w:r>
              <w:rPr>
                <w:sz w:val="20"/>
                <w:szCs w:val="20"/>
                <w:lang w:val="de-DE"/>
              </w:rPr>
              <w:t>Hinweis 2: Patienten mit fehlenden Werten in Woche 8 wurden als Patienten gewertet, die den Endpunkt nicht erreichten.</w:t>
            </w:r>
          </w:p>
        </w:tc>
      </w:tr>
    </w:tbl>
    <w:p w14:paraId="7499B3BE" w14:textId="77777777" w:rsidR="00FE291A" w:rsidRDefault="00FE291A">
      <w:pPr>
        <w:pStyle w:val="BodyText"/>
        <w:widowControl/>
        <w:kinsoku w:val="0"/>
        <w:overflowPunct w:val="0"/>
        <w:ind w:left="0"/>
        <w:rPr>
          <w:u w:val="single"/>
          <w:lang w:val="de-DE"/>
        </w:rPr>
      </w:pPr>
    </w:p>
    <w:p w14:paraId="47916E65" w14:textId="77777777" w:rsidR="00FE291A" w:rsidRDefault="00C8738F">
      <w:pPr>
        <w:pStyle w:val="BodyText"/>
        <w:widowControl/>
        <w:kinsoku w:val="0"/>
        <w:overflowPunct w:val="0"/>
        <w:ind w:left="0"/>
        <w:rPr>
          <w:lang w:val="de-DE"/>
        </w:rPr>
      </w:pPr>
      <w:r>
        <w:rPr>
          <w:lang w:val="de-DE"/>
        </w:rPr>
        <w:t xml:space="preserve">In Woche 52 wurden bei den Patienten, die Adalimumab doppelblind in der Erhaltungsdosis von maximal 40 mg (0,6 mg/kg) jede zweite Woche bzw. maximal 40 mg (0,6 mg/kg) wöchentlich erhielten, die klinische Remission nach FMS bei </w:t>
      </w:r>
      <w:r>
        <w:rPr>
          <w:i/>
          <w:iCs/>
          <w:lang w:val="de-DE"/>
        </w:rPr>
        <w:t>Respondern</w:t>
      </w:r>
      <w:r>
        <w:rPr>
          <w:lang w:val="de-DE"/>
        </w:rPr>
        <w:t xml:space="preserve"> in Woche 8, das klinische Ansprechen nach FMS (definiert als Abnahme des </w:t>
      </w:r>
      <w:r>
        <w:rPr>
          <w:i/>
          <w:iCs/>
          <w:lang w:val="de-DE"/>
        </w:rPr>
        <w:t>Mayo-Score</w:t>
      </w:r>
      <w:r>
        <w:rPr>
          <w:lang w:val="de-DE"/>
        </w:rPr>
        <w:t xml:space="preserve"> um ≥ 3 Punkte und ≥ 30 % gegenüber </w:t>
      </w:r>
      <w:r>
        <w:rPr>
          <w:i/>
          <w:iCs/>
          <w:lang w:val="de-DE"/>
        </w:rPr>
        <w:t>Baseline</w:t>
      </w:r>
      <w:r>
        <w:rPr>
          <w:lang w:val="de-DE"/>
        </w:rPr>
        <w:t xml:space="preserve">) bei </w:t>
      </w:r>
      <w:r>
        <w:rPr>
          <w:i/>
          <w:iCs/>
          <w:lang w:val="de-DE"/>
        </w:rPr>
        <w:t>Respondern</w:t>
      </w:r>
      <w:r>
        <w:rPr>
          <w:lang w:val="de-DE"/>
        </w:rPr>
        <w:t xml:space="preserve"> in Woche 8, die Mukosaheilung nach FMS (definiert als endoskopischer </w:t>
      </w:r>
      <w:r>
        <w:rPr>
          <w:i/>
          <w:iCs/>
          <w:lang w:val="de-DE"/>
        </w:rPr>
        <w:t>Mayo-Score</w:t>
      </w:r>
      <w:r>
        <w:rPr>
          <w:lang w:val="de-DE"/>
        </w:rPr>
        <w:t xml:space="preserve"> von ≤ 1) bei </w:t>
      </w:r>
      <w:r>
        <w:rPr>
          <w:i/>
          <w:iCs/>
          <w:lang w:val="de-DE"/>
        </w:rPr>
        <w:t>Respondern</w:t>
      </w:r>
      <w:r>
        <w:rPr>
          <w:lang w:val="de-DE"/>
        </w:rPr>
        <w:t xml:space="preserve"> in Woche 8, die klinische Remission nach FMS bei Patienten in Remission in Woche 8 sowie der Anteil der Studienteilnehmer in kortikosteroidfreier Remission nach FMS bei </w:t>
      </w:r>
      <w:r>
        <w:rPr>
          <w:i/>
          <w:iCs/>
          <w:lang w:val="de-DE"/>
        </w:rPr>
        <w:t>Respondern</w:t>
      </w:r>
      <w:r>
        <w:rPr>
          <w:lang w:val="de-DE"/>
        </w:rPr>
        <w:t xml:space="preserve"> in Woche 8 beurteilt (Tabelle 32).</w:t>
      </w:r>
    </w:p>
    <w:p w14:paraId="3144E199" w14:textId="77777777" w:rsidR="00FE291A" w:rsidRDefault="00FE291A">
      <w:pPr>
        <w:pStyle w:val="BodyText"/>
        <w:widowControl/>
        <w:kinsoku w:val="0"/>
        <w:overflowPunct w:val="0"/>
        <w:ind w:left="0"/>
        <w:rPr>
          <w:lang w:val="de-DE"/>
        </w:rPr>
      </w:pPr>
    </w:p>
    <w:p w14:paraId="3A8F7A4E" w14:textId="77777777" w:rsidR="00FE291A" w:rsidRDefault="00C8738F">
      <w:pPr>
        <w:keepNext/>
        <w:rPr>
          <w:b/>
          <w:bCs/>
          <w:sz w:val="22"/>
          <w:szCs w:val="22"/>
          <w:lang w:val="de-DE" w:eastAsia="en-GB"/>
        </w:rPr>
      </w:pPr>
      <w:r>
        <w:rPr>
          <w:b/>
          <w:bCs/>
          <w:sz w:val="22"/>
          <w:szCs w:val="22"/>
          <w:lang w:val="de-DE" w:eastAsia="en-GB"/>
        </w:rPr>
        <w:t xml:space="preserve">Tabelle 32: </w:t>
      </w:r>
      <w:r>
        <w:rPr>
          <w:b/>
          <w:bCs/>
          <w:sz w:val="22"/>
          <w:szCs w:val="22"/>
          <w:lang w:val="de-DE"/>
        </w:rPr>
        <w:t>Ergebnisse zur Wirksamkeit in Woche 52</w:t>
      </w:r>
    </w:p>
    <w:p w14:paraId="2D53E65E" w14:textId="77777777" w:rsidR="00FE291A" w:rsidRDefault="00FE291A">
      <w:pPr>
        <w:keepNext/>
        <w:rPr>
          <w:sz w:val="22"/>
          <w:szCs w:val="22"/>
          <w:lang w:val="de-DE"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2"/>
        <w:gridCol w:w="3020"/>
        <w:gridCol w:w="3021"/>
      </w:tblGrid>
      <w:tr w:rsidR="00FE291A" w:rsidRPr="00723069" w14:paraId="2190291A" w14:textId="77777777">
        <w:trPr>
          <w:cantSplit/>
          <w:tblHeader/>
        </w:trPr>
        <w:tc>
          <w:tcPr>
            <w:tcW w:w="2912" w:type="dxa"/>
          </w:tcPr>
          <w:p w14:paraId="06B96A6F" w14:textId="77777777" w:rsidR="00FE291A" w:rsidRDefault="00FE291A">
            <w:pPr>
              <w:keepNext/>
              <w:rPr>
                <w:sz w:val="22"/>
                <w:szCs w:val="22"/>
                <w:lang w:val="de-DE" w:eastAsia="en-GB"/>
              </w:rPr>
            </w:pPr>
          </w:p>
        </w:tc>
        <w:tc>
          <w:tcPr>
            <w:tcW w:w="3020" w:type="dxa"/>
          </w:tcPr>
          <w:p w14:paraId="1234E657" w14:textId="77777777" w:rsidR="00FE291A" w:rsidRDefault="00C8738F">
            <w:pPr>
              <w:keepNext/>
              <w:jc w:val="center"/>
              <w:rPr>
                <w:b/>
                <w:bCs/>
                <w:sz w:val="22"/>
                <w:szCs w:val="22"/>
                <w:lang w:val="de-DE" w:eastAsia="en-GB"/>
              </w:rPr>
            </w:pPr>
            <w:r>
              <w:rPr>
                <w:b/>
                <w:bCs/>
                <w:color w:val="000000"/>
                <w:sz w:val="22"/>
                <w:szCs w:val="22"/>
                <w:lang w:val="de-DE" w:eastAsia="en-GB"/>
              </w:rPr>
              <w:t>Adalimumab</w:t>
            </w:r>
            <w:r>
              <w:rPr>
                <w:b/>
                <w:bCs/>
                <w:sz w:val="22"/>
                <w:szCs w:val="22"/>
                <w:vertAlign w:val="superscript"/>
                <w:lang w:val="de-DE" w:eastAsia="en-GB"/>
              </w:rPr>
              <w:t>a</w:t>
            </w:r>
          </w:p>
          <w:p w14:paraId="12754C0F" w14:textId="77777777" w:rsidR="00FE291A" w:rsidRDefault="00C8738F">
            <w:pPr>
              <w:keepNext/>
              <w:jc w:val="center"/>
              <w:rPr>
                <w:b/>
                <w:bCs/>
                <w:sz w:val="22"/>
                <w:szCs w:val="22"/>
                <w:lang w:val="de-DE" w:eastAsia="en-GB"/>
              </w:rPr>
            </w:pPr>
            <w:r>
              <w:rPr>
                <w:b/>
                <w:bCs/>
                <w:sz w:val="22"/>
                <w:szCs w:val="22"/>
                <w:lang w:val="de-DE" w:eastAsia="en-GB"/>
              </w:rPr>
              <w:t>Maximal 40 mg jede zweite Woche</w:t>
            </w:r>
          </w:p>
          <w:p w14:paraId="38F3949F" w14:textId="77777777" w:rsidR="00FE291A" w:rsidRDefault="00C8738F">
            <w:pPr>
              <w:keepNext/>
              <w:jc w:val="center"/>
              <w:rPr>
                <w:b/>
                <w:bCs/>
                <w:sz w:val="22"/>
                <w:szCs w:val="22"/>
                <w:lang w:val="de-DE" w:eastAsia="en-GB"/>
              </w:rPr>
            </w:pPr>
            <w:r>
              <w:rPr>
                <w:b/>
                <w:bCs/>
                <w:sz w:val="22"/>
                <w:szCs w:val="22"/>
                <w:lang w:val="de-DE" w:eastAsia="en-GB"/>
              </w:rPr>
              <w:t>n = 31</w:t>
            </w:r>
          </w:p>
        </w:tc>
        <w:tc>
          <w:tcPr>
            <w:tcW w:w="3021" w:type="dxa"/>
          </w:tcPr>
          <w:p w14:paraId="739961F0" w14:textId="77777777" w:rsidR="00FE291A" w:rsidRDefault="00C8738F">
            <w:pPr>
              <w:keepNext/>
              <w:jc w:val="center"/>
              <w:rPr>
                <w:b/>
                <w:bCs/>
                <w:sz w:val="22"/>
                <w:szCs w:val="22"/>
                <w:lang w:val="de-DE" w:eastAsia="en-GB"/>
              </w:rPr>
            </w:pPr>
            <w:r>
              <w:rPr>
                <w:b/>
                <w:bCs/>
                <w:sz w:val="22"/>
                <w:szCs w:val="22"/>
                <w:lang w:val="de-DE" w:eastAsia="en-GB"/>
              </w:rPr>
              <w:t>Adalimumab</w:t>
            </w:r>
            <w:r>
              <w:rPr>
                <w:b/>
                <w:bCs/>
                <w:sz w:val="22"/>
                <w:szCs w:val="22"/>
                <w:vertAlign w:val="superscript"/>
                <w:lang w:val="de-DE" w:eastAsia="en-GB"/>
              </w:rPr>
              <w:t>b</w:t>
            </w:r>
          </w:p>
          <w:p w14:paraId="5E4F2DA5" w14:textId="77777777" w:rsidR="00FE291A" w:rsidRDefault="00C8738F">
            <w:pPr>
              <w:keepNext/>
              <w:jc w:val="center"/>
              <w:rPr>
                <w:b/>
                <w:bCs/>
                <w:sz w:val="22"/>
                <w:szCs w:val="22"/>
                <w:lang w:val="de-DE" w:eastAsia="en-GB"/>
              </w:rPr>
            </w:pPr>
            <w:r>
              <w:rPr>
                <w:b/>
                <w:bCs/>
                <w:sz w:val="22"/>
                <w:szCs w:val="22"/>
                <w:lang w:val="de-DE" w:eastAsia="en-GB"/>
              </w:rPr>
              <w:t>Maximal 40 mg wöchentlich</w:t>
            </w:r>
          </w:p>
          <w:p w14:paraId="1E96FDB7" w14:textId="77777777" w:rsidR="00FE291A" w:rsidRDefault="00C8738F">
            <w:pPr>
              <w:keepNext/>
              <w:jc w:val="center"/>
              <w:rPr>
                <w:b/>
                <w:bCs/>
                <w:sz w:val="22"/>
                <w:szCs w:val="22"/>
                <w:lang w:val="de-DE" w:eastAsia="en-GB"/>
              </w:rPr>
            </w:pPr>
            <w:r>
              <w:rPr>
                <w:b/>
                <w:bCs/>
                <w:sz w:val="22"/>
                <w:szCs w:val="22"/>
                <w:lang w:val="de-DE" w:eastAsia="en-GB"/>
              </w:rPr>
              <w:t>n = 31</w:t>
            </w:r>
          </w:p>
        </w:tc>
      </w:tr>
      <w:tr w:rsidR="00FE291A" w14:paraId="272F1B05" w14:textId="77777777">
        <w:trPr>
          <w:cantSplit/>
        </w:trPr>
        <w:tc>
          <w:tcPr>
            <w:tcW w:w="2912" w:type="dxa"/>
          </w:tcPr>
          <w:p w14:paraId="32859932" w14:textId="77777777" w:rsidR="00FE291A" w:rsidRDefault="00C8738F">
            <w:pPr>
              <w:pStyle w:val="Default"/>
              <w:keepNext/>
              <w:rPr>
                <w:sz w:val="22"/>
                <w:szCs w:val="22"/>
                <w:lang w:val="de-DE" w:eastAsia="en-GB"/>
              </w:rPr>
            </w:pPr>
            <w:r>
              <w:rPr>
                <w:sz w:val="22"/>
                <w:szCs w:val="22"/>
                <w:lang w:val="de-DE"/>
              </w:rPr>
              <w:t>Klinische Remission bei PMS-</w:t>
            </w:r>
            <w:r>
              <w:rPr>
                <w:i/>
                <w:iCs/>
                <w:sz w:val="22"/>
                <w:szCs w:val="22"/>
                <w:lang w:val="de-DE"/>
              </w:rPr>
              <w:t>Respondern</w:t>
            </w:r>
            <w:r>
              <w:rPr>
                <w:sz w:val="22"/>
                <w:szCs w:val="22"/>
                <w:lang w:val="de-DE"/>
              </w:rPr>
              <w:t xml:space="preserve"> in Woche 8</w:t>
            </w:r>
          </w:p>
        </w:tc>
        <w:tc>
          <w:tcPr>
            <w:tcW w:w="3020" w:type="dxa"/>
          </w:tcPr>
          <w:p w14:paraId="4A52E955" w14:textId="77777777" w:rsidR="00FE291A" w:rsidRDefault="00C8738F">
            <w:pPr>
              <w:jc w:val="center"/>
              <w:rPr>
                <w:sz w:val="22"/>
                <w:szCs w:val="22"/>
                <w:lang w:val="de-DE" w:eastAsia="en-GB"/>
              </w:rPr>
            </w:pPr>
            <w:r>
              <w:rPr>
                <w:sz w:val="22"/>
                <w:szCs w:val="22"/>
                <w:lang w:val="de-DE" w:eastAsia="en-GB"/>
              </w:rPr>
              <w:t>9/31 (29,0 %)</w:t>
            </w:r>
          </w:p>
        </w:tc>
        <w:tc>
          <w:tcPr>
            <w:tcW w:w="3021" w:type="dxa"/>
          </w:tcPr>
          <w:p w14:paraId="69CE375F" w14:textId="77777777" w:rsidR="00FE291A" w:rsidRDefault="00C8738F">
            <w:pPr>
              <w:jc w:val="center"/>
              <w:rPr>
                <w:sz w:val="22"/>
                <w:szCs w:val="22"/>
                <w:lang w:val="de-DE" w:eastAsia="en-GB"/>
              </w:rPr>
            </w:pPr>
            <w:r>
              <w:rPr>
                <w:sz w:val="22"/>
                <w:szCs w:val="22"/>
                <w:lang w:val="de-DE" w:eastAsia="en-GB"/>
              </w:rPr>
              <w:t>14/31 (45,2 %)</w:t>
            </w:r>
          </w:p>
        </w:tc>
      </w:tr>
      <w:tr w:rsidR="00FE291A" w14:paraId="2D0935C7" w14:textId="77777777">
        <w:trPr>
          <w:cantSplit/>
        </w:trPr>
        <w:tc>
          <w:tcPr>
            <w:tcW w:w="2912" w:type="dxa"/>
          </w:tcPr>
          <w:p w14:paraId="552C4AAF" w14:textId="77777777" w:rsidR="00FE291A" w:rsidRDefault="00C8738F">
            <w:pPr>
              <w:pStyle w:val="Default"/>
              <w:rPr>
                <w:sz w:val="22"/>
                <w:szCs w:val="22"/>
                <w:lang w:val="de-DE" w:eastAsia="en-GB"/>
              </w:rPr>
            </w:pPr>
            <w:r>
              <w:rPr>
                <w:sz w:val="22"/>
                <w:szCs w:val="22"/>
                <w:lang w:val="de-DE"/>
              </w:rPr>
              <w:t>Klinisches Ansprechen bei PMS-</w:t>
            </w:r>
            <w:r>
              <w:rPr>
                <w:i/>
                <w:iCs/>
                <w:sz w:val="22"/>
                <w:szCs w:val="22"/>
                <w:lang w:val="de-DE"/>
              </w:rPr>
              <w:t>Respondern</w:t>
            </w:r>
            <w:r>
              <w:rPr>
                <w:sz w:val="22"/>
                <w:szCs w:val="22"/>
                <w:lang w:val="de-DE"/>
              </w:rPr>
              <w:t xml:space="preserve"> in Woche 8</w:t>
            </w:r>
          </w:p>
        </w:tc>
        <w:tc>
          <w:tcPr>
            <w:tcW w:w="3020" w:type="dxa"/>
          </w:tcPr>
          <w:p w14:paraId="1F39FA70" w14:textId="77777777" w:rsidR="00FE291A" w:rsidRDefault="00C8738F">
            <w:pPr>
              <w:jc w:val="center"/>
              <w:rPr>
                <w:sz w:val="22"/>
                <w:szCs w:val="22"/>
                <w:lang w:val="de-DE" w:eastAsia="en-GB"/>
              </w:rPr>
            </w:pPr>
            <w:r>
              <w:rPr>
                <w:sz w:val="22"/>
                <w:szCs w:val="22"/>
                <w:lang w:val="de-DE" w:eastAsia="en-GB"/>
              </w:rPr>
              <w:t>19/31 (61,3 %)</w:t>
            </w:r>
          </w:p>
        </w:tc>
        <w:tc>
          <w:tcPr>
            <w:tcW w:w="3021" w:type="dxa"/>
          </w:tcPr>
          <w:p w14:paraId="0E494C85" w14:textId="77777777" w:rsidR="00FE291A" w:rsidRDefault="00C8738F">
            <w:pPr>
              <w:jc w:val="center"/>
              <w:rPr>
                <w:sz w:val="22"/>
                <w:szCs w:val="22"/>
                <w:lang w:val="de-DE" w:eastAsia="en-GB"/>
              </w:rPr>
            </w:pPr>
            <w:r>
              <w:rPr>
                <w:sz w:val="22"/>
                <w:szCs w:val="22"/>
                <w:lang w:val="de-DE" w:eastAsia="en-GB"/>
              </w:rPr>
              <w:t>21/31 (67,7 %)</w:t>
            </w:r>
          </w:p>
        </w:tc>
      </w:tr>
      <w:tr w:rsidR="00FE291A" w14:paraId="7E626A04" w14:textId="77777777">
        <w:trPr>
          <w:cantSplit/>
        </w:trPr>
        <w:tc>
          <w:tcPr>
            <w:tcW w:w="2912" w:type="dxa"/>
          </w:tcPr>
          <w:p w14:paraId="5560D441" w14:textId="77777777" w:rsidR="00FE291A" w:rsidRDefault="00C8738F">
            <w:pPr>
              <w:pStyle w:val="Default"/>
              <w:rPr>
                <w:sz w:val="22"/>
                <w:szCs w:val="22"/>
                <w:lang w:val="de-DE" w:eastAsia="en-GB"/>
              </w:rPr>
            </w:pPr>
            <w:r>
              <w:rPr>
                <w:sz w:val="22"/>
                <w:szCs w:val="22"/>
                <w:lang w:val="de-DE"/>
              </w:rPr>
              <w:t>Mukosaheilung bei PMS-</w:t>
            </w:r>
            <w:r>
              <w:rPr>
                <w:i/>
                <w:iCs/>
                <w:sz w:val="22"/>
                <w:szCs w:val="22"/>
                <w:lang w:val="de-DE"/>
              </w:rPr>
              <w:t>Respondern</w:t>
            </w:r>
            <w:r>
              <w:rPr>
                <w:sz w:val="22"/>
                <w:szCs w:val="22"/>
                <w:lang w:val="de-DE"/>
              </w:rPr>
              <w:t xml:space="preserve"> in Woche 8</w:t>
            </w:r>
          </w:p>
        </w:tc>
        <w:tc>
          <w:tcPr>
            <w:tcW w:w="3020" w:type="dxa"/>
          </w:tcPr>
          <w:p w14:paraId="7EBBADF5" w14:textId="77777777" w:rsidR="00FE291A" w:rsidRDefault="00C8738F">
            <w:pPr>
              <w:jc w:val="center"/>
              <w:rPr>
                <w:sz w:val="22"/>
                <w:szCs w:val="22"/>
                <w:lang w:val="de-DE" w:eastAsia="en-GB"/>
              </w:rPr>
            </w:pPr>
            <w:r>
              <w:rPr>
                <w:sz w:val="22"/>
                <w:szCs w:val="22"/>
                <w:lang w:val="de-DE" w:eastAsia="en-GB"/>
              </w:rPr>
              <w:t>12/31 (38,7 %)</w:t>
            </w:r>
          </w:p>
        </w:tc>
        <w:tc>
          <w:tcPr>
            <w:tcW w:w="3021" w:type="dxa"/>
          </w:tcPr>
          <w:p w14:paraId="010D82E0" w14:textId="77777777" w:rsidR="00FE291A" w:rsidRDefault="00C8738F">
            <w:pPr>
              <w:jc w:val="center"/>
              <w:rPr>
                <w:sz w:val="22"/>
                <w:szCs w:val="22"/>
                <w:lang w:val="de-DE" w:eastAsia="en-GB"/>
              </w:rPr>
            </w:pPr>
            <w:r>
              <w:rPr>
                <w:sz w:val="22"/>
                <w:szCs w:val="22"/>
                <w:lang w:val="de-DE" w:eastAsia="en-GB"/>
              </w:rPr>
              <w:t>16/31 (51,6 %)</w:t>
            </w:r>
          </w:p>
        </w:tc>
      </w:tr>
      <w:tr w:rsidR="00FE291A" w14:paraId="4BB96741" w14:textId="77777777">
        <w:trPr>
          <w:cantSplit/>
        </w:trPr>
        <w:tc>
          <w:tcPr>
            <w:tcW w:w="2912" w:type="dxa"/>
          </w:tcPr>
          <w:p w14:paraId="208A26D3" w14:textId="77777777" w:rsidR="00FE291A" w:rsidRDefault="00C8738F">
            <w:pPr>
              <w:pStyle w:val="Default"/>
              <w:rPr>
                <w:sz w:val="22"/>
                <w:szCs w:val="22"/>
                <w:lang w:val="de-DE" w:eastAsia="en-GB"/>
              </w:rPr>
            </w:pPr>
            <w:r>
              <w:rPr>
                <w:sz w:val="22"/>
                <w:szCs w:val="22"/>
                <w:lang w:val="de-DE"/>
              </w:rPr>
              <w:t>Klinische Remission bei Patienten in PMS-Remission in Woche 8</w:t>
            </w:r>
          </w:p>
        </w:tc>
        <w:tc>
          <w:tcPr>
            <w:tcW w:w="3020" w:type="dxa"/>
          </w:tcPr>
          <w:p w14:paraId="6F0025F8" w14:textId="77777777" w:rsidR="00FE291A" w:rsidRDefault="00C8738F">
            <w:pPr>
              <w:jc w:val="center"/>
              <w:rPr>
                <w:sz w:val="22"/>
                <w:szCs w:val="22"/>
                <w:lang w:val="de-DE" w:eastAsia="en-GB"/>
              </w:rPr>
            </w:pPr>
            <w:r>
              <w:rPr>
                <w:sz w:val="22"/>
                <w:szCs w:val="22"/>
                <w:lang w:val="de-DE" w:eastAsia="en-GB"/>
              </w:rPr>
              <w:t>9/21 (42,9 %)</w:t>
            </w:r>
          </w:p>
        </w:tc>
        <w:tc>
          <w:tcPr>
            <w:tcW w:w="3021" w:type="dxa"/>
          </w:tcPr>
          <w:p w14:paraId="73BD9992" w14:textId="77777777" w:rsidR="00FE291A" w:rsidRDefault="00C8738F">
            <w:pPr>
              <w:jc w:val="center"/>
              <w:rPr>
                <w:sz w:val="22"/>
                <w:szCs w:val="22"/>
                <w:lang w:val="de-DE" w:eastAsia="en-GB"/>
              </w:rPr>
            </w:pPr>
            <w:r>
              <w:rPr>
                <w:sz w:val="22"/>
                <w:szCs w:val="22"/>
                <w:lang w:val="de-DE" w:eastAsia="en-GB"/>
              </w:rPr>
              <w:t>10/22 (45,5 %)</w:t>
            </w:r>
          </w:p>
        </w:tc>
      </w:tr>
      <w:tr w:rsidR="00FE291A" w14:paraId="1DB4D7CC" w14:textId="77777777">
        <w:trPr>
          <w:cantSplit/>
        </w:trPr>
        <w:tc>
          <w:tcPr>
            <w:tcW w:w="2912" w:type="dxa"/>
          </w:tcPr>
          <w:p w14:paraId="22BB1423" w14:textId="77777777" w:rsidR="00FE291A" w:rsidRDefault="00C8738F">
            <w:pPr>
              <w:pStyle w:val="Default"/>
              <w:keepNext/>
              <w:rPr>
                <w:sz w:val="22"/>
                <w:szCs w:val="22"/>
                <w:lang w:val="de-DE"/>
              </w:rPr>
            </w:pPr>
            <w:r>
              <w:rPr>
                <w:sz w:val="22"/>
                <w:szCs w:val="22"/>
                <w:lang w:val="de-DE"/>
              </w:rPr>
              <w:t>Kortikosteroidfreie Remission bei PMS-</w:t>
            </w:r>
            <w:r>
              <w:rPr>
                <w:i/>
                <w:iCs/>
                <w:sz w:val="22"/>
                <w:szCs w:val="22"/>
                <w:lang w:val="de-DE"/>
              </w:rPr>
              <w:t>Respondern</w:t>
            </w:r>
            <w:r>
              <w:rPr>
                <w:sz w:val="22"/>
                <w:szCs w:val="22"/>
                <w:lang w:val="de-DE"/>
              </w:rPr>
              <w:t xml:space="preserve"> in Woche 8</w:t>
            </w:r>
            <w:r>
              <w:rPr>
                <w:sz w:val="22"/>
                <w:szCs w:val="22"/>
                <w:vertAlign w:val="superscript"/>
                <w:lang w:val="de-DE"/>
              </w:rPr>
              <w:t>c</w:t>
            </w:r>
          </w:p>
        </w:tc>
        <w:tc>
          <w:tcPr>
            <w:tcW w:w="3020" w:type="dxa"/>
          </w:tcPr>
          <w:p w14:paraId="7E004F4A" w14:textId="77777777" w:rsidR="00FE291A" w:rsidRDefault="00C8738F">
            <w:pPr>
              <w:keepNext/>
              <w:jc w:val="center"/>
              <w:rPr>
                <w:sz w:val="22"/>
                <w:szCs w:val="22"/>
                <w:lang w:val="de-DE" w:eastAsia="en-GB"/>
              </w:rPr>
            </w:pPr>
            <w:r>
              <w:rPr>
                <w:sz w:val="22"/>
                <w:szCs w:val="22"/>
                <w:lang w:val="de-DE" w:eastAsia="en-GB"/>
              </w:rPr>
              <w:t>4/13 (30,8 %)</w:t>
            </w:r>
          </w:p>
        </w:tc>
        <w:tc>
          <w:tcPr>
            <w:tcW w:w="3021" w:type="dxa"/>
          </w:tcPr>
          <w:p w14:paraId="6CEEBC25" w14:textId="77777777" w:rsidR="00FE291A" w:rsidRDefault="00C8738F">
            <w:pPr>
              <w:keepNext/>
              <w:jc w:val="center"/>
              <w:rPr>
                <w:sz w:val="22"/>
                <w:szCs w:val="22"/>
                <w:lang w:val="de-DE" w:eastAsia="en-GB"/>
              </w:rPr>
            </w:pPr>
            <w:r>
              <w:rPr>
                <w:sz w:val="22"/>
                <w:szCs w:val="22"/>
                <w:lang w:val="de-DE" w:eastAsia="en-GB"/>
              </w:rPr>
              <w:t>5/16 (31,3 %)</w:t>
            </w:r>
          </w:p>
        </w:tc>
      </w:tr>
      <w:tr w:rsidR="00FE291A" w:rsidRPr="002E6CD3" w14:paraId="3AB821F1" w14:textId="77777777">
        <w:trPr>
          <w:cantSplit/>
        </w:trPr>
        <w:tc>
          <w:tcPr>
            <w:tcW w:w="8953" w:type="dxa"/>
            <w:gridSpan w:val="3"/>
          </w:tcPr>
          <w:p w14:paraId="3DC7666E" w14:textId="77777777" w:rsidR="00FE291A" w:rsidRDefault="00C8738F">
            <w:pPr>
              <w:keepNext/>
              <w:rPr>
                <w:sz w:val="20"/>
                <w:szCs w:val="20"/>
                <w:lang w:val="de-DE" w:eastAsia="en-GB"/>
              </w:rPr>
            </w:pPr>
            <w:r>
              <w:rPr>
                <w:sz w:val="20"/>
                <w:szCs w:val="20"/>
                <w:vertAlign w:val="superscript"/>
                <w:lang w:val="de-DE" w:eastAsia="en-GB"/>
              </w:rPr>
              <w:t>a</w:t>
            </w:r>
            <w:r>
              <w:rPr>
                <w:sz w:val="20"/>
                <w:szCs w:val="20"/>
                <w:lang w:val="de-DE" w:eastAsia="en-GB"/>
              </w:rPr>
              <w:t xml:space="preserve"> </w:t>
            </w:r>
            <w:r>
              <w:rPr>
                <w:sz w:val="20"/>
                <w:szCs w:val="20"/>
                <w:lang w:val="de-DE"/>
              </w:rPr>
              <w:t>Adalimumab 0,6 mg/kg (maximal 40 mg) jede zweite Woche</w:t>
            </w:r>
          </w:p>
          <w:p w14:paraId="25B16214" w14:textId="77777777" w:rsidR="00FE291A" w:rsidRDefault="00C8738F">
            <w:pPr>
              <w:keepNext/>
              <w:rPr>
                <w:sz w:val="20"/>
                <w:szCs w:val="20"/>
                <w:lang w:val="de-DE" w:eastAsia="en-GB"/>
              </w:rPr>
            </w:pPr>
            <w:r>
              <w:rPr>
                <w:sz w:val="20"/>
                <w:szCs w:val="20"/>
                <w:vertAlign w:val="superscript"/>
                <w:lang w:val="de-DE" w:eastAsia="en-GB"/>
              </w:rPr>
              <w:t>b</w:t>
            </w:r>
            <w:r>
              <w:rPr>
                <w:sz w:val="20"/>
                <w:szCs w:val="20"/>
                <w:lang w:val="de-DE" w:eastAsia="en-GB"/>
              </w:rPr>
              <w:t xml:space="preserve"> </w:t>
            </w:r>
            <w:r>
              <w:rPr>
                <w:sz w:val="20"/>
                <w:szCs w:val="20"/>
                <w:lang w:val="de-DE"/>
              </w:rPr>
              <w:t>Adalimumab 0,6 mg/kg (maximal 40 mg) wöchentlich</w:t>
            </w:r>
          </w:p>
          <w:p w14:paraId="210C641F" w14:textId="77777777" w:rsidR="00FE291A" w:rsidRDefault="00C8738F">
            <w:pPr>
              <w:keepNext/>
              <w:rPr>
                <w:sz w:val="20"/>
                <w:szCs w:val="20"/>
                <w:lang w:val="de-DE" w:eastAsia="en-GB"/>
              </w:rPr>
            </w:pPr>
            <w:r>
              <w:rPr>
                <w:sz w:val="20"/>
                <w:szCs w:val="20"/>
                <w:vertAlign w:val="superscript"/>
                <w:lang w:val="de-DE" w:eastAsia="en-GB"/>
              </w:rPr>
              <w:t>c</w:t>
            </w:r>
            <w:r>
              <w:rPr>
                <w:sz w:val="20"/>
                <w:szCs w:val="20"/>
                <w:lang w:val="de-DE" w:eastAsia="en-GB"/>
              </w:rPr>
              <w:t xml:space="preserve"> </w:t>
            </w:r>
            <w:r>
              <w:rPr>
                <w:sz w:val="20"/>
                <w:szCs w:val="20"/>
                <w:lang w:val="de-DE"/>
              </w:rPr>
              <w:t xml:space="preserve">Bei Patienten, die bei </w:t>
            </w:r>
            <w:r>
              <w:rPr>
                <w:i/>
                <w:iCs/>
                <w:sz w:val="20"/>
                <w:szCs w:val="20"/>
                <w:lang w:val="de-DE"/>
              </w:rPr>
              <w:t>Baseline</w:t>
            </w:r>
            <w:r>
              <w:rPr>
                <w:sz w:val="20"/>
                <w:szCs w:val="20"/>
                <w:lang w:val="de-DE"/>
              </w:rPr>
              <w:t xml:space="preserve"> begleitend Kortikosteroide erhielten</w:t>
            </w:r>
          </w:p>
          <w:p w14:paraId="7369BE58" w14:textId="77777777" w:rsidR="00FE291A" w:rsidRDefault="00C8738F">
            <w:pPr>
              <w:pStyle w:val="BodyText"/>
              <w:keepNext/>
              <w:widowControl/>
              <w:kinsoku w:val="0"/>
              <w:overflowPunct w:val="0"/>
              <w:ind w:left="0"/>
              <w:rPr>
                <w:lang w:val="de-DE" w:eastAsia="en-GB"/>
              </w:rPr>
            </w:pPr>
            <w:r>
              <w:rPr>
                <w:sz w:val="20"/>
                <w:szCs w:val="20"/>
                <w:lang w:val="de-DE"/>
              </w:rPr>
              <w:t xml:space="preserve">Hinweis: Patienten mit fehlenden Werten in Woche 52 oder die randomisiert einer erneuten Induktionstherapie oder der Erhaltungstherapie zugeteilt wurden, wurden hinsichtlich der Endpunkte in Woche 52 als </w:t>
            </w:r>
            <w:r>
              <w:rPr>
                <w:i/>
                <w:iCs/>
                <w:sz w:val="20"/>
                <w:szCs w:val="20"/>
                <w:lang w:val="de-DE"/>
              </w:rPr>
              <w:t>Non-Responder</w:t>
            </w:r>
            <w:r>
              <w:rPr>
                <w:sz w:val="20"/>
                <w:szCs w:val="20"/>
                <w:lang w:val="de-DE"/>
              </w:rPr>
              <w:t xml:space="preserve"> gewertet.</w:t>
            </w:r>
          </w:p>
        </w:tc>
      </w:tr>
    </w:tbl>
    <w:p w14:paraId="44FAEAA6" w14:textId="77777777" w:rsidR="00FE291A" w:rsidRDefault="00FE291A">
      <w:pPr>
        <w:pStyle w:val="BodyText"/>
        <w:widowControl/>
        <w:kinsoku w:val="0"/>
        <w:overflowPunct w:val="0"/>
        <w:ind w:left="0"/>
        <w:rPr>
          <w:u w:val="single"/>
          <w:lang w:val="de-DE"/>
        </w:rPr>
      </w:pPr>
    </w:p>
    <w:p w14:paraId="6908C2CF" w14:textId="77777777" w:rsidR="00FE291A" w:rsidRDefault="00C8738F">
      <w:pPr>
        <w:pStyle w:val="BodyText"/>
        <w:widowControl/>
        <w:kinsoku w:val="0"/>
        <w:overflowPunct w:val="0"/>
        <w:ind w:left="0"/>
        <w:rPr>
          <w:lang w:val="de-DE"/>
        </w:rPr>
      </w:pPr>
      <w:r>
        <w:rPr>
          <w:lang w:val="de-DE"/>
        </w:rPr>
        <w:t xml:space="preserve">Weitere explorative Wirksamkeitsendpunkte umfassten das klinische Ansprechen nach </w:t>
      </w:r>
      <w:r>
        <w:rPr>
          <w:i/>
          <w:iCs/>
          <w:lang w:val="de-DE"/>
        </w:rPr>
        <w:t>Paediatric Ulcerative Colitis Activity Index</w:t>
      </w:r>
      <w:r>
        <w:rPr>
          <w:lang w:val="de-DE"/>
        </w:rPr>
        <w:t xml:space="preserve"> (PUCAI) (definiert als Abnahme des PUCAI um ≥ 20 Punkte gegenüber </w:t>
      </w:r>
      <w:r>
        <w:rPr>
          <w:i/>
          <w:iCs/>
          <w:lang w:val="de-DE"/>
        </w:rPr>
        <w:t>Baseline</w:t>
      </w:r>
      <w:r>
        <w:rPr>
          <w:lang w:val="de-DE"/>
        </w:rPr>
        <w:t>) und die klinische Remission nach PUCAI (definiert als PUCAI &lt; 10) in Woche 8 und Woche 52 (Tabelle 33).</w:t>
      </w:r>
    </w:p>
    <w:p w14:paraId="10267D9B" w14:textId="77777777" w:rsidR="00FE291A" w:rsidRDefault="00FE291A">
      <w:pPr>
        <w:pStyle w:val="BodyText"/>
        <w:widowControl/>
        <w:kinsoku w:val="0"/>
        <w:overflowPunct w:val="0"/>
        <w:ind w:left="0"/>
        <w:rPr>
          <w:lang w:val="de-DE"/>
        </w:rPr>
      </w:pPr>
    </w:p>
    <w:p w14:paraId="2FAD6732" w14:textId="77777777" w:rsidR="00FE291A" w:rsidRDefault="00C8738F">
      <w:pPr>
        <w:pStyle w:val="Default"/>
        <w:keepNext/>
        <w:rPr>
          <w:rFonts w:eastAsia="PMingLiU"/>
          <w:sz w:val="22"/>
          <w:szCs w:val="22"/>
          <w:lang w:val="de-DE" w:eastAsia="en-IN"/>
        </w:rPr>
      </w:pPr>
      <w:r>
        <w:rPr>
          <w:b/>
          <w:bCs/>
          <w:sz w:val="22"/>
          <w:szCs w:val="22"/>
          <w:lang w:val="de-DE" w:eastAsia="en-GB"/>
        </w:rPr>
        <w:t xml:space="preserve">Tabelle 33: </w:t>
      </w:r>
      <w:r>
        <w:rPr>
          <w:rFonts w:eastAsia="PMingLiU"/>
          <w:b/>
          <w:bCs/>
          <w:sz w:val="22"/>
          <w:szCs w:val="22"/>
          <w:lang w:val="de-DE" w:eastAsia="en-IN"/>
        </w:rPr>
        <w:t xml:space="preserve">Ergebnisse zu den explorativen Endpunkten nach PUCAI </w:t>
      </w:r>
    </w:p>
    <w:p w14:paraId="2A5CB25F" w14:textId="77777777" w:rsidR="00FE291A" w:rsidRDefault="00FE291A">
      <w:pPr>
        <w:keepNext/>
        <w:rPr>
          <w:sz w:val="22"/>
          <w:szCs w:val="22"/>
          <w:lang w:val="de-DE"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2"/>
        <w:gridCol w:w="3020"/>
        <w:gridCol w:w="3021"/>
      </w:tblGrid>
      <w:tr w:rsidR="00FE291A" w14:paraId="0BFB459C" w14:textId="77777777">
        <w:tc>
          <w:tcPr>
            <w:tcW w:w="2912" w:type="dxa"/>
          </w:tcPr>
          <w:p w14:paraId="4133ABBF" w14:textId="77777777" w:rsidR="00FE291A" w:rsidRDefault="00FE291A">
            <w:pPr>
              <w:keepNext/>
              <w:rPr>
                <w:sz w:val="22"/>
                <w:szCs w:val="22"/>
                <w:lang w:val="de-DE" w:eastAsia="en-GB"/>
              </w:rPr>
            </w:pPr>
          </w:p>
        </w:tc>
        <w:tc>
          <w:tcPr>
            <w:tcW w:w="6041" w:type="dxa"/>
            <w:gridSpan w:val="2"/>
          </w:tcPr>
          <w:p w14:paraId="765091EE" w14:textId="77777777" w:rsidR="00FE291A" w:rsidRDefault="00C8738F">
            <w:pPr>
              <w:keepNext/>
              <w:jc w:val="center"/>
              <w:rPr>
                <w:b/>
                <w:bCs/>
                <w:sz w:val="22"/>
                <w:szCs w:val="22"/>
                <w:lang w:val="de-DE" w:eastAsia="en-GB"/>
              </w:rPr>
            </w:pPr>
            <w:r>
              <w:rPr>
                <w:b/>
                <w:bCs/>
                <w:sz w:val="22"/>
                <w:szCs w:val="22"/>
                <w:lang w:val="de-DE" w:eastAsia="en-GB"/>
              </w:rPr>
              <w:t>Woche 8</w:t>
            </w:r>
          </w:p>
        </w:tc>
      </w:tr>
      <w:tr w:rsidR="00FE291A" w14:paraId="10815FB5" w14:textId="77777777">
        <w:tc>
          <w:tcPr>
            <w:tcW w:w="2912" w:type="dxa"/>
          </w:tcPr>
          <w:p w14:paraId="41AA25BF" w14:textId="77777777" w:rsidR="00FE291A" w:rsidRDefault="00FE291A">
            <w:pPr>
              <w:keepNext/>
              <w:rPr>
                <w:sz w:val="22"/>
                <w:szCs w:val="22"/>
                <w:lang w:val="de-DE" w:eastAsia="en-GB"/>
              </w:rPr>
            </w:pPr>
          </w:p>
        </w:tc>
        <w:tc>
          <w:tcPr>
            <w:tcW w:w="3020" w:type="dxa"/>
          </w:tcPr>
          <w:p w14:paraId="3776F371" w14:textId="77777777" w:rsidR="00FE291A" w:rsidRDefault="00C8738F">
            <w:pPr>
              <w:pStyle w:val="Default"/>
              <w:keepNext/>
              <w:jc w:val="center"/>
              <w:rPr>
                <w:sz w:val="22"/>
                <w:szCs w:val="22"/>
                <w:lang w:val="de-DE"/>
              </w:rPr>
            </w:pPr>
            <w:r>
              <w:rPr>
                <w:b/>
                <w:bCs/>
                <w:sz w:val="22"/>
                <w:szCs w:val="22"/>
                <w:lang w:val="de-DE"/>
              </w:rPr>
              <w:t>Adalimumab</w:t>
            </w:r>
            <w:r>
              <w:rPr>
                <w:b/>
                <w:bCs/>
                <w:sz w:val="22"/>
                <w:szCs w:val="22"/>
                <w:vertAlign w:val="superscript"/>
                <w:lang w:val="de-DE"/>
              </w:rPr>
              <w:t>a</w:t>
            </w:r>
          </w:p>
          <w:p w14:paraId="696614D5" w14:textId="77777777" w:rsidR="00FE291A" w:rsidRDefault="00C8738F">
            <w:pPr>
              <w:pStyle w:val="Default"/>
              <w:keepNext/>
              <w:jc w:val="center"/>
              <w:rPr>
                <w:b/>
                <w:bCs/>
                <w:sz w:val="22"/>
                <w:szCs w:val="22"/>
                <w:lang w:val="de-DE"/>
              </w:rPr>
            </w:pPr>
            <w:r>
              <w:rPr>
                <w:b/>
                <w:bCs/>
                <w:sz w:val="22"/>
                <w:szCs w:val="22"/>
                <w:lang w:val="de-DE"/>
              </w:rPr>
              <w:t>Maximal 160 mg in Woche 0/</w:t>
            </w:r>
          </w:p>
          <w:p w14:paraId="0C3A26F8" w14:textId="77777777" w:rsidR="00FE291A" w:rsidRDefault="00C8738F">
            <w:pPr>
              <w:pStyle w:val="Default"/>
              <w:keepNext/>
              <w:jc w:val="center"/>
              <w:rPr>
                <w:sz w:val="22"/>
                <w:szCs w:val="22"/>
                <w:lang w:val="de-DE"/>
              </w:rPr>
            </w:pPr>
            <w:r>
              <w:rPr>
                <w:b/>
                <w:bCs/>
                <w:sz w:val="22"/>
                <w:szCs w:val="22"/>
                <w:lang w:val="de-DE"/>
              </w:rPr>
              <w:t>Placebo in Woche 1</w:t>
            </w:r>
          </w:p>
          <w:p w14:paraId="2DF5A7AD" w14:textId="77777777" w:rsidR="00FE291A" w:rsidRDefault="00C8738F">
            <w:pPr>
              <w:keepNext/>
              <w:jc w:val="center"/>
              <w:rPr>
                <w:b/>
                <w:bCs/>
                <w:sz w:val="22"/>
                <w:szCs w:val="22"/>
                <w:lang w:val="de-DE" w:eastAsia="en-GB"/>
              </w:rPr>
            </w:pPr>
            <w:r>
              <w:rPr>
                <w:b/>
                <w:bCs/>
                <w:sz w:val="22"/>
                <w:szCs w:val="22"/>
                <w:lang w:val="de-DE"/>
              </w:rPr>
              <w:t xml:space="preserve">n = 30 </w:t>
            </w:r>
          </w:p>
        </w:tc>
        <w:tc>
          <w:tcPr>
            <w:tcW w:w="3021" w:type="dxa"/>
          </w:tcPr>
          <w:p w14:paraId="442E5870" w14:textId="77777777" w:rsidR="00FE291A" w:rsidRDefault="00C8738F">
            <w:pPr>
              <w:pStyle w:val="Default"/>
              <w:keepNext/>
              <w:jc w:val="center"/>
              <w:rPr>
                <w:sz w:val="22"/>
                <w:szCs w:val="22"/>
                <w:vertAlign w:val="superscript"/>
                <w:lang w:val="de-DE"/>
              </w:rPr>
            </w:pPr>
            <w:r>
              <w:rPr>
                <w:b/>
                <w:bCs/>
                <w:sz w:val="22"/>
                <w:szCs w:val="22"/>
                <w:lang w:val="de-DE"/>
              </w:rPr>
              <w:t>Adalimumab</w:t>
            </w:r>
            <w:r>
              <w:rPr>
                <w:b/>
                <w:bCs/>
                <w:sz w:val="22"/>
                <w:szCs w:val="22"/>
                <w:vertAlign w:val="superscript"/>
                <w:lang w:val="de-DE"/>
              </w:rPr>
              <w:t xml:space="preserve">b, c </w:t>
            </w:r>
          </w:p>
          <w:p w14:paraId="41038A31" w14:textId="77777777" w:rsidR="00FE291A" w:rsidRDefault="00C8738F">
            <w:pPr>
              <w:pStyle w:val="Default"/>
              <w:keepNext/>
              <w:jc w:val="center"/>
              <w:rPr>
                <w:sz w:val="22"/>
                <w:szCs w:val="22"/>
                <w:lang w:val="de-DE"/>
              </w:rPr>
            </w:pPr>
            <w:r>
              <w:rPr>
                <w:b/>
                <w:bCs/>
                <w:sz w:val="22"/>
                <w:szCs w:val="22"/>
                <w:lang w:val="de-DE"/>
              </w:rPr>
              <w:t>Maximal 160 mg in Woche 0 und Woche 1</w:t>
            </w:r>
          </w:p>
          <w:p w14:paraId="3FD95AE8" w14:textId="77777777" w:rsidR="00FE291A" w:rsidRDefault="00C8738F">
            <w:pPr>
              <w:keepNext/>
              <w:jc w:val="center"/>
              <w:rPr>
                <w:b/>
                <w:bCs/>
                <w:sz w:val="22"/>
                <w:szCs w:val="22"/>
                <w:lang w:val="de-DE" w:eastAsia="en-GB"/>
              </w:rPr>
            </w:pPr>
            <w:r>
              <w:rPr>
                <w:b/>
                <w:bCs/>
                <w:sz w:val="22"/>
                <w:szCs w:val="22"/>
                <w:lang w:val="de-DE"/>
              </w:rPr>
              <w:t xml:space="preserve">n = 47 </w:t>
            </w:r>
          </w:p>
        </w:tc>
      </w:tr>
      <w:tr w:rsidR="00FE291A" w14:paraId="7F322DC1" w14:textId="77777777">
        <w:tc>
          <w:tcPr>
            <w:tcW w:w="2912" w:type="dxa"/>
          </w:tcPr>
          <w:p w14:paraId="4E416C09" w14:textId="77777777" w:rsidR="00FE291A" w:rsidRDefault="00C8738F">
            <w:pPr>
              <w:pStyle w:val="Default"/>
              <w:keepNext/>
              <w:rPr>
                <w:sz w:val="22"/>
                <w:szCs w:val="22"/>
                <w:lang w:val="de-DE" w:eastAsia="en-GB"/>
              </w:rPr>
            </w:pPr>
            <w:r>
              <w:rPr>
                <w:sz w:val="22"/>
                <w:szCs w:val="22"/>
                <w:lang w:val="de-DE"/>
              </w:rPr>
              <w:t>Klinische Remission nach PUCAI</w:t>
            </w:r>
          </w:p>
        </w:tc>
        <w:tc>
          <w:tcPr>
            <w:tcW w:w="3020" w:type="dxa"/>
          </w:tcPr>
          <w:p w14:paraId="3EDA6179" w14:textId="77777777" w:rsidR="00FE291A" w:rsidRDefault="00C8738F">
            <w:pPr>
              <w:keepNext/>
              <w:jc w:val="center"/>
              <w:rPr>
                <w:sz w:val="22"/>
                <w:szCs w:val="22"/>
                <w:lang w:val="de-DE" w:eastAsia="en-GB"/>
              </w:rPr>
            </w:pPr>
            <w:r>
              <w:rPr>
                <w:sz w:val="22"/>
                <w:szCs w:val="22"/>
                <w:lang w:val="de-DE" w:eastAsia="en-GB"/>
              </w:rPr>
              <w:t>10/30 (33,3 %)</w:t>
            </w:r>
          </w:p>
        </w:tc>
        <w:tc>
          <w:tcPr>
            <w:tcW w:w="3021" w:type="dxa"/>
          </w:tcPr>
          <w:p w14:paraId="5ADA2E61" w14:textId="77777777" w:rsidR="00FE291A" w:rsidRDefault="00C8738F">
            <w:pPr>
              <w:keepNext/>
              <w:jc w:val="center"/>
              <w:rPr>
                <w:sz w:val="22"/>
                <w:szCs w:val="22"/>
                <w:lang w:val="de-DE" w:eastAsia="en-GB"/>
              </w:rPr>
            </w:pPr>
            <w:r>
              <w:rPr>
                <w:sz w:val="22"/>
                <w:szCs w:val="22"/>
                <w:lang w:val="de-DE" w:eastAsia="en-GB"/>
              </w:rPr>
              <w:t>22/47 (46,8 %)</w:t>
            </w:r>
          </w:p>
        </w:tc>
      </w:tr>
      <w:tr w:rsidR="00FE291A" w14:paraId="2EC6D9A7" w14:textId="77777777">
        <w:tc>
          <w:tcPr>
            <w:tcW w:w="2912" w:type="dxa"/>
          </w:tcPr>
          <w:p w14:paraId="4312423E" w14:textId="77777777" w:rsidR="00FE291A" w:rsidRDefault="00C8738F">
            <w:pPr>
              <w:pStyle w:val="Default"/>
              <w:rPr>
                <w:sz w:val="22"/>
                <w:szCs w:val="22"/>
                <w:lang w:val="de-DE" w:eastAsia="en-GB"/>
              </w:rPr>
            </w:pPr>
            <w:r>
              <w:rPr>
                <w:sz w:val="22"/>
                <w:szCs w:val="22"/>
                <w:lang w:val="de-DE"/>
              </w:rPr>
              <w:t>Klinisches Ansprechen nach PUCAI</w:t>
            </w:r>
          </w:p>
        </w:tc>
        <w:tc>
          <w:tcPr>
            <w:tcW w:w="3020" w:type="dxa"/>
          </w:tcPr>
          <w:p w14:paraId="2E842B8D" w14:textId="77777777" w:rsidR="00FE291A" w:rsidRDefault="00C8738F">
            <w:pPr>
              <w:jc w:val="center"/>
              <w:rPr>
                <w:sz w:val="22"/>
                <w:szCs w:val="22"/>
                <w:lang w:val="de-DE" w:eastAsia="en-GB"/>
              </w:rPr>
            </w:pPr>
            <w:r>
              <w:rPr>
                <w:sz w:val="22"/>
                <w:szCs w:val="22"/>
                <w:lang w:val="de-DE" w:eastAsia="en-GB"/>
              </w:rPr>
              <w:t>15/30 (50,0 %)</w:t>
            </w:r>
          </w:p>
        </w:tc>
        <w:tc>
          <w:tcPr>
            <w:tcW w:w="3021" w:type="dxa"/>
          </w:tcPr>
          <w:p w14:paraId="1F8790B3" w14:textId="77777777" w:rsidR="00FE291A" w:rsidRDefault="00C8738F">
            <w:pPr>
              <w:jc w:val="center"/>
              <w:rPr>
                <w:sz w:val="22"/>
                <w:szCs w:val="22"/>
                <w:lang w:val="de-DE" w:eastAsia="en-GB"/>
              </w:rPr>
            </w:pPr>
            <w:r>
              <w:rPr>
                <w:sz w:val="22"/>
                <w:szCs w:val="22"/>
                <w:lang w:val="de-DE" w:eastAsia="en-GB"/>
              </w:rPr>
              <w:t>32/47 (68,1 %)</w:t>
            </w:r>
          </w:p>
        </w:tc>
      </w:tr>
      <w:tr w:rsidR="00FE291A" w14:paraId="7A7C5CA2" w14:textId="77777777">
        <w:tc>
          <w:tcPr>
            <w:tcW w:w="2912" w:type="dxa"/>
          </w:tcPr>
          <w:p w14:paraId="1D989F1B" w14:textId="77777777" w:rsidR="00FE291A" w:rsidRDefault="00FE291A">
            <w:pPr>
              <w:keepNext/>
              <w:rPr>
                <w:sz w:val="22"/>
                <w:szCs w:val="22"/>
                <w:lang w:val="de-DE" w:eastAsia="en-GB"/>
              </w:rPr>
            </w:pPr>
          </w:p>
        </w:tc>
        <w:tc>
          <w:tcPr>
            <w:tcW w:w="6041" w:type="dxa"/>
            <w:gridSpan w:val="2"/>
          </w:tcPr>
          <w:p w14:paraId="031C9492" w14:textId="77777777" w:rsidR="00FE291A" w:rsidRDefault="00C8738F">
            <w:pPr>
              <w:keepNext/>
              <w:jc w:val="center"/>
              <w:rPr>
                <w:sz w:val="22"/>
                <w:szCs w:val="22"/>
                <w:lang w:val="de-DE" w:eastAsia="en-GB"/>
              </w:rPr>
            </w:pPr>
            <w:r>
              <w:rPr>
                <w:b/>
                <w:bCs/>
                <w:sz w:val="22"/>
                <w:szCs w:val="22"/>
                <w:lang w:val="de-DE"/>
              </w:rPr>
              <w:t>Woche 52</w:t>
            </w:r>
          </w:p>
        </w:tc>
      </w:tr>
      <w:tr w:rsidR="00FE291A" w:rsidRPr="002E6CD3" w14:paraId="78A99DBC" w14:textId="77777777">
        <w:tc>
          <w:tcPr>
            <w:tcW w:w="2912" w:type="dxa"/>
          </w:tcPr>
          <w:p w14:paraId="0FFAAA85" w14:textId="77777777" w:rsidR="00FE291A" w:rsidRDefault="00FE291A">
            <w:pPr>
              <w:keepNext/>
              <w:rPr>
                <w:sz w:val="22"/>
                <w:szCs w:val="22"/>
                <w:lang w:val="de-DE" w:eastAsia="en-GB"/>
              </w:rPr>
            </w:pPr>
          </w:p>
        </w:tc>
        <w:tc>
          <w:tcPr>
            <w:tcW w:w="3020" w:type="dxa"/>
          </w:tcPr>
          <w:p w14:paraId="1E6C5782" w14:textId="77777777" w:rsidR="00FE291A" w:rsidRDefault="00C8738F">
            <w:pPr>
              <w:pStyle w:val="Default"/>
              <w:keepNext/>
              <w:jc w:val="center"/>
              <w:rPr>
                <w:sz w:val="22"/>
                <w:szCs w:val="22"/>
                <w:lang w:val="de-DE"/>
              </w:rPr>
            </w:pPr>
            <w:r>
              <w:rPr>
                <w:b/>
                <w:bCs/>
                <w:sz w:val="22"/>
                <w:szCs w:val="22"/>
                <w:lang w:val="de-DE"/>
              </w:rPr>
              <w:t>Adalimumab</w:t>
            </w:r>
            <w:r>
              <w:rPr>
                <w:b/>
                <w:bCs/>
                <w:sz w:val="22"/>
                <w:szCs w:val="22"/>
                <w:vertAlign w:val="superscript"/>
                <w:lang w:val="de-DE"/>
              </w:rPr>
              <w:t>d</w:t>
            </w:r>
          </w:p>
          <w:p w14:paraId="3D65C9A1" w14:textId="77777777" w:rsidR="00FE291A" w:rsidRDefault="00C8738F">
            <w:pPr>
              <w:pStyle w:val="Default"/>
              <w:keepNext/>
              <w:jc w:val="center"/>
              <w:rPr>
                <w:sz w:val="22"/>
                <w:szCs w:val="22"/>
                <w:lang w:val="de-DE"/>
              </w:rPr>
            </w:pPr>
            <w:r>
              <w:rPr>
                <w:b/>
                <w:bCs/>
                <w:sz w:val="22"/>
                <w:szCs w:val="22"/>
                <w:lang w:val="de-DE"/>
              </w:rPr>
              <w:t>Maximal 40 mg jede zweite Woche</w:t>
            </w:r>
          </w:p>
          <w:p w14:paraId="04F4F032" w14:textId="77777777" w:rsidR="00FE291A" w:rsidRDefault="00C8738F">
            <w:pPr>
              <w:keepNext/>
              <w:jc w:val="center"/>
              <w:rPr>
                <w:sz w:val="22"/>
                <w:szCs w:val="22"/>
                <w:lang w:val="de-DE" w:eastAsia="en-GB"/>
              </w:rPr>
            </w:pPr>
            <w:r>
              <w:rPr>
                <w:sz w:val="22"/>
                <w:szCs w:val="22"/>
                <w:lang w:val="de-DE"/>
              </w:rPr>
              <w:t>n = 31</w:t>
            </w:r>
          </w:p>
        </w:tc>
        <w:tc>
          <w:tcPr>
            <w:tcW w:w="3021" w:type="dxa"/>
          </w:tcPr>
          <w:p w14:paraId="43AF6550" w14:textId="77777777" w:rsidR="00FE291A" w:rsidRDefault="00C8738F">
            <w:pPr>
              <w:pStyle w:val="Default"/>
              <w:keepNext/>
              <w:jc w:val="center"/>
              <w:rPr>
                <w:sz w:val="22"/>
                <w:szCs w:val="22"/>
                <w:lang w:val="de-DE"/>
              </w:rPr>
            </w:pPr>
            <w:r>
              <w:rPr>
                <w:b/>
                <w:bCs/>
                <w:sz w:val="22"/>
                <w:szCs w:val="22"/>
                <w:lang w:val="de-DE"/>
              </w:rPr>
              <w:t>Adalimumab</w:t>
            </w:r>
            <w:r>
              <w:rPr>
                <w:b/>
                <w:bCs/>
                <w:sz w:val="22"/>
                <w:szCs w:val="22"/>
                <w:vertAlign w:val="superscript"/>
                <w:lang w:val="de-DE"/>
              </w:rPr>
              <w:t>e</w:t>
            </w:r>
            <w:r>
              <w:rPr>
                <w:b/>
                <w:bCs/>
                <w:sz w:val="22"/>
                <w:szCs w:val="22"/>
                <w:lang w:val="de-DE"/>
              </w:rPr>
              <w:t xml:space="preserve"> </w:t>
            </w:r>
          </w:p>
          <w:p w14:paraId="3ACE7BEA" w14:textId="77777777" w:rsidR="00FE291A" w:rsidRDefault="00C8738F">
            <w:pPr>
              <w:pStyle w:val="Default"/>
              <w:keepNext/>
              <w:jc w:val="center"/>
              <w:rPr>
                <w:sz w:val="22"/>
                <w:szCs w:val="22"/>
                <w:lang w:val="de-DE"/>
              </w:rPr>
            </w:pPr>
            <w:r>
              <w:rPr>
                <w:b/>
                <w:bCs/>
                <w:sz w:val="22"/>
                <w:szCs w:val="22"/>
                <w:lang w:val="de-DE"/>
              </w:rPr>
              <w:t xml:space="preserve">Maximal 40 mg wöchentlich </w:t>
            </w:r>
          </w:p>
          <w:p w14:paraId="1E748F49" w14:textId="77777777" w:rsidR="00FE291A" w:rsidRDefault="00C8738F">
            <w:pPr>
              <w:keepNext/>
              <w:jc w:val="center"/>
              <w:rPr>
                <w:sz w:val="22"/>
                <w:szCs w:val="22"/>
                <w:lang w:val="de-DE" w:eastAsia="en-GB"/>
              </w:rPr>
            </w:pPr>
            <w:r>
              <w:rPr>
                <w:sz w:val="22"/>
                <w:szCs w:val="22"/>
                <w:lang w:val="de-DE"/>
              </w:rPr>
              <w:t>n = 31</w:t>
            </w:r>
          </w:p>
        </w:tc>
      </w:tr>
      <w:tr w:rsidR="00FE291A" w14:paraId="7A74E516" w14:textId="77777777">
        <w:tc>
          <w:tcPr>
            <w:tcW w:w="2912" w:type="dxa"/>
          </w:tcPr>
          <w:p w14:paraId="1E153AAC" w14:textId="77777777" w:rsidR="00FE291A" w:rsidRDefault="00C8738F">
            <w:pPr>
              <w:pStyle w:val="Default"/>
              <w:keepNext/>
              <w:rPr>
                <w:sz w:val="22"/>
                <w:szCs w:val="22"/>
                <w:lang w:val="de-DE" w:eastAsia="en-GB"/>
              </w:rPr>
            </w:pPr>
            <w:r>
              <w:rPr>
                <w:sz w:val="22"/>
                <w:szCs w:val="22"/>
                <w:lang w:val="de-DE"/>
              </w:rPr>
              <w:t>Klinische Remission nach PUCAI bei PMS-</w:t>
            </w:r>
            <w:r>
              <w:rPr>
                <w:i/>
                <w:iCs/>
                <w:sz w:val="22"/>
                <w:szCs w:val="22"/>
                <w:lang w:val="de-DE"/>
              </w:rPr>
              <w:t>Respondern</w:t>
            </w:r>
            <w:r>
              <w:rPr>
                <w:sz w:val="22"/>
                <w:szCs w:val="22"/>
                <w:lang w:val="de-DE"/>
              </w:rPr>
              <w:t xml:space="preserve"> in Woche 8</w:t>
            </w:r>
          </w:p>
        </w:tc>
        <w:tc>
          <w:tcPr>
            <w:tcW w:w="3020" w:type="dxa"/>
          </w:tcPr>
          <w:p w14:paraId="2F789840" w14:textId="77777777" w:rsidR="00FE291A" w:rsidRDefault="00C8738F">
            <w:pPr>
              <w:keepNext/>
              <w:jc w:val="center"/>
              <w:rPr>
                <w:sz w:val="22"/>
                <w:szCs w:val="22"/>
                <w:lang w:val="de-DE" w:eastAsia="en-GB"/>
              </w:rPr>
            </w:pPr>
            <w:r>
              <w:rPr>
                <w:sz w:val="22"/>
                <w:szCs w:val="22"/>
                <w:lang w:val="de-DE" w:eastAsia="en-GB"/>
              </w:rPr>
              <w:t>14/31 (45,2 %)</w:t>
            </w:r>
          </w:p>
        </w:tc>
        <w:tc>
          <w:tcPr>
            <w:tcW w:w="3021" w:type="dxa"/>
          </w:tcPr>
          <w:p w14:paraId="407598D4" w14:textId="77777777" w:rsidR="00FE291A" w:rsidRDefault="00C8738F">
            <w:pPr>
              <w:keepNext/>
              <w:jc w:val="center"/>
              <w:rPr>
                <w:sz w:val="22"/>
                <w:szCs w:val="22"/>
                <w:lang w:val="de-DE" w:eastAsia="en-GB"/>
              </w:rPr>
            </w:pPr>
            <w:r>
              <w:rPr>
                <w:sz w:val="22"/>
                <w:szCs w:val="22"/>
                <w:lang w:val="de-DE" w:eastAsia="en-GB"/>
              </w:rPr>
              <w:t>18/31 (58,1 %)</w:t>
            </w:r>
          </w:p>
        </w:tc>
      </w:tr>
      <w:tr w:rsidR="00FE291A" w14:paraId="586C8C78" w14:textId="77777777">
        <w:tc>
          <w:tcPr>
            <w:tcW w:w="2912" w:type="dxa"/>
          </w:tcPr>
          <w:p w14:paraId="718588A8" w14:textId="77777777" w:rsidR="00FE291A" w:rsidRDefault="00C8738F">
            <w:pPr>
              <w:pStyle w:val="Default"/>
              <w:keepNext/>
              <w:rPr>
                <w:sz w:val="22"/>
                <w:szCs w:val="22"/>
                <w:lang w:val="de-DE" w:eastAsia="en-GB"/>
              </w:rPr>
            </w:pPr>
            <w:r>
              <w:rPr>
                <w:sz w:val="22"/>
                <w:szCs w:val="22"/>
                <w:lang w:val="de-DE"/>
              </w:rPr>
              <w:t>Klinisches Ansprechen nach PUCAI bei PMS-</w:t>
            </w:r>
            <w:r>
              <w:rPr>
                <w:i/>
                <w:iCs/>
                <w:sz w:val="22"/>
                <w:szCs w:val="22"/>
                <w:lang w:val="de-DE"/>
              </w:rPr>
              <w:t>Respondern</w:t>
            </w:r>
            <w:r>
              <w:rPr>
                <w:sz w:val="22"/>
                <w:szCs w:val="22"/>
                <w:lang w:val="de-DE"/>
              </w:rPr>
              <w:t xml:space="preserve"> in Woche 8</w:t>
            </w:r>
          </w:p>
        </w:tc>
        <w:tc>
          <w:tcPr>
            <w:tcW w:w="3020" w:type="dxa"/>
          </w:tcPr>
          <w:p w14:paraId="2AD8850D" w14:textId="77777777" w:rsidR="00FE291A" w:rsidRDefault="00C8738F">
            <w:pPr>
              <w:keepNext/>
              <w:jc w:val="center"/>
              <w:rPr>
                <w:sz w:val="22"/>
                <w:szCs w:val="22"/>
                <w:lang w:val="de-DE" w:eastAsia="en-GB"/>
              </w:rPr>
            </w:pPr>
            <w:r>
              <w:rPr>
                <w:sz w:val="22"/>
                <w:szCs w:val="22"/>
                <w:lang w:val="de-DE" w:eastAsia="en-GB"/>
              </w:rPr>
              <w:t>18/31 (58,1 %)</w:t>
            </w:r>
          </w:p>
        </w:tc>
        <w:tc>
          <w:tcPr>
            <w:tcW w:w="3021" w:type="dxa"/>
          </w:tcPr>
          <w:p w14:paraId="4F750C7A" w14:textId="77777777" w:rsidR="00FE291A" w:rsidRDefault="00C8738F">
            <w:pPr>
              <w:keepNext/>
              <w:jc w:val="center"/>
              <w:rPr>
                <w:sz w:val="22"/>
                <w:szCs w:val="22"/>
                <w:lang w:val="de-DE" w:eastAsia="en-GB"/>
              </w:rPr>
            </w:pPr>
            <w:r>
              <w:rPr>
                <w:sz w:val="22"/>
                <w:szCs w:val="22"/>
                <w:lang w:val="de-DE" w:eastAsia="en-GB"/>
              </w:rPr>
              <w:t>16/31 (51,6 %)</w:t>
            </w:r>
          </w:p>
        </w:tc>
      </w:tr>
      <w:tr w:rsidR="00FE291A" w:rsidRPr="002E6CD3" w14:paraId="3280E0F7" w14:textId="77777777">
        <w:tc>
          <w:tcPr>
            <w:tcW w:w="8953" w:type="dxa"/>
            <w:gridSpan w:val="3"/>
          </w:tcPr>
          <w:p w14:paraId="5755C3DD" w14:textId="77777777" w:rsidR="00FE291A" w:rsidRDefault="00C8738F">
            <w:pPr>
              <w:keepNext/>
              <w:rPr>
                <w:sz w:val="20"/>
                <w:szCs w:val="20"/>
                <w:lang w:val="de-DE" w:eastAsia="en-GB"/>
              </w:rPr>
            </w:pPr>
            <w:r>
              <w:rPr>
                <w:sz w:val="20"/>
                <w:szCs w:val="20"/>
                <w:vertAlign w:val="superscript"/>
                <w:lang w:val="de-DE" w:eastAsia="en-GB"/>
              </w:rPr>
              <w:t>a</w:t>
            </w:r>
            <w:r>
              <w:rPr>
                <w:sz w:val="20"/>
                <w:szCs w:val="20"/>
                <w:lang w:val="de-DE" w:eastAsia="en-GB"/>
              </w:rPr>
              <w:t xml:space="preserve"> </w:t>
            </w:r>
            <w:r>
              <w:rPr>
                <w:sz w:val="20"/>
                <w:szCs w:val="20"/>
                <w:lang w:val="de-DE"/>
              </w:rPr>
              <w:t>Adalimumab 2,4 mg/kg (maximal 160 mg) in Woche 0, Placebo in Woche 1 und 1,2 mg/kg (maximal 80 mg) in Woche 2</w:t>
            </w:r>
          </w:p>
          <w:p w14:paraId="1047E12F" w14:textId="77777777" w:rsidR="00FE291A" w:rsidRDefault="00C8738F">
            <w:pPr>
              <w:keepNext/>
              <w:rPr>
                <w:sz w:val="20"/>
                <w:szCs w:val="20"/>
                <w:lang w:val="de-DE" w:eastAsia="en-GB"/>
              </w:rPr>
            </w:pPr>
            <w:r>
              <w:rPr>
                <w:sz w:val="20"/>
                <w:szCs w:val="20"/>
                <w:vertAlign w:val="superscript"/>
                <w:lang w:val="de-DE" w:eastAsia="en-GB"/>
              </w:rPr>
              <w:t>b</w:t>
            </w:r>
            <w:r>
              <w:rPr>
                <w:sz w:val="20"/>
                <w:szCs w:val="20"/>
                <w:lang w:val="de-DE" w:eastAsia="en-GB"/>
              </w:rPr>
              <w:t xml:space="preserve"> </w:t>
            </w:r>
            <w:r>
              <w:rPr>
                <w:sz w:val="20"/>
                <w:szCs w:val="20"/>
                <w:lang w:val="de-DE"/>
              </w:rPr>
              <w:t>Adalimumab 2,4 mg/kg (maximal 160 mg) in Woche 0 und Woche 1 und 1,2 mg/kg (maximal 80 mg) in Woche 2</w:t>
            </w:r>
          </w:p>
          <w:p w14:paraId="30969121" w14:textId="77777777" w:rsidR="00FE291A" w:rsidRDefault="00C8738F">
            <w:pPr>
              <w:rPr>
                <w:sz w:val="20"/>
                <w:szCs w:val="20"/>
                <w:lang w:val="de-DE" w:eastAsia="en-GB"/>
              </w:rPr>
            </w:pPr>
            <w:r>
              <w:rPr>
                <w:sz w:val="20"/>
                <w:szCs w:val="20"/>
                <w:vertAlign w:val="superscript"/>
                <w:lang w:val="de-DE" w:eastAsia="en-GB"/>
              </w:rPr>
              <w:t>c</w:t>
            </w:r>
            <w:r>
              <w:rPr>
                <w:sz w:val="20"/>
                <w:szCs w:val="20"/>
                <w:lang w:val="de-DE" w:eastAsia="en-GB"/>
              </w:rPr>
              <w:t xml:space="preserve"> </w:t>
            </w:r>
            <w:r>
              <w:rPr>
                <w:sz w:val="20"/>
                <w:szCs w:val="20"/>
                <w:lang w:val="de-DE"/>
              </w:rPr>
              <w:t>Ohne Patienten unter offener Adalimumab-Induktionsdosis von 2,4 mg/kg (maximal 160 mg) in Woche 0 und Woche 1 und 1,2 mg/kg (maximal 80 mg) in Woche 2</w:t>
            </w:r>
          </w:p>
          <w:p w14:paraId="1B4A7CA7" w14:textId="77777777" w:rsidR="00FE291A" w:rsidRDefault="00C8738F">
            <w:pPr>
              <w:rPr>
                <w:sz w:val="20"/>
                <w:szCs w:val="20"/>
                <w:lang w:val="de-DE" w:eastAsia="en-GB"/>
              </w:rPr>
            </w:pPr>
            <w:r>
              <w:rPr>
                <w:sz w:val="20"/>
                <w:szCs w:val="20"/>
                <w:vertAlign w:val="superscript"/>
                <w:lang w:val="de-DE" w:eastAsia="en-GB"/>
              </w:rPr>
              <w:t>d</w:t>
            </w:r>
            <w:r>
              <w:rPr>
                <w:sz w:val="20"/>
                <w:szCs w:val="20"/>
                <w:lang w:val="de-DE" w:eastAsia="en-GB"/>
              </w:rPr>
              <w:t xml:space="preserve"> </w:t>
            </w:r>
            <w:r>
              <w:rPr>
                <w:sz w:val="20"/>
                <w:szCs w:val="20"/>
                <w:lang w:val="de-DE"/>
              </w:rPr>
              <w:t>Adalimumab 0,6 mg/kg (maximal 40 mg) jede zweite Woche</w:t>
            </w:r>
          </w:p>
          <w:p w14:paraId="139CC818" w14:textId="77777777" w:rsidR="00FE291A" w:rsidRDefault="00C8738F">
            <w:pPr>
              <w:rPr>
                <w:sz w:val="20"/>
                <w:szCs w:val="20"/>
                <w:lang w:val="de-DE" w:eastAsia="en-GB"/>
              </w:rPr>
            </w:pPr>
            <w:r>
              <w:rPr>
                <w:sz w:val="20"/>
                <w:szCs w:val="20"/>
                <w:vertAlign w:val="superscript"/>
                <w:lang w:val="de-DE" w:eastAsia="en-GB"/>
              </w:rPr>
              <w:t>e</w:t>
            </w:r>
            <w:r>
              <w:rPr>
                <w:sz w:val="20"/>
                <w:szCs w:val="20"/>
                <w:lang w:val="de-DE" w:eastAsia="en-GB"/>
              </w:rPr>
              <w:t xml:space="preserve"> </w:t>
            </w:r>
            <w:r>
              <w:rPr>
                <w:sz w:val="20"/>
                <w:szCs w:val="20"/>
                <w:lang w:val="de-DE"/>
              </w:rPr>
              <w:t xml:space="preserve">Adalimumab 0,6 mg/kg (maximal 40 mg) wöchentlich </w:t>
            </w:r>
          </w:p>
          <w:p w14:paraId="00B507C1" w14:textId="77777777" w:rsidR="00FE291A" w:rsidRDefault="00C8738F">
            <w:pPr>
              <w:pStyle w:val="Default"/>
              <w:rPr>
                <w:sz w:val="20"/>
                <w:szCs w:val="20"/>
                <w:lang w:val="de-DE"/>
              </w:rPr>
            </w:pPr>
            <w:r>
              <w:rPr>
                <w:sz w:val="20"/>
                <w:szCs w:val="20"/>
                <w:lang w:val="de-DE"/>
              </w:rPr>
              <w:t xml:space="preserve">Hinweis 1: Beide Behandlungsarme mit Induktionsphase erhielten 0,6 mg/kg (maximal 40 mg) in Woche 4 und Woche 6. </w:t>
            </w:r>
          </w:p>
          <w:p w14:paraId="3BF73215" w14:textId="77777777" w:rsidR="00FE291A" w:rsidRDefault="00C8738F">
            <w:pPr>
              <w:pStyle w:val="Default"/>
              <w:keepNext/>
              <w:rPr>
                <w:sz w:val="20"/>
                <w:szCs w:val="20"/>
                <w:lang w:val="de-DE"/>
              </w:rPr>
            </w:pPr>
            <w:r>
              <w:rPr>
                <w:sz w:val="20"/>
                <w:szCs w:val="20"/>
                <w:lang w:val="de-DE"/>
              </w:rPr>
              <w:t xml:space="preserve">Hinweis 2: Patienten mit fehlenden Werten in Woche 8 wurden als Patienten gewertet, die die Endpunkte nicht erreichten. </w:t>
            </w:r>
          </w:p>
          <w:p w14:paraId="15492799" w14:textId="77777777" w:rsidR="00FE291A" w:rsidRDefault="00C8738F">
            <w:pPr>
              <w:pStyle w:val="BodyText"/>
              <w:widowControl/>
              <w:kinsoku w:val="0"/>
              <w:overflowPunct w:val="0"/>
              <w:ind w:left="0"/>
              <w:rPr>
                <w:lang w:val="de-DE" w:eastAsia="en-GB"/>
              </w:rPr>
            </w:pPr>
            <w:r>
              <w:rPr>
                <w:sz w:val="20"/>
                <w:szCs w:val="20"/>
                <w:lang w:val="de-DE"/>
              </w:rPr>
              <w:t xml:space="preserve">Hinweis 3: Patienten mit fehlenden Werten in Woche 52 oder die randomisiert einer erneuten Induktionstherapie oder der Erhaltungstherapie zugeteilt wurden, wurden hinsichtlich der Endpunkte in Woche 52 als </w:t>
            </w:r>
            <w:r>
              <w:rPr>
                <w:i/>
                <w:iCs/>
                <w:sz w:val="20"/>
                <w:szCs w:val="20"/>
                <w:lang w:val="de-DE"/>
              </w:rPr>
              <w:t>Non-Responder</w:t>
            </w:r>
            <w:r>
              <w:rPr>
                <w:sz w:val="20"/>
                <w:szCs w:val="20"/>
                <w:lang w:val="de-DE"/>
              </w:rPr>
              <w:t xml:space="preserve"> gewertet.</w:t>
            </w:r>
          </w:p>
        </w:tc>
      </w:tr>
    </w:tbl>
    <w:p w14:paraId="1543290B" w14:textId="77777777" w:rsidR="00FE291A" w:rsidRDefault="00FE291A">
      <w:pPr>
        <w:pStyle w:val="BodyText"/>
        <w:widowControl/>
        <w:kinsoku w:val="0"/>
        <w:overflowPunct w:val="0"/>
        <w:ind w:left="0"/>
        <w:rPr>
          <w:lang w:val="de-DE"/>
        </w:rPr>
      </w:pPr>
    </w:p>
    <w:p w14:paraId="4C8A3F25" w14:textId="77777777" w:rsidR="00FE291A" w:rsidRDefault="00C8738F">
      <w:pPr>
        <w:widowControl/>
        <w:rPr>
          <w:color w:val="000000"/>
          <w:sz w:val="22"/>
          <w:szCs w:val="22"/>
          <w:lang w:val="de-DE"/>
        </w:rPr>
      </w:pPr>
      <w:r>
        <w:rPr>
          <w:color w:val="000000"/>
          <w:sz w:val="22"/>
          <w:szCs w:val="22"/>
          <w:lang w:val="de-DE"/>
        </w:rPr>
        <w:t xml:space="preserve">Von den mit Adalimumab behandelten Patienten, die während der Erhaltungsphase eine erneute Induktionstherapie erhielten, erreichten 2 von 6 (33 %) in Woche 52 ein klinisches Ansprechen nach FMS. </w:t>
      </w:r>
    </w:p>
    <w:p w14:paraId="6EA55876" w14:textId="77777777" w:rsidR="00FE291A" w:rsidRDefault="00FE291A">
      <w:pPr>
        <w:widowControl/>
        <w:rPr>
          <w:color w:val="000000"/>
          <w:sz w:val="22"/>
          <w:szCs w:val="22"/>
          <w:lang w:val="de-DE"/>
        </w:rPr>
      </w:pPr>
    </w:p>
    <w:p w14:paraId="583FA7E4" w14:textId="77777777" w:rsidR="00FE291A" w:rsidRDefault="00C8738F">
      <w:pPr>
        <w:keepNext/>
        <w:widowControl/>
        <w:rPr>
          <w:i/>
          <w:iCs/>
          <w:color w:val="000000"/>
          <w:sz w:val="22"/>
          <w:szCs w:val="22"/>
          <w:u w:val="single"/>
          <w:lang w:val="de-DE"/>
        </w:rPr>
      </w:pPr>
      <w:r>
        <w:rPr>
          <w:i/>
          <w:iCs/>
          <w:color w:val="000000"/>
          <w:sz w:val="22"/>
          <w:szCs w:val="22"/>
          <w:u w:val="single"/>
          <w:lang w:val="de-DE"/>
        </w:rPr>
        <w:t xml:space="preserve">Lebensqualität </w:t>
      </w:r>
    </w:p>
    <w:p w14:paraId="1D18CDF1" w14:textId="77777777" w:rsidR="00FE291A" w:rsidRDefault="00FE291A">
      <w:pPr>
        <w:keepNext/>
        <w:widowControl/>
        <w:rPr>
          <w:color w:val="000000"/>
          <w:sz w:val="22"/>
          <w:szCs w:val="22"/>
          <w:lang w:val="de-DE"/>
        </w:rPr>
      </w:pPr>
    </w:p>
    <w:p w14:paraId="5BA1508B" w14:textId="77777777" w:rsidR="00FE291A" w:rsidRDefault="00C8738F">
      <w:pPr>
        <w:widowControl/>
        <w:rPr>
          <w:color w:val="000000"/>
          <w:sz w:val="22"/>
          <w:szCs w:val="22"/>
          <w:lang w:val="de-DE"/>
        </w:rPr>
      </w:pPr>
      <w:r>
        <w:rPr>
          <w:color w:val="000000"/>
          <w:sz w:val="22"/>
          <w:szCs w:val="22"/>
          <w:lang w:val="de-DE"/>
        </w:rPr>
        <w:t xml:space="preserve">In den mit Adalimumab behandelten Behandlungsarmen wurden bei den </w:t>
      </w:r>
      <w:r>
        <w:rPr>
          <w:i/>
          <w:iCs/>
          <w:color w:val="000000"/>
          <w:sz w:val="22"/>
          <w:szCs w:val="22"/>
          <w:lang w:val="de-DE"/>
        </w:rPr>
        <w:t>Scores</w:t>
      </w:r>
      <w:r>
        <w:rPr>
          <w:color w:val="000000"/>
          <w:sz w:val="22"/>
          <w:szCs w:val="22"/>
          <w:lang w:val="de-DE"/>
        </w:rPr>
        <w:t xml:space="preserve"> zu IMPACT-III und WPAI (</w:t>
      </w:r>
      <w:r>
        <w:rPr>
          <w:i/>
          <w:iCs/>
          <w:color w:val="000000"/>
          <w:sz w:val="22"/>
          <w:szCs w:val="22"/>
          <w:lang w:val="de-DE"/>
        </w:rPr>
        <w:t>Work Productivity and Activity Impairment</w:t>
      </w:r>
      <w:r>
        <w:rPr>
          <w:color w:val="000000"/>
          <w:sz w:val="22"/>
          <w:szCs w:val="22"/>
          <w:lang w:val="de-DE"/>
        </w:rPr>
        <w:t xml:space="preserve">) der betreuenden Personen klinisch bedeutsame Verbesserungen gegenüber </w:t>
      </w:r>
      <w:r>
        <w:rPr>
          <w:i/>
          <w:iCs/>
          <w:color w:val="000000"/>
          <w:sz w:val="22"/>
          <w:szCs w:val="22"/>
          <w:lang w:val="de-DE"/>
        </w:rPr>
        <w:t>Baseline</w:t>
      </w:r>
      <w:r>
        <w:rPr>
          <w:color w:val="000000"/>
          <w:sz w:val="22"/>
          <w:szCs w:val="22"/>
          <w:lang w:val="de-DE"/>
        </w:rPr>
        <w:t xml:space="preserve"> beobachtet. </w:t>
      </w:r>
    </w:p>
    <w:p w14:paraId="569BD4F6" w14:textId="77777777" w:rsidR="00FE291A" w:rsidRDefault="00FE291A">
      <w:pPr>
        <w:widowControl/>
        <w:rPr>
          <w:color w:val="000000"/>
          <w:sz w:val="22"/>
          <w:szCs w:val="22"/>
          <w:lang w:val="de-DE"/>
        </w:rPr>
      </w:pPr>
    </w:p>
    <w:p w14:paraId="3345D3DC" w14:textId="77777777" w:rsidR="00FE291A" w:rsidRDefault="00C8738F">
      <w:pPr>
        <w:widowControl/>
        <w:rPr>
          <w:color w:val="000000"/>
          <w:sz w:val="22"/>
          <w:szCs w:val="22"/>
          <w:lang w:val="de-DE"/>
        </w:rPr>
      </w:pPr>
      <w:r>
        <w:rPr>
          <w:color w:val="000000"/>
          <w:sz w:val="22"/>
          <w:szCs w:val="22"/>
          <w:lang w:val="de-DE"/>
        </w:rPr>
        <w:t xml:space="preserve">Klinisch bedeutsame Zunahmen (Verbesserungen) der Wachstumsgeschwindigkeit (Körperlänge) gegenüber </w:t>
      </w:r>
      <w:r>
        <w:rPr>
          <w:i/>
          <w:iCs/>
          <w:color w:val="000000"/>
          <w:sz w:val="22"/>
          <w:szCs w:val="22"/>
          <w:lang w:val="de-DE"/>
        </w:rPr>
        <w:t>Baseline</w:t>
      </w:r>
      <w:r>
        <w:rPr>
          <w:color w:val="000000"/>
          <w:sz w:val="22"/>
          <w:szCs w:val="22"/>
          <w:lang w:val="de-DE"/>
        </w:rPr>
        <w:t xml:space="preserve"> wurden in den Behandlungsarmen beobachtet, die Adalimumab erhielten, und klinisch bedeutsame Zunahmen (Verbesserungen) des </w:t>
      </w:r>
      <w:r>
        <w:rPr>
          <w:i/>
          <w:iCs/>
          <w:color w:val="000000"/>
          <w:sz w:val="22"/>
          <w:szCs w:val="22"/>
          <w:lang w:val="de-DE"/>
        </w:rPr>
        <w:t>Body-Mass-Index</w:t>
      </w:r>
      <w:r>
        <w:rPr>
          <w:color w:val="000000"/>
          <w:sz w:val="22"/>
          <w:szCs w:val="22"/>
          <w:lang w:val="de-DE"/>
        </w:rPr>
        <w:t xml:space="preserve"> gegenüber </w:t>
      </w:r>
      <w:r>
        <w:rPr>
          <w:i/>
          <w:iCs/>
          <w:color w:val="000000"/>
          <w:sz w:val="22"/>
          <w:szCs w:val="22"/>
          <w:lang w:val="de-DE"/>
        </w:rPr>
        <w:t>Baseline</w:t>
      </w:r>
      <w:r>
        <w:rPr>
          <w:color w:val="000000"/>
          <w:sz w:val="22"/>
          <w:szCs w:val="22"/>
          <w:lang w:val="de-DE"/>
        </w:rPr>
        <w:t xml:space="preserve"> wurden bei Studienteilnehmern unter der hohen Erhaltungsdosis von maximal 40 mg (0,6 mg/kg) wöchentlich beobachtet. </w:t>
      </w:r>
    </w:p>
    <w:p w14:paraId="18DD6761" w14:textId="77777777" w:rsidR="00FE291A" w:rsidRDefault="00FE291A">
      <w:pPr>
        <w:widowControl/>
        <w:rPr>
          <w:color w:val="000000"/>
          <w:sz w:val="22"/>
          <w:szCs w:val="22"/>
          <w:lang w:val="de-DE"/>
        </w:rPr>
      </w:pPr>
    </w:p>
    <w:p w14:paraId="00D3C085" w14:textId="77777777" w:rsidR="00FE291A" w:rsidRDefault="00C8738F">
      <w:pPr>
        <w:keepNext/>
        <w:widowControl/>
        <w:rPr>
          <w:i/>
          <w:iCs/>
          <w:color w:val="000000"/>
          <w:sz w:val="22"/>
          <w:szCs w:val="22"/>
          <w:lang w:val="de-DE"/>
        </w:rPr>
      </w:pPr>
      <w:r>
        <w:rPr>
          <w:i/>
          <w:iCs/>
          <w:color w:val="000000"/>
          <w:sz w:val="22"/>
          <w:szCs w:val="22"/>
          <w:lang w:val="de-DE"/>
        </w:rPr>
        <w:t>Uveitis bei Kindern und Jugendlichen</w:t>
      </w:r>
    </w:p>
    <w:p w14:paraId="568D5E58" w14:textId="77777777" w:rsidR="00FE291A" w:rsidRDefault="00FE291A">
      <w:pPr>
        <w:keepNext/>
        <w:widowControl/>
        <w:rPr>
          <w:color w:val="000000"/>
          <w:sz w:val="22"/>
          <w:szCs w:val="22"/>
          <w:lang w:val="de-DE"/>
        </w:rPr>
      </w:pPr>
    </w:p>
    <w:p w14:paraId="0869405F" w14:textId="77777777" w:rsidR="00FE291A" w:rsidRDefault="00C8738F">
      <w:pPr>
        <w:widowControl/>
        <w:rPr>
          <w:color w:val="000000"/>
          <w:sz w:val="22"/>
          <w:szCs w:val="22"/>
          <w:lang w:val="de-DE"/>
        </w:rPr>
      </w:pPr>
      <w:r>
        <w:rPr>
          <w:color w:val="000000"/>
          <w:sz w:val="22"/>
          <w:szCs w:val="22"/>
          <w:lang w:val="de-DE"/>
        </w:rPr>
        <w:t xml:space="preserve">Die Sicherheit und Wirksamkeit von Adalimumab wurden in einer randomisierten, doppelmaskierten, kontrollierten Studie mit 90 Kindern und Jugendlichen im Alter von 2 bis &lt; 18 Jahren mit aktiver JIA-assoziierter nicht infektiöser Uveitis anterior untersucht, die mindestens 12 Wochen lang nicht auf die Behandlung mit Methotrexat angesprochen hatten. Die Patienten erhielten alle zwei Wochen entweder Placebo oder 20 mg Adalimumab (sofern &lt; 30 kg) oder 40 mg Adalimumab (sofern ≥ 30 kg) jeweils in Kombination mit ihrer Ausgangsdosis Methotrexat. </w:t>
      </w:r>
    </w:p>
    <w:p w14:paraId="48D738C1" w14:textId="77777777" w:rsidR="00FE291A" w:rsidRDefault="00FE291A">
      <w:pPr>
        <w:widowControl/>
        <w:rPr>
          <w:color w:val="000000"/>
          <w:sz w:val="22"/>
          <w:szCs w:val="22"/>
          <w:lang w:val="de-DE"/>
        </w:rPr>
      </w:pPr>
    </w:p>
    <w:p w14:paraId="03A91F74" w14:textId="77777777" w:rsidR="00FE291A" w:rsidRDefault="00C8738F">
      <w:pPr>
        <w:widowControl/>
        <w:rPr>
          <w:color w:val="000000"/>
          <w:sz w:val="22"/>
          <w:szCs w:val="22"/>
          <w:lang w:val="de-DE"/>
        </w:rPr>
      </w:pPr>
      <w:r>
        <w:rPr>
          <w:color w:val="000000"/>
          <w:sz w:val="22"/>
          <w:szCs w:val="22"/>
          <w:lang w:val="de-DE"/>
        </w:rPr>
        <w:t xml:space="preserve">Der primäre Endpunkt war die „Dauer bis zum Behandlungsversagen“. Das Behandlungsversagen wurde definiert durch eine Verschlechterung oder eine gleichbleibende Nichtverbesserung der Augenentzündung, eine teilweise Verbesserung mit Entstehung von anhaltenden Augenbegleiterkrankungen oder eine Verschlechterung von Augenbegleiterkrankungen, eine nicht erlaubte Verwendung von Begleitmedikationen oder eine Unterbrechung der Behandlung für einen längeren Zeitraum. </w:t>
      </w:r>
    </w:p>
    <w:p w14:paraId="0A2868BB" w14:textId="77777777" w:rsidR="00FE291A" w:rsidRDefault="00FE291A">
      <w:pPr>
        <w:widowControl/>
        <w:rPr>
          <w:color w:val="000000"/>
          <w:sz w:val="22"/>
          <w:szCs w:val="22"/>
          <w:lang w:val="de-DE"/>
        </w:rPr>
      </w:pPr>
    </w:p>
    <w:p w14:paraId="4B467B44" w14:textId="77777777" w:rsidR="00FE291A" w:rsidRDefault="00C8738F">
      <w:pPr>
        <w:keepNext/>
        <w:widowControl/>
        <w:rPr>
          <w:i/>
          <w:iCs/>
          <w:color w:val="000000"/>
          <w:sz w:val="22"/>
          <w:szCs w:val="22"/>
          <w:lang w:val="de-DE"/>
        </w:rPr>
      </w:pPr>
      <w:r>
        <w:rPr>
          <w:i/>
          <w:iCs/>
          <w:color w:val="000000"/>
          <w:sz w:val="22"/>
          <w:szCs w:val="22"/>
          <w:lang w:val="de-DE"/>
        </w:rPr>
        <w:t xml:space="preserve">Klinisches Ansprechen </w:t>
      </w:r>
    </w:p>
    <w:p w14:paraId="69F3B56B" w14:textId="77777777" w:rsidR="00FE291A" w:rsidRDefault="00FE291A">
      <w:pPr>
        <w:keepNext/>
        <w:widowControl/>
        <w:rPr>
          <w:color w:val="000000"/>
          <w:sz w:val="22"/>
          <w:szCs w:val="22"/>
          <w:lang w:val="de-DE"/>
        </w:rPr>
      </w:pPr>
    </w:p>
    <w:p w14:paraId="4583C248" w14:textId="77777777" w:rsidR="00FE291A" w:rsidRDefault="00C8738F">
      <w:pPr>
        <w:pStyle w:val="BodyText"/>
        <w:widowControl/>
        <w:kinsoku w:val="0"/>
        <w:overflowPunct w:val="0"/>
        <w:ind w:left="0"/>
        <w:rPr>
          <w:lang w:val="de-DE"/>
        </w:rPr>
      </w:pPr>
      <w:r>
        <w:rPr>
          <w:color w:val="000000"/>
          <w:lang w:val="de-DE"/>
        </w:rPr>
        <w:t xml:space="preserve">Adalimumab verzögerte signifikant die Zeit bis zum Behandlungsversagen im Vergleich zu Placebo (siehe Abbildung 3, p &lt; 0,0001 beim </w:t>
      </w:r>
      <w:r>
        <w:rPr>
          <w:i/>
          <w:iCs/>
          <w:color w:val="000000"/>
          <w:lang w:val="de-DE"/>
        </w:rPr>
        <w:t>Log-Rank-Test</w:t>
      </w:r>
      <w:r>
        <w:rPr>
          <w:color w:val="000000"/>
          <w:lang w:val="de-DE"/>
        </w:rPr>
        <w:t xml:space="preserve">). Die mittlere Zeit bis zum Behandlungsversagen lag bei 24,1 Wochen für Patienten, die mit Placebo behandelt wurden, während die mittlere Zeit für das Behandlungsversagen für mit Adalimumab behandelte Patienten nicht abschätzbar war, da weniger als die Hälfte dieser Patienten ein Behandlungsversagen erfahren haben. Adalimumab verminderte </w:t>
      </w:r>
      <w:r>
        <w:rPr>
          <w:lang w:val="de-DE"/>
        </w:rPr>
        <w:t xml:space="preserve">signifikant das Risiko eines Behandlungsversagens um 75 % im Vergleich zu Placebo, wie die </w:t>
      </w:r>
      <w:r>
        <w:rPr>
          <w:i/>
          <w:iCs/>
          <w:lang w:val="de-DE"/>
        </w:rPr>
        <w:t xml:space="preserve">Hazard Ratio </w:t>
      </w:r>
      <w:r>
        <w:rPr>
          <w:lang w:val="de-DE"/>
        </w:rPr>
        <w:t>(HR = 0,25 [95 % KI 0,12; 0,49]) zeigt.</w:t>
      </w:r>
    </w:p>
    <w:p w14:paraId="6AC11A06" w14:textId="77777777" w:rsidR="00FE291A" w:rsidRDefault="00FE291A">
      <w:pPr>
        <w:widowControl/>
        <w:autoSpaceDE/>
        <w:autoSpaceDN/>
        <w:adjustRightInd/>
        <w:rPr>
          <w:sz w:val="22"/>
          <w:szCs w:val="22"/>
          <w:lang w:val="de-DE"/>
        </w:rPr>
      </w:pPr>
    </w:p>
    <w:p w14:paraId="0D10382B" w14:textId="77777777" w:rsidR="00FE291A" w:rsidRDefault="00C8738F">
      <w:pPr>
        <w:keepNext/>
        <w:spacing w:line="300" w:lineRule="auto"/>
        <w:rPr>
          <w:sz w:val="22"/>
          <w:szCs w:val="22"/>
          <w:lang w:val="de-DE"/>
        </w:rPr>
      </w:pPr>
      <w:r>
        <w:rPr>
          <w:b/>
          <w:bCs/>
          <w:lang w:val="de-DE"/>
        </w:rPr>
        <w:t>Abbildung</w:t>
      </w:r>
      <w:r>
        <w:rPr>
          <w:b/>
          <w:sz w:val="22"/>
          <w:szCs w:val="22"/>
          <w:lang w:val="de-DE"/>
        </w:rPr>
        <w:t xml:space="preserve"> 3: </w:t>
      </w:r>
      <w:r>
        <w:rPr>
          <w:b/>
          <w:bCs/>
          <w:sz w:val="22"/>
          <w:szCs w:val="22"/>
          <w:lang w:val="de-DE"/>
        </w:rPr>
        <w:t>Kaplan-Meier-Kurven zur Darstellung der Dauer bis zum Behandlungsversagen in der pädiatrischen Uveitis-Studie</w:t>
      </w:r>
    </w:p>
    <w:p w14:paraId="424770E2" w14:textId="77777777" w:rsidR="00FE291A" w:rsidRDefault="00FE291A">
      <w:pPr>
        <w:keepNext/>
        <w:rPr>
          <w:b/>
          <w:sz w:val="22"/>
          <w:szCs w:val="21"/>
          <w:lang w:val="de-DE"/>
        </w:rPr>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FE291A" w14:paraId="4F3D5DF6" w14:textId="77777777">
        <w:trPr>
          <w:cantSplit/>
          <w:trHeight w:val="3806"/>
        </w:trPr>
        <w:tc>
          <w:tcPr>
            <w:tcW w:w="468" w:type="dxa"/>
            <w:textDirection w:val="btLr"/>
          </w:tcPr>
          <w:p w14:paraId="49C26ED5" w14:textId="77777777" w:rsidR="00FE291A" w:rsidRDefault="00C8738F">
            <w:pPr>
              <w:pStyle w:val="Default"/>
              <w:jc w:val="center"/>
              <w:rPr>
                <w:sz w:val="22"/>
                <w:szCs w:val="22"/>
                <w:lang w:val="de-DE"/>
              </w:rPr>
            </w:pPr>
            <w:r>
              <w:rPr>
                <w:b/>
                <w:bCs/>
                <w:sz w:val="22"/>
                <w:szCs w:val="22"/>
                <w:lang w:val="de-DE"/>
              </w:rPr>
              <w:t>WAHRSCHEINLICHKEIT DES BEHANDLUNGSVERSAGENS</w:t>
            </w:r>
          </w:p>
          <w:p w14:paraId="4322CE53" w14:textId="77777777" w:rsidR="00FE291A" w:rsidRDefault="00FE291A">
            <w:pPr>
              <w:pStyle w:val="EMEANormal"/>
              <w:keepNext/>
              <w:ind w:left="113" w:right="113"/>
              <w:jc w:val="center"/>
              <w:rPr>
                <w:b/>
                <w:szCs w:val="22"/>
                <w:lang w:val="de-DE"/>
              </w:rPr>
            </w:pPr>
          </w:p>
        </w:tc>
        <w:tc>
          <w:tcPr>
            <w:tcW w:w="8820" w:type="dxa"/>
            <w:gridSpan w:val="5"/>
            <w:vAlign w:val="bottom"/>
          </w:tcPr>
          <w:p w14:paraId="2952240A" w14:textId="47AB3A4C" w:rsidR="00FE291A" w:rsidRDefault="009C5B62">
            <w:pPr>
              <w:pStyle w:val="EMEANormal"/>
              <w:keepNext/>
              <w:rPr>
                <w:szCs w:val="22"/>
                <w:lang w:val="de-DE"/>
              </w:rPr>
            </w:pPr>
            <w:r>
              <w:rPr>
                <w:noProof/>
                <w:szCs w:val="22"/>
                <w:lang w:val="de-DE" w:eastAsia="en-GB"/>
              </w:rPr>
              <w:drawing>
                <wp:inline distT="0" distB="0" distL="0" distR="0" wp14:anchorId="2D2A840B" wp14:editId="57D2A906">
                  <wp:extent cx="5486400" cy="4572000"/>
                  <wp:effectExtent l="0" t="0" r="0" b="0"/>
                  <wp:docPr id="6" name="Bild 7"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Humira PED UV KM Curve REVISED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4572000"/>
                          </a:xfrm>
                          <a:prstGeom prst="rect">
                            <a:avLst/>
                          </a:prstGeom>
                          <a:noFill/>
                          <a:ln>
                            <a:noFill/>
                          </a:ln>
                        </pic:spPr>
                      </pic:pic>
                    </a:graphicData>
                  </a:graphic>
                </wp:inline>
              </w:drawing>
            </w:r>
          </w:p>
        </w:tc>
      </w:tr>
      <w:tr w:rsidR="00FE291A" w14:paraId="1BED0CFF" w14:textId="77777777">
        <w:tc>
          <w:tcPr>
            <w:tcW w:w="468" w:type="dxa"/>
          </w:tcPr>
          <w:p w14:paraId="004A8767" w14:textId="77777777" w:rsidR="00FE291A" w:rsidRDefault="00FE291A">
            <w:pPr>
              <w:pStyle w:val="EMEANormal"/>
              <w:keepNext/>
              <w:rPr>
                <w:szCs w:val="22"/>
                <w:lang w:val="de-DE"/>
              </w:rPr>
            </w:pPr>
          </w:p>
        </w:tc>
        <w:tc>
          <w:tcPr>
            <w:tcW w:w="8820" w:type="dxa"/>
            <w:gridSpan w:val="5"/>
          </w:tcPr>
          <w:p w14:paraId="46393683" w14:textId="77777777" w:rsidR="00FE291A" w:rsidRDefault="00C8738F">
            <w:pPr>
              <w:pStyle w:val="EMEANormal"/>
              <w:keepNext/>
              <w:jc w:val="center"/>
              <w:rPr>
                <w:b/>
                <w:szCs w:val="22"/>
                <w:lang w:val="de-DE"/>
              </w:rPr>
            </w:pPr>
            <w:r>
              <w:rPr>
                <w:b/>
                <w:szCs w:val="22"/>
                <w:lang w:val="de-DE"/>
              </w:rPr>
              <w:t>DAUER (WOCHEN)</w:t>
            </w:r>
          </w:p>
        </w:tc>
      </w:tr>
      <w:tr w:rsidR="00FE291A" w14:paraId="518F596C" w14:textId="77777777">
        <w:tc>
          <w:tcPr>
            <w:tcW w:w="468" w:type="dxa"/>
          </w:tcPr>
          <w:p w14:paraId="7018467C" w14:textId="77777777" w:rsidR="00FE291A" w:rsidRDefault="00FE291A">
            <w:pPr>
              <w:pStyle w:val="EMEANormal"/>
              <w:keepNext/>
              <w:rPr>
                <w:szCs w:val="22"/>
                <w:lang w:val="de-DE"/>
              </w:rPr>
            </w:pPr>
          </w:p>
        </w:tc>
        <w:tc>
          <w:tcPr>
            <w:tcW w:w="3510" w:type="dxa"/>
          </w:tcPr>
          <w:p w14:paraId="6E54F78F" w14:textId="77777777" w:rsidR="00FE291A" w:rsidRDefault="00C8738F">
            <w:pPr>
              <w:pStyle w:val="EMEANormal"/>
              <w:keepNext/>
              <w:rPr>
                <w:szCs w:val="22"/>
                <w:lang w:val="de-DE"/>
              </w:rPr>
            </w:pPr>
            <w:r>
              <w:rPr>
                <w:szCs w:val="22"/>
                <w:lang w:val="de-DE"/>
              </w:rPr>
              <w:t>Behandlung</w:t>
            </w:r>
          </w:p>
        </w:tc>
        <w:tc>
          <w:tcPr>
            <w:tcW w:w="1170" w:type="dxa"/>
            <w:vAlign w:val="bottom"/>
          </w:tcPr>
          <w:p w14:paraId="4CAA142C" w14:textId="6A291370" w:rsidR="00FE291A" w:rsidRDefault="009C5B62">
            <w:pPr>
              <w:pStyle w:val="EMEANormal"/>
              <w:keepNext/>
              <w:jc w:val="center"/>
              <w:rPr>
                <w:szCs w:val="22"/>
                <w:lang w:val="de-DE"/>
              </w:rPr>
            </w:pPr>
            <w:r>
              <w:rPr>
                <w:noProof/>
                <w:szCs w:val="22"/>
                <w:lang w:val="de-DE" w:eastAsia="en-GB"/>
              </w:rPr>
              <w:drawing>
                <wp:inline distT="0" distB="0" distL="0" distR="0" wp14:anchorId="023DE269" wp14:editId="3B4F3ECD">
                  <wp:extent cx="468630" cy="160020"/>
                  <wp:effectExtent l="0" t="0" r="0" b="0"/>
                  <wp:docPr id="7" name="Picture 12"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umira PED UV KM Curv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8630" cy="160020"/>
                          </a:xfrm>
                          <a:prstGeom prst="rect">
                            <a:avLst/>
                          </a:prstGeom>
                          <a:noFill/>
                          <a:ln>
                            <a:noFill/>
                          </a:ln>
                        </pic:spPr>
                      </pic:pic>
                    </a:graphicData>
                  </a:graphic>
                </wp:inline>
              </w:drawing>
            </w:r>
          </w:p>
        </w:tc>
        <w:tc>
          <w:tcPr>
            <w:tcW w:w="1350" w:type="dxa"/>
          </w:tcPr>
          <w:p w14:paraId="33D4B321" w14:textId="77777777" w:rsidR="00FE291A" w:rsidRDefault="00C8738F">
            <w:pPr>
              <w:pStyle w:val="EMEANormal"/>
              <w:keepNext/>
              <w:rPr>
                <w:szCs w:val="22"/>
                <w:lang w:val="de-DE"/>
              </w:rPr>
            </w:pPr>
            <w:r>
              <w:rPr>
                <w:szCs w:val="22"/>
                <w:lang w:val="de-DE"/>
              </w:rPr>
              <w:t>Placebo</w:t>
            </w:r>
          </w:p>
        </w:tc>
        <w:tc>
          <w:tcPr>
            <w:tcW w:w="900" w:type="dxa"/>
            <w:vAlign w:val="center"/>
          </w:tcPr>
          <w:p w14:paraId="01E8B5FC" w14:textId="568AF601" w:rsidR="00FE291A" w:rsidRDefault="009C5B62">
            <w:pPr>
              <w:pStyle w:val="EMEANormal"/>
              <w:keepNext/>
              <w:rPr>
                <w:szCs w:val="22"/>
                <w:lang w:val="de-DE"/>
              </w:rPr>
            </w:pPr>
            <w:r>
              <w:rPr>
                <w:noProof/>
                <w:szCs w:val="22"/>
                <w:lang w:val="de-DE" w:eastAsia="en-GB"/>
              </w:rPr>
              <w:drawing>
                <wp:inline distT="0" distB="0" distL="0" distR="0" wp14:anchorId="549E0CE1" wp14:editId="3D8C9DB5">
                  <wp:extent cx="445770" cy="68580"/>
                  <wp:effectExtent l="0" t="0" r="0" b="0"/>
                  <wp:docPr id="8" name="Picture 13"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umira PED UV KM Curv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770" cy="68580"/>
                          </a:xfrm>
                          <a:prstGeom prst="rect">
                            <a:avLst/>
                          </a:prstGeom>
                          <a:noFill/>
                          <a:ln>
                            <a:noFill/>
                          </a:ln>
                        </pic:spPr>
                      </pic:pic>
                    </a:graphicData>
                  </a:graphic>
                </wp:inline>
              </w:drawing>
            </w:r>
          </w:p>
        </w:tc>
        <w:tc>
          <w:tcPr>
            <w:tcW w:w="1890" w:type="dxa"/>
          </w:tcPr>
          <w:p w14:paraId="579A327A" w14:textId="77777777" w:rsidR="00FE291A" w:rsidRDefault="00C8738F">
            <w:pPr>
              <w:pStyle w:val="EMEANormal"/>
              <w:keepNext/>
              <w:rPr>
                <w:szCs w:val="22"/>
                <w:lang w:val="de-DE"/>
              </w:rPr>
            </w:pPr>
            <w:r>
              <w:rPr>
                <w:szCs w:val="22"/>
                <w:lang w:val="de-DE"/>
              </w:rPr>
              <w:t>Adalimumab</w:t>
            </w:r>
          </w:p>
        </w:tc>
      </w:tr>
      <w:tr w:rsidR="00FE291A" w:rsidRPr="002E6CD3" w14:paraId="197930BA" w14:textId="77777777">
        <w:tc>
          <w:tcPr>
            <w:tcW w:w="468" w:type="dxa"/>
          </w:tcPr>
          <w:p w14:paraId="036672AF" w14:textId="77777777" w:rsidR="00FE291A" w:rsidRDefault="00FE291A">
            <w:pPr>
              <w:pStyle w:val="EMEANormal"/>
              <w:rPr>
                <w:szCs w:val="22"/>
                <w:lang w:val="de-DE"/>
              </w:rPr>
            </w:pPr>
          </w:p>
        </w:tc>
        <w:tc>
          <w:tcPr>
            <w:tcW w:w="8820" w:type="dxa"/>
            <w:gridSpan w:val="5"/>
          </w:tcPr>
          <w:p w14:paraId="0C4A4D03" w14:textId="77777777" w:rsidR="00FE291A" w:rsidRDefault="00C8738F">
            <w:pPr>
              <w:pStyle w:val="EMEANormal"/>
              <w:rPr>
                <w:szCs w:val="22"/>
                <w:lang w:val="de-DE"/>
              </w:rPr>
            </w:pPr>
            <w:r>
              <w:rPr>
                <w:szCs w:val="22"/>
                <w:lang w:val="de-DE"/>
              </w:rPr>
              <w:t>Hinweis: P = Placebo (Anzahl Risikopatienten); H = Adalimumab (Anzahl Risikopatienten).</w:t>
            </w:r>
          </w:p>
        </w:tc>
      </w:tr>
    </w:tbl>
    <w:p w14:paraId="594F11BB" w14:textId="77777777" w:rsidR="00FE291A" w:rsidRDefault="00FE291A">
      <w:pPr>
        <w:widowControl/>
        <w:kinsoku w:val="0"/>
        <w:overflowPunct w:val="0"/>
        <w:rPr>
          <w:sz w:val="22"/>
          <w:szCs w:val="22"/>
          <w:lang w:val="de-DE"/>
        </w:rPr>
      </w:pPr>
    </w:p>
    <w:p w14:paraId="49681BAF" w14:textId="77777777" w:rsidR="00FE291A" w:rsidRDefault="00C8738F">
      <w:pPr>
        <w:pStyle w:val="Heading1"/>
        <w:keepNext/>
        <w:widowControl/>
        <w:numPr>
          <w:ilvl w:val="1"/>
          <w:numId w:val="13"/>
        </w:numPr>
        <w:tabs>
          <w:tab w:val="left" w:pos="567"/>
        </w:tabs>
        <w:kinsoku w:val="0"/>
        <w:overflowPunct w:val="0"/>
        <w:ind w:left="0" w:firstLine="0"/>
        <w:rPr>
          <w:b w:val="0"/>
          <w:bCs w:val="0"/>
          <w:lang w:val="de-DE"/>
        </w:rPr>
      </w:pPr>
      <w:r>
        <w:rPr>
          <w:lang w:val="de-DE"/>
        </w:rPr>
        <w:t>Pharmakokinetische Eigenschaften</w:t>
      </w:r>
    </w:p>
    <w:p w14:paraId="39FADFDE" w14:textId="77777777" w:rsidR="00FE291A" w:rsidRDefault="00FE291A">
      <w:pPr>
        <w:keepNext/>
        <w:widowControl/>
        <w:kinsoku w:val="0"/>
        <w:overflowPunct w:val="0"/>
        <w:rPr>
          <w:sz w:val="22"/>
          <w:szCs w:val="22"/>
          <w:lang w:val="de-DE"/>
        </w:rPr>
      </w:pPr>
    </w:p>
    <w:p w14:paraId="686B1293" w14:textId="77777777" w:rsidR="00FE291A" w:rsidRDefault="00C8738F">
      <w:pPr>
        <w:pStyle w:val="BodyText"/>
        <w:keepNext/>
        <w:widowControl/>
        <w:kinsoku w:val="0"/>
        <w:overflowPunct w:val="0"/>
        <w:ind w:left="0"/>
        <w:rPr>
          <w:lang w:val="de-DE"/>
        </w:rPr>
      </w:pPr>
      <w:r>
        <w:rPr>
          <w:u w:val="single"/>
          <w:lang w:val="de-DE"/>
        </w:rPr>
        <w:t>Resorption und Verteilung</w:t>
      </w:r>
    </w:p>
    <w:p w14:paraId="6EB483D1" w14:textId="77777777" w:rsidR="00FE291A" w:rsidRDefault="00FE291A">
      <w:pPr>
        <w:widowControl/>
        <w:kinsoku w:val="0"/>
        <w:overflowPunct w:val="0"/>
        <w:rPr>
          <w:sz w:val="22"/>
          <w:szCs w:val="22"/>
          <w:lang w:val="de-DE"/>
        </w:rPr>
      </w:pPr>
    </w:p>
    <w:p w14:paraId="1E31D0C7" w14:textId="77777777" w:rsidR="00FE291A" w:rsidRDefault="00C8738F">
      <w:pPr>
        <w:pStyle w:val="BodyText"/>
        <w:widowControl/>
        <w:kinsoku w:val="0"/>
        <w:overflowPunct w:val="0"/>
        <w:ind w:left="0"/>
        <w:rPr>
          <w:lang w:val="de-DE"/>
        </w:rPr>
      </w:pPr>
      <w:r>
        <w:rPr>
          <w:lang w:val="de-DE"/>
        </w:rPr>
        <w:t xml:space="preserve">Nach subkutaner Gabe einer Einzeldosis von 40 mg waren die Resorption und Verteilung von Adalimumab langsam. Die maximalen Serumkonzentrationen wurden ungefähr 5 Tage nach Verabreichung erreicht. Die auf Grundlage von drei mit dem Referenzarzneimittel durchgeführten Studien geschätzte, durchschnittliche absolute Bioverfügbarkeit von Adalimumab betrug nach Gabe einer einzelnen subkutanen Dosis von 40 mg 64 %. Nach intravenösen Einzeldosen von 0,25 bis 10 mg/kg waren die Konzentrationen proportional zur Dosis. Bei Dosen von 0,5 mg/kg (~ 40 mg) lag die </w:t>
      </w:r>
      <w:r>
        <w:rPr>
          <w:i/>
          <w:iCs/>
          <w:lang w:val="de-DE"/>
        </w:rPr>
        <w:t xml:space="preserve">Clearance </w:t>
      </w:r>
      <w:r>
        <w:rPr>
          <w:lang w:val="de-DE"/>
        </w:rPr>
        <w:t>zwischen 11 und 15 ml/h, das Verteilungsvolumen (V</w:t>
      </w:r>
      <w:r>
        <w:rPr>
          <w:vertAlign w:val="subscript"/>
          <w:lang w:val="de-DE"/>
        </w:rPr>
        <w:t>ss</w:t>
      </w:r>
      <w:r>
        <w:rPr>
          <w:lang w:val="de-DE"/>
        </w:rPr>
        <w:t>) betrug 5 bis 6 Liter, und die mittlere terminale Halbwertszeit lag bei ungefähr zwei Wochen. Die Adalimumab-Konzentrationen in der Synovialflüssigkeit mehrerer Patienten mit rheumatoider Arthritis lagen zwischen 31 % und 96 % der Serumkonzentrationen.</w:t>
      </w:r>
    </w:p>
    <w:p w14:paraId="782332D6" w14:textId="77777777" w:rsidR="00FE291A" w:rsidRDefault="00FE291A">
      <w:pPr>
        <w:widowControl/>
        <w:kinsoku w:val="0"/>
        <w:overflowPunct w:val="0"/>
        <w:rPr>
          <w:sz w:val="22"/>
          <w:szCs w:val="22"/>
          <w:lang w:val="de-DE"/>
        </w:rPr>
      </w:pPr>
    </w:p>
    <w:p w14:paraId="7962460F" w14:textId="77777777" w:rsidR="00FE291A" w:rsidRDefault="00C8738F">
      <w:pPr>
        <w:pStyle w:val="BodyText"/>
        <w:widowControl/>
        <w:kinsoku w:val="0"/>
        <w:overflowPunct w:val="0"/>
        <w:ind w:left="0"/>
        <w:rPr>
          <w:lang w:val="de-DE"/>
        </w:rPr>
      </w:pPr>
      <w:r>
        <w:rPr>
          <w:lang w:val="de-DE"/>
        </w:rPr>
        <w:t xml:space="preserve">Nach subkutaner Verabreichung von 40 mg Adalimumab jede zweite Woche an erwachsene Patienten mit rheumatoider Arthritis (RA) betrugen die mittleren </w:t>
      </w:r>
      <w:r>
        <w:rPr>
          <w:i/>
          <w:iCs/>
          <w:lang w:val="de-DE"/>
        </w:rPr>
        <w:t>Steady-State</w:t>
      </w:r>
      <w:r>
        <w:rPr>
          <w:lang w:val="de-DE"/>
        </w:rPr>
        <w:t xml:space="preserve">-Talkonzentrationen ca. 5 µg/ml (ohne gleichzeitige Gabe von Methotrexat) bzw. 8 – 9 µg/ml (in Kombination mit Methotrexat). Im </w:t>
      </w:r>
      <w:r>
        <w:rPr>
          <w:i/>
          <w:iCs/>
          <w:lang w:val="de-DE"/>
        </w:rPr>
        <w:t xml:space="preserve">Steady-State </w:t>
      </w:r>
      <w:r>
        <w:rPr>
          <w:lang w:val="de-DE"/>
        </w:rPr>
        <w:t>erhöhten sich die Talkonzentrationen der Adalimumab-Serumspiegel nach subkutaner Verabreichung von 20, 40 und 80 mg entweder jede zweite oder jede Woche ungefähr proportional zur Dosis.</w:t>
      </w:r>
    </w:p>
    <w:p w14:paraId="4A269347" w14:textId="77777777" w:rsidR="00FE291A" w:rsidRDefault="00FE291A">
      <w:pPr>
        <w:widowControl/>
        <w:kinsoku w:val="0"/>
        <w:overflowPunct w:val="0"/>
        <w:rPr>
          <w:sz w:val="22"/>
          <w:szCs w:val="22"/>
          <w:lang w:val="de-DE"/>
        </w:rPr>
      </w:pPr>
    </w:p>
    <w:p w14:paraId="44ECDEF0" w14:textId="77777777" w:rsidR="00FE291A" w:rsidRDefault="00C8738F">
      <w:pPr>
        <w:pStyle w:val="BodyText"/>
        <w:widowControl/>
        <w:kinsoku w:val="0"/>
        <w:overflowPunct w:val="0"/>
        <w:ind w:left="0"/>
        <w:rPr>
          <w:lang w:val="de-DE"/>
        </w:rPr>
      </w:pPr>
      <w:r>
        <w:rPr>
          <w:lang w:val="de-DE"/>
        </w:rPr>
        <w:t>Nach subkutaner Verabreichung von 24 mg/m</w:t>
      </w:r>
      <w:r>
        <w:rPr>
          <w:vertAlign w:val="superscript"/>
          <w:lang w:val="de-DE"/>
        </w:rPr>
        <w:t>2</w:t>
      </w:r>
      <w:r>
        <w:rPr>
          <w:lang w:val="de-DE"/>
        </w:rPr>
        <w:t xml:space="preserve"> (maximal 40 mg) jede zweite Woche an Patienten mit polyartikulärer juveniler idiopathischer Arthritis (JIA), die zwischen 4 und 17 Jahre alt waren, betrugen die mittleren </w:t>
      </w:r>
      <w:r>
        <w:rPr>
          <w:i/>
          <w:iCs/>
          <w:lang w:val="de-DE"/>
        </w:rPr>
        <w:t>Steady-State</w:t>
      </w:r>
      <w:r>
        <w:rPr>
          <w:lang w:val="de-DE"/>
        </w:rPr>
        <w:t>-Talkonzentrationen der Adalimumab-Serumspiegel für Adalimumab ohne Methotrexat-Begleittherapie 5,6 ± 5,6 µg/ml (102 % CV) und 10,9 ± 5,2 µg/ml (47,7 % CV) bei Kombinationstherapie mit Methotrexat (die Messwerte wurden von Woche 20 bis 48 erhoben).</w:t>
      </w:r>
    </w:p>
    <w:p w14:paraId="4E31765A" w14:textId="77777777" w:rsidR="00FE291A" w:rsidRDefault="00FE291A">
      <w:pPr>
        <w:widowControl/>
        <w:kinsoku w:val="0"/>
        <w:overflowPunct w:val="0"/>
        <w:rPr>
          <w:sz w:val="22"/>
          <w:szCs w:val="22"/>
          <w:lang w:val="de-DE"/>
        </w:rPr>
      </w:pPr>
    </w:p>
    <w:p w14:paraId="5A963A61" w14:textId="77777777" w:rsidR="00FE291A" w:rsidRDefault="00C8738F">
      <w:pPr>
        <w:pStyle w:val="BodyText"/>
        <w:widowControl/>
        <w:kinsoku w:val="0"/>
        <w:overflowPunct w:val="0"/>
        <w:ind w:left="0"/>
        <w:rPr>
          <w:lang w:val="de-DE"/>
        </w:rPr>
      </w:pPr>
      <w:r>
        <w:rPr>
          <w:lang w:val="de-DE"/>
        </w:rPr>
        <w:t>Bei Patienten mit polyartikulärer JIA, die 2 bis &lt; 4 Jahre alt oder 4 Jahre alt und älter waren und die &lt; 15 kg wogen und eine Dosis von Adalimumab 24 mg/m</w:t>
      </w:r>
      <w:r>
        <w:rPr>
          <w:vertAlign w:val="superscript"/>
          <w:lang w:val="de-DE"/>
        </w:rPr>
        <w:t>2</w:t>
      </w:r>
      <w:r>
        <w:rPr>
          <w:lang w:val="de-DE"/>
        </w:rPr>
        <w:t xml:space="preserve"> erhielten, betrug die mittlere </w:t>
      </w:r>
      <w:r>
        <w:rPr>
          <w:i/>
          <w:iCs/>
          <w:lang w:val="de-DE"/>
        </w:rPr>
        <w:t>Steady-State</w:t>
      </w:r>
      <w:r>
        <w:rPr>
          <w:lang w:val="de-DE"/>
        </w:rPr>
        <w:t>- Talkonzentration der Adalimumab-Serumspiegel für Adalimumab ohne Methotrexat-Begleittherapie 6,0 ± 6,1 µg/ml (101 % CV) und 7,9 ± 5,6 µg/ml (71,2 % CV) bei Kombinationstherapie mit Methotrexat.</w:t>
      </w:r>
    </w:p>
    <w:p w14:paraId="504A735A" w14:textId="77777777" w:rsidR="00FE291A" w:rsidRDefault="00FE291A">
      <w:pPr>
        <w:widowControl/>
        <w:kinsoku w:val="0"/>
        <w:overflowPunct w:val="0"/>
        <w:rPr>
          <w:sz w:val="22"/>
          <w:szCs w:val="22"/>
          <w:lang w:val="de-DE"/>
        </w:rPr>
      </w:pPr>
    </w:p>
    <w:p w14:paraId="533834E9" w14:textId="77777777" w:rsidR="00FE291A" w:rsidRDefault="00C8738F">
      <w:pPr>
        <w:pStyle w:val="BodyText"/>
        <w:widowControl/>
        <w:kinsoku w:val="0"/>
        <w:overflowPunct w:val="0"/>
        <w:ind w:left="0"/>
        <w:rPr>
          <w:lang w:val="de-DE"/>
        </w:rPr>
      </w:pPr>
      <w:r>
        <w:rPr>
          <w:lang w:val="de-DE"/>
        </w:rPr>
        <w:t>Nach subkutaner Verabreichung von 24 mg/m</w:t>
      </w:r>
      <w:r>
        <w:rPr>
          <w:vertAlign w:val="superscript"/>
          <w:lang w:val="de-DE"/>
        </w:rPr>
        <w:t>2</w:t>
      </w:r>
      <w:r>
        <w:rPr>
          <w:lang w:val="de-DE"/>
        </w:rPr>
        <w:t xml:space="preserve"> (maximal 40 mg) jede zweite Woche an Patienten mit Enthesitis-assoziierter Arthritis, die 6 bis 17 Jahre alt waren, betrug die mittlere </w:t>
      </w:r>
      <w:r>
        <w:rPr>
          <w:i/>
          <w:iCs/>
          <w:lang w:val="de-DE"/>
        </w:rPr>
        <w:t>Steady-State</w:t>
      </w:r>
      <w:r>
        <w:rPr>
          <w:lang w:val="de-DE"/>
        </w:rPr>
        <w:t>-Talkonzentration der Adalimumab-Serumspiegel für Adalimumab ohne Methotrexat-Begleittherapie 8,8 ± 6,6 µg/ml und 11,8 ± 4,3 µg/ml bei Kombinationstherapie mit Methotrexat (die Messwerte wurden in Woche 24 erhoben).</w:t>
      </w:r>
    </w:p>
    <w:p w14:paraId="2E52BA18" w14:textId="77777777" w:rsidR="00FE291A" w:rsidRDefault="00FE291A">
      <w:pPr>
        <w:widowControl/>
        <w:kinsoku w:val="0"/>
        <w:overflowPunct w:val="0"/>
        <w:rPr>
          <w:sz w:val="22"/>
          <w:szCs w:val="22"/>
          <w:lang w:val="de-DE"/>
        </w:rPr>
      </w:pPr>
    </w:p>
    <w:p w14:paraId="36B9F054" w14:textId="77777777" w:rsidR="00FE291A" w:rsidRDefault="00C8738F">
      <w:pPr>
        <w:pStyle w:val="BodyText"/>
        <w:widowControl/>
        <w:kinsoku w:val="0"/>
        <w:overflowPunct w:val="0"/>
        <w:ind w:left="0"/>
        <w:rPr>
          <w:lang w:val="de-DE"/>
        </w:rPr>
      </w:pPr>
      <w:r>
        <w:rPr>
          <w:lang w:val="de-DE"/>
        </w:rPr>
        <w:t xml:space="preserve">Nach subkutaner Anwendung von 40 mg Adalimumab jede zweite Woche bei erwachsenen Patienten mit nicht röntgenologischer axialer Spondyloarthritis betrug die mittlere (± SD) </w:t>
      </w:r>
      <w:r>
        <w:rPr>
          <w:i/>
          <w:lang w:val="de-DE"/>
        </w:rPr>
        <w:t>Steady-State</w:t>
      </w:r>
      <w:r>
        <w:rPr>
          <w:lang w:val="de-DE"/>
        </w:rPr>
        <w:t>-Talkonzentration in Woche 68 8,0 ± 4,6 µg/ml.</w:t>
      </w:r>
    </w:p>
    <w:p w14:paraId="1645968B" w14:textId="77777777" w:rsidR="00FE291A" w:rsidRDefault="00FE291A">
      <w:pPr>
        <w:pStyle w:val="BodyText"/>
        <w:widowControl/>
        <w:kinsoku w:val="0"/>
        <w:overflowPunct w:val="0"/>
        <w:ind w:left="0"/>
        <w:rPr>
          <w:lang w:val="de-DE"/>
        </w:rPr>
      </w:pPr>
    </w:p>
    <w:p w14:paraId="06AD05AD" w14:textId="77777777" w:rsidR="00FE291A" w:rsidRDefault="00C8738F">
      <w:pPr>
        <w:pStyle w:val="BodyText"/>
        <w:widowControl/>
        <w:kinsoku w:val="0"/>
        <w:overflowPunct w:val="0"/>
        <w:ind w:left="0"/>
        <w:rPr>
          <w:lang w:val="de-DE"/>
        </w:rPr>
      </w:pPr>
      <w:r>
        <w:rPr>
          <w:lang w:val="de-DE"/>
        </w:rPr>
        <w:t xml:space="preserve">Bei erwachsenen Psoriasispatienten betrug unter der Monotherapie mit Adalimumab 40 mg jede zweite Woche die mittlere </w:t>
      </w:r>
      <w:r>
        <w:rPr>
          <w:i/>
          <w:iCs/>
          <w:lang w:val="de-DE"/>
        </w:rPr>
        <w:t>Steady-State</w:t>
      </w:r>
      <w:r>
        <w:rPr>
          <w:lang w:val="de-DE"/>
        </w:rPr>
        <w:t>-Talkonzentration 5 µg/ml.</w:t>
      </w:r>
    </w:p>
    <w:p w14:paraId="36BF73A6" w14:textId="77777777" w:rsidR="00FE291A" w:rsidRDefault="00FE291A">
      <w:pPr>
        <w:widowControl/>
        <w:kinsoku w:val="0"/>
        <w:overflowPunct w:val="0"/>
        <w:rPr>
          <w:sz w:val="22"/>
          <w:szCs w:val="22"/>
          <w:lang w:val="de-DE"/>
        </w:rPr>
      </w:pPr>
    </w:p>
    <w:p w14:paraId="69C46AD0" w14:textId="77777777" w:rsidR="00FE291A" w:rsidRDefault="00C8738F">
      <w:pPr>
        <w:pStyle w:val="BodyText"/>
        <w:widowControl/>
        <w:kinsoku w:val="0"/>
        <w:overflowPunct w:val="0"/>
        <w:ind w:left="0"/>
        <w:rPr>
          <w:lang w:val="de-DE"/>
        </w:rPr>
      </w:pPr>
      <w:r>
        <w:rPr>
          <w:lang w:val="de-DE"/>
        </w:rPr>
        <w:t>Nachdem Kinder und Jugendliche mit chronischer Plaque-Psoriasis jede zweite Woche 0,8 mg Adalimumab/kg (maximal 40 mg) subkutan erhielten, betrugen die mittleren (± SD) Serumtalkonzentrationen von Adalimumab ungefähr 7,4 ± 5,8 μg/ml (79 % CV).</w:t>
      </w:r>
    </w:p>
    <w:p w14:paraId="2F42A0A7" w14:textId="77777777" w:rsidR="00FE291A" w:rsidRDefault="00FE291A">
      <w:pPr>
        <w:widowControl/>
        <w:kinsoku w:val="0"/>
        <w:overflowPunct w:val="0"/>
        <w:rPr>
          <w:sz w:val="22"/>
          <w:szCs w:val="22"/>
          <w:lang w:val="de-DE"/>
        </w:rPr>
      </w:pPr>
    </w:p>
    <w:p w14:paraId="2A1A0082" w14:textId="77777777" w:rsidR="00FE291A" w:rsidRDefault="00C8738F">
      <w:pPr>
        <w:pStyle w:val="BodyText"/>
        <w:widowControl/>
        <w:kinsoku w:val="0"/>
        <w:overflowPunct w:val="0"/>
        <w:ind w:left="0"/>
        <w:rPr>
          <w:lang w:val="de-DE"/>
        </w:rPr>
      </w:pPr>
      <w:r>
        <w:rPr>
          <w:lang w:val="de-DE"/>
        </w:rPr>
        <w:t xml:space="preserve">Bei erwachsenen Patienten mit Hidradenitis suppurativa wurden bei einer Dosis von 160 mg Adalimumab in Woche 0, gefolgt von 80 mg in Woche 2, Serumtalkonzentrationen für Adalimumab von etwa 7 bis 8 μg/ml in Woche 2 und Woche 4 erreicht. Die mittleren </w:t>
      </w:r>
      <w:r>
        <w:rPr>
          <w:i/>
          <w:iCs/>
          <w:lang w:val="de-DE"/>
        </w:rPr>
        <w:t>Steady-State</w:t>
      </w:r>
      <w:r>
        <w:rPr>
          <w:lang w:val="de-DE"/>
        </w:rPr>
        <w:t>-Talkonzentrationen in Woche 12 bis Woche 36 betrugen unter der Behandlung mit Adalimumab 40 mg wöchentlich etwa 8 bis 10 μg/ml.</w:t>
      </w:r>
    </w:p>
    <w:p w14:paraId="42924CE6" w14:textId="77777777" w:rsidR="00FE291A" w:rsidRDefault="00FE291A">
      <w:pPr>
        <w:pStyle w:val="BodyText"/>
        <w:widowControl/>
        <w:kinsoku w:val="0"/>
        <w:overflowPunct w:val="0"/>
        <w:ind w:left="0"/>
        <w:rPr>
          <w:lang w:val="de-DE"/>
        </w:rPr>
      </w:pPr>
    </w:p>
    <w:p w14:paraId="019CECF3" w14:textId="77777777" w:rsidR="00FE291A" w:rsidRDefault="00C8738F">
      <w:pPr>
        <w:pStyle w:val="BodyText"/>
        <w:widowControl/>
        <w:kinsoku w:val="0"/>
        <w:overflowPunct w:val="0"/>
        <w:ind w:left="0"/>
        <w:rPr>
          <w:lang w:val="de-DE"/>
        </w:rPr>
      </w:pPr>
      <w:r>
        <w:rPr>
          <w:lang w:val="de-DE" w:eastAsia="de-DE"/>
        </w:rPr>
        <w:t>Die Adalimumab-Exposition bei jugendlichen HS-Patienten wurde anhand von pharmakokinetischen Populationsmodellen und von Simulationen auf Basis der indikationsübergreifenden Pharmakokinetik bei anderen Kindern und Jugendlichen (Psoriasis bei Kindern und Jugendlichen, juvenile idiopathische Arthritis, Morbus Crohn bei Kindern und Jugendlichen sowie Enthesitis-assoziierte Arthritis) bestimmt. Das empfohlene Dosierungsschema bei Jugendlichen mit HS ist 40 mg jede zweite Woche. Da die Körpergröße einen möglichen Einfluss auf die Aufnahme von Adalimumab hat, kann für Jugendliche mit einem höheren Körpergewicht und einem nicht ausreichenden Ansprechen auf Adalimumab die empfohlene Erwachsenendosierung von 40 mg wöchentlich von Nutzen sein.</w:t>
      </w:r>
    </w:p>
    <w:p w14:paraId="7C3ACE23" w14:textId="77777777" w:rsidR="00FE291A" w:rsidRDefault="00FE291A">
      <w:pPr>
        <w:widowControl/>
        <w:kinsoku w:val="0"/>
        <w:overflowPunct w:val="0"/>
        <w:rPr>
          <w:sz w:val="22"/>
          <w:szCs w:val="22"/>
          <w:lang w:val="de-DE"/>
        </w:rPr>
      </w:pPr>
    </w:p>
    <w:p w14:paraId="770306D4" w14:textId="77777777" w:rsidR="00FE291A" w:rsidRDefault="00C8738F">
      <w:pPr>
        <w:pStyle w:val="BodyText"/>
        <w:widowControl/>
        <w:kinsoku w:val="0"/>
        <w:overflowPunct w:val="0"/>
        <w:ind w:left="0"/>
        <w:rPr>
          <w:lang w:val="de-DE"/>
        </w:rPr>
      </w:pPr>
      <w:r>
        <w:rPr>
          <w:lang w:val="de-DE"/>
        </w:rPr>
        <w:t xml:space="preserve">Bei Patienten mit Morbus Crohn wurde mit der Induktionsdosis von 80 mg Adalimumab in Woche 0, gefolgt von 40 mg Adalimumab in Woche 2, eine Talkonzentration von Adalimumab im Serum von ca. 5,5 µg/ml während der Einleitungstherapie erreicht. Mit einer Induktionsdosis von 160 mg Adalimumab in Woche 0, gefolgt von 80 mg Adalimumab in Woche 2, wurde eine Talkonzentration im Serum von ca. 12 µg/ml während der Induktionsphase erreicht. Die durchschnittliche </w:t>
      </w:r>
      <w:r>
        <w:rPr>
          <w:i/>
          <w:iCs/>
          <w:lang w:val="de-DE"/>
        </w:rPr>
        <w:t>Steady-State</w:t>
      </w:r>
      <w:r>
        <w:rPr>
          <w:lang w:val="de-DE"/>
        </w:rPr>
        <w:t>-Talkonzentration lag bei ca. 7 µg/ml bei Patienten mit Morbus Crohn, die eine Erhaltungsdosis von 40 mg Adalimumab alle zwei Wochen erhielten.</w:t>
      </w:r>
    </w:p>
    <w:p w14:paraId="4A29F0F8" w14:textId="77777777" w:rsidR="00FE291A" w:rsidRDefault="00FE291A">
      <w:pPr>
        <w:widowControl/>
        <w:kinsoku w:val="0"/>
        <w:overflowPunct w:val="0"/>
        <w:rPr>
          <w:sz w:val="22"/>
          <w:szCs w:val="22"/>
          <w:lang w:val="de-DE"/>
        </w:rPr>
      </w:pPr>
    </w:p>
    <w:p w14:paraId="460E40F8" w14:textId="77777777" w:rsidR="00FE291A" w:rsidRDefault="00C8738F">
      <w:pPr>
        <w:pStyle w:val="BodyText"/>
        <w:widowControl/>
        <w:kinsoku w:val="0"/>
        <w:overflowPunct w:val="0"/>
        <w:ind w:left="0"/>
        <w:rPr>
          <w:lang w:val="de-DE"/>
        </w:rPr>
      </w:pPr>
      <w:r>
        <w:rPr>
          <w:lang w:val="de-DE"/>
        </w:rPr>
        <w:t>Bei Kindern und Jugendlichen mit mittelschwerem bis schwerem Morbus Crohn war die offene Induktionsdosis von Adalimumab 160/80 mg oder 80/40 mg in Woche 0 bzw. 2, abhängig vom Körpergewicht mit einem Schnitt bei 40 kg. In Woche 4 wurden die Patienten auf Basis ihres Körpergewichts 1:1 entweder zur Erhaltungstherapie mit der Standarddosis (40/20 mg jede zweite Woche) oder mit der niedrigen Dosis (20/10 mg jede zweite Woche) randomisiert. Die mittleren (±SD) Serumtalkonzentrationen von Adalimumab, die in Woche 4 erreicht wurden, betrugen für Patienten ≥ 40 kg (160/80 mg) 15,7 ± 6,6 µg/ml und für Patienten &lt; 40 kg (80/40 mg) 10,6 ± 6,1 µg/ml.</w:t>
      </w:r>
    </w:p>
    <w:p w14:paraId="2BDF52FF" w14:textId="77777777" w:rsidR="00FE291A" w:rsidRDefault="00FE291A">
      <w:pPr>
        <w:widowControl/>
        <w:kinsoku w:val="0"/>
        <w:overflowPunct w:val="0"/>
        <w:rPr>
          <w:sz w:val="22"/>
          <w:szCs w:val="22"/>
          <w:lang w:val="de-DE"/>
        </w:rPr>
      </w:pPr>
    </w:p>
    <w:p w14:paraId="317FBF81" w14:textId="77777777" w:rsidR="00FE291A" w:rsidRDefault="00C8738F">
      <w:pPr>
        <w:pStyle w:val="BodyText"/>
        <w:widowControl/>
        <w:kinsoku w:val="0"/>
        <w:overflowPunct w:val="0"/>
        <w:ind w:left="0"/>
        <w:rPr>
          <w:lang w:val="de-DE"/>
        </w:rPr>
      </w:pPr>
      <w:r>
        <w:rPr>
          <w:lang w:val="de-DE"/>
        </w:rPr>
        <w:t>Für Patienten, die bei der randomisierten Therapie blieben, betrugen in Woche 52 die mittleren (±SD) Serumtalkonzentrationen von Adalimumab 9,5 ± 5,6 µg/ml für die Gruppe mit Standarddosis und 3,5 ± 2,2 µg/ml für die Gruppe mit der niedrigen Dosis. Die mittleren Talkonzentrationen blieben bei Patienten, die weiterhin jede zweite Woche eine Adalimumab-Behandlung erhielten, 52 Wochen lang erhalten. Für Patienten mit Dosiseskalation (Verabreichung von jeder zweiten Woche auf wöchentlich) betrugen die mittleren (±SD) Serumtalkonzentrationen von Adalimumab in Woche 52 15,3 ± 11,4 μg/ml (40/20 mg, wöchentlich) bzw. 6,7 ± 3,5 μg/ml (20/10 mg, wöchentlich).</w:t>
      </w:r>
    </w:p>
    <w:p w14:paraId="0CE27A8E" w14:textId="77777777" w:rsidR="00FE291A" w:rsidRDefault="00FE291A">
      <w:pPr>
        <w:widowControl/>
        <w:kinsoku w:val="0"/>
        <w:overflowPunct w:val="0"/>
        <w:rPr>
          <w:sz w:val="22"/>
          <w:szCs w:val="22"/>
          <w:lang w:val="de-DE"/>
        </w:rPr>
      </w:pPr>
    </w:p>
    <w:p w14:paraId="67844006" w14:textId="77777777" w:rsidR="00FE291A" w:rsidRDefault="00C8738F">
      <w:pPr>
        <w:pStyle w:val="BodyText"/>
        <w:widowControl/>
        <w:kinsoku w:val="0"/>
        <w:overflowPunct w:val="0"/>
        <w:ind w:left="0"/>
        <w:rPr>
          <w:lang w:val="de-DE"/>
        </w:rPr>
      </w:pPr>
      <w:r>
        <w:rPr>
          <w:lang w:val="de-DE"/>
        </w:rPr>
        <w:t xml:space="preserve">Bei Patienten mit Colitis ulcerosa wurde mit der Induktionsdosis von 160 mg Adalimumab in Woche 0, gefolgt von 80 mg Adalimumab in Woche 2, eine Talkonzentration von Adalimumab im Serum von ca. 12 µg/ml während der Einleitungstherapie erreicht. Die durchschnittliche </w:t>
      </w:r>
      <w:r>
        <w:rPr>
          <w:i/>
          <w:iCs/>
          <w:lang w:val="de-DE"/>
        </w:rPr>
        <w:t>Steady-State</w:t>
      </w:r>
      <w:r>
        <w:rPr>
          <w:lang w:val="de-DE"/>
        </w:rPr>
        <w:t>-Talkonzentration lag bei ca. 8 µg/ml bei Patienten mit Colitis ulcerosa, die eine Erhaltungsdosis von 40 mg Adalimumab alle zwei Wochen erhielten.</w:t>
      </w:r>
    </w:p>
    <w:p w14:paraId="579906FC" w14:textId="77777777" w:rsidR="00FE291A" w:rsidRDefault="00FE291A">
      <w:pPr>
        <w:widowControl/>
        <w:kinsoku w:val="0"/>
        <w:overflowPunct w:val="0"/>
        <w:rPr>
          <w:sz w:val="22"/>
          <w:szCs w:val="22"/>
          <w:lang w:val="de-DE"/>
        </w:rPr>
      </w:pPr>
    </w:p>
    <w:p w14:paraId="24ADE577" w14:textId="77777777" w:rsidR="00FE291A" w:rsidRDefault="00C8738F">
      <w:pPr>
        <w:widowControl/>
        <w:kinsoku w:val="0"/>
        <w:overflowPunct w:val="0"/>
        <w:rPr>
          <w:sz w:val="22"/>
          <w:szCs w:val="22"/>
          <w:lang w:val="de-DE"/>
        </w:rPr>
      </w:pPr>
      <w:r>
        <w:rPr>
          <w:sz w:val="22"/>
          <w:szCs w:val="22"/>
          <w:lang w:val="de-DE"/>
        </w:rPr>
        <w:t xml:space="preserve">Nach subkutaner Verabreichung einer körpergewichtsbasierten Dosis von 0,6 mg/kg (maximal 40 mg) jede zweite Woche bei Kindern und Jugendlichen mit Colitis ulcerosa betrug die mittlere </w:t>
      </w:r>
      <w:r>
        <w:rPr>
          <w:i/>
          <w:iCs/>
          <w:sz w:val="22"/>
          <w:szCs w:val="22"/>
          <w:lang w:val="de-DE"/>
        </w:rPr>
        <w:t>Steady-State-</w:t>
      </w:r>
      <w:r>
        <w:rPr>
          <w:sz w:val="22"/>
          <w:szCs w:val="22"/>
          <w:lang w:val="de-DE"/>
        </w:rPr>
        <w:t xml:space="preserve">Talkonzentration des Adalimumab-Serumspiegels in Woche 52 5,01 ± 3,28 μg/ml. Bei Patienten, die 0,6 mg/kg (maximal 40 mg) wöchentlich erhielten, betrug die mittlere (±SD) </w:t>
      </w:r>
      <w:r>
        <w:rPr>
          <w:i/>
          <w:iCs/>
          <w:sz w:val="22"/>
          <w:szCs w:val="22"/>
          <w:lang w:val="de-DE"/>
        </w:rPr>
        <w:t>Steady-State-</w:t>
      </w:r>
      <w:r>
        <w:rPr>
          <w:sz w:val="22"/>
          <w:szCs w:val="22"/>
          <w:lang w:val="de-DE"/>
        </w:rPr>
        <w:t>Talkonzentration des Adalimumab-Serumspiegels in Woche 52 15,7 ± 5,60 μg/ml.</w:t>
      </w:r>
    </w:p>
    <w:p w14:paraId="3E48B9A2" w14:textId="77777777" w:rsidR="00FE291A" w:rsidRDefault="00FE291A">
      <w:pPr>
        <w:widowControl/>
        <w:kinsoku w:val="0"/>
        <w:overflowPunct w:val="0"/>
        <w:rPr>
          <w:sz w:val="22"/>
          <w:szCs w:val="22"/>
          <w:lang w:val="de-DE"/>
        </w:rPr>
      </w:pPr>
    </w:p>
    <w:p w14:paraId="0706468F" w14:textId="77777777" w:rsidR="00FE291A" w:rsidRDefault="00C8738F">
      <w:pPr>
        <w:pStyle w:val="BodyText"/>
        <w:widowControl/>
        <w:kinsoku w:val="0"/>
        <w:overflowPunct w:val="0"/>
        <w:ind w:left="0"/>
        <w:rPr>
          <w:lang w:val="de-DE"/>
        </w:rPr>
      </w:pPr>
      <w:r>
        <w:rPr>
          <w:lang w:val="de-DE"/>
        </w:rPr>
        <w:t xml:space="preserve">Bei erwachsenen Patienten mit Uveitis wurde mit einer Induktionsdosis von 80 mg Adalimumab in Woche 0, gefolgt von 40 mg Adalimumab alle zwei Wochen ab Woche 1, eine mittlere </w:t>
      </w:r>
      <w:r>
        <w:rPr>
          <w:i/>
          <w:iCs/>
          <w:lang w:val="de-DE"/>
        </w:rPr>
        <w:t>Steady-State</w:t>
      </w:r>
      <w:r>
        <w:rPr>
          <w:lang w:val="de-DE"/>
        </w:rPr>
        <w:t>-Konzentration von ca. 8 bis 10 µg/ml erreicht.</w:t>
      </w:r>
    </w:p>
    <w:p w14:paraId="16CD9319" w14:textId="77777777" w:rsidR="00FE291A" w:rsidRDefault="00FE291A">
      <w:pPr>
        <w:pStyle w:val="BodyText"/>
        <w:widowControl/>
        <w:kinsoku w:val="0"/>
        <w:overflowPunct w:val="0"/>
        <w:ind w:left="0"/>
        <w:rPr>
          <w:lang w:val="de-DE"/>
        </w:rPr>
      </w:pPr>
    </w:p>
    <w:p w14:paraId="6790F3EE" w14:textId="77777777" w:rsidR="00FE291A" w:rsidRDefault="00C8738F">
      <w:pPr>
        <w:pStyle w:val="BodyText"/>
        <w:widowControl/>
        <w:kinsoku w:val="0"/>
        <w:overflowPunct w:val="0"/>
        <w:ind w:left="0"/>
        <w:rPr>
          <w:lang w:val="de-DE"/>
        </w:rPr>
      </w:pPr>
      <w:r>
        <w:rPr>
          <w:rFonts w:cs="Calibri"/>
          <w:lang w:val="de-DE"/>
        </w:rPr>
        <w:t>Die Adalimumab-Exposition bei pädiatrischen Uveitis-Patienten wurde anhand von pharmakokinetischen Populationsmodellen und von Simulationen auf Basis der indikationsübergreifenden Pharmakokinetik bei anderen Kindern und Jugendlichen (Psoriasis bei Kindern und Jugendlichen, juvenile idiopathische Arthritis, Morbus Crohn bei Kindern und Jugendlichen sowie Enthesitis-assoziierte Arthritis) bestimmt. Es gibt keine klinischen Expositionsdaten für die Verwendung einer Induktionsdosis bei Kindern &lt; 6 Jahren. Die prognostizierten Expositionen weisen darauf hin, dass in der Abwesenheit von Methotrexat eine Induktionsdosis zu einem anfänglichen Anstieg der systemischen Exposition führen könnte.</w:t>
      </w:r>
    </w:p>
    <w:p w14:paraId="3EEAE719" w14:textId="77777777" w:rsidR="00FE291A" w:rsidRDefault="00FE291A">
      <w:pPr>
        <w:widowControl/>
        <w:kinsoku w:val="0"/>
        <w:overflowPunct w:val="0"/>
        <w:rPr>
          <w:sz w:val="22"/>
          <w:szCs w:val="22"/>
          <w:lang w:val="de-DE"/>
        </w:rPr>
      </w:pPr>
    </w:p>
    <w:p w14:paraId="54B08AAA" w14:textId="77777777" w:rsidR="00FE291A" w:rsidRDefault="00C8738F">
      <w:pPr>
        <w:widowControl/>
        <w:kinsoku w:val="0"/>
        <w:overflowPunct w:val="0"/>
        <w:rPr>
          <w:sz w:val="22"/>
          <w:szCs w:val="22"/>
          <w:lang w:val="de-DE"/>
        </w:rPr>
      </w:pPr>
      <w:r>
        <w:rPr>
          <w:sz w:val="22"/>
          <w:szCs w:val="22"/>
          <w:lang w:val="de-DE"/>
        </w:rPr>
        <w:t>Pharmakokinetische und pharmakodynamische Modelle und Simulationen sagten für Patienten, die mit 80 mg jede zweite Woche behandelt wurden, eine vergleichbare Adalimumab-Exposition und Wirksamkeit voraus wie bei Patienten, die mit 40 mg jede Woche behandelt wurden (eingeschlossen waren erwachsene Patienten mit rheumatoider Arthritis (RA), Hidradenitis suppurativa (HS), Colitis ulcerosa (CU), Morbus Crohn (MC) oder Psoriasis (Pso), jugendliche Patienten mit HS sowie Kinder und Jugendliche mit MC und CU ≥ 40 kg).</w:t>
      </w:r>
    </w:p>
    <w:p w14:paraId="13C47AC5" w14:textId="77777777" w:rsidR="00FE291A" w:rsidRDefault="00FE291A">
      <w:pPr>
        <w:widowControl/>
        <w:kinsoku w:val="0"/>
        <w:overflowPunct w:val="0"/>
        <w:rPr>
          <w:sz w:val="22"/>
          <w:szCs w:val="22"/>
          <w:lang w:val="de-DE"/>
        </w:rPr>
      </w:pPr>
    </w:p>
    <w:p w14:paraId="73A69754" w14:textId="77777777" w:rsidR="00FE291A" w:rsidRDefault="00C8738F">
      <w:pPr>
        <w:keepNext/>
        <w:keepLines/>
        <w:widowControl/>
        <w:rPr>
          <w:sz w:val="22"/>
          <w:szCs w:val="22"/>
          <w:lang w:val="de-DE"/>
        </w:rPr>
      </w:pPr>
      <w:r>
        <w:rPr>
          <w:sz w:val="22"/>
          <w:szCs w:val="22"/>
          <w:u w:val="single"/>
          <w:lang w:val="de-DE"/>
        </w:rPr>
        <w:t>Dosis-Wirkungsbeziehung bei Kindern und Jugendlichen</w:t>
      </w:r>
    </w:p>
    <w:p w14:paraId="59086175" w14:textId="77777777" w:rsidR="00FE291A" w:rsidRDefault="00FE291A">
      <w:pPr>
        <w:keepNext/>
        <w:keepLines/>
        <w:widowControl/>
        <w:rPr>
          <w:sz w:val="22"/>
          <w:szCs w:val="22"/>
          <w:lang w:val="de-DE"/>
        </w:rPr>
      </w:pPr>
    </w:p>
    <w:p w14:paraId="318FADBB" w14:textId="77777777" w:rsidR="00FE291A" w:rsidRDefault="00C8738F">
      <w:pPr>
        <w:keepNext/>
        <w:keepLines/>
        <w:widowControl/>
        <w:rPr>
          <w:sz w:val="22"/>
          <w:szCs w:val="22"/>
          <w:lang w:val="de-DE"/>
        </w:rPr>
      </w:pPr>
      <w:r>
        <w:rPr>
          <w:sz w:val="22"/>
          <w:szCs w:val="22"/>
          <w:lang w:val="de-DE"/>
        </w:rPr>
        <w:t>Auf Basis klinischer Studiendaten von Patienten mit JIA (pJIA und EAA) wurde eine Dosis-Wirkungsbeziehung zwischen den Plasmakonzentrationen und dem PedACR-50-Ansprechen bestimmt. Die Adalimumab-Plasmakonzentration, die offenbar zur mittleren maximalen Wahrscheinlichkeit eines PedACR-50-Ansprechens (EC</w:t>
      </w:r>
      <w:r>
        <w:rPr>
          <w:sz w:val="22"/>
          <w:szCs w:val="22"/>
          <w:vertAlign w:val="subscript"/>
          <w:lang w:val="de-DE"/>
        </w:rPr>
        <w:t>50</w:t>
      </w:r>
      <w:r>
        <w:rPr>
          <w:sz w:val="22"/>
          <w:szCs w:val="22"/>
          <w:lang w:val="de-DE"/>
        </w:rPr>
        <w:t>) führt, lag bei 3 µg/ml (95 % KI 1 – 6 µg/ml).</w:t>
      </w:r>
    </w:p>
    <w:p w14:paraId="7008ABCF" w14:textId="77777777" w:rsidR="00FE291A" w:rsidRDefault="00FE291A">
      <w:pPr>
        <w:rPr>
          <w:sz w:val="22"/>
          <w:szCs w:val="22"/>
          <w:lang w:val="de-DE"/>
        </w:rPr>
      </w:pPr>
    </w:p>
    <w:p w14:paraId="17B40BFA" w14:textId="77777777" w:rsidR="00FE291A" w:rsidRDefault="00C8738F">
      <w:pPr>
        <w:widowControl/>
        <w:kinsoku w:val="0"/>
        <w:overflowPunct w:val="0"/>
        <w:rPr>
          <w:sz w:val="22"/>
          <w:szCs w:val="22"/>
          <w:lang w:val="de-DE"/>
        </w:rPr>
      </w:pPr>
      <w:r>
        <w:rPr>
          <w:sz w:val="22"/>
          <w:szCs w:val="22"/>
          <w:lang w:val="de-DE"/>
        </w:rPr>
        <w:t>Dosis-Wirkungsbeziehungen zwischen der Adalimumab-Konzentration und der Wirksamkeit bei Kindern und Jugendlichen mit schwerer chronischer Plaque-Psoriasis wurden für den PASI-75 bzw. die PGA-</w:t>
      </w:r>
      <w:r>
        <w:rPr>
          <w:i/>
          <w:iCs/>
          <w:sz w:val="22"/>
          <w:szCs w:val="22"/>
          <w:lang w:val="de-DE"/>
        </w:rPr>
        <w:t>Scores</w:t>
      </w:r>
      <w:r>
        <w:rPr>
          <w:sz w:val="22"/>
          <w:szCs w:val="22"/>
          <w:lang w:val="de-DE"/>
        </w:rPr>
        <w:t xml:space="preserve"> „klares Hautbild“ oder „nahezu klares Hautbild“ festgelegt. Die Häufigkeiten des PASI-75 und der PGA-</w:t>
      </w:r>
      <w:r>
        <w:rPr>
          <w:i/>
          <w:iCs/>
          <w:sz w:val="22"/>
          <w:szCs w:val="22"/>
          <w:lang w:val="de-DE"/>
        </w:rPr>
        <w:t>Scores</w:t>
      </w:r>
      <w:r>
        <w:rPr>
          <w:sz w:val="22"/>
          <w:szCs w:val="22"/>
          <w:lang w:val="de-DE"/>
        </w:rPr>
        <w:t xml:space="preserve"> „klares Hautbild“ oder „nahezu klares Hautbild“ nahmen mit zunehmender Adalimumab-Konzentration zu, beide mit einer offensichtlich vergleichbaren EC</w:t>
      </w:r>
      <w:r>
        <w:rPr>
          <w:sz w:val="22"/>
          <w:szCs w:val="22"/>
          <w:vertAlign w:val="subscript"/>
          <w:lang w:val="de-DE"/>
        </w:rPr>
        <w:t>50</w:t>
      </w:r>
      <w:r>
        <w:rPr>
          <w:sz w:val="22"/>
          <w:szCs w:val="22"/>
          <w:lang w:val="de-DE"/>
        </w:rPr>
        <w:t xml:space="preserve"> von etwa 4,5 µg/ml (95 % KI 0,4 – 47,6 beziehungsweise 1,9 – 10,5).</w:t>
      </w:r>
    </w:p>
    <w:p w14:paraId="713C3F53" w14:textId="77777777" w:rsidR="00FE291A" w:rsidRDefault="00FE291A">
      <w:pPr>
        <w:widowControl/>
        <w:kinsoku w:val="0"/>
        <w:overflowPunct w:val="0"/>
        <w:rPr>
          <w:sz w:val="22"/>
          <w:szCs w:val="22"/>
          <w:lang w:val="de-DE"/>
        </w:rPr>
      </w:pPr>
    </w:p>
    <w:p w14:paraId="2F563443" w14:textId="77777777" w:rsidR="00FE291A" w:rsidRDefault="00C8738F">
      <w:pPr>
        <w:pStyle w:val="BodyText"/>
        <w:keepNext/>
        <w:widowControl/>
        <w:kinsoku w:val="0"/>
        <w:overflowPunct w:val="0"/>
        <w:ind w:left="0"/>
        <w:rPr>
          <w:lang w:val="de-DE"/>
        </w:rPr>
      </w:pPr>
      <w:r>
        <w:rPr>
          <w:u w:val="single"/>
          <w:lang w:val="de-DE"/>
        </w:rPr>
        <w:t>Elimination</w:t>
      </w:r>
    </w:p>
    <w:p w14:paraId="191FB167" w14:textId="77777777" w:rsidR="00FE291A" w:rsidRDefault="00FE291A">
      <w:pPr>
        <w:keepNext/>
        <w:widowControl/>
        <w:kinsoku w:val="0"/>
        <w:overflowPunct w:val="0"/>
        <w:rPr>
          <w:sz w:val="22"/>
          <w:szCs w:val="22"/>
          <w:lang w:val="de-DE"/>
        </w:rPr>
      </w:pPr>
    </w:p>
    <w:p w14:paraId="6FE585B2" w14:textId="77777777" w:rsidR="00FE291A" w:rsidRDefault="00C8738F">
      <w:pPr>
        <w:pStyle w:val="BodyText"/>
        <w:widowControl/>
        <w:kinsoku w:val="0"/>
        <w:overflowPunct w:val="0"/>
        <w:ind w:left="0"/>
        <w:rPr>
          <w:lang w:val="de-DE"/>
        </w:rPr>
      </w:pPr>
      <w:r>
        <w:rPr>
          <w:lang w:val="de-DE"/>
        </w:rPr>
        <w:t>Pharmakokinetische Analysen anhand des Datenbestandes von über 1 300 RA-Patienten ergaben eine Tendenz zu einer höheren scheinbaren Adalimumab-</w:t>
      </w:r>
      <w:r>
        <w:rPr>
          <w:i/>
          <w:iCs/>
          <w:lang w:val="de-DE"/>
        </w:rPr>
        <w:t xml:space="preserve">Clearance </w:t>
      </w:r>
      <w:r>
        <w:rPr>
          <w:lang w:val="de-DE"/>
        </w:rPr>
        <w:t>bei steigendem Körpergewicht. Nach Korrektur hinsichtlich der Gewichtsunterschiede schien der Einfluss von Geschlecht und Alter auf die Adalimumab-</w:t>
      </w:r>
      <w:r>
        <w:rPr>
          <w:i/>
          <w:iCs/>
          <w:lang w:val="de-DE"/>
        </w:rPr>
        <w:t xml:space="preserve">Clearance </w:t>
      </w:r>
      <w:r>
        <w:rPr>
          <w:lang w:val="de-DE"/>
        </w:rPr>
        <w:t>gering zu sein. Die Serumkonzentrationen an freiem, nicht an Anti- Adalimumab-Antikörper (AAA) gebundenem Adalimumab waren niedriger bei Patienten mit messbaren AAA.</w:t>
      </w:r>
    </w:p>
    <w:p w14:paraId="5346F03B" w14:textId="77777777" w:rsidR="00FE291A" w:rsidRDefault="00FE291A">
      <w:pPr>
        <w:widowControl/>
        <w:kinsoku w:val="0"/>
        <w:overflowPunct w:val="0"/>
        <w:rPr>
          <w:sz w:val="22"/>
          <w:szCs w:val="22"/>
          <w:lang w:val="de-DE"/>
        </w:rPr>
      </w:pPr>
    </w:p>
    <w:p w14:paraId="637AD6EE" w14:textId="77777777" w:rsidR="00FE291A" w:rsidRDefault="00C8738F">
      <w:pPr>
        <w:pStyle w:val="BodyText"/>
        <w:keepNext/>
        <w:widowControl/>
        <w:kinsoku w:val="0"/>
        <w:overflowPunct w:val="0"/>
        <w:ind w:left="0"/>
        <w:rPr>
          <w:lang w:val="de-DE"/>
        </w:rPr>
      </w:pPr>
      <w:r>
        <w:rPr>
          <w:u w:val="single"/>
          <w:lang w:val="de-DE"/>
        </w:rPr>
        <w:t>Eingeschränkte Leber- oder Nierenfunktion</w:t>
      </w:r>
    </w:p>
    <w:p w14:paraId="7A945DF2" w14:textId="77777777" w:rsidR="00FE291A" w:rsidRDefault="00FE291A">
      <w:pPr>
        <w:keepNext/>
        <w:widowControl/>
        <w:kinsoku w:val="0"/>
        <w:overflowPunct w:val="0"/>
        <w:rPr>
          <w:sz w:val="22"/>
          <w:szCs w:val="22"/>
          <w:lang w:val="de-DE"/>
        </w:rPr>
      </w:pPr>
    </w:p>
    <w:p w14:paraId="28E505ED" w14:textId="77777777" w:rsidR="00FE291A" w:rsidRDefault="00C8738F">
      <w:pPr>
        <w:pStyle w:val="BodyText"/>
        <w:widowControl/>
        <w:kinsoku w:val="0"/>
        <w:overflowPunct w:val="0"/>
        <w:ind w:left="0"/>
        <w:rPr>
          <w:lang w:val="de-DE"/>
        </w:rPr>
      </w:pPr>
      <w:r>
        <w:rPr>
          <w:lang w:val="de-DE"/>
        </w:rPr>
        <w:t>Adalimumab wurde bei Patienten mit eingeschränkter Leber- oder Nierenfunktion nicht untersucht.</w:t>
      </w:r>
    </w:p>
    <w:p w14:paraId="7521160F" w14:textId="77777777" w:rsidR="00FE291A" w:rsidRDefault="00FE291A">
      <w:pPr>
        <w:widowControl/>
        <w:kinsoku w:val="0"/>
        <w:overflowPunct w:val="0"/>
        <w:rPr>
          <w:sz w:val="22"/>
          <w:szCs w:val="22"/>
          <w:lang w:val="de-DE"/>
        </w:rPr>
      </w:pPr>
    </w:p>
    <w:p w14:paraId="115829CC" w14:textId="77777777" w:rsidR="00FE291A" w:rsidRDefault="00C8738F">
      <w:pPr>
        <w:pStyle w:val="Heading1"/>
        <w:keepNext/>
        <w:widowControl/>
        <w:numPr>
          <w:ilvl w:val="1"/>
          <w:numId w:val="13"/>
        </w:numPr>
        <w:tabs>
          <w:tab w:val="left" w:pos="567"/>
        </w:tabs>
        <w:kinsoku w:val="0"/>
        <w:overflowPunct w:val="0"/>
        <w:ind w:left="0" w:firstLine="0"/>
        <w:rPr>
          <w:b w:val="0"/>
          <w:bCs w:val="0"/>
          <w:lang w:val="de-DE"/>
        </w:rPr>
      </w:pPr>
      <w:r>
        <w:rPr>
          <w:lang w:val="de-DE"/>
        </w:rPr>
        <w:t>Präklinische Daten zur Sicherheit</w:t>
      </w:r>
    </w:p>
    <w:p w14:paraId="7E4843C2" w14:textId="77777777" w:rsidR="00FE291A" w:rsidRDefault="00FE291A">
      <w:pPr>
        <w:keepNext/>
        <w:widowControl/>
        <w:kinsoku w:val="0"/>
        <w:overflowPunct w:val="0"/>
        <w:rPr>
          <w:sz w:val="22"/>
          <w:szCs w:val="22"/>
          <w:lang w:val="de-DE"/>
        </w:rPr>
      </w:pPr>
    </w:p>
    <w:p w14:paraId="355C62B6" w14:textId="77777777" w:rsidR="00FE291A" w:rsidRDefault="00C8738F">
      <w:pPr>
        <w:pStyle w:val="BodyText"/>
        <w:widowControl/>
        <w:kinsoku w:val="0"/>
        <w:overflowPunct w:val="0"/>
        <w:ind w:left="0"/>
        <w:rPr>
          <w:lang w:val="de-DE"/>
        </w:rPr>
      </w:pPr>
      <w:r>
        <w:rPr>
          <w:lang w:val="de-DE"/>
        </w:rPr>
        <w:t>Basierend auf den Studien zur Einzeldosistoxizität, Toxizität bei wiederholter Gabe und Genotoxizität lassen die präklinischen Daten keine besondere Gefahren für Menschen erkennen.</w:t>
      </w:r>
    </w:p>
    <w:p w14:paraId="3443B610" w14:textId="77777777" w:rsidR="00FE291A" w:rsidRDefault="00FE291A">
      <w:pPr>
        <w:widowControl/>
        <w:kinsoku w:val="0"/>
        <w:overflowPunct w:val="0"/>
        <w:rPr>
          <w:sz w:val="22"/>
          <w:szCs w:val="22"/>
          <w:lang w:val="de-DE"/>
        </w:rPr>
      </w:pPr>
    </w:p>
    <w:p w14:paraId="24AC4467" w14:textId="77777777" w:rsidR="00FE291A" w:rsidRDefault="00C8738F">
      <w:pPr>
        <w:pStyle w:val="BodyText"/>
        <w:widowControl/>
        <w:kinsoku w:val="0"/>
        <w:overflowPunct w:val="0"/>
        <w:ind w:left="0"/>
        <w:rPr>
          <w:lang w:val="de-DE"/>
        </w:rPr>
      </w:pPr>
      <w:r>
        <w:rPr>
          <w:lang w:val="de-DE"/>
        </w:rPr>
        <w:t>Eine Studie zur Toxizität der embryofetalen/perinatalen Entwicklung wurde bei Cynomolgus-Affen mit 0, 30 und 100 mg/kg (9 – 17 Affen/Gruppe) durchgeführt. Es gab keine Hinweise auf eine Schädigung der Feten durch Adalimumab. Weder Kanzerogenitätsstudien noch eine Standardstudie zur Fertilität und Postnataltoxizität wurden mit Adalimumab durchgeführt, da entsprechende Modelle für einen Antikörper mit begrenzter Kreuzreaktivität mit Nagetier-TNF nicht vorhanden sind und die Entwicklung neutralisierender Antikörper bei Nagetieren fehlt.</w:t>
      </w:r>
    </w:p>
    <w:p w14:paraId="7FC8ECEB" w14:textId="77777777" w:rsidR="00FE291A" w:rsidRDefault="00FE291A">
      <w:pPr>
        <w:pStyle w:val="BodyText"/>
        <w:widowControl/>
        <w:kinsoku w:val="0"/>
        <w:overflowPunct w:val="0"/>
        <w:ind w:left="0"/>
        <w:rPr>
          <w:lang w:val="de-DE"/>
        </w:rPr>
      </w:pPr>
    </w:p>
    <w:p w14:paraId="5A35FAD7" w14:textId="77777777" w:rsidR="00FE291A" w:rsidRDefault="00FE291A">
      <w:pPr>
        <w:pStyle w:val="BodyText"/>
        <w:widowControl/>
        <w:kinsoku w:val="0"/>
        <w:overflowPunct w:val="0"/>
        <w:ind w:left="0"/>
        <w:rPr>
          <w:lang w:val="de-DE"/>
        </w:rPr>
      </w:pPr>
    </w:p>
    <w:p w14:paraId="63E4F387" w14:textId="77777777" w:rsidR="00FE291A" w:rsidRDefault="00C8738F">
      <w:pPr>
        <w:pStyle w:val="Heading1"/>
        <w:widowControl/>
        <w:numPr>
          <w:ilvl w:val="0"/>
          <w:numId w:val="7"/>
        </w:numPr>
        <w:tabs>
          <w:tab w:val="left" w:pos="567"/>
        </w:tabs>
        <w:kinsoku w:val="0"/>
        <w:overflowPunct w:val="0"/>
        <w:ind w:left="0" w:firstLine="0"/>
        <w:rPr>
          <w:b w:val="0"/>
          <w:bCs w:val="0"/>
          <w:lang w:val="de-DE"/>
        </w:rPr>
        <w:pPrChange w:id="23" w:author="Author">
          <w:pPr>
            <w:pStyle w:val="Heading1"/>
            <w:keepNext/>
            <w:keepLines/>
            <w:widowControl/>
            <w:numPr>
              <w:numId w:val="7"/>
            </w:numPr>
            <w:tabs>
              <w:tab w:val="left" w:pos="567"/>
            </w:tabs>
            <w:kinsoku w:val="0"/>
            <w:overflowPunct w:val="0"/>
            <w:ind w:left="0" w:hanging="574"/>
          </w:pPr>
        </w:pPrChange>
      </w:pPr>
      <w:r>
        <w:rPr>
          <w:lang w:val="de-DE"/>
        </w:rPr>
        <w:t>PHARMAZEUTISCHE ANGABEN</w:t>
      </w:r>
    </w:p>
    <w:p w14:paraId="615F71AF" w14:textId="77777777" w:rsidR="00FE291A" w:rsidRDefault="00FE291A">
      <w:pPr>
        <w:widowControl/>
        <w:kinsoku w:val="0"/>
        <w:overflowPunct w:val="0"/>
        <w:rPr>
          <w:sz w:val="22"/>
          <w:szCs w:val="26"/>
          <w:lang w:val="de-DE"/>
        </w:rPr>
        <w:pPrChange w:id="24" w:author="Author">
          <w:pPr>
            <w:keepNext/>
            <w:keepLines/>
            <w:widowControl/>
            <w:kinsoku w:val="0"/>
            <w:overflowPunct w:val="0"/>
          </w:pPr>
        </w:pPrChange>
      </w:pPr>
    </w:p>
    <w:p w14:paraId="25993924" w14:textId="77777777" w:rsidR="00FE291A" w:rsidRDefault="00C8738F">
      <w:pPr>
        <w:widowControl/>
        <w:numPr>
          <w:ilvl w:val="1"/>
          <w:numId w:val="7"/>
        </w:numPr>
        <w:tabs>
          <w:tab w:val="left" w:pos="567"/>
        </w:tabs>
        <w:kinsoku w:val="0"/>
        <w:overflowPunct w:val="0"/>
        <w:ind w:firstLine="0"/>
        <w:rPr>
          <w:sz w:val="22"/>
          <w:szCs w:val="22"/>
          <w:lang w:val="de-DE"/>
        </w:rPr>
        <w:pPrChange w:id="25" w:author="Author">
          <w:pPr>
            <w:keepNext/>
            <w:keepLines/>
            <w:widowControl/>
            <w:numPr>
              <w:ilvl w:val="1"/>
              <w:numId w:val="7"/>
            </w:numPr>
            <w:tabs>
              <w:tab w:val="left" w:pos="567"/>
            </w:tabs>
            <w:kinsoku w:val="0"/>
            <w:overflowPunct w:val="0"/>
            <w:ind w:hanging="567"/>
          </w:pPr>
        </w:pPrChange>
      </w:pPr>
      <w:r>
        <w:rPr>
          <w:b/>
          <w:bCs/>
          <w:sz w:val="22"/>
          <w:szCs w:val="22"/>
          <w:lang w:val="de-DE"/>
        </w:rPr>
        <w:t>Liste der sonstigen Bestandteile</w:t>
      </w:r>
    </w:p>
    <w:p w14:paraId="0231E982" w14:textId="77777777" w:rsidR="00FE291A" w:rsidRDefault="00FE291A">
      <w:pPr>
        <w:widowControl/>
        <w:kinsoku w:val="0"/>
        <w:overflowPunct w:val="0"/>
        <w:rPr>
          <w:sz w:val="22"/>
          <w:szCs w:val="22"/>
          <w:lang w:val="de-DE"/>
        </w:rPr>
        <w:pPrChange w:id="26" w:author="Author">
          <w:pPr>
            <w:keepNext/>
            <w:keepLines/>
            <w:widowControl/>
            <w:kinsoku w:val="0"/>
            <w:overflowPunct w:val="0"/>
          </w:pPr>
        </w:pPrChange>
      </w:pPr>
    </w:p>
    <w:p w14:paraId="4FD7C205" w14:textId="77777777" w:rsidR="00FE291A" w:rsidRDefault="00C8738F">
      <w:pPr>
        <w:pStyle w:val="BodyText"/>
        <w:widowControl/>
        <w:kinsoku w:val="0"/>
        <w:overflowPunct w:val="0"/>
        <w:ind w:left="0"/>
        <w:rPr>
          <w:lang w:val="de-DE"/>
        </w:rPr>
        <w:pPrChange w:id="27" w:author="Author">
          <w:pPr>
            <w:pStyle w:val="BodyText"/>
            <w:keepNext/>
            <w:keepLines/>
            <w:widowControl/>
            <w:kinsoku w:val="0"/>
            <w:overflowPunct w:val="0"/>
            <w:ind w:left="0"/>
          </w:pPr>
        </w:pPrChange>
      </w:pPr>
      <w:r>
        <w:rPr>
          <w:lang w:val="de-DE"/>
        </w:rPr>
        <w:t>Essigsäure 99 %</w:t>
      </w:r>
    </w:p>
    <w:p w14:paraId="233B1096" w14:textId="77777777" w:rsidR="00FE291A" w:rsidRDefault="00C8738F">
      <w:pPr>
        <w:pStyle w:val="BodyText"/>
        <w:widowControl/>
        <w:kinsoku w:val="0"/>
        <w:overflowPunct w:val="0"/>
        <w:ind w:left="0"/>
        <w:rPr>
          <w:lang w:val="de-DE"/>
        </w:rPr>
        <w:pPrChange w:id="28" w:author="Author">
          <w:pPr>
            <w:pStyle w:val="BodyText"/>
            <w:keepNext/>
            <w:keepLines/>
            <w:widowControl/>
            <w:kinsoku w:val="0"/>
            <w:overflowPunct w:val="0"/>
            <w:ind w:left="0"/>
          </w:pPr>
        </w:pPrChange>
      </w:pPr>
      <w:r>
        <w:rPr>
          <w:lang w:val="de-DE"/>
        </w:rPr>
        <w:t>Saccharose</w:t>
      </w:r>
    </w:p>
    <w:p w14:paraId="2BF82203" w14:textId="77777777" w:rsidR="00FE291A" w:rsidRDefault="00C8738F">
      <w:pPr>
        <w:pStyle w:val="BodyText"/>
        <w:widowControl/>
        <w:kinsoku w:val="0"/>
        <w:overflowPunct w:val="0"/>
        <w:ind w:left="0"/>
        <w:rPr>
          <w:lang w:val="de-DE"/>
        </w:rPr>
        <w:pPrChange w:id="29" w:author="Author">
          <w:pPr>
            <w:pStyle w:val="BodyText"/>
            <w:keepNext/>
            <w:keepLines/>
            <w:widowControl/>
            <w:kinsoku w:val="0"/>
            <w:overflowPunct w:val="0"/>
            <w:ind w:left="0"/>
          </w:pPr>
        </w:pPrChange>
      </w:pPr>
      <w:r>
        <w:rPr>
          <w:lang w:val="de-DE"/>
        </w:rPr>
        <w:t>Polysorbat 80</w:t>
      </w:r>
    </w:p>
    <w:p w14:paraId="693D868F" w14:textId="77777777" w:rsidR="00FE291A" w:rsidRDefault="00C8738F">
      <w:pPr>
        <w:pStyle w:val="BodyText"/>
        <w:widowControl/>
        <w:kinsoku w:val="0"/>
        <w:overflowPunct w:val="0"/>
        <w:ind w:left="0"/>
        <w:rPr>
          <w:lang w:val="de-DE"/>
        </w:rPr>
        <w:pPrChange w:id="30" w:author="Author">
          <w:pPr>
            <w:pStyle w:val="BodyText"/>
            <w:keepNext/>
            <w:keepLines/>
            <w:widowControl/>
            <w:kinsoku w:val="0"/>
            <w:overflowPunct w:val="0"/>
            <w:ind w:left="0"/>
          </w:pPr>
        </w:pPrChange>
      </w:pPr>
      <w:r>
        <w:rPr>
          <w:lang w:val="de-DE"/>
        </w:rPr>
        <w:t>Natriumhydroxid (zur pH-Wert-Einstellung)</w:t>
      </w:r>
    </w:p>
    <w:p w14:paraId="78600200" w14:textId="77777777" w:rsidR="00FE291A" w:rsidRDefault="00C8738F">
      <w:pPr>
        <w:pStyle w:val="BodyText"/>
        <w:widowControl/>
        <w:kinsoku w:val="0"/>
        <w:overflowPunct w:val="0"/>
        <w:ind w:left="0"/>
        <w:rPr>
          <w:lang w:val="de-DE"/>
        </w:rPr>
        <w:pPrChange w:id="31" w:author="Author">
          <w:pPr>
            <w:pStyle w:val="BodyText"/>
            <w:keepNext/>
            <w:keepLines/>
            <w:widowControl/>
            <w:kinsoku w:val="0"/>
            <w:overflowPunct w:val="0"/>
            <w:ind w:left="0"/>
          </w:pPr>
        </w:pPrChange>
      </w:pPr>
      <w:r>
        <w:rPr>
          <w:lang w:val="de-DE"/>
        </w:rPr>
        <w:t>Wasser für Injektionszwecke</w:t>
      </w:r>
    </w:p>
    <w:p w14:paraId="1639A2FA" w14:textId="77777777" w:rsidR="00FE291A" w:rsidRDefault="00FE291A">
      <w:pPr>
        <w:widowControl/>
        <w:kinsoku w:val="0"/>
        <w:overflowPunct w:val="0"/>
        <w:rPr>
          <w:sz w:val="22"/>
          <w:szCs w:val="22"/>
          <w:lang w:val="de-DE"/>
        </w:rPr>
      </w:pPr>
    </w:p>
    <w:p w14:paraId="3C2E16BB" w14:textId="77777777" w:rsidR="00FE291A" w:rsidRDefault="00C8738F">
      <w:pPr>
        <w:pStyle w:val="Heading1"/>
        <w:keepNext/>
        <w:widowControl/>
        <w:numPr>
          <w:ilvl w:val="1"/>
          <w:numId w:val="7"/>
        </w:numPr>
        <w:kinsoku w:val="0"/>
        <w:overflowPunct w:val="0"/>
        <w:ind w:left="567"/>
        <w:rPr>
          <w:b w:val="0"/>
          <w:bCs w:val="0"/>
          <w:lang w:val="de-DE"/>
        </w:rPr>
      </w:pPr>
      <w:r>
        <w:rPr>
          <w:lang w:val="de-DE"/>
        </w:rPr>
        <w:t>Inkompatibilitäten</w:t>
      </w:r>
    </w:p>
    <w:p w14:paraId="4F2AC977" w14:textId="77777777" w:rsidR="00FE291A" w:rsidRDefault="00FE291A">
      <w:pPr>
        <w:keepNext/>
        <w:widowControl/>
        <w:kinsoku w:val="0"/>
        <w:overflowPunct w:val="0"/>
        <w:rPr>
          <w:sz w:val="22"/>
          <w:szCs w:val="26"/>
          <w:lang w:val="de-DE"/>
        </w:rPr>
      </w:pPr>
    </w:p>
    <w:p w14:paraId="377FC9A6" w14:textId="77777777" w:rsidR="00FE291A" w:rsidRDefault="00C8738F">
      <w:pPr>
        <w:pStyle w:val="BodyText"/>
        <w:keepNext/>
        <w:widowControl/>
        <w:kinsoku w:val="0"/>
        <w:overflowPunct w:val="0"/>
        <w:ind w:left="0"/>
        <w:rPr>
          <w:lang w:val="de-DE"/>
        </w:rPr>
      </w:pPr>
      <w:r>
        <w:rPr>
          <w:lang w:val="de-DE"/>
        </w:rPr>
        <w:t>Da keine Kompatibilitätsstudien durchgeführt wurden, darf dieses Arzneimittel nicht mit anderen Arzneimitteln gemischt werden.</w:t>
      </w:r>
    </w:p>
    <w:p w14:paraId="3C67C2F7" w14:textId="77777777" w:rsidR="00FE291A" w:rsidRDefault="00FE291A">
      <w:pPr>
        <w:widowControl/>
        <w:kinsoku w:val="0"/>
        <w:overflowPunct w:val="0"/>
        <w:rPr>
          <w:sz w:val="22"/>
          <w:szCs w:val="26"/>
          <w:lang w:val="de-DE"/>
        </w:rPr>
      </w:pPr>
    </w:p>
    <w:p w14:paraId="73AF5984" w14:textId="77777777" w:rsidR="00FE291A" w:rsidRDefault="00C8738F">
      <w:pPr>
        <w:pStyle w:val="Heading1"/>
        <w:keepNext/>
        <w:keepLines/>
        <w:widowControl/>
        <w:numPr>
          <w:ilvl w:val="1"/>
          <w:numId w:val="7"/>
        </w:numPr>
        <w:tabs>
          <w:tab w:val="left" w:pos="567"/>
        </w:tabs>
        <w:kinsoku w:val="0"/>
        <w:overflowPunct w:val="0"/>
        <w:ind w:left="0" w:firstLine="0"/>
        <w:rPr>
          <w:b w:val="0"/>
          <w:bCs w:val="0"/>
          <w:lang w:val="de-DE"/>
        </w:rPr>
      </w:pPr>
      <w:r>
        <w:rPr>
          <w:lang w:val="de-DE"/>
        </w:rPr>
        <w:t>Dauer der Haltbarkeit</w:t>
      </w:r>
    </w:p>
    <w:p w14:paraId="290A0A5A" w14:textId="77777777" w:rsidR="00FE291A" w:rsidRDefault="00FE291A">
      <w:pPr>
        <w:keepNext/>
        <w:widowControl/>
        <w:kinsoku w:val="0"/>
        <w:overflowPunct w:val="0"/>
        <w:rPr>
          <w:sz w:val="22"/>
          <w:szCs w:val="22"/>
          <w:lang w:val="de-DE"/>
        </w:rPr>
      </w:pPr>
    </w:p>
    <w:p w14:paraId="013BD9AB" w14:textId="77777777" w:rsidR="00FE291A" w:rsidRDefault="00C8738F">
      <w:pPr>
        <w:pStyle w:val="BodyText"/>
        <w:keepNext/>
        <w:widowControl/>
        <w:kinsoku w:val="0"/>
        <w:overflowPunct w:val="0"/>
        <w:ind w:left="0"/>
        <w:rPr>
          <w:lang w:val="de-DE"/>
        </w:rPr>
      </w:pPr>
      <w:r>
        <w:rPr>
          <w:lang w:val="de-DE"/>
        </w:rPr>
        <w:t>3 Jahre</w:t>
      </w:r>
    </w:p>
    <w:p w14:paraId="701A26B9" w14:textId="77777777" w:rsidR="00FE291A" w:rsidRDefault="00FE291A">
      <w:pPr>
        <w:widowControl/>
        <w:kinsoku w:val="0"/>
        <w:overflowPunct w:val="0"/>
        <w:rPr>
          <w:sz w:val="22"/>
          <w:szCs w:val="22"/>
          <w:lang w:val="de-DE"/>
        </w:rPr>
      </w:pPr>
    </w:p>
    <w:p w14:paraId="364C6A7D" w14:textId="77777777" w:rsidR="00FE291A" w:rsidRDefault="00C8738F">
      <w:pPr>
        <w:pStyle w:val="Heading1"/>
        <w:keepNext/>
        <w:widowControl/>
        <w:numPr>
          <w:ilvl w:val="1"/>
          <w:numId w:val="7"/>
        </w:numPr>
        <w:tabs>
          <w:tab w:val="left" w:pos="567"/>
        </w:tabs>
        <w:kinsoku w:val="0"/>
        <w:overflowPunct w:val="0"/>
        <w:ind w:left="0" w:firstLine="0"/>
        <w:rPr>
          <w:b w:val="0"/>
          <w:bCs w:val="0"/>
          <w:lang w:val="de-DE"/>
        </w:rPr>
      </w:pPr>
      <w:r>
        <w:rPr>
          <w:lang w:val="de-DE"/>
        </w:rPr>
        <w:t>Besondere Vorsichtsmaßnahmen für die Aufbewahrung</w:t>
      </w:r>
    </w:p>
    <w:p w14:paraId="2C9E165A" w14:textId="77777777" w:rsidR="00FE291A" w:rsidRDefault="00FE291A">
      <w:pPr>
        <w:widowControl/>
        <w:kinsoku w:val="0"/>
        <w:overflowPunct w:val="0"/>
        <w:rPr>
          <w:sz w:val="22"/>
          <w:szCs w:val="22"/>
          <w:lang w:val="de-DE"/>
        </w:rPr>
      </w:pPr>
    </w:p>
    <w:p w14:paraId="47CC4579" w14:textId="77777777" w:rsidR="00FE291A" w:rsidRDefault="00C8738F">
      <w:pPr>
        <w:pStyle w:val="BodyText"/>
        <w:widowControl/>
        <w:kinsoku w:val="0"/>
        <w:overflowPunct w:val="0"/>
        <w:ind w:left="0"/>
        <w:rPr>
          <w:lang w:val="de-DE"/>
        </w:rPr>
      </w:pPr>
      <w:r>
        <w:rPr>
          <w:lang w:val="de-DE"/>
        </w:rPr>
        <w:t>Im Kühlschrank lagern (2 °C – 8 °C).</w:t>
      </w:r>
    </w:p>
    <w:p w14:paraId="02921771" w14:textId="77777777" w:rsidR="00FE291A" w:rsidRDefault="00C8738F">
      <w:pPr>
        <w:pStyle w:val="BodyText"/>
        <w:widowControl/>
        <w:kinsoku w:val="0"/>
        <w:overflowPunct w:val="0"/>
        <w:ind w:left="0"/>
        <w:rPr>
          <w:lang w:val="de-DE"/>
        </w:rPr>
      </w:pPr>
      <w:r>
        <w:rPr>
          <w:lang w:val="de-DE"/>
        </w:rPr>
        <w:t>Nicht einfrieren.</w:t>
      </w:r>
    </w:p>
    <w:p w14:paraId="3999ED6B" w14:textId="77777777" w:rsidR="00FE291A" w:rsidRDefault="00C8738F">
      <w:pPr>
        <w:pStyle w:val="BodyText"/>
        <w:widowControl/>
        <w:kinsoku w:val="0"/>
        <w:overflowPunct w:val="0"/>
        <w:ind w:left="0"/>
        <w:rPr>
          <w:lang w:val="de-DE"/>
        </w:rPr>
      </w:pPr>
      <w:r>
        <w:rPr>
          <w:lang w:val="de-DE"/>
        </w:rPr>
        <w:t>Die Fertigspritze oder den Fertigpen im Umkarton aufbewahren, um den Inhalt vor Licht zu schützen.</w:t>
      </w:r>
    </w:p>
    <w:p w14:paraId="6135F185" w14:textId="77777777" w:rsidR="00FE291A" w:rsidRDefault="00FE291A">
      <w:pPr>
        <w:widowControl/>
        <w:kinsoku w:val="0"/>
        <w:overflowPunct w:val="0"/>
        <w:rPr>
          <w:sz w:val="22"/>
          <w:szCs w:val="22"/>
          <w:lang w:val="de-DE"/>
        </w:rPr>
      </w:pPr>
    </w:p>
    <w:p w14:paraId="6D7F6F61" w14:textId="77777777" w:rsidR="00FE291A" w:rsidRDefault="00C8738F">
      <w:pPr>
        <w:pStyle w:val="BodyText"/>
        <w:widowControl/>
        <w:kinsoku w:val="0"/>
        <w:overflowPunct w:val="0"/>
        <w:ind w:left="0"/>
        <w:rPr>
          <w:lang w:val="de-DE"/>
        </w:rPr>
      </w:pPr>
      <w:r>
        <w:rPr>
          <w:lang w:val="de-DE"/>
        </w:rPr>
        <w:t>Die Fertigspritze oder der Fertigpen darf für einen Zeitraum von bis zu 14 Tagen bei Temperaturen bis zu 25 °C gelagert werden. Die Fertigspritze oder der Fertigpen muss vor Licht geschützt aufbewahrt werden und muss entsorgt werden, wenn sie nicht innerhalb dieser 14 Tage verwendet wurden.</w:t>
      </w:r>
    </w:p>
    <w:p w14:paraId="4CE0C3F0" w14:textId="77777777" w:rsidR="00FE291A" w:rsidRDefault="00FE291A">
      <w:pPr>
        <w:widowControl/>
        <w:kinsoku w:val="0"/>
        <w:overflowPunct w:val="0"/>
        <w:rPr>
          <w:sz w:val="22"/>
          <w:szCs w:val="22"/>
          <w:lang w:val="de-DE"/>
        </w:rPr>
      </w:pPr>
    </w:p>
    <w:p w14:paraId="65C9B703" w14:textId="77777777" w:rsidR="00FE291A" w:rsidRDefault="00C8738F">
      <w:pPr>
        <w:pStyle w:val="Heading1"/>
        <w:keepNext/>
        <w:widowControl/>
        <w:numPr>
          <w:ilvl w:val="1"/>
          <w:numId w:val="7"/>
        </w:numPr>
        <w:tabs>
          <w:tab w:val="left" w:pos="567"/>
        </w:tabs>
        <w:kinsoku w:val="0"/>
        <w:overflowPunct w:val="0"/>
        <w:ind w:left="0" w:firstLine="0"/>
        <w:rPr>
          <w:b w:val="0"/>
          <w:bCs w:val="0"/>
          <w:lang w:val="de-DE"/>
        </w:rPr>
      </w:pPr>
      <w:r>
        <w:rPr>
          <w:lang w:val="de-DE"/>
        </w:rPr>
        <w:t>Art und Inhalt des Behältnisses</w:t>
      </w:r>
    </w:p>
    <w:p w14:paraId="067ECC5A" w14:textId="77777777" w:rsidR="00FE291A" w:rsidRDefault="00FE291A">
      <w:pPr>
        <w:keepNext/>
        <w:widowControl/>
        <w:kinsoku w:val="0"/>
        <w:overflowPunct w:val="0"/>
        <w:rPr>
          <w:sz w:val="22"/>
          <w:szCs w:val="22"/>
          <w:lang w:val="de-DE"/>
        </w:rPr>
      </w:pPr>
    </w:p>
    <w:p w14:paraId="49725F81" w14:textId="77777777" w:rsidR="00FE291A" w:rsidRDefault="00C8738F">
      <w:pPr>
        <w:keepNext/>
        <w:widowControl/>
        <w:kinsoku w:val="0"/>
        <w:overflowPunct w:val="0"/>
        <w:rPr>
          <w:sz w:val="22"/>
          <w:szCs w:val="22"/>
          <w:u w:val="single"/>
          <w:lang w:val="de-DE"/>
        </w:rPr>
      </w:pPr>
      <w:r>
        <w:rPr>
          <w:sz w:val="22"/>
          <w:szCs w:val="22"/>
          <w:u w:val="single"/>
          <w:lang w:val="de-DE"/>
        </w:rPr>
        <w:t>AMGEVITA 20 mg Injektionslösung in einer Fertigspritze</w:t>
      </w:r>
    </w:p>
    <w:p w14:paraId="43C6A44A" w14:textId="77777777" w:rsidR="00FE291A" w:rsidRDefault="00FE291A">
      <w:pPr>
        <w:keepNext/>
        <w:widowControl/>
        <w:kinsoku w:val="0"/>
        <w:overflowPunct w:val="0"/>
        <w:rPr>
          <w:sz w:val="22"/>
          <w:szCs w:val="22"/>
          <w:u w:val="single"/>
          <w:lang w:val="de-DE"/>
        </w:rPr>
      </w:pPr>
    </w:p>
    <w:p w14:paraId="36998F36" w14:textId="77777777" w:rsidR="00FE291A" w:rsidRDefault="00C8738F">
      <w:pPr>
        <w:pStyle w:val="BodyText"/>
        <w:keepNext/>
        <w:widowControl/>
        <w:kinsoku w:val="0"/>
        <w:overflowPunct w:val="0"/>
        <w:ind w:left="0"/>
        <w:rPr>
          <w:lang w:val="de-DE"/>
        </w:rPr>
      </w:pPr>
      <w:r>
        <w:rPr>
          <w:lang w:val="de-DE"/>
        </w:rPr>
        <w:t>0,4 ml Lösung in einer Fertigspritze (Glas Typ I) mit einem Kolbenstopfen (Brombutylgummi) und einer Nadel aus rostfreiem Stahl mit einem Nadelschutz (thermoplastisches Elastomer).</w:t>
      </w:r>
    </w:p>
    <w:p w14:paraId="3C17ECC6" w14:textId="77777777" w:rsidR="00FE291A" w:rsidRDefault="00FE291A">
      <w:pPr>
        <w:widowControl/>
        <w:kinsoku w:val="0"/>
        <w:overflowPunct w:val="0"/>
        <w:rPr>
          <w:sz w:val="22"/>
          <w:szCs w:val="22"/>
          <w:lang w:val="de-DE"/>
        </w:rPr>
      </w:pPr>
    </w:p>
    <w:p w14:paraId="7CE33FD1" w14:textId="77777777" w:rsidR="00FE291A" w:rsidRDefault="00C8738F">
      <w:pPr>
        <w:pStyle w:val="BodyText"/>
        <w:widowControl/>
        <w:kinsoku w:val="0"/>
        <w:overflowPunct w:val="0"/>
        <w:ind w:left="0"/>
        <w:rPr>
          <w:lang w:val="de-DE"/>
        </w:rPr>
      </w:pPr>
      <w:r>
        <w:rPr>
          <w:lang w:val="de-DE"/>
        </w:rPr>
        <w:t>Packungsgröße mit 1 Fertigspritze.</w:t>
      </w:r>
    </w:p>
    <w:p w14:paraId="3514379A" w14:textId="77777777" w:rsidR="00FE291A" w:rsidRDefault="00FE291A">
      <w:pPr>
        <w:pStyle w:val="BodyText"/>
        <w:widowControl/>
        <w:kinsoku w:val="0"/>
        <w:overflowPunct w:val="0"/>
        <w:ind w:left="0"/>
        <w:rPr>
          <w:lang w:val="de-DE"/>
        </w:rPr>
      </w:pPr>
    </w:p>
    <w:p w14:paraId="63A5E064" w14:textId="77777777" w:rsidR="00FE291A" w:rsidRDefault="00C8738F">
      <w:pPr>
        <w:keepNext/>
        <w:widowControl/>
        <w:kinsoku w:val="0"/>
        <w:overflowPunct w:val="0"/>
        <w:rPr>
          <w:sz w:val="22"/>
          <w:szCs w:val="22"/>
          <w:u w:val="single"/>
          <w:lang w:val="de-DE"/>
        </w:rPr>
      </w:pPr>
      <w:r>
        <w:rPr>
          <w:sz w:val="22"/>
          <w:szCs w:val="22"/>
          <w:u w:val="single"/>
          <w:lang w:val="de-DE"/>
        </w:rPr>
        <w:t>AMGEVITA 40 mg Injektionslösung in einer Fertigspritze</w:t>
      </w:r>
    </w:p>
    <w:p w14:paraId="6D9E472C" w14:textId="77777777" w:rsidR="00FE291A" w:rsidRDefault="00FE291A">
      <w:pPr>
        <w:keepNext/>
        <w:widowControl/>
        <w:kinsoku w:val="0"/>
        <w:overflowPunct w:val="0"/>
        <w:rPr>
          <w:sz w:val="22"/>
          <w:szCs w:val="22"/>
          <w:u w:val="single"/>
          <w:lang w:val="de-DE"/>
        </w:rPr>
      </w:pPr>
    </w:p>
    <w:p w14:paraId="6C1D63EF" w14:textId="77777777" w:rsidR="00FE291A" w:rsidRDefault="00C8738F">
      <w:pPr>
        <w:pStyle w:val="BodyText"/>
        <w:keepNext/>
        <w:widowControl/>
        <w:kinsoku w:val="0"/>
        <w:overflowPunct w:val="0"/>
        <w:ind w:left="0"/>
        <w:rPr>
          <w:lang w:val="de-DE"/>
        </w:rPr>
      </w:pPr>
      <w:r>
        <w:rPr>
          <w:lang w:val="de-DE"/>
        </w:rPr>
        <w:t>0,8 ml Lösung in einer Fertigspritze (Glas Typ I) mit einem Kolbenstopfen (Brombutylgummi) und einer Nadel aus rostfreiem Stahl mit einem Nadelschutz (thermoplastisches Elastomer).</w:t>
      </w:r>
    </w:p>
    <w:p w14:paraId="3E8FB8E4" w14:textId="77777777" w:rsidR="00FE291A" w:rsidRDefault="00FE291A">
      <w:pPr>
        <w:pStyle w:val="BodyText"/>
        <w:widowControl/>
        <w:kinsoku w:val="0"/>
        <w:overflowPunct w:val="0"/>
        <w:ind w:left="0"/>
        <w:rPr>
          <w:lang w:val="de-DE"/>
        </w:rPr>
      </w:pPr>
    </w:p>
    <w:p w14:paraId="2AB4E06A" w14:textId="77777777" w:rsidR="00FE291A" w:rsidRDefault="00C8738F">
      <w:pPr>
        <w:pStyle w:val="BodyText"/>
        <w:widowControl/>
        <w:kinsoku w:val="0"/>
        <w:overflowPunct w:val="0"/>
        <w:ind w:left="0"/>
        <w:rPr>
          <w:lang w:val="de-DE"/>
        </w:rPr>
      </w:pPr>
      <w:r>
        <w:rPr>
          <w:lang w:val="de-DE"/>
        </w:rPr>
        <w:t>Packungsgrößen mit einer, zwei, vier oder Bündelpackung mit 6 (3 Packungen mit je 2) Fertigspritze(n).</w:t>
      </w:r>
    </w:p>
    <w:p w14:paraId="78121753" w14:textId="77777777" w:rsidR="00FE291A" w:rsidRDefault="00C8738F">
      <w:pPr>
        <w:pStyle w:val="BodyText"/>
        <w:widowControl/>
        <w:kinsoku w:val="0"/>
        <w:overflowPunct w:val="0"/>
        <w:ind w:left="0"/>
        <w:rPr>
          <w:lang w:val="de-DE"/>
        </w:rPr>
      </w:pPr>
      <w:r>
        <w:rPr>
          <w:lang w:val="de-DE"/>
        </w:rPr>
        <w:t>Es werden möglicherweise nicht alle Packungsgrößen in den Verkehr gebracht.</w:t>
      </w:r>
    </w:p>
    <w:p w14:paraId="6915BCAB" w14:textId="77777777" w:rsidR="00FE291A" w:rsidRDefault="00FE291A">
      <w:pPr>
        <w:pStyle w:val="BodyText"/>
        <w:widowControl/>
        <w:kinsoku w:val="0"/>
        <w:overflowPunct w:val="0"/>
        <w:ind w:left="0"/>
        <w:rPr>
          <w:lang w:val="de-DE"/>
        </w:rPr>
      </w:pPr>
    </w:p>
    <w:p w14:paraId="01F3CD28" w14:textId="77777777" w:rsidR="00FE291A" w:rsidRDefault="00C8738F">
      <w:pPr>
        <w:keepNext/>
        <w:widowControl/>
        <w:kinsoku w:val="0"/>
        <w:overflowPunct w:val="0"/>
        <w:rPr>
          <w:sz w:val="22"/>
          <w:szCs w:val="22"/>
          <w:u w:val="single"/>
          <w:lang w:val="de-DE"/>
        </w:rPr>
      </w:pPr>
      <w:r>
        <w:rPr>
          <w:sz w:val="22"/>
          <w:szCs w:val="22"/>
          <w:u w:val="single"/>
          <w:lang w:val="de-DE"/>
        </w:rPr>
        <w:t>AMGEVITA 40 mg Injektionslösung im Fertigpen</w:t>
      </w:r>
    </w:p>
    <w:p w14:paraId="011233A1" w14:textId="77777777" w:rsidR="00FE291A" w:rsidRDefault="00FE291A">
      <w:pPr>
        <w:keepNext/>
        <w:widowControl/>
        <w:kinsoku w:val="0"/>
        <w:overflowPunct w:val="0"/>
        <w:rPr>
          <w:sz w:val="22"/>
          <w:szCs w:val="22"/>
          <w:u w:val="single"/>
          <w:lang w:val="de-DE"/>
        </w:rPr>
      </w:pPr>
    </w:p>
    <w:p w14:paraId="32534E88" w14:textId="77777777" w:rsidR="00FE291A" w:rsidRDefault="00C8738F">
      <w:pPr>
        <w:pStyle w:val="BodyText"/>
        <w:keepNext/>
        <w:widowControl/>
        <w:kinsoku w:val="0"/>
        <w:overflowPunct w:val="0"/>
        <w:ind w:left="0"/>
        <w:rPr>
          <w:lang w:val="de-DE"/>
        </w:rPr>
      </w:pPr>
      <w:r>
        <w:rPr>
          <w:lang w:val="de-DE"/>
        </w:rPr>
        <w:t>0,8 ml Injektionslösung im Fertigpen, der eine Fertigspritze (Glas Typ I) enthält, zur Anwendung durch Patienten. Der Pen ist eine wegwerfbare, handgeführte und mechanische Injektionsvorrichtung zum Einmalgebrauch. Die Nadelschutzkappe des Fertigpens ist aus synthetischem Kautschuk hergestellt.</w:t>
      </w:r>
    </w:p>
    <w:p w14:paraId="40F873DE" w14:textId="77777777" w:rsidR="00FE291A" w:rsidRDefault="00FE291A">
      <w:pPr>
        <w:pStyle w:val="BodyText"/>
        <w:widowControl/>
        <w:kinsoku w:val="0"/>
        <w:overflowPunct w:val="0"/>
        <w:ind w:left="0"/>
        <w:rPr>
          <w:lang w:val="de-DE"/>
        </w:rPr>
      </w:pPr>
    </w:p>
    <w:p w14:paraId="1681E8C0" w14:textId="77777777" w:rsidR="00FE291A" w:rsidRDefault="00C8738F">
      <w:pPr>
        <w:pStyle w:val="BodyText"/>
        <w:widowControl/>
        <w:kinsoku w:val="0"/>
        <w:overflowPunct w:val="0"/>
        <w:ind w:left="0"/>
        <w:rPr>
          <w:lang w:val="de-DE"/>
        </w:rPr>
      </w:pPr>
      <w:r>
        <w:rPr>
          <w:lang w:val="de-DE"/>
        </w:rPr>
        <w:t>Packungsgrößen mit einem, zwei, vier oder Bündelpackung mit 6 (3 Packungen mit je 2) Fertigpen(s).</w:t>
      </w:r>
    </w:p>
    <w:p w14:paraId="10CAC87F" w14:textId="77777777" w:rsidR="00FE291A" w:rsidRDefault="00C8738F">
      <w:pPr>
        <w:pStyle w:val="BodyText"/>
        <w:widowControl/>
        <w:kinsoku w:val="0"/>
        <w:overflowPunct w:val="0"/>
        <w:ind w:left="0"/>
        <w:rPr>
          <w:lang w:val="de-DE"/>
        </w:rPr>
      </w:pPr>
      <w:r>
        <w:rPr>
          <w:lang w:val="de-DE"/>
        </w:rPr>
        <w:t>Es werden möglicherweise nicht alle Packungsgrößen in den Verkehr gebracht.</w:t>
      </w:r>
    </w:p>
    <w:p w14:paraId="4E7A7332" w14:textId="77777777" w:rsidR="00FE291A" w:rsidRDefault="00FE291A">
      <w:pPr>
        <w:pStyle w:val="BodyText"/>
        <w:widowControl/>
        <w:tabs>
          <w:tab w:val="left" w:pos="684"/>
        </w:tabs>
        <w:kinsoku w:val="0"/>
        <w:overflowPunct w:val="0"/>
        <w:ind w:left="0"/>
        <w:rPr>
          <w:lang w:val="de-DE"/>
        </w:rPr>
      </w:pPr>
    </w:p>
    <w:p w14:paraId="4AA234CF" w14:textId="77777777" w:rsidR="00FE291A" w:rsidRDefault="00C8738F">
      <w:pPr>
        <w:pStyle w:val="Heading1"/>
        <w:keepNext/>
        <w:keepLines/>
        <w:widowControl/>
        <w:numPr>
          <w:ilvl w:val="1"/>
          <w:numId w:val="7"/>
        </w:numPr>
        <w:tabs>
          <w:tab w:val="left" w:pos="567"/>
        </w:tabs>
        <w:kinsoku w:val="0"/>
        <w:overflowPunct w:val="0"/>
        <w:ind w:left="567"/>
        <w:rPr>
          <w:b w:val="0"/>
          <w:bCs w:val="0"/>
          <w:lang w:val="de-DE"/>
        </w:rPr>
      </w:pPr>
      <w:r>
        <w:rPr>
          <w:lang w:val="de-DE"/>
        </w:rPr>
        <w:t>Besondere Vorsichtsmaßnahmen für die Beseitigung und sonstige Hinweise zur Handhabung</w:t>
      </w:r>
    </w:p>
    <w:p w14:paraId="4BD0B567" w14:textId="77777777" w:rsidR="00FE291A" w:rsidRDefault="00FE291A">
      <w:pPr>
        <w:keepNext/>
        <w:keepLines/>
        <w:widowControl/>
        <w:kinsoku w:val="0"/>
        <w:overflowPunct w:val="0"/>
        <w:rPr>
          <w:sz w:val="22"/>
          <w:szCs w:val="22"/>
          <w:lang w:val="de-DE"/>
        </w:rPr>
      </w:pPr>
    </w:p>
    <w:p w14:paraId="20CBFFD8" w14:textId="77777777" w:rsidR="00FE291A" w:rsidRDefault="00C8738F">
      <w:pPr>
        <w:pStyle w:val="BodyText"/>
        <w:keepNext/>
        <w:keepLines/>
        <w:widowControl/>
        <w:kinsoku w:val="0"/>
        <w:overflowPunct w:val="0"/>
        <w:ind w:left="0"/>
        <w:rPr>
          <w:lang w:val="de-DE"/>
        </w:rPr>
      </w:pPr>
      <w:r>
        <w:rPr>
          <w:lang w:val="de-DE"/>
        </w:rPr>
        <w:t>Nicht verwendetes Arzneimittel oder Abfallmaterial sind entsprechend den nationalen Anforderungen zu beseitigen.</w:t>
      </w:r>
    </w:p>
    <w:p w14:paraId="4D22C9A0" w14:textId="77777777" w:rsidR="00FE291A" w:rsidRDefault="00FE291A">
      <w:pPr>
        <w:widowControl/>
        <w:kinsoku w:val="0"/>
        <w:overflowPunct w:val="0"/>
        <w:rPr>
          <w:sz w:val="22"/>
          <w:szCs w:val="22"/>
          <w:lang w:val="de-DE"/>
        </w:rPr>
      </w:pPr>
    </w:p>
    <w:p w14:paraId="4A9DD5E4" w14:textId="77777777" w:rsidR="00FE291A" w:rsidRDefault="00FE291A">
      <w:pPr>
        <w:widowControl/>
        <w:kinsoku w:val="0"/>
        <w:overflowPunct w:val="0"/>
        <w:rPr>
          <w:sz w:val="22"/>
          <w:szCs w:val="22"/>
          <w:lang w:val="de-DE"/>
        </w:rPr>
      </w:pPr>
    </w:p>
    <w:p w14:paraId="242372B5" w14:textId="77777777" w:rsidR="00FE291A" w:rsidRDefault="00C8738F">
      <w:pPr>
        <w:pStyle w:val="Heading1"/>
        <w:keepNext/>
        <w:keepLines/>
        <w:widowControl/>
        <w:numPr>
          <w:ilvl w:val="0"/>
          <w:numId w:val="7"/>
        </w:numPr>
        <w:tabs>
          <w:tab w:val="left" w:pos="567"/>
        </w:tabs>
        <w:kinsoku w:val="0"/>
        <w:overflowPunct w:val="0"/>
        <w:ind w:left="567" w:hanging="567"/>
        <w:rPr>
          <w:b w:val="0"/>
          <w:bCs w:val="0"/>
          <w:lang w:val="de-DE"/>
        </w:rPr>
      </w:pPr>
      <w:r>
        <w:rPr>
          <w:lang w:val="de-DE"/>
        </w:rPr>
        <w:t>INHABER DER ZULASSUNG</w:t>
      </w:r>
    </w:p>
    <w:p w14:paraId="7EF44C49" w14:textId="77777777" w:rsidR="00FE291A" w:rsidRDefault="00FE291A">
      <w:pPr>
        <w:keepNext/>
        <w:keepLines/>
        <w:widowControl/>
        <w:kinsoku w:val="0"/>
        <w:overflowPunct w:val="0"/>
        <w:rPr>
          <w:sz w:val="22"/>
          <w:szCs w:val="22"/>
          <w:lang w:val="de-DE"/>
        </w:rPr>
      </w:pPr>
    </w:p>
    <w:p w14:paraId="7D1F981C" w14:textId="77777777" w:rsidR="00FE291A" w:rsidRDefault="00C8738F">
      <w:pPr>
        <w:pStyle w:val="BodyText"/>
        <w:keepNext/>
        <w:widowControl/>
        <w:kinsoku w:val="0"/>
        <w:overflowPunct w:val="0"/>
        <w:ind w:left="0"/>
        <w:rPr>
          <w:lang w:val="de-DE"/>
        </w:rPr>
      </w:pPr>
      <w:r>
        <w:rPr>
          <w:lang w:val="de-DE"/>
        </w:rPr>
        <w:t>Amgen Europe B.V.</w:t>
      </w:r>
    </w:p>
    <w:p w14:paraId="401B534C" w14:textId="77777777" w:rsidR="00FE291A" w:rsidRDefault="00C8738F">
      <w:pPr>
        <w:pStyle w:val="BodyText"/>
        <w:keepNext/>
        <w:widowControl/>
        <w:kinsoku w:val="0"/>
        <w:overflowPunct w:val="0"/>
        <w:ind w:left="0"/>
        <w:rPr>
          <w:lang w:val="de-DE"/>
        </w:rPr>
      </w:pPr>
      <w:r>
        <w:rPr>
          <w:lang w:val="de-DE"/>
        </w:rPr>
        <w:t>Minervum 7061</w:t>
      </w:r>
    </w:p>
    <w:p w14:paraId="73575E74" w14:textId="77777777" w:rsidR="00FE291A" w:rsidRDefault="00C8738F">
      <w:pPr>
        <w:pStyle w:val="BodyText"/>
        <w:keepNext/>
        <w:widowControl/>
        <w:kinsoku w:val="0"/>
        <w:overflowPunct w:val="0"/>
        <w:ind w:left="0"/>
        <w:rPr>
          <w:lang w:val="de-DE"/>
        </w:rPr>
      </w:pPr>
      <w:r>
        <w:rPr>
          <w:lang w:val="de-DE"/>
        </w:rPr>
        <w:t>4817 ZK Breda</w:t>
      </w:r>
    </w:p>
    <w:p w14:paraId="79CF6BCB" w14:textId="77777777" w:rsidR="00FE291A" w:rsidRDefault="00C8738F">
      <w:pPr>
        <w:pStyle w:val="BodyText"/>
        <w:widowControl/>
        <w:kinsoku w:val="0"/>
        <w:overflowPunct w:val="0"/>
        <w:ind w:left="0"/>
        <w:rPr>
          <w:lang w:val="de-DE"/>
        </w:rPr>
      </w:pPr>
      <w:r>
        <w:rPr>
          <w:lang w:val="de-DE"/>
        </w:rPr>
        <w:t>Niederlande</w:t>
      </w:r>
    </w:p>
    <w:p w14:paraId="25673B11" w14:textId="77777777" w:rsidR="00FE291A" w:rsidRDefault="00FE291A">
      <w:pPr>
        <w:pStyle w:val="BodyText"/>
        <w:widowControl/>
        <w:kinsoku w:val="0"/>
        <w:overflowPunct w:val="0"/>
        <w:ind w:left="0"/>
        <w:rPr>
          <w:lang w:val="de-DE"/>
        </w:rPr>
      </w:pPr>
    </w:p>
    <w:p w14:paraId="0451B972" w14:textId="77777777" w:rsidR="00FE291A" w:rsidRDefault="00FE291A">
      <w:pPr>
        <w:pStyle w:val="BodyText"/>
        <w:widowControl/>
        <w:kinsoku w:val="0"/>
        <w:overflowPunct w:val="0"/>
        <w:ind w:left="0"/>
        <w:rPr>
          <w:lang w:val="de-DE"/>
        </w:rPr>
      </w:pPr>
    </w:p>
    <w:p w14:paraId="4E43FBB7" w14:textId="77777777" w:rsidR="00FE291A" w:rsidRDefault="00C8738F">
      <w:pPr>
        <w:pStyle w:val="Heading1"/>
        <w:keepNext/>
        <w:widowControl/>
        <w:numPr>
          <w:ilvl w:val="0"/>
          <w:numId w:val="7"/>
        </w:numPr>
        <w:tabs>
          <w:tab w:val="left" w:pos="567"/>
        </w:tabs>
        <w:kinsoku w:val="0"/>
        <w:overflowPunct w:val="0"/>
        <w:ind w:left="567" w:hanging="567"/>
        <w:rPr>
          <w:b w:val="0"/>
          <w:bCs w:val="0"/>
          <w:lang w:val="de-DE"/>
        </w:rPr>
      </w:pPr>
      <w:r>
        <w:rPr>
          <w:lang w:val="de-DE"/>
        </w:rPr>
        <w:t>ZULASSUNGSNUMMERN</w:t>
      </w:r>
    </w:p>
    <w:p w14:paraId="211C8941" w14:textId="77777777" w:rsidR="00FE291A" w:rsidRDefault="00FE291A">
      <w:pPr>
        <w:keepNext/>
        <w:widowControl/>
        <w:kinsoku w:val="0"/>
        <w:overflowPunct w:val="0"/>
        <w:rPr>
          <w:sz w:val="22"/>
          <w:szCs w:val="22"/>
          <w:u w:val="single"/>
          <w:lang w:val="de-DE"/>
        </w:rPr>
      </w:pPr>
    </w:p>
    <w:p w14:paraId="5ECA3A0F" w14:textId="77777777" w:rsidR="00FE291A" w:rsidRDefault="00C8738F">
      <w:pPr>
        <w:widowControl/>
        <w:kinsoku w:val="0"/>
        <w:overflowPunct w:val="0"/>
        <w:rPr>
          <w:sz w:val="22"/>
          <w:szCs w:val="22"/>
          <w:u w:val="single"/>
          <w:lang w:val="de-DE"/>
        </w:rPr>
      </w:pPr>
      <w:r>
        <w:rPr>
          <w:sz w:val="22"/>
          <w:szCs w:val="22"/>
          <w:u w:val="single"/>
          <w:lang w:val="de-DE"/>
        </w:rPr>
        <w:t>AMGEVITA 20 mg Injektionslösung in einer Fertigspritze</w:t>
      </w:r>
    </w:p>
    <w:p w14:paraId="0F223B2D" w14:textId="77777777" w:rsidR="00FE291A" w:rsidRDefault="00FE291A">
      <w:pPr>
        <w:widowControl/>
        <w:kinsoku w:val="0"/>
        <w:overflowPunct w:val="0"/>
        <w:rPr>
          <w:sz w:val="22"/>
          <w:szCs w:val="22"/>
          <w:u w:val="single"/>
          <w:lang w:val="de-DE"/>
        </w:rPr>
      </w:pPr>
    </w:p>
    <w:p w14:paraId="2F44EC24" w14:textId="77777777" w:rsidR="00FE291A" w:rsidRDefault="00C8738F">
      <w:pPr>
        <w:widowControl/>
        <w:kinsoku w:val="0"/>
        <w:overflowPunct w:val="0"/>
        <w:rPr>
          <w:sz w:val="22"/>
          <w:szCs w:val="22"/>
          <w:lang w:val="de-DE"/>
        </w:rPr>
      </w:pPr>
      <w:r>
        <w:rPr>
          <w:sz w:val="22"/>
          <w:szCs w:val="22"/>
          <w:lang w:val="de-DE"/>
        </w:rPr>
        <w:t>EU/1/16/1164/001 – 1er Packung</w:t>
      </w:r>
    </w:p>
    <w:p w14:paraId="0223DCCD" w14:textId="77777777" w:rsidR="00FE291A" w:rsidRDefault="00FE291A">
      <w:pPr>
        <w:widowControl/>
        <w:kinsoku w:val="0"/>
        <w:overflowPunct w:val="0"/>
        <w:rPr>
          <w:sz w:val="22"/>
          <w:szCs w:val="22"/>
          <w:lang w:val="de-DE"/>
        </w:rPr>
      </w:pPr>
    </w:p>
    <w:p w14:paraId="34DA4F08" w14:textId="77777777" w:rsidR="00FE291A" w:rsidRDefault="00C8738F">
      <w:pPr>
        <w:widowControl/>
        <w:kinsoku w:val="0"/>
        <w:overflowPunct w:val="0"/>
        <w:rPr>
          <w:sz w:val="22"/>
          <w:szCs w:val="22"/>
          <w:u w:val="single"/>
          <w:lang w:val="de-DE"/>
        </w:rPr>
      </w:pPr>
      <w:r>
        <w:rPr>
          <w:sz w:val="22"/>
          <w:szCs w:val="22"/>
          <w:u w:val="single"/>
          <w:lang w:val="de-DE"/>
        </w:rPr>
        <w:t>AMGEVITA 40 mg Injektionslösung in einer Fertigspritze</w:t>
      </w:r>
    </w:p>
    <w:p w14:paraId="3616C658" w14:textId="77777777" w:rsidR="00FE291A" w:rsidRDefault="00FE291A">
      <w:pPr>
        <w:widowControl/>
        <w:kinsoku w:val="0"/>
        <w:overflowPunct w:val="0"/>
        <w:rPr>
          <w:sz w:val="22"/>
          <w:szCs w:val="22"/>
          <w:u w:val="single"/>
          <w:lang w:val="de-DE"/>
        </w:rPr>
      </w:pPr>
    </w:p>
    <w:p w14:paraId="22C3DFAF" w14:textId="77777777" w:rsidR="00FE291A" w:rsidRDefault="00C8738F">
      <w:pPr>
        <w:widowControl/>
        <w:kinsoku w:val="0"/>
        <w:overflowPunct w:val="0"/>
        <w:rPr>
          <w:sz w:val="22"/>
          <w:szCs w:val="22"/>
          <w:lang w:val="de-DE"/>
        </w:rPr>
      </w:pPr>
      <w:r>
        <w:rPr>
          <w:sz w:val="22"/>
          <w:szCs w:val="22"/>
          <w:lang w:val="de-DE"/>
        </w:rPr>
        <w:t>EU/1/16/1164/002 – 1er Packung</w:t>
      </w:r>
    </w:p>
    <w:p w14:paraId="4F68FB83" w14:textId="77777777" w:rsidR="00FE291A" w:rsidRDefault="00C8738F">
      <w:pPr>
        <w:widowControl/>
        <w:kinsoku w:val="0"/>
        <w:overflowPunct w:val="0"/>
        <w:rPr>
          <w:sz w:val="22"/>
          <w:szCs w:val="22"/>
          <w:lang w:val="de-DE"/>
        </w:rPr>
      </w:pPr>
      <w:r>
        <w:rPr>
          <w:sz w:val="22"/>
          <w:szCs w:val="22"/>
          <w:lang w:val="de-DE"/>
        </w:rPr>
        <w:t>EU/1/16/1164/003 – 2er Packung</w:t>
      </w:r>
    </w:p>
    <w:p w14:paraId="0985C09C" w14:textId="77777777" w:rsidR="00FE291A" w:rsidRDefault="00C8738F">
      <w:pPr>
        <w:widowControl/>
        <w:kinsoku w:val="0"/>
        <w:overflowPunct w:val="0"/>
        <w:rPr>
          <w:sz w:val="22"/>
          <w:szCs w:val="22"/>
          <w:lang w:val="de-DE"/>
        </w:rPr>
      </w:pPr>
      <w:r>
        <w:rPr>
          <w:sz w:val="22"/>
          <w:szCs w:val="22"/>
          <w:lang w:val="de-DE"/>
        </w:rPr>
        <w:t>EU/1/16/1164/004 – 4er Packung</w:t>
      </w:r>
    </w:p>
    <w:p w14:paraId="6B3AE95A" w14:textId="77777777" w:rsidR="00FE291A" w:rsidRDefault="00C8738F">
      <w:pPr>
        <w:widowControl/>
        <w:kinsoku w:val="0"/>
        <w:overflowPunct w:val="0"/>
        <w:rPr>
          <w:sz w:val="22"/>
          <w:szCs w:val="22"/>
          <w:lang w:val="de-DE"/>
        </w:rPr>
      </w:pPr>
      <w:r>
        <w:rPr>
          <w:sz w:val="22"/>
          <w:szCs w:val="22"/>
          <w:lang w:val="de-DE"/>
        </w:rPr>
        <w:t>EU/1/16/1164/005 – 6er (3 x 2) Bündelpackung</w:t>
      </w:r>
    </w:p>
    <w:p w14:paraId="4E1702E0" w14:textId="77777777" w:rsidR="00FE291A" w:rsidRDefault="00FE291A">
      <w:pPr>
        <w:widowControl/>
        <w:kinsoku w:val="0"/>
        <w:overflowPunct w:val="0"/>
        <w:rPr>
          <w:sz w:val="22"/>
          <w:szCs w:val="22"/>
          <w:lang w:val="de-DE"/>
        </w:rPr>
      </w:pPr>
    </w:p>
    <w:p w14:paraId="63D63BD7" w14:textId="77777777" w:rsidR="00FE291A" w:rsidRDefault="00C8738F">
      <w:pPr>
        <w:keepNext/>
        <w:widowControl/>
        <w:kinsoku w:val="0"/>
        <w:overflowPunct w:val="0"/>
        <w:rPr>
          <w:sz w:val="22"/>
          <w:szCs w:val="22"/>
          <w:u w:val="single"/>
          <w:lang w:val="de-DE"/>
        </w:rPr>
      </w:pPr>
      <w:r>
        <w:rPr>
          <w:sz w:val="22"/>
          <w:szCs w:val="22"/>
          <w:u w:val="single"/>
          <w:lang w:val="de-DE"/>
        </w:rPr>
        <w:t>AMGEVITA 40 mg Injektionslösung im Fertigpen</w:t>
      </w:r>
    </w:p>
    <w:p w14:paraId="2CC29999" w14:textId="77777777" w:rsidR="00FE291A" w:rsidRDefault="00FE291A">
      <w:pPr>
        <w:keepNext/>
        <w:widowControl/>
        <w:kinsoku w:val="0"/>
        <w:overflowPunct w:val="0"/>
        <w:rPr>
          <w:sz w:val="22"/>
          <w:szCs w:val="22"/>
          <w:u w:val="single"/>
          <w:lang w:val="de-DE"/>
        </w:rPr>
      </w:pPr>
    </w:p>
    <w:p w14:paraId="408B4B0A" w14:textId="77777777" w:rsidR="00FE291A" w:rsidRDefault="00C8738F">
      <w:pPr>
        <w:widowControl/>
        <w:kinsoku w:val="0"/>
        <w:overflowPunct w:val="0"/>
        <w:rPr>
          <w:sz w:val="22"/>
          <w:szCs w:val="22"/>
          <w:lang w:val="de-DE"/>
        </w:rPr>
      </w:pPr>
      <w:r>
        <w:rPr>
          <w:sz w:val="22"/>
          <w:szCs w:val="22"/>
          <w:lang w:val="de-DE"/>
        </w:rPr>
        <w:t>EU/1/16/1164/006 – 1er Packung</w:t>
      </w:r>
    </w:p>
    <w:p w14:paraId="3ACA8AE9" w14:textId="77777777" w:rsidR="00FE291A" w:rsidRDefault="00C8738F">
      <w:pPr>
        <w:widowControl/>
        <w:kinsoku w:val="0"/>
        <w:overflowPunct w:val="0"/>
        <w:rPr>
          <w:sz w:val="22"/>
          <w:szCs w:val="22"/>
          <w:lang w:val="de-DE"/>
        </w:rPr>
      </w:pPr>
      <w:r>
        <w:rPr>
          <w:sz w:val="22"/>
          <w:szCs w:val="22"/>
          <w:lang w:val="de-DE"/>
        </w:rPr>
        <w:t>EU/1/16/1164/007 – 2er Packung</w:t>
      </w:r>
    </w:p>
    <w:p w14:paraId="073FE30A" w14:textId="77777777" w:rsidR="00FE291A" w:rsidRDefault="00C8738F">
      <w:pPr>
        <w:widowControl/>
        <w:kinsoku w:val="0"/>
        <w:overflowPunct w:val="0"/>
        <w:rPr>
          <w:sz w:val="22"/>
          <w:szCs w:val="22"/>
          <w:lang w:val="de-DE"/>
        </w:rPr>
      </w:pPr>
      <w:r>
        <w:rPr>
          <w:sz w:val="22"/>
          <w:szCs w:val="22"/>
          <w:lang w:val="de-DE"/>
        </w:rPr>
        <w:t>EU/1/16/1164/008 – 4er Packung</w:t>
      </w:r>
    </w:p>
    <w:p w14:paraId="38F5BAAB" w14:textId="77777777" w:rsidR="00FE291A" w:rsidRDefault="00C8738F">
      <w:pPr>
        <w:widowControl/>
        <w:kinsoku w:val="0"/>
        <w:overflowPunct w:val="0"/>
        <w:rPr>
          <w:sz w:val="22"/>
          <w:szCs w:val="22"/>
          <w:lang w:val="de-DE"/>
        </w:rPr>
      </w:pPr>
      <w:r>
        <w:rPr>
          <w:sz w:val="22"/>
          <w:szCs w:val="22"/>
          <w:lang w:val="de-DE"/>
        </w:rPr>
        <w:t>EU/1/16/1164/009 – 6er (3 x 2) Bündelpackung</w:t>
      </w:r>
    </w:p>
    <w:p w14:paraId="46070943" w14:textId="77777777" w:rsidR="00FE291A" w:rsidRDefault="00FE291A">
      <w:pPr>
        <w:widowControl/>
        <w:kinsoku w:val="0"/>
        <w:overflowPunct w:val="0"/>
        <w:rPr>
          <w:sz w:val="22"/>
          <w:szCs w:val="22"/>
          <w:lang w:val="de-DE"/>
        </w:rPr>
      </w:pPr>
    </w:p>
    <w:p w14:paraId="16FB32B3" w14:textId="77777777" w:rsidR="00FE291A" w:rsidRDefault="00FE291A">
      <w:pPr>
        <w:pStyle w:val="BodyText"/>
        <w:widowControl/>
        <w:kinsoku w:val="0"/>
        <w:overflowPunct w:val="0"/>
        <w:ind w:left="0"/>
        <w:rPr>
          <w:lang w:val="de-DE"/>
        </w:rPr>
      </w:pPr>
    </w:p>
    <w:p w14:paraId="3DD4AAF5" w14:textId="77777777" w:rsidR="00FE291A" w:rsidRDefault="00C8738F">
      <w:pPr>
        <w:pStyle w:val="Heading1"/>
        <w:widowControl/>
        <w:numPr>
          <w:ilvl w:val="0"/>
          <w:numId w:val="7"/>
        </w:numPr>
        <w:tabs>
          <w:tab w:val="left" w:pos="567"/>
        </w:tabs>
        <w:kinsoku w:val="0"/>
        <w:overflowPunct w:val="0"/>
        <w:ind w:left="567" w:hanging="567"/>
        <w:rPr>
          <w:b w:val="0"/>
          <w:bCs w:val="0"/>
          <w:lang w:val="de-DE"/>
        </w:rPr>
      </w:pPr>
      <w:r>
        <w:rPr>
          <w:lang w:val="de-DE"/>
        </w:rPr>
        <w:t>DATUM DER ERTEILUNG DER ZULASSUNG/VERLÄNGERUNG DER ZULASSUNG</w:t>
      </w:r>
    </w:p>
    <w:p w14:paraId="22AF601B" w14:textId="77777777" w:rsidR="00FE291A" w:rsidRDefault="00FE291A">
      <w:pPr>
        <w:widowControl/>
        <w:kinsoku w:val="0"/>
        <w:overflowPunct w:val="0"/>
        <w:rPr>
          <w:sz w:val="22"/>
          <w:szCs w:val="22"/>
          <w:lang w:val="de-DE"/>
        </w:rPr>
      </w:pPr>
    </w:p>
    <w:p w14:paraId="3D06C340" w14:textId="77777777" w:rsidR="00FE291A" w:rsidRDefault="00C8738F">
      <w:pPr>
        <w:pStyle w:val="BodyText"/>
        <w:widowControl/>
        <w:kinsoku w:val="0"/>
        <w:overflowPunct w:val="0"/>
        <w:ind w:left="0"/>
        <w:rPr>
          <w:lang w:val="de-DE"/>
        </w:rPr>
      </w:pPr>
      <w:r>
        <w:rPr>
          <w:lang w:val="de-DE"/>
        </w:rPr>
        <w:t>Datum der Erteilung der Zulassung: 22. März 2017</w:t>
      </w:r>
    </w:p>
    <w:p w14:paraId="477D471D" w14:textId="77777777" w:rsidR="00FE291A" w:rsidRDefault="00C8738F">
      <w:pPr>
        <w:pStyle w:val="BodyText"/>
        <w:widowControl/>
        <w:kinsoku w:val="0"/>
        <w:overflowPunct w:val="0"/>
        <w:ind w:left="0"/>
        <w:rPr>
          <w:lang w:val="de-DE"/>
        </w:rPr>
      </w:pPr>
      <w:r>
        <w:rPr>
          <w:lang w:val="de-DE"/>
        </w:rPr>
        <w:t>Datum der letzten Verlängerung der Zulassung: 09. Dezember 2021</w:t>
      </w:r>
    </w:p>
    <w:p w14:paraId="2C1E0DB6" w14:textId="77777777" w:rsidR="00FE291A" w:rsidRDefault="00FE291A">
      <w:pPr>
        <w:widowControl/>
        <w:kinsoku w:val="0"/>
        <w:overflowPunct w:val="0"/>
        <w:rPr>
          <w:sz w:val="22"/>
          <w:szCs w:val="22"/>
          <w:lang w:val="de-DE"/>
        </w:rPr>
      </w:pPr>
    </w:p>
    <w:p w14:paraId="1800C15B" w14:textId="77777777" w:rsidR="00FE291A" w:rsidRDefault="00FE291A">
      <w:pPr>
        <w:widowControl/>
        <w:kinsoku w:val="0"/>
        <w:overflowPunct w:val="0"/>
        <w:rPr>
          <w:sz w:val="22"/>
          <w:szCs w:val="22"/>
          <w:lang w:val="de-DE"/>
        </w:rPr>
      </w:pPr>
    </w:p>
    <w:p w14:paraId="70068969" w14:textId="77777777" w:rsidR="00FE291A" w:rsidRDefault="00C8738F">
      <w:pPr>
        <w:pStyle w:val="Heading1"/>
        <w:keepNext/>
        <w:widowControl/>
        <w:numPr>
          <w:ilvl w:val="0"/>
          <w:numId w:val="7"/>
        </w:numPr>
        <w:tabs>
          <w:tab w:val="left" w:pos="567"/>
        </w:tabs>
        <w:kinsoku w:val="0"/>
        <w:overflowPunct w:val="0"/>
        <w:ind w:left="567" w:hanging="567"/>
        <w:rPr>
          <w:b w:val="0"/>
          <w:bCs w:val="0"/>
          <w:lang w:val="de-DE"/>
        </w:rPr>
      </w:pPr>
      <w:r>
        <w:rPr>
          <w:lang w:val="de-DE"/>
        </w:rPr>
        <w:t>STAND DER INFORMATION</w:t>
      </w:r>
    </w:p>
    <w:p w14:paraId="45D27AAE" w14:textId="77777777" w:rsidR="00FE291A" w:rsidRDefault="00FE291A">
      <w:pPr>
        <w:keepNext/>
        <w:widowControl/>
        <w:kinsoku w:val="0"/>
        <w:overflowPunct w:val="0"/>
        <w:rPr>
          <w:sz w:val="22"/>
          <w:szCs w:val="22"/>
          <w:lang w:val="de-DE"/>
        </w:rPr>
      </w:pPr>
    </w:p>
    <w:p w14:paraId="36B930AA" w14:textId="77777777" w:rsidR="00FE291A" w:rsidRDefault="00FE291A">
      <w:pPr>
        <w:widowControl/>
        <w:kinsoku w:val="0"/>
        <w:overflowPunct w:val="0"/>
        <w:rPr>
          <w:sz w:val="22"/>
          <w:szCs w:val="22"/>
          <w:lang w:val="de-DE"/>
        </w:rPr>
      </w:pPr>
    </w:p>
    <w:p w14:paraId="798CC039" w14:textId="77777777" w:rsidR="00FE291A" w:rsidRDefault="00FE291A">
      <w:pPr>
        <w:pStyle w:val="BodyText"/>
        <w:widowControl/>
        <w:kinsoku w:val="0"/>
        <w:overflowPunct w:val="0"/>
        <w:ind w:left="0"/>
        <w:rPr>
          <w:lang w:val="de-DE"/>
        </w:rPr>
      </w:pPr>
    </w:p>
    <w:p w14:paraId="27B73C13" w14:textId="77777777" w:rsidR="00FE291A" w:rsidRDefault="00C8738F">
      <w:pPr>
        <w:pStyle w:val="BodyText"/>
        <w:widowControl/>
        <w:kinsoku w:val="0"/>
        <w:overflowPunct w:val="0"/>
        <w:ind w:left="0"/>
        <w:rPr>
          <w:lang w:val="de-DE"/>
        </w:rPr>
      </w:pPr>
      <w:r>
        <w:rPr>
          <w:lang w:val="de-DE"/>
        </w:rPr>
        <w:t xml:space="preserve">Ausführliche Informationen zu diesem Arzneimittel sind auf den Internetseiten der Europäischen Arzneimittel-Agentur </w:t>
      </w:r>
      <w:r>
        <w:fldChar w:fldCharType="begin"/>
      </w:r>
      <w:r w:rsidRPr="00F076DE">
        <w:rPr>
          <w:lang w:val="de-DE"/>
          <w:rPrChange w:id="32" w:author="Author">
            <w:rPr/>
          </w:rPrChange>
        </w:rPr>
        <w:instrText>HYPERLINK "https://www.ema.europa.eu"</w:instrText>
      </w:r>
      <w:r>
        <w:fldChar w:fldCharType="separate"/>
      </w:r>
      <w:r>
        <w:rPr>
          <w:rStyle w:val="Hyperlink"/>
          <w:color w:val="0000FF"/>
          <w:lang w:val="de-DE" w:eastAsia="en-US"/>
        </w:rPr>
        <w:t>https://www.ema.europa.eu</w:t>
      </w:r>
      <w:r>
        <w:fldChar w:fldCharType="end"/>
      </w:r>
      <w:bookmarkStart w:id="33" w:name="Humira-DE-extracted_PIL-396_to_412.pdf"/>
      <w:bookmarkEnd w:id="33"/>
      <w:r>
        <w:rPr>
          <w:lang w:val="de-DE"/>
        </w:rPr>
        <w:t xml:space="preserve"> verfügbar.</w:t>
      </w:r>
    </w:p>
    <w:p w14:paraId="3B887800" w14:textId="77777777" w:rsidR="00FE291A" w:rsidRDefault="00FE291A">
      <w:pPr>
        <w:pStyle w:val="BodyText"/>
        <w:widowControl/>
        <w:kinsoku w:val="0"/>
        <w:overflowPunct w:val="0"/>
        <w:ind w:left="0"/>
        <w:rPr>
          <w:lang w:val="de-DE"/>
        </w:rPr>
      </w:pPr>
    </w:p>
    <w:p w14:paraId="7D705C55" w14:textId="77777777" w:rsidR="00FE291A" w:rsidRDefault="00FE291A">
      <w:pPr>
        <w:pStyle w:val="BodyText"/>
        <w:widowControl/>
        <w:kinsoku w:val="0"/>
        <w:overflowPunct w:val="0"/>
        <w:ind w:left="0"/>
        <w:rPr>
          <w:lang w:val="de-DE"/>
        </w:rPr>
      </w:pPr>
    </w:p>
    <w:p w14:paraId="5A931BE4" w14:textId="77777777" w:rsidR="00FE291A" w:rsidRDefault="00C8738F">
      <w:pPr>
        <w:pStyle w:val="Heading1"/>
        <w:keepNext/>
        <w:widowControl/>
        <w:numPr>
          <w:ilvl w:val="0"/>
          <w:numId w:val="14"/>
        </w:numPr>
        <w:tabs>
          <w:tab w:val="left" w:pos="567"/>
        </w:tabs>
        <w:kinsoku w:val="0"/>
        <w:overflowPunct w:val="0"/>
        <w:ind w:left="0" w:firstLine="0"/>
        <w:rPr>
          <w:b w:val="0"/>
          <w:bCs w:val="0"/>
          <w:lang w:val="de-DE"/>
        </w:rPr>
      </w:pPr>
      <w:r>
        <w:rPr>
          <w:lang w:val="de-DE"/>
        </w:rPr>
        <w:br w:type="page"/>
      </w:r>
      <w:bookmarkStart w:id="34" w:name="_Hlk161216703"/>
      <w:r>
        <w:rPr>
          <w:lang w:val="de-DE"/>
        </w:rPr>
        <w:t>BEZEICHNUNG DES ARZNEIMITTELS</w:t>
      </w:r>
    </w:p>
    <w:p w14:paraId="58A1F323" w14:textId="77777777" w:rsidR="00FE291A" w:rsidRDefault="00FE291A">
      <w:pPr>
        <w:keepNext/>
        <w:widowControl/>
        <w:kinsoku w:val="0"/>
        <w:overflowPunct w:val="0"/>
        <w:rPr>
          <w:sz w:val="22"/>
          <w:szCs w:val="22"/>
          <w:lang w:val="de-DE"/>
        </w:rPr>
      </w:pPr>
    </w:p>
    <w:p w14:paraId="57F9627A" w14:textId="77777777" w:rsidR="00FE291A" w:rsidRDefault="00C8738F">
      <w:pPr>
        <w:widowControl/>
        <w:kinsoku w:val="0"/>
        <w:overflowPunct w:val="0"/>
        <w:rPr>
          <w:sz w:val="22"/>
          <w:szCs w:val="22"/>
          <w:lang w:val="de-DE"/>
        </w:rPr>
      </w:pPr>
      <w:r>
        <w:rPr>
          <w:sz w:val="22"/>
          <w:szCs w:val="22"/>
          <w:lang w:val="de-DE"/>
        </w:rPr>
        <w:t>AMGEVITA 20 mg Injektionslösung in einer Fertigspritze</w:t>
      </w:r>
    </w:p>
    <w:p w14:paraId="1543B738" w14:textId="77777777" w:rsidR="00FE291A" w:rsidRDefault="00C8738F">
      <w:pPr>
        <w:widowControl/>
        <w:kinsoku w:val="0"/>
        <w:overflowPunct w:val="0"/>
        <w:rPr>
          <w:sz w:val="22"/>
          <w:szCs w:val="22"/>
          <w:lang w:val="de-DE"/>
        </w:rPr>
      </w:pPr>
      <w:r>
        <w:rPr>
          <w:sz w:val="22"/>
          <w:szCs w:val="22"/>
          <w:lang w:val="de-DE"/>
        </w:rPr>
        <w:t>AMGEVITA 40 mg Injektionslösung in einer Fertigspritze</w:t>
      </w:r>
    </w:p>
    <w:p w14:paraId="61D88B1A" w14:textId="77777777" w:rsidR="00FE291A" w:rsidRDefault="00C8738F">
      <w:pPr>
        <w:widowControl/>
        <w:kinsoku w:val="0"/>
        <w:overflowPunct w:val="0"/>
        <w:rPr>
          <w:sz w:val="22"/>
          <w:szCs w:val="22"/>
          <w:lang w:val="de-DE"/>
        </w:rPr>
      </w:pPr>
      <w:r>
        <w:rPr>
          <w:sz w:val="22"/>
          <w:szCs w:val="22"/>
          <w:lang w:val="de-DE"/>
        </w:rPr>
        <w:t>AMGEVITA 80 mg Injektionslösung in einer Fertigspritze</w:t>
      </w:r>
    </w:p>
    <w:p w14:paraId="4B5D4148" w14:textId="77777777" w:rsidR="00FE291A" w:rsidRDefault="00C8738F">
      <w:pPr>
        <w:widowControl/>
        <w:kinsoku w:val="0"/>
        <w:overflowPunct w:val="0"/>
        <w:rPr>
          <w:sz w:val="22"/>
          <w:szCs w:val="22"/>
          <w:lang w:val="de-DE"/>
        </w:rPr>
      </w:pPr>
      <w:r>
        <w:rPr>
          <w:sz w:val="22"/>
          <w:szCs w:val="22"/>
          <w:lang w:val="de-DE"/>
        </w:rPr>
        <w:t>AMGEVITA 40 mg Injektionslösung im Fertigpen</w:t>
      </w:r>
    </w:p>
    <w:p w14:paraId="539E4304" w14:textId="77777777" w:rsidR="00FE291A" w:rsidRDefault="00C8738F">
      <w:pPr>
        <w:widowControl/>
        <w:kinsoku w:val="0"/>
        <w:overflowPunct w:val="0"/>
        <w:rPr>
          <w:sz w:val="22"/>
          <w:szCs w:val="22"/>
          <w:lang w:val="de-DE"/>
        </w:rPr>
      </w:pPr>
      <w:r>
        <w:rPr>
          <w:sz w:val="22"/>
          <w:szCs w:val="22"/>
          <w:lang w:val="de-DE"/>
        </w:rPr>
        <w:t>AMGEVITA 80 mg Injektionslösung im Fertigpen</w:t>
      </w:r>
    </w:p>
    <w:p w14:paraId="797DE4D0" w14:textId="77777777" w:rsidR="00FE291A" w:rsidRDefault="00FE291A">
      <w:pPr>
        <w:widowControl/>
        <w:kinsoku w:val="0"/>
        <w:overflowPunct w:val="0"/>
        <w:rPr>
          <w:sz w:val="22"/>
          <w:szCs w:val="22"/>
          <w:lang w:val="de-DE"/>
        </w:rPr>
      </w:pPr>
    </w:p>
    <w:bookmarkEnd w:id="34"/>
    <w:p w14:paraId="6DC00322" w14:textId="77777777" w:rsidR="00FE291A" w:rsidRDefault="00FE291A">
      <w:pPr>
        <w:widowControl/>
        <w:kinsoku w:val="0"/>
        <w:overflowPunct w:val="0"/>
        <w:rPr>
          <w:sz w:val="22"/>
          <w:szCs w:val="22"/>
          <w:lang w:val="de-DE"/>
        </w:rPr>
      </w:pPr>
    </w:p>
    <w:p w14:paraId="7A452E0D" w14:textId="77777777" w:rsidR="00FE291A" w:rsidRDefault="00C8738F">
      <w:pPr>
        <w:pStyle w:val="Heading1"/>
        <w:keepNext/>
        <w:widowControl/>
        <w:numPr>
          <w:ilvl w:val="0"/>
          <w:numId w:val="14"/>
        </w:numPr>
        <w:tabs>
          <w:tab w:val="left" w:pos="567"/>
        </w:tabs>
        <w:kinsoku w:val="0"/>
        <w:overflowPunct w:val="0"/>
        <w:ind w:left="0" w:firstLine="0"/>
        <w:rPr>
          <w:b w:val="0"/>
          <w:bCs w:val="0"/>
          <w:lang w:val="de-DE"/>
        </w:rPr>
      </w:pPr>
      <w:r>
        <w:rPr>
          <w:lang w:val="de-DE"/>
        </w:rPr>
        <w:t>QUALITATIVE UND QUANTITATIVE ZUSAMMENSETZUNG</w:t>
      </w:r>
    </w:p>
    <w:p w14:paraId="4B04AEEB" w14:textId="77777777" w:rsidR="00FE291A" w:rsidRDefault="00FE291A">
      <w:pPr>
        <w:keepNext/>
        <w:widowControl/>
        <w:kinsoku w:val="0"/>
        <w:overflowPunct w:val="0"/>
        <w:rPr>
          <w:sz w:val="22"/>
          <w:szCs w:val="22"/>
          <w:lang w:val="de-DE"/>
        </w:rPr>
      </w:pPr>
    </w:p>
    <w:p w14:paraId="0DB75380" w14:textId="77777777" w:rsidR="00FE291A" w:rsidRDefault="00C8738F">
      <w:pPr>
        <w:widowControl/>
        <w:kinsoku w:val="0"/>
        <w:overflowPunct w:val="0"/>
        <w:rPr>
          <w:sz w:val="22"/>
          <w:szCs w:val="22"/>
          <w:u w:val="single"/>
          <w:lang w:val="de-DE"/>
        </w:rPr>
      </w:pPr>
      <w:r>
        <w:rPr>
          <w:sz w:val="22"/>
          <w:szCs w:val="22"/>
          <w:u w:val="single"/>
          <w:lang w:val="de-DE"/>
        </w:rPr>
        <w:t>AMGEVITA 20 mg Injektionslösung in einer Fertigspritze</w:t>
      </w:r>
    </w:p>
    <w:p w14:paraId="4D0B1F14" w14:textId="77777777" w:rsidR="00FE291A" w:rsidRDefault="00FE291A">
      <w:pPr>
        <w:widowControl/>
        <w:kinsoku w:val="0"/>
        <w:overflowPunct w:val="0"/>
        <w:rPr>
          <w:sz w:val="22"/>
          <w:szCs w:val="22"/>
          <w:lang w:val="de-DE"/>
        </w:rPr>
      </w:pPr>
    </w:p>
    <w:p w14:paraId="3EB42A57" w14:textId="77777777" w:rsidR="00FE291A" w:rsidRDefault="00C8738F">
      <w:pPr>
        <w:widowControl/>
        <w:kinsoku w:val="0"/>
        <w:overflowPunct w:val="0"/>
        <w:rPr>
          <w:sz w:val="22"/>
          <w:szCs w:val="22"/>
          <w:lang w:val="de-DE"/>
        </w:rPr>
      </w:pPr>
      <w:r>
        <w:rPr>
          <w:sz w:val="22"/>
          <w:szCs w:val="22"/>
          <w:lang w:val="de-DE"/>
        </w:rPr>
        <w:t>Jede Einzeldosis-Fertigspritze enthält 20 mg Adalimumab in 0,2 ml Lösung (100 mg/ml).</w:t>
      </w:r>
    </w:p>
    <w:p w14:paraId="20C930E9" w14:textId="77777777" w:rsidR="00FE291A" w:rsidRDefault="00FE291A">
      <w:pPr>
        <w:widowControl/>
        <w:kinsoku w:val="0"/>
        <w:overflowPunct w:val="0"/>
        <w:rPr>
          <w:sz w:val="22"/>
          <w:szCs w:val="22"/>
          <w:lang w:val="de-DE"/>
        </w:rPr>
      </w:pPr>
    </w:p>
    <w:p w14:paraId="6166244C" w14:textId="77777777" w:rsidR="00FE291A" w:rsidRDefault="00C8738F">
      <w:pPr>
        <w:widowControl/>
        <w:kinsoku w:val="0"/>
        <w:overflowPunct w:val="0"/>
        <w:rPr>
          <w:sz w:val="22"/>
          <w:szCs w:val="22"/>
          <w:u w:val="single"/>
          <w:lang w:val="de-DE"/>
        </w:rPr>
      </w:pPr>
      <w:r>
        <w:rPr>
          <w:sz w:val="22"/>
          <w:szCs w:val="22"/>
          <w:u w:val="single"/>
          <w:lang w:val="de-DE"/>
        </w:rPr>
        <w:t>AMGEVITA 40 mg Injektionslösung in einer Fertigspritze</w:t>
      </w:r>
    </w:p>
    <w:p w14:paraId="268B66A8" w14:textId="77777777" w:rsidR="00FE291A" w:rsidRDefault="00FE291A">
      <w:pPr>
        <w:widowControl/>
        <w:kinsoku w:val="0"/>
        <w:overflowPunct w:val="0"/>
        <w:rPr>
          <w:sz w:val="22"/>
          <w:szCs w:val="22"/>
          <w:lang w:val="de-DE"/>
        </w:rPr>
      </w:pPr>
    </w:p>
    <w:p w14:paraId="4CEDF5D9" w14:textId="77777777" w:rsidR="00FE291A" w:rsidRDefault="00C8738F">
      <w:pPr>
        <w:widowControl/>
        <w:kinsoku w:val="0"/>
        <w:overflowPunct w:val="0"/>
        <w:rPr>
          <w:sz w:val="22"/>
          <w:szCs w:val="22"/>
          <w:lang w:val="de-DE"/>
        </w:rPr>
      </w:pPr>
      <w:r>
        <w:rPr>
          <w:sz w:val="22"/>
          <w:szCs w:val="22"/>
          <w:lang w:val="de-DE"/>
        </w:rPr>
        <w:t>Jede Einzeldosis-Fertigspritze enthält 40 mg Adalimumab in 0,4 ml Lösung (100 mg/ml).</w:t>
      </w:r>
    </w:p>
    <w:p w14:paraId="5FFD7639" w14:textId="77777777" w:rsidR="00FE291A" w:rsidRDefault="00FE291A">
      <w:pPr>
        <w:widowControl/>
        <w:kinsoku w:val="0"/>
        <w:overflowPunct w:val="0"/>
        <w:rPr>
          <w:sz w:val="22"/>
          <w:szCs w:val="22"/>
          <w:lang w:val="de-DE"/>
        </w:rPr>
      </w:pPr>
    </w:p>
    <w:p w14:paraId="19AD543B" w14:textId="77777777" w:rsidR="00FE291A" w:rsidRDefault="00C8738F">
      <w:pPr>
        <w:widowControl/>
        <w:kinsoku w:val="0"/>
        <w:overflowPunct w:val="0"/>
        <w:rPr>
          <w:sz w:val="22"/>
          <w:szCs w:val="22"/>
          <w:u w:val="single"/>
          <w:lang w:val="de-DE"/>
        </w:rPr>
      </w:pPr>
      <w:r>
        <w:rPr>
          <w:sz w:val="22"/>
          <w:szCs w:val="22"/>
          <w:u w:val="single"/>
          <w:lang w:val="de-DE"/>
        </w:rPr>
        <w:t>AMGEVITA 80 mg Injektionslösung in einer Fertigspritze</w:t>
      </w:r>
    </w:p>
    <w:p w14:paraId="29852803" w14:textId="77777777" w:rsidR="00FE291A" w:rsidRDefault="00FE291A">
      <w:pPr>
        <w:widowControl/>
        <w:kinsoku w:val="0"/>
        <w:overflowPunct w:val="0"/>
        <w:rPr>
          <w:sz w:val="22"/>
          <w:szCs w:val="22"/>
          <w:lang w:val="de-DE"/>
        </w:rPr>
      </w:pPr>
    </w:p>
    <w:p w14:paraId="745CC6FD" w14:textId="77777777" w:rsidR="00FE291A" w:rsidRDefault="00C8738F">
      <w:pPr>
        <w:widowControl/>
        <w:kinsoku w:val="0"/>
        <w:overflowPunct w:val="0"/>
        <w:rPr>
          <w:sz w:val="22"/>
          <w:szCs w:val="22"/>
          <w:lang w:val="de-DE"/>
        </w:rPr>
      </w:pPr>
      <w:r>
        <w:rPr>
          <w:sz w:val="22"/>
          <w:szCs w:val="22"/>
          <w:lang w:val="de-DE"/>
        </w:rPr>
        <w:t>Jede Einzeldosis-Fertigspritze enthält 80 mg Adalimumab in 0,8 ml Lösung (100 mg/ml).</w:t>
      </w:r>
    </w:p>
    <w:p w14:paraId="264AD830" w14:textId="77777777" w:rsidR="00FE291A" w:rsidRDefault="00FE291A">
      <w:pPr>
        <w:widowControl/>
        <w:kinsoku w:val="0"/>
        <w:overflowPunct w:val="0"/>
        <w:rPr>
          <w:sz w:val="22"/>
          <w:szCs w:val="22"/>
          <w:lang w:val="de-DE"/>
        </w:rPr>
      </w:pPr>
    </w:p>
    <w:p w14:paraId="20548214" w14:textId="77777777" w:rsidR="00FE291A" w:rsidRDefault="00C8738F">
      <w:pPr>
        <w:widowControl/>
        <w:kinsoku w:val="0"/>
        <w:overflowPunct w:val="0"/>
        <w:rPr>
          <w:sz w:val="22"/>
          <w:szCs w:val="22"/>
          <w:u w:val="single"/>
          <w:lang w:val="de-DE"/>
        </w:rPr>
      </w:pPr>
      <w:r>
        <w:rPr>
          <w:sz w:val="22"/>
          <w:szCs w:val="22"/>
          <w:u w:val="single"/>
          <w:lang w:val="de-DE"/>
        </w:rPr>
        <w:t>AMGEVITA 40 mg Injektionslösung im Fertigpen</w:t>
      </w:r>
    </w:p>
    <w:p w14:paraId="650F0E88" w14:textId="77777777" w:rsidR="00FE291A" w:rsidRDefault="00FE291A">
      <w:pPr>
        <w:widowControl/>
        <w:kinsoku w:val="0"/>
        <w:overflowPunct w:val="0"/>
        <w:rPr>
          <w:sz w:val="22"/>
          <w:szCs w:val="22"/>
          <w:lang w:val="de-DE"/>
        </w:rPr>
      </w:pPr>
    </w:p>
    <w:p w14:paraId="0DAD6C5F" w14:textId="77777777" w:rsidR="00FE291A" w:rsidRDefault="00C8738F">
      <w:pPr>
        <w:widowControl/>
        <w:kinsoku w:val="0"/>
        <w:overflowPunct w:val="0"/>
        <w:rPr>
          <w:sz w:val="22"/>
          <w:szCs w:val="22"/>
          <w:lang w:val="de-DE"/>
        </w:rPr>
      </w:pPr>
      <w:r>
        <w:rPr>
          <w:sz w:val="22"/>
          <w:szCs w:val="22"/>
          <w:lang w:val="de-DE"/>
        </w:rPr>
        <w:t>Jeder Einzeldosis-Fertigpen enthält 40 mg Adalimumab in 0,4 ml Lösung (100 mg/ml).</w:t>
      </w:r>
    </w:p>
    <w:p w14:paraId="512340BE" w14:textId="77777777" w:rsidR="00FE291A" w:rsidRDefault="00FE291A">
      <w:pPr>
        <w:widowControl/>
        <w:kinsoku w:val="0"/>
        <w:overflowPunct w:val="0"/>
        <w:rPr>
          <w:sz w:val="22"/>
          <w:szCs w:val="22"/>
          <w:u w:val="single"/>
          <w:lang w:val="de-DE"/>
        </w:rPr>
      </w:pPr>
    </w:p>
    <w:p w14:paraId="507796C2" w14:textId="77777777" w:rsidR="00FE291A" w:rsidRDefault="00C8738F">
      <w:pPr>
        <w:widowControl/>
        <w:kinsoku w:val="0"/>
        <w:overflowPunct w:val="0"/>
        <w:rPr>
          <w:sz w:val="22"/>
          <w:szCs w:val="22"/>
          <w:u w:val="single"/>
          <w:lang w:val="de-DE"/>
        </w:rPr>
      </w:pPr>
      <w:r>
        <w:rPr>
          <w:sz w:val="22"/>
          <w:szCs w:val="22"/>
          <w:u w:val="single"/>
          <w:lang w:val="de-DE"/>
        </w:rPr>
        <w:t>AMGEVITA 80 mg Injektionslösung im Fertigpen</w:t>
      </w:r>
    </w:p>
    <w:p w14:paraId="16DF733C" w14:textId="77777777" w:rsidR="00FE291A" w:rsidRDefault="00FE291A">
      <w:pPr>
        <w:widowControl/>
        <w:kinsoku w:val="0"/>
        <w:overflowPunct w:val="0"/>
        <w:rPr>
          <w:sz w:val="22"/>
          <w:szCs w:val="22"/>
          <w:lang w:val="de-DE"/>
        </w:rPr>
      </w:pPr>
    </w:p>
    <w:p w14:paraId="155487B6" w14:textId="77777777" w:rsidR="00FE291A" w:rsidRDefault="00C8738F">
      <w:pPr>
        <w:widowControl/>
        <w:kinsoku w:val="0"/>
        <w:overflowPunct w:val="0"/>
        <w:rPr>
          <w:sz w:val="22"/>
          <w:szCs w:val="22"/>
          <w:lang w:val="de-DE"/>
        </w:rPr>
      </w:pPr>
      <w:r>
        <w:rPr>
          <w:sz w:val="22"/>
          <w:szCs w:val="22"/>
          <w:lang w:val="de-DE"/>
        </w:rPr>
        <w:t>Jeder Einzeldosis-Fertigpen enthält 80 mg Adalimumab in 0,8 ml Lösung (100 mg/ml).</w:t>
      </w:r>
    </w:p>
    <w:p w14:paraId="66E70C75" w14:textId="77777777" w:rsidR="00FE291A" w:rsidRDefault="00FE291A">
      <w:pPr>
        <w:widowControl/>
        <w:kinsoku w:val="0"/>
        <w:overflowPunct w:val="0"/>
        <w:rPr>
          <w:sz w:val="22"/>
          <w:szCs w:val="22"/>
          <w:lang w:val="de-DE"/>
        </w:rPr>
      </w:pPr>
    </w:p>
    <w:p w14:paraId="48D5DF50" w14:textId="77777777" w:rsidR="00FE291A" w:rsidRDefault="00C8738F">
      <w:pPr>
        <w:widowControl/>
        <w:kinsoku w:val="0"/>
        <w:overflowPunct w:val="0"/>
        <w:rPr>
          <w:sz w:val="22"/>
          <w:szCs w:val="22"/>
          <w:lang w:val="de-DE"/>
        </w:rPr>
      </w:pPr>
      <w:r>
        <w:rPr>
          <w:sz w:val="22"/>
          <w:szCs w:val="22"/>
          <w:lang w:val="de-DE"/>
        </w:rPr>
        <w:t>Adalimumab ist ein rekombinanter humaner monoklonaler Antikörper, der in Ovarialzellen des Chinesischen Hamsters produziert wird.</w:t>
      </w:r>
    </w:p>
    <w:p w14:paraId="4FE4CEBD" w14:textId="77777777" w:rsidR="00FE291A" w:rsidRDefault="00FE291A">
      <w:pPr>
        <w:widowControl/>
        <w:kinsoku w:val="0"/>
        <w:overflowPunct w:val="0"/>
        <w:rPr>
          <w:sz w:val="22"/>
          <w:szCs w:val="22"/>
          <w:lang w:val="de-DE"/>
        </w:rPr>
      </w:pPr>
    </w:p>
    <w:p w14:paraId="17DBF7DD" w14:textId="77777777" w:rsidR="00FE291A" w:rsidRDefault="00C8738F">
      <w:pPr>
        <w:widowControl/>
        <w:kinsoku w:val="0"/>
        <w:overflowPunct w:val="0"/>
        <w:rPr>
          <w:sz w:val="22"/>
          <w:szCs w:val="22"/>
          <w:lang w:val="de-DE"/>
        </w:rPr>
      </w:pPr>
      <w:r>
        <w:rPr>
          <w:sz w:val="22"/>
          <w:szCs w:val="22"/>
          <w:lang w:val="de-DE"/>
        </w:rPr>
        <w:t>Vollständige Auflistung der sonstigen Bestandteile, siehe Abschnitt 6.1.</w:t>
      </w:r>
    </w:p>
    <w:p w14:paraId="6CC08C89" w14:textId="77777777" w:rsidR="00FE291A" w:rsidRDefault="00FE291A">
      <w:pPr>
        <w:widowControl/>
        <w:kinsoku w:val="0"/>
        <w:overflowPunct w:val="0"/>
        <w:rPr>
          <w:sz w:val="22"/>
          <w:szCs w:val="22"/>
          <w:lang w:val="de-DE"/>
        </w:rPr>
      </w:pPr>
    </w:p>
    <w:p w14:paraId="31DC46E7" w14:textId="77777777" w:rsidR="00FE291A" w:rsidRDefault="00FE291A">
      <w:pPr>
        <w:widowControl/>
        <w:kinsoku w:val="0"/>
        <w:overflowPunct w:val="0"/>
        <w:rPr>
          <w:sz w:val="22"/>
          <w:szCs w:val="22"/>
          <w:lang w:val="de-DE"/>
        </w:rPr>
      </w:pPr>
    </w:p>
    <w:p w14:paraId="6A98CB61" w14:textId="77777777" w:rsidR="00FE291A" w:rsidRDefault="00C8738F">
      <w:pPr>
        <w:pStyle w:val="Heading1"/>
        <w:keepNext/>
        <w:widowControl/>
        <w:numPr>
          <w:ilvl w:val="0"/>
          <w:numId w:val="14"/>
        </w:numPr>
        <w:tabs>
          <w:tab w:val="left" w:pos="567"/>
        </w:tabs>
        <w:kinsoku w:val="0"/>
        <w:overflowPunct w:val="0"/>
        <w:ind w:left="0" w:firstLine="0"/>
        <w:rPr>
          <w:b w:val="0"/>
          <w:bCs w:val="0"/>
          <w:lang w:val="de-DE"/>
        </w:rPr>
      </w:pPr>
      <w:r>
        <w:rPr>
          <w:lang w:val="de-DE"/>
        </w:rPr>
        <w:t>DARREICHUNGSFORM</w:t>
      </w:r>
    </w:p>
    <w:p w14:paraId="02BF42AD" w14:textId="77777777" w:rsidR="00FE291A" w:rsidRDefault="00FE291A">
      <w:pPr>
        <w:keepNext/>
        <w:widowControl/>
        <w:kinsoku w:val="0"/>
        <w:overflowPunct w:val="0"/>
        <w:rPr>
          <w:sz w:val="22"/>
          <w:szCs w:val="22"/>
          <w:lang w:val="de-DE"/>
        </w:rPr>
      </w:pPr>
    </w:p>
    <w:p w14:paraId="7E6D92AD" w14:textId="77777777" w:rsidR="00FE291A" w:rsidRDefault="00C8738F">
      <w:pPr>
        <w:pStyle w:val="BodyText"/>
        <w:widowControl/>
        <w:kinsoku w:val="0"/>
        <w:overflowPunct w:val="0"/>
        <w:ind w:left="0"/>
        <w:rPr>
          <w:lang w:val="de-DE"/>
        </w:rPr>
      </w:pPr>
      <w:r>
        <w:rPr>
          <w:lang w:val="de-DE"/>
        </w:rPr>
        <w:t>Injektionslösung (Injektion)</w:t>
      </w:r>
    </w:p>
    <w:p w14:paraId="4CA10104" w14:textId="77777777" w:rsidR="00FE291A" w:rsidRDefault="00C8738F">
      <w:pPr>
        <w:pStyle w:val="BodyText"/>
        <w:widowControl/>
        <w:kinsoku w:val="0"/>
        <w:overflowPunct w:val="0"/>
        <w:ind w:left="0"/>
        <w:rPr>
          <w:lang w:val="de-DE"/>
        </w:rPr>
      </w:pPr>
      <w:r>
        <w:rPr>
          <w:lang w:val="de-DE"/>
        </w:rPr>
        <w:t>Injektionslösung (Injektion) im Fertigpen (SureClick)</w:t>
      </w:r>
    </w:p>
    <w:p w14:paraId="57B0E545" w14:textId="77777777" w:rsidR="00FE291A" w:rsidRDefault="00FE291A">
      <w:pPr>
        <w:pStyle w:val="BodyText"/>
        <w:widowControl/>
        <w:kinsoku w:val="0"/>
        <w:overflowPunct w:val="0"/>
        <w:ind w:left="0"/>
        <w:rPr>
          <w:lang w:val="de-DE"/>
        </w:rPr>
      </w:pPr>
    </w:p>
    <w:p w14:paraId="38587AB5" w14:textId="77777777" w:rsidR="00FE291A" w:rsidRDefault="00C8738F">
      <w:pPr>
        <w:pStyle w:val="BodyText"/>
        <w:widowControl/>
        <w:kinsoku w:val="0"/>
        <w:overflowPunct w:val="0"/>
        <w:ind w:left="0"/>
        <w:rPr>
          <w:lang w:val="de-DE"/>
        </w:rPr>
      </w:pPr>
      <w:r>
        <w:rPr>
          <w:lang w:val="de-DE"/>
        </w:rPr>
        <w:t>Klare und farblose bis leicht gelbliche Lösung.</w:t>
      </w:r>
    </w:p>
    <w:p w14:paraId="35684826" w14:textId="77777777" w:rsidR="00FE291A" w:rsidRDefault="00FE291A">
      <w:pPr>
        <w:widowControl/>
        <w:kinsoku w:val="0"/>
        <w:overflowPunct w:val="0"/>
        <w:rPr>
          <w:sz w:val="22"/>
          <w:szCs w:val="22"/>
          <w:lang w:val="de-DE"/>
        </w:rPr>
      </w:pPr>
    </w:p>
    <w:p w14:paraId="7CA49DD6" w14:textId="77777777" w:rsidR="00FE291A" w:rsidRDefault="00FE291A">
      <w:pPr>
        <w:widowControl/>
        <w:kinsoku w:val="0"/>
        <w:overflowPunct w:val="0"/>
        <w:rPr>
          <w:sz w:val="22"/>
          <w:szCs w:val="22"/>
          <w:lang w:val="de-DE"/>
        </w:rPr>
      </w:pPr>
    </w:p>
    <w:p w14:paraId="5248183F" w14:textId="77777777" w:rsidR="00FE291A" w:rsidRDefault="00C8738F">
      <w:pPr>
        <w:pStyle w:val="Heading1"/>
        <w:keepNext/>
        <w:widowControl/>
        <w:numPr>
          <w:ilvl w:val="0"/>
          <w:numId w:val="14"/>
        </w:numPr>
        <w:tabs>
          <w:tab w:val="left" w:pos="567"/>
        </w:tabs>
        <w:kinsoku w:val="0"/>
        <w:overflowPunct w:val="0"/>
        <w:ind w:left="0" w:firstLine="0"/>
        <w:rPr>
          <w:b w:val="0"/>
          <w:bCs w:val="0"/>
          <w:lang w:val="de-DE"/>
        </w:rPr>
      </w:pPr>
      <w:r>
        <w:rPr>
          <w:lang w:val="de-DE"/>
        </w:rPr>
        <w:t>KLINISCHE ANGABEN</w:t>
      </w:r>
    </w:p>
    <w:p w14:paraId="32D70C51" w14:textId="77777777" w:rsidR="00FE291A" w:rsidRDefault="00FE291A">
      <w:pPr>
        <w:keepNext/>
        <w:widowControl/>
        <w:kinsoku w:val="0"/>
        <w:overflowPunct w:val="0"/>
        <w:rPr>
          <w:sz w:val="22"/>
          <w:szCs w:val="22"/>
          <w:lang w:val="de-DE"/>
        </w:rPr>
      </w:pPr>
    </w:p>
    <w:p w14:paraId="7F005AAF" w14:textId="77777777" w:rsidR="00FE291A" w:rsidRDefault="00C8738F">
      <w:pPr>
        <w:keepNext/>
        <w:widowControl/>
        <w:numPr>
          <w:ilvl w:val="1"/>
          <w:numId w:val="14"/>
        </w:numPr>
        <w:tabs>
          <w:tab w:val="left" w:pos="567"/>
        </w:tabs>
        <w:kinsoku w:val="0"/>
        <w:overflowPunct w:val="0"/>
        <w:ind w:firstLine="0"/>
        <w:rPr>
          <w:sz w:val="22"/>
          <w:szCs w:val="22"/>
          <w:lang w:val="de-DE"/>
        </w:rPr>
      </w:pPr>
      <w:r>
        <w:rPr>
          <w:b/>
          <w:bCs/>
          <w:sz w:val="22"/>
          <w:szCs w:val="22"/>
          <w:lang w:val="de-DE"/>
        </w:rPr>
        <w:t>Anwendungsgebiete</w:t>
      </w:r>
    </w:p>
    <w:p w14:paraId="4BA3F4EB" w14:textId="77777777" w:rsidR="00FE291A" w:rsidRDefault="00FE291A">
      <w:pPr>
        <w:keepNext/>
        <w:widowControl/>
        <w:kinsoku w:val="0"/>
        <w:overflowPunct w:val="0"/>
        <w:rPr>
          <w:sz w:val="22"/>
          <w:szCs w:val="22"/>
          <w:lang w:val="de-DE"/>
        </w:rPr>
      </w:pPr>
    </w:p>
    <w:p w14:paraId="6BF7B342" w14:textId="77777777" w:rsidR="00FE291A" w:rsidRDefault="00C8738F">
      <w:pPr>
        <w:pStyle w:val="BodyText"/>
        <w:widowControl/>
        <w:kinsoku w:val="0"/>
        <w:overflowPunct w:val="0"/>
        <w:ind w:left="0"/>
        <w:rPr>
          <w:lang w:val="de-DE"/>
        </w:rPr>
      </w:pPr>
      <w:r>
        <w:rPr>
          <w:u w:val="single"/>
          <w:lang w:val="de-DE"/>
        </w:rPr>
        <w:t>Rheumatoide Arthritis</w:t>
      </w:r>
    </w:p>
    <w:p w14:paraId="18A4EDA7" w14:textId="77777777" w:rsidR="00FE291A" w:rsidRDefault="00FE291A">
      <w:pPr>
        <w:widowControl/>
        <w:kinsoku w:val="0"/>
        <w:overflowPunct w:val="0"/>
        <w:rPr>
          <w:sz w:val="22"/>
          <w:szCs w:val="22"/>
          <w:lang w:val="de-DE"/>
        </w:rPr>
      </w:pPr>
    </w:p>
    <w:p w14:paraId="0A3DF11E" w14:textId="77777777" w:rsidR="00FE291A" w:rsidRDefault="00C8738F">
      <w:pPr>
        <w:pStyle w:val="BodyText"/>
        <w:widowControl/>
        <w:kinsoku w:val="0"/>
        <w:overflowPunct w:val="0"/>
        <w:ind w:left="0"/>
        <w:rPr>
          <w:lang w:val="de-DE"/>
        </w:rPr>
      </w:pPr>
      <w:r>
        <w:rPr>
          <w:lang w:val="de-DE"/>
        </w:rPr>
        <w:t>AMGEVITA wird in Kombination mit Methotrexat angewendet zur</w:t>
      </w:r>
    </w:p>
    <w:p w14:paraId="0557D063" w14:textId="77777777" w:rsidR="00FE291A" w:rsidRDefault="00C8738F">
      <w:pPr>
        <w:pStyle w:val="BodyText"/>
        <w:widowControl/>
        <w:numPr>
          <w:ilvl w:val="0"/>
          <w:numId w:val="8"/>
        </w:numPr>
        <w:kinsoku w:val="0"/>
        <w:overflowPunct w:val="0"/>
        <w:ind w:left="567" w:hanging="567"/>
        <w:rPr>
          <w:lang w:val="de-DE"/>
        </w:rPr>
      </w:pPr>
      <w:r>
        <w:rPr>
          <w:lang w:val="de-DE"/>
        </w:rPr>
        <w:t>Behandlung der mäßigen bis schweren aktiven rheumatoiden Arthritis bei erwachsenen Patienten, die nur unzureichend auf krankheitsmodifizierende Antirheumatika (</w:t>
      </w:r>
      <w:r>
        <w:rPr>
          <w:i/>
          <w:lang w:val="de-DE"/>
        </w:rPr>
        <w:t>disease-modifying anti-rheumatic drugs</w:t>
      </w:r>
      <w:r>
        <w:rPr>
          <w:lang w:val="de-DE"/>
        </w:rPr>
        <w:t>, DMARDs), einschließlich Methotrexat, angesprochen haben.</w:t>
      </w:r>
    </w:p>
    <w:p w14:paraId="14E21A31" w14:textId="77777777" w:rsidR="00FE291A" w:rsidRDefault="00C8738F">
      <w:pPr>
        <w:pStyle w:val="BodyText"/>
        <w:widowControl/>
        <w:numPr>
          <w:ilvl w:val="0"/>
          <w:numId w:val="8"/>
        </w:numPr>
        <w:kinsoku w:val="0"/>
        <w:overflowPunct w:val="0"/>
        <w:ind w:left="567" w:hanging="567"/>
        <w:rPr>
          <w:lang w:val="de-DE"/>
        </w:rPr>
      </w:pPr>
      <w:r>
        <w:rPr>
          <w:lang w:val="de-DE"/>
        </w:rPr>
        <w:t>Behandlung der schweren, aktiven und progressiven rheumatoiden Arthritis bei Erwachsenen, die zuvor nicht mit Methotrexat behandelt worden sind.</w:t>
      </w:r>
    </w:p>
    <w:p w14:paraId="4113946E" w14:textId="77777777" w:rsidR="00FE291A" w:rsidRDefault="00FE291A">
      <w:pPr>
        <w:widowControl/>
        <w:kinsoku w:val="0"/>
        <w:overflowPunct w:val="0"/>
        <w:rPr>
          <w:sz w:val="22"/>
          <w:lang w:val="de-DE"/>
        </w:rPr>
      </w:pPr>
    </w:p>
    <w:p w14:paraId="27321681" w14:textId="77777777" w:rsidR="00FE291A" w:rsidRDefault="00C8738F">
      <w:pPr>
        <w:pStyle w:val="BodyText"/>
        <w:widowControl/>
        <w:kinsoku w:val="0"/>
        <w:overflowPunct w:val="0"/>
        <w:ind w:left="0"/>
        <w:rPr>
          <w:lang w:val="de-DE"/>
        </w:rPr>
      </w:pPr>
      <w:r>
        <w:rPr>
          <w:lang w:val="de-DE"/>
        </w:rPr>
        <w:t>AMGEVITA kann im Falle einer Unverträglichkeit gegenüber Methotrexat, oder wenn die weitere Behandlung mit Methotrexat nicht sinnvoll ist, als Monotherapie angewendet werden.</w:t>
      </w:r>
    </w:p>
    <w:p w14:paraId="479624D6" w14:textId="77777777" w:rsidR="00FE291A" w:rsidRDefault="00FE291A">
      <w:pPr>
        <w:widowControl/>
        <w:kinsoku w:val="0"/>
        <w:overflowPunct w:val="0"/>
        <w:rPr>
          <w:sz w:val="22"/>
          <w:lang w:val="de-DE"/>
        </w:rPr>
      </w:pPr>
    </w:p>
    <w:p w14:paraId="660FF4A4" w14:textId="77777777" w:rsidR="00FE291A" w:rsidRDefault="00C8738F">
      <w:pPr>
        <w:pStyle w:val="BodyText"/>
        <w:widowControl/>
        <w:kinsoku w:val="0"/>
        <w:overflowPunct w:val="0"/>
        <w:ind w:left="0"/>
        <w:rPr>
          <w:lang w:val="de-DE"/>
        </w:rPr>
      </w:pPr>
      <w:r>
        <w:rPr>
          <w:lang w:val="de-DE"/>
        </w:rPr>
        <w:t>AMGEVITA reduziert in Kombination mit Methotrexat das Fortschreiten der radiologisch nachweisbaren strukturellen Gelenkschädigungen und verbessert die körperliche Funktionsfähigkeit.</w:t>
      </w:r>
    </w:p>
    <w:p w14:paraId="0D291BB0" w14:textId="77777777" w:rsidR="00FE291A" w:rsidRDefault="00FE291A">
      <w:pPr>
        <w:widowControl/>
        <w:kinsoku w:val="0"/>
        <w:overflowPunct w:val="0"/>
        <w:rPr>
          <w:sz w:val="22"/>
          <w:szCs w:val="22"/>
          <w:lang w:val="de-DE"/>
        </w:rPr>
      </w:pPr>
    </w:p>
    <w:p w14:paraId="7D17D5D2" w14:textId="77777777" w:rsidR="00FE291A" w:rsidRDefault="00C8738F">
      <w:pPr>
        <w:pStyle w:val="BodyText"/>
        <w:keepNext/>
        <w:widowControl/>
        <w:kinsoku w:val="0"/>
        <w:overflowPunct w:val="0"/>
        <w:ind w:left="0"/>
        <w:rPr>
          <w:lang w:val="de-DE"/>
        </w:rPr>
      </w:pPr>
      <w:r>
        <w:rPr>
          <w:u w:val="single"/>
          <w:lang w:val="de-DE"/>
        </w:rPr>
        <w:t>Juvenile idiopathische Arthritis</w:t>
      </w:r>
    </w:p>
    <w:p w14:paraId="1672E3E9" w14:textId="77777777" w:rsidR="00FE291A" w:rsidRDefault="00FE291A">
      <w:pPr>
        <w:widowControl/>
        <w:kinsoku w:val="0"/>
        <w:overflowPunct w:val="0"/>
        <w:rPr>
          <w:sz w:val="22"/>
          <w:szCs w:val="22"/>
          <w:lang w:val="de-DE"/>
        </w:rPr>
      </w:pPr>
    </w:p>
    <w:p w14:paraId="509E169E" w14:textId="77777777" w:rsidR="00FE291A" w:rsidRDefault="00C8738F">
      <w:pPr>
        <w:keepNext/>
        <w:widowControl/>
        <w:kinsoku w:val="0"/>
        <w:overflowPunct w:val="0"/>
        <w:rPr>
          <w:i/>
          <w:sz w:val="22"/>
          <w:szCs w:val="22"/>
          <w:lang w:val="de-DE"/>
        </w:rPr>
      </w:pPr>
      <w:r>
        <w:rPr>
          <w:i/>
          <w:iCs/>
          <w:sz w:val="22"/>
          <w:szCs w:val="22"/>
          <w:lang w:val="de-DE"/>
        </w:rPr>
        <w:t>Polyartikuläre juvenile idiopathische Arthritis</w:t>
      </w:r>
    </w:p>
    <w:p w14:paraId="5BD69558" w14:textId="77777777" w:rsidR="00FE291A" w:rsidRDefault="00FE291A">
      <w:pPr>
        <w:keepNext/>
        <w:widowControl/>
        <w:kinsoku w:val="0"/>
        <w:overflowPunct w:val="0"/>
        <w:rPr>
          <w:sz w:val="22"/>
          <w:szCs w:val="22"/>
          <w:lang w:val="de-DE"/>
        </w:rPr>
      </w:pPr>
    </w:p>
    <w:p w14:paraId="522C4B07" w14:textId="77777777" w:rsidR="00FE291A" w:rsidRDefault="00C8738F">
      <w:pPr>
        <w:pStyle w:val="BodyText"/>
        <w:widowControl/>
        <w:kinsoku w:val="0"/>
        <w:overflowPunct w:val="0"/>
        <w:ind w:left="0"/>
        <w:rPr>
          <w:lang w:val="de-DE"/>
        </w:rPr>
      </w:pPr>
      <w:r>
        <w:rPr>
          <w:lang w:val="de-DE"/>
        </w:rPr>
        <w:t>AMGEVITA wird in Kombination mit Methotrexat angewendet zur Behandlung der aktiven polyartikulären juvenilen idiopathischen Arthritis bei Patienten ab dem Alter von 2 Jahren, die nur unzureichend auf ein oder mehrere DMARDs angesprochen haben. AMGEVITA kann im Falle einer Unverträglichkeit gegenüber Methotrexat oder, wenn die weitere Behandlung mit Methotrexat nicht sinnvoll ist, als Monotherapie angewendet werden (zur Wirksamkeit bei der Monotherapie siehe Abschnitt 5.1). Bei Patienten, die jünger als 2 Jahre sind, wurde Adalimumab nicht untersucht.</w:t>
      </w:r>
    </w:p>
    <w:p w14:paraId="08472144" w14:textId="77777777" w:rsidR="00FE291A" w:rsidRDefault="00FE291A">
      <w:pPr>
        <w:pStyle w:val="BodyText"/>
        <w:widowControl/>
        <w:kinsoku w:val="0"/>
        <w:overflowPunct w:val="0"/>
        <w:ind w:left="0"/>
        <w:rPr>
          <w:lang w:val="de-DE"/>
        </w:rPr>
      </w:pPr>
    </w:p>
    <w:p w14:paraId="2BD3D963" w14:textId="77777777" w:rsidR="00FE291A" w:rsidRDefault="00C8738F">
      <w:pPr>
        <w:keepNext/>
        <w:widowControl/>
        <w:kinsoku w:val="0"/>
        <w:overflowPunct w:val="0"/>
        <w:rPr>
          <w:sz w:val="22"/>
          <w:szCs w:val="22"/>
          <w:lang w:val="de-DE"/>
        </w:rPr>
      </w:pPr>
      <w:r>
        <w:rPr>
          <w:i/>
          <w:iCs/>
          <w:sz w:val="22"/>
          <w:szCs w:val="22"/>
          <w:lang w:val="de-DE"/>
        </w:rPr>
        <w:t>Enthesitis-assoziierte Arthritis</w:t>
      </w:r>
    </w:p>
    <w:p w14:paraId="794780D4" w14:textId="77777777" w:rsidR="00FE291A" w:rsidRDefault="00FE291A">
      <w:pPr>
        <w:keepNext/>
        <w:widowControl/>
        <w:kinsoku w:val="0"/>
        <w:overflowPunct w:val="0"/>
        <w:rPr>
          <w:sz w:val="22"/>
          <w:szCs w:val="22"/>
          <w:lang w:val="de-DE"/>
        </w:rPr>
      </w:pPr>
    </w:p>
    <w:p w14:paraId="47264B5D" w14:textId="77777777" w:rsidR="00FE291A" w:rsidRDefault="00C8738F">
      <w:pPr>
        <w:pStyle w:val="BodyText"/>
        <w:widowControl/>
        <w:kinsoku w:val="0"/>
        <w:overflowPunct w:val="0"/>
        <w:ind w:left="0"/>
        <w:rPr>
          <w:lang w:val="de-DE"/>
        </w:rPr>
      </w:pPr>
      <w:r>
        <w:rPr>
          <w:lang w:val="de-DE"/>
        </w:rPr>
        <w:t>AMGEVITA wird angewendet zur Behandlung der aktiven Enthesitis-assoziierten Arthritis bei Patienten, die 6 Jahre und älter sind und die nur unzureichend auf eine konventionelle Therapie angesprochen haben oder die eine Unverträglichkeit gegenüber einer solchen Therapie haben (siehe Abschnitt 5.1).</w:t>
      </w:r>
    </w:p>
    <w:p w14:paraId="2325FC7D" w14:textId="77777777" w:rsidR="00FE291A" w:rsidRDefault="00FE291A">
      <w:pPr>
        <w:pStyle w:val="BodyText"/>
        <w:widowControl/>
        <w:kinsoku w:val="0"/>
        <w:overflowPunct w:val="0"/>
        <w:ind w:left="0"/>
        <w:rPr>
          <w:lang w:val="de-DE"/>
        </w:rPr>
      </w:pPr>
    </w:p>
    <w:p w14:paraId="035408C0" w14:textId="77777777" w:rsidR="00FE291A" w:rsidRDefault="00C8738F">
      <w:pPr>
        <w:pStyle w:val="BodyText"/>
        <w:keepNext/>
        <w:widowControl/>
        <w:kinsoku w:val="0"/>
        <w:overflowPunct w:val="0"/>
        <w:ind w:left="0"/>
        <w:rPr>
          <w:lang w:val="de-DE"/>
        </w:rPr>
      </w:pPr>
      <w:r>
        <w:rPr>
          <w:u w:val="single"/>
          <w:lang w:val="de-DE"/>
        </w:rPr>
        <w:t>Axiale Spondyloarthritis</w:t>
      </w:r>
    </w:p>
    <w:p w14:paraId="49E07036" w14:textId="77777777" w:rsidR="00FE291A" w:rsidRDefault="00FE291A">
      <w:pPr>
        <w:keepNext/>
        <w:widowControl/>
        <w:kinsoku w:val="0"/>
        <w:overflowPunct w:val="0"/>
        <w:rPr>
          <w:sz w:val="22"/>
          <w:szCs w:val="22"/>
          <w:lang w:val="de-DE"/>
        </w:rPr>
      </w:pPr>
    </w:p>
    <w:p w14:paraId="423DA5E1" w14:textId="77777777" w:rsidR="00FE291A" w:rsidRDefault="00C8738F">
      <w:pPr>
        <w:widowControl/>
        <w:kinsoku w:val="0"/>
        <w:overflowPunct w:val="0"/>
        <w:rPr>
          <w:sz w:val="22"/>
          <w:szCs w:val="22"/>
          <w:lang w:val="de-DE"/>
        </w:rPr>
      </w:pPr>
      <w:r>
        <w:rPr>
          <w:i/>
          <w:iCs/>
          <w:sz w:val="22"/>
          <w:szCs w:val="22"/>
          <w:lang w:val="de-DE"/>
        </w:rPr>
        <w:t>Ankylosierende Spondylitis (AS)</w:t>
      </w:r>
    </w:p>
    <w:p w14:paraId="5211868C" w14:textId="77777777" w:rsidR="00FE291A" w:rsidRDefault="00FE291A">
      <w:pPr>
        <w:widowControl/>
        <w:kinsoku w:val="0"/>
        <w:overflowPunct w:val="0"/>
        <w:rPr>
          <w:sz w:val="22"/>
          <w:szCs w:val="22"/>
          <w:lang w:val="de-DE"/>
        </w:rPr>
      </w:pPr>
    </w:p>
    <w:p w14:paraId="05639296" w14:textId="77777777" w:rsidR="00FE291A" w:rsidRDefault="00C8738F">
      <w:pPr>
        <w:pStyle w:val="BodyText"/>
        <w:widowControl/>
        <w:kinsoku w:val="0"/>
        <w:overflowPunct w:val="0"/>
        <w:ind w:left="0"/>
        <w:rPr>
          <w:lang w:val="de-DE"/>
        </w:rPr>
      </w:pPr>
      <w:r>
        <w:rPr>
          <w:lang w:val="de-DE"/>
        </w:rPr>
        <w:t>AMGEVITA wird angewendet zur Behandlung der schweren aktiven ankylosierenden Spondylitis bei Erwachsenen, die nur unzureichend auf eine konventionelle Therapie angesprochen haben.</w:t>
      </w:r>
    </w:p>
    <w:p w14:paraId="57FB4348" w14:textId="77777777" w:rsidR="00FE291A" w:rsidRDefault="00FE291A">
      <w:pPr>
        <w:widowControl/>
        <w:kinsoku w:val="0"/>
        <w:overflowPunct w:val="0"/>
        <w:rPr>
          <w:sz w:val="22"/>
          <w:szCs w:val="22"/>
          <w:lang w:val="de-DE"/>
        </w:rPr>
      </w:pPr>
    </w:p>
    <w:p w14:paraId="5D51033C" w14:textId="77777777" w:rsidR="00FE291A" w:rsidRDefault="00C8738F">
      <w:pPr>
        <w:keepNext/>
        <w:widowControl/>
        <w:kinsoku w:val="0"/>
        <w:overflowPunct w:val="0"/>
        <w:rPr>
          <w:sz w:val="22"/>
          <w:szCs w:val="22"/>
          <w:lang w:val="de-DE"/>
        </w:rPr>
      </w:pPr>
      <w:r>
        <w:rPr>
          <w:i/>
          <w:iCs/>
          <w:sz w:val="22"/>
          <w:szCs w:val="22"/>
          <w:lang w:val="de-DE"/>
        </w:rPr>
        <w:t>Axiale Spondyloarthritis ohne Röntgennachweis einer AS</w:t>
      </w:r>
    </w:p>
    <w:p w14:paraId="07F60C16" w14:textId="77777777" w:rsidR="00FE291A" w:rsidRDefault="00FE291A">
      <w:pPr>
        <w:keepNext/>
        <w:widowControl/>
        <w:kinsoku w:val="0"/>
        <w:overflowPunct w:val="0"/>
        <w:rPr>
          <w:sz w:val="22"/>
          <w:szCs w:val="22"/>
          <w:lang w:val="de-DE"/>
        </w:rPr>
      </w:pPr>
    </w:p>
    <w:p w14:paraId="053A6211" w14:textId="77777777" w:rsidR="00FE291A" w:rsidRDefault="00C8738F">
      <w:pPr>
        <w:pStyle w:val="BodyText"/>
        <w:widowControl/>
        <w:kinsoku w:val="0"/>
        <w:overflowPunct w:val="0"/>
        <w:ind w:left="0"/>
        <w:rPr>
          <w:lang w:val="de-DE"/>
        </w:rPr>
      </w:pPr>
      <w:r>
        <w:rPr>
          <w:lang w:val="de-DE"/>
        </w:rPr>
        <w:t>AMGEVITA wird angewendet zur Behandlung der schweren axialen Spondyloarthritis ohne Röntgennachweis einer AS, aber mit objektiven Anzeichen der Entzündung durch erhöhtes CRP und/oder MRT, bei Erwachsenen, die nur unzureichend auf nicht steroidale Antirheumatika (NSAR) angesprochen haben oder bei denen eine Unverträglichkeit gegenüber diesen vorliegt.</w:t>
      </w:r>
    </w:p>
    <w:p w14:paraId="2BD0D0E3" w14:textId="77777777" w:rsidR="00FE291A" w:rsidRDefault="00FE291A">
      <w:pPr>
        <w:widowControl/>
        <w:kinsoku w:val="0"/>
        <w:overflowPunct w:val="0"/>
        <w:rPr>
          <w:sz w:val="22"/>
          <w:szCs w:val="22"/>
          <w:lang w:val="de-DE"/>
        </w:rPr>
      </w:pPr>
    </w:p>
    <w:p w14:paraId="04EA5C7A" w14:textId="77777777" w:rsidR="00FE291A" w:rsidRDefault="00C8738F">
      <w:pPr>
        <w:pStyle w:val="BodyText"/>
        <w:keepNext/>
        <w:widowControl/>
        <w:kinsoku w:val="0"/>
        <w:overflowPunct w:val="0"/>
        <w:ind w:left="0"/>
        <w:rPr>
          <w:lang w:val="de-DE"/>
        </w:rPr>
      </w:pPr>
      <w:r>
        <w:rPr>
          <w:u w:val="single"/>
          <w:lang w:val="de-DE"/>
        </w:rPr>
        <w:t>Psoriasis-Arthritis</w:t>
      </w:r>
    </w:p>
    <w:p w14:paraId="2DEA56CA" w14:textId="77777777" w:rsidR="00FE291A" w:rsidRDefault="00FE291A">
      <w:pPr>
        <w:keepNext/>
        <w:widowControl/>
        <w:kinsoku w:val="0"/>
        <w:overflowPunct w:val="0"/>
        <w:rPr>
          <w:sz w:val="22"/>
          <w:szCs w:val="22"/>
          <w:lang w:val="de-DE"/>
        </w:rPr>
      </w:pPr>
    </w:p>
    <w:p w14:paraId="12104C24" w14:textId="77777777" w:rsidR="00FE291A" w:rsidRDefault="00C8738F">
      <w:pPr>
        <w:pStyle w:val="BodyText"/>
        <w:widowControl/>
        <w:kinsoku w:val="0"/>
        <w:overflowPunct w:val="0"/>
        <w:ind w:left="0"/>
        <w:rPr>
          <w:lang w:val="de-DE"/>
        </w:rPr>
      </w:pPr>
      <w:r>
        <w:rPr>
          <w:lang w:val="de-DE"/>
        </w:rPr>
        <w:t>AMGEVITA wird angewendet zur Behandlung der aktiven und progressiven Psoriasis-Arthritis (Arthritis psoriatica) bei Erwachsenen, die nur unzureichend auf eine vorherige DMARD-Therapie angesprochen haben. AMGEVITA reduziert das Fortschreiten der radiologisch nachweisbaren strukturellen Schädigungen der peripheren Gelenke bei Patienten mit polyartikulären symmetrischen Subtypen der Erkrankung (siehe Abschnitt 5.1) und verbessert die körperliche Funktionsfähigkeit.</w:t>
      </w:r>
    </w:p>
    <w:p w14:paraId="1645C2DE" w14:textId="77777777" w:rsidR="00FE291A" w:rsidRDefault="00FE291A">
      <w:pPr>
        <w:widowControl/>
        <w:kinsoku w:val="0"/>
        <w:overflowPunct w:val="0"/>
        <w:rPr>
          <w:sz w:val="22"/>
          <w:szCs w:val="22"/>
          <w:lang w:val="de-DE"/>
        </w:rPr>
      </w:pPr>
    </w:p>
    <w:p w14:paraId="0D51848F" w14:textId="77777777" w:rsidR="00FE291A" w:rsidRDefault="00C8738F">
      <w:pPr>
        <w:pStyle w:val="BodyText"/>
        <w:keepNext/>
        <w:widowControl/>
        <w:kinsoku w:val="0"/>
        <w:overflowPunct w:val="0"/>
        <w:ind w:left="0"/>
        <w:rPr>
          <w:lang w:val="de-DE"/>
        </w:rPr>
      </w:pPr>
      <w:r>
        <w:rPr>
          <w:u w:val="single"/>
          <w:lang w:val="de-DE"/>
        </w:rPr>
        <w:t>Psoriasis</w:t>
      </w:r>
    </w:p>
    <w:p w14:paraId="0B57277C" w14:textId="77777777" w:rsidR="00FE291A" w:rsidRDefault="00FE291A">
      <w:pPr>
        <w:keepNext/>
        <w:widowControl/>
        <w:kinsoku w:val="0"/>
        <w:overflowPunct w:val="0"/>
        <w:rPr>
          <w:sz w:val="22"/>
          <w:szCs w:val="22"/>
          <w:lang w:val="de-DE"/>
        </w:rPr>
      </w:pPr>
    </w:p>
    <w:p w14:paraId="2992891B" w14:textId="77777777" w:rsidR="00FE291A" w:rsidRDefault="00C8738F">
      <w:pPr>
        <w:pStyle w:val="BodyText"/>
        <w:widowControl/>
        <w:kinsoku w:val="0"/>
        <w:overflowPunct w:val="0"/>
        <w:ind w:left="0"/>
        <w:rPr>
          <w:lang w:val="de-DE"/>
        </w:rPr>
      </w:pPr>
      <w:r>
        <w:rPr>
          <w:lang w:val="de-DE"/>
        </w:rPr>
        <w:t>AMGEVITA wird angewendet zur Behandlung der mittelschweren bis schweren chronischen Plaque</w:t>
      </w:r>
      <w:r>
        <w:rPr>
          <w:lang w:val="de-DE"/>
        </w:rPr>
        <w:noBreakHyphen/>
        <w:t>Psoriasis bei erwachsenen Patienten, die Kandidaten für eine systemische Therapie sind.</w:t>
      </w:r>
    </w:p>
    <w:p w14:paraId="75A2881A" w14:textId="77777777" w:rsidR="00FE291A" w:rsidRDefault="00FE291A">
      <w:pPr>
        <w:widowControl/>
        <w:kinsoku w:val="0"/>
        <w:overflowPunct w:val="0"/>
        <w:rPr>
          <w:sz w:val="22"/>
          <w:szCs w:val="22"/>
          <w:lang w:val="de-DE"/>
        </w:rPr>
      </w:pPr>
    </w:p>
    <w:p w14:paraId="774C4F98" w14:textId="77777777" w:rsidR="00FE291A" w:rsidRDefault="00C8738F">
      <w:pPr>
        <w:pStyle w:val="BodyText"/>
        <w:keepNext/>
        <w:widowControl/>
        <w:kinsoku w:val="0"/>
        <w:overflowPunct w:val="0"/>
        <w:ind w:left="0"/>
        <w:rPr>
          <w:lang w:val="de-DE"/>
        </w:rPr>
      </w:pPr>
      <w:r>
        <w:rPr>
          <w:u w:val="single"/>
          <w:lang w:val="de-DE"/>
        </w:rPr>
        <w:t>Plaque-Psoriasis bei Kindern und Jugendlichen</w:t>
      </w:r>
    </w:p>
    <w:p w14:paraId="459667B0" w14:textId="77777777" w:rsidR="00FE291A" w:rsidRDefault="00FE291A">
      <w:pPr>
        <w:keepNext/>
        <w:widowControl/>
        <w:kinsoku w:val="0"/>
        <w:overflowPunct w:val="0"/>
        <w:rPr>
          <w:sz w:val="22"/>
          <w:szCs w:val="22"/>
          <w:lang w:val="de-DE"/>
        </w:rPr>
      </w:pPr>
    </w:p>
    <w:p w14:paraId="3614B350" w14:textId="77777777" w:rsidR="00FE291A" w:rsidRDefault="00C8738F">
      <w:pPr>
        <w:pStyle w:val="BodyText"/>
        <w:widowControl/>
        <w:kinsoku w:val="0"/>
        <w:overflowPunct w:val="0"/>
        <w:ind w:left="0"/>
        <w:rPr>
          <w:lang w:val="de-DE"/>
        </w:rPr>
      </w:pPr>
      <w:r>
        <w:rPr>
          <w:lang w:val="de-DE"/>
        </w:rPr>
        <w:t>AMGEVITA wird angewendet zur Behandlung der schweren chronischen Plaque-Psoriasis bei Kindern und Jugendlichen ab dem Alter von 4 Jahren, die nur unzureichend auf eine topische Therapie und Phototherapien angesprochen haben oder für die diese Therapien nicht geeignet sind.</w:t>
      </w:r>
    </w:p>
    <w:p w14:paraId="532FDEE0" w14:textId="77777777" w:rsidR="00FE291A" w:rsidRDefault="00FE291A">
      <w:pPr>
        <w:widowControl/>
        <w:kinsoku w:val="0"/>
        <w:overflowPunct w:val="0"/>
        <w:rPr>
          <w:sz w:val="22"/>
          <w:szCs w:val="22"/>
          <w:lang w:val="de-DE"/>
        </w:rPr>
      </w:pPr>
    </w:p>
    <w:p w14:paraId="6E8616E8" w14:textId="77777777" w:rsidR="00FE291A" w:rsidRDefault="00C8738F">
      <w:pPr>
        <w:pStyle w:val="BodyText"/>
        <w:keepNext/>
        <w:widowControl/>
        <w:kinsoku w:val="0"/>
        <w:overflowPunct w:val="0"/>
        <w:ind w:left="0"/>
        <w:rPr>
          <w:lang w:val="de-DE"/>
        </w:rPr>
      </w:pPr>
      <w:r>
        <w:rPr>
          <w:u w:val="single"/>
          <w:lang w:val="de-DE"/>
        </w:rPr>
        <w:t>Hidradenitis suppurativa (Acne inversa)</w:t>
      </w:r>
    </w:p>
    <w:p w14:paraId="2929B2D3" w14:textId="77777777" w:rsidR="00FE291A" w:rsidRDefault="00FE291A">
      <w:pPr>
        <w:keepNext/>
        <w:widowControl/>
        <w:kinsoku w:val="0"/>
        <w:overflowPunct w:val="0"/>
        <w:rPr>
          <w:sz w:val="22"/>
          <w:szCs w:val="22"/>
          <w:lang w:val="de-DE"/>
        </w:rPr>
      </w:pPr>
    </w:p>
    <w:p w14:paraId="3FBE1BE6" w14:textId="77777777" w:rsidR="00FE291A" w:rsidRDefault="00C8738F">
      <w:pPr>
        <w:pStyle w:val="BodyText"/>
        <w:widowControl/>
        <w:kinsoku w:val="0"/>
        <w:overflowPunct w:val="0"/>
        <w:ind w:left="0"/>
        <w:rPr>
          <w:lang w:val="de-DE"/>
        </w:rPr>
      </w:pPr>
      <w:r>
        <w:rPr>
          <w:lang w:val="de-DE"/>
        </w:rPr>
        <w:t>AMGEVITA wird angewendet zur Behandlung der mittelschweren bis schweren aktiven Hidradenitis suppurativa (HS) bei Erwachsenen und Jugendlichen ab einem Alter von 12 Jahren, die unzureichend auf eine konventionelle systemische HS</w:t>
      </w:r>
      <w:r>
        <w:rPr>
          <w:lang w:val="de-DE"/>
        </w:rPr>
        <w:noBreakHyphen/>
        <w:t>Therapie ansprechen (siehe Abschnitte 5.1 und 5.2).</w:t>
      </w:r>
    </w:p>
    <w:p w14:paraId="7B4118D3" w14:textId="77777777" w:rsidR="00FE291A" w:rsidRDefault="00FE291A">
      <w:pPr>
        <w:widowControl/>
        <w:kinsoku w:val="0"/>
        <w:overflowPunct w:val="0"/>
        <w:rPr>
          <w:sz w:val="22"/>
          <w:szCs w:val="22"/>
          <w:lang w:val="de-DE"/>
        </w:rPr>
      </w:pPr>
    </w:p>
    <w:p w14:paraId="0B62416E" w14:textId="77777777" w:rsidR="00FE291A" w:rsidRDefault="00C8738F">
      <w:pPr>
        <w:pStyle w:val="BodyText"/>
        <w:keepNext/>
        <w:widowControl/>
        <w:kinsoku w:val="0"/>
        <w:overflowPunct w:val="0"/>
        <w:ind w:left="0"/>
        <w:rPr>
          <w:lang w:val="de-DE"/>
        </w:rPr>
      </w:pPr>
      <w:r>
        <w:rPr>
          <w:u w:val="single"/>
          <w:lang w:val="de-DE"/>
        </w:rPr>
        <w:t>Morbus Crohn</w:t>
      </w:r>
    </w:p>
    <w:p w14:paraId="5374C64B" w14:textId="77777777" w:rsidR="00FE291A" w:rsidRDefault="00FE291A">
      <w:pPr>
        <w:keepNext/>
        <w:widowControl/>
        <w:kinsoku w:val="0"/>
        <w:overflowPunct w:val="0"/>
        <w:rPr>
          <w:sz w:val="22"/>
          <w:szCs w:val="22"/>
          <w:lang w:val="de-DE"/>
        </w:rPr>
      </w:pPr>
    </w:p>
    <w:p w14:paraId="41E800F7" w14:textId="77777777" w:rsidR="00FE291A" w:rsidRDefault="00C8738F">
      <w:pPr>
        <w:pStyle w:val="BodyText"/>
        <w:keepNext/>
        <w:widowControl/>
        <w:kinsoku w:val="0"/>
        <w:overflowPunct w:val="0"/>
        <w:ind w:left="0"/>
        <w:rPr>
          <w:lang w:val="de-DE"/>
        </w:rPr>
      </w:pPr>
      <w:r>
        <w:rPr>
          <w:lang w:val="de-DE"/>
        </w:rPr>
        <w:t>AMGEVITA wird angewendet zur Behandlung des mittelschweren bis schweren, aktiven Morbus Crohn bei erwachsenen Patienten, die trotz einer vollständigen und adäquaten Therapie mit einem Kortikosteroid und/oder einem Immunsuppressivum nicht ausreichend angesprochen haben oder die eine Unverträglichkeit gegenüber einer solchen Therapie haben oder bei denen eine solche Therapie kontraindiziert ist.</w:t>
      </w:r>
    </w:p>
    <w:p w14:paraId="7C79D5C6" w14:textId="77777777" w:rsidR="00FE291A" w:rsidRDefault="00FE291A">
      <w:pPr>
        <w:pStyle w:val="BodyText"/>
        <w:widowControl/>
        <w:kinsoku w:val="0"/>
        <w:overflowPunct w:val="0"/>
        <w:ind w:left="0"/>
        <w:rPr>
          <w:lang w:val="de-DE"/>
        </w:rPr>
      </w:pPr>
    </w:p>
    <w:p w14:paraId="690B0929" w14:textId="77777777" w:rsidR="00FE291A" w:rsidRDefault="00C8738F">
      <w:pPr>
        <w:pStyle w:val="BodyText"/>
        <w:keepNext/>
        <w:widowControl/>
        <w:kinsoku w:val="0"/>
        <w:overflowPunct w:val="0"/>
        <w:ind w:left="0"/>
        <w:rPr>
          <w:lang w:val="de-DE"/>
        </w:rPr>
      </w:pPr>
      <w:r>
        <w:rPr>
          <w:u w:val="single"/>
          <w:lang w:val="de-DE"/>
        </w:rPr>
        <w:t>Morbus Crohn bei Kindern und Jugendlichen</w:t>
      </w:r>
    </w:p>
    <w:p w14:paraId="676B4A07" w14:textId="77777777" w:rsidR="00FE291A" w:rsidRDefault="00FE291A">
      <w:pPr>
        <w:keepNext/>
        <w:widowControl/>
        <w:kinsoku w:val="0"/>
        <w:overflowPunct w:val="0"/>
        <w:rPr>
          <w:sz w:val="22"/>
          <w:szCs w:val="22"/>
          <w:lang w:val="de-DE"/>
        </w:rPr>
      </w:pPr>
    </w:p>
    <w:p w14:paraId="1A03CA1C" w14:textId="77777777" w:rsidR="00FE291A" w:rsidRDefault="00C8738F">
      <w:pPr>
        <w:pStyle w:val="BodyText"/>
        <w:widowControl/>
        <w:kinsoku w:val="0"/>
        <w:overflowPunct w:val="0"/>
        <w:ind w:left="0"/>
        <w:rPr>
          <w:lang w:val="de-DE"/>
        </w:rPr>
      </w:pPr>
      <w:r>
        <w:rPr>
          <w:lang w:val="de-DE"/>
        </w:rPr>
        <w:t>AMGEVITA wird angewendet zur Behandlung des mittelschweren bis schweren, aktiven Morbus Crohn bei Kindern und Jugendlichen (ab dem Alter von 6 Jahren), die nur unzureichend auf eine konventionelle Therapie, einschließlich primärer Ernährungstherapie und einem Kortikosteroid und/oder einem Immunsuppressivum, angesprochen haben oder die eine Unverträglichkeit gegenüber einer solchen Therapie haben oder bei denen eine solche Therapie kontraindiziert ist.</w:t>
      </w:r>
    </w:p>
    <w:p w14:paraId="1E6D464D" w14:textId="77777777" w:rsidR="00FE291A" w:rsidRDefault="00FE291A">
      <w:pPr>
        <w:widowControl/>
        <w:kinsoku w:val="0"/>
        <w:overflowPunct w:val="0"/>
        <w:rPr>
          <w:sz w:val="22"/>
          <w:szCs w:val="22"/>
          <w:lang w:val="de-DE"/>
        </w:rPr>
      </w:pPr>
    </w:p>
    <w:p w14:paraId="612EBF4D" w14:textId="77777777" w:rsidR="00FE291A" w:rsidRDefault="00C8738F">
      <w:pPr>
        <w:pStyle w:val="BodyText"/>
        <w:keepNext/>
        <w:widowControl/>
        <w:kinsoku w:val="0"/>
        <w:overflowPunct w:val="0"/>
        <w:ind w:left="0"/>
        <w:rPr>
          <w:lang w:val="de-DE"/>
        </w:rPr>
      </w:pPr>
      <w:r>
        <w:rPr>
          <w:u w:val="single"/>
          <w:lang w:val="de-DE"/>
        </w:rPr>
        <w:t>Colitis ulcerosa</w:t>
      </w:r>
    </w:p>
    <w:p w14:paraId="596DEA2D" w14:textId="77777777" w:rsidR="00FE291A" w:rsidRDefault="00FE291A">
      <w:pPr>
        <w:keepNext/>
        <w:widowControl/>
        <w:kinsoku w:val="0"/>
        <w:overflowPunct w:val="0"/>
        <w:rPr>
          <w:sz w:val="22"/>
          <w:szCs w:val="22"/>
          <w:lang w:val="de-DE"/>
        </w:rPr>
      </w:pPr>
    </w:p>
    <w:p w14:paraId="68BDAE31" w14:textId="77777777" w:rsidR="00FE291A" w:rsidRDefault="00C8738F">
      <w:pPr>
        <w:pStyle w:val="BodyText"/>
        <w:widowControl/>
        <w:kinsoku w:val="0"/>
        <w:overflowPunct w:val="0"/>
        <w:ind w:left="0"/>
        <w:rPr>
          <w:lang w:val="de-DE"/>
        </w:rPr>
      </w:pPr>
      <w:r>
        <w:rPr>
          <w:lang w:val="de-DE"/>
        </w:rPr>
        <w:t>AMGEVITA wird angewendet zur Behandlung der mittelschweren bis schweren aktiven Colitis ulcerosa bei erwachsenen Patienten, die auf eine konventionelle Therapie, einschließlich Kortikosteroiden und 6</w:t>
      </w:r>
      <w:r>
        <w:rPr>
          <w:lang w:val="de-DE"/>
        </w:rPr>
        <w:noBreakHyphen/>
        <w:t>Mercaptopurin (6-MP) oder Azathioprin (AZA), unzureichend angesprochen haben oder die eine Unverträglichkeit gegenüber einer solchen Therapie haben oder bei denen eine solche Therapie kontraindiziert ist.</w:t>
      </w:r>
    </w:p>
    <w:p w14:paraId="4FD07294" w14:textId="77777777" w:rsidR="00FE291A" w:rsidRDefault="00FE291A">
      <w:pPr>
        <w:widowControl/>
        <w:kinsoku w:val="0"/>
        <w:overflowPunct w:val="0"/>
        <w:rPr>
          <w:sz w:val="22"/>
          <w:szCs w:val="22"/>
          <w:lang w:val="de-DE"/>
        </w:rPr>
      </w:pPr>
    </w:p>
    <w:p w14:paraId="0AC87D5F" w14:textId="77777777" w:rsidR="00FE291A" w:rsidRDefault="00C8738F">
      <w:pPr>
        <w:widowControl/>
        <w:rPr>
          <w:color w:val="000000"/>
          <w:sz w:val="22"/>
          <w:szCs w:val="22"/>
          <w:u w:val="single"/>
          <w:lang w:val="de-DE"/>
        </w:rPr>
      </w:pPr>
      <w:r>
        <w:rPr>
          <w:color w:val="000000"/>
          <w:sz w:val="22"/>
          <w:szCs w:val="22"/>
          <w:u w:val="single"/>
          <w:lang w:val="de-DE"/>
        </w:rPr>
        <w:t>Colitis ulcerosa bei Kindern und Jugendlichen</w:t>
      </w:r>
      <w:r>
        <w:rPr>
          <w:color w:val="000000"/>
          <w:sz w:val="22"/>
          <w:szCs w:val="22"/>
          <w:lang w:val="de-DE"/>
        </w:rPr>
        <w:t xml:space="preserve"> </w:t>
      </w:r>
    </w:p>
    <w:p w14:paraId="487E64AD" w14:textId="77777777" w:rsidR="00FE291A" w:rsidRDefault="00FE291A">
      <w:pPr>
        <w:widowControl/>
        <w:rPr>
          <w:color w:val="000000"/>
          <w:sz w:val="22"/>
          <w:szCs w:val="22"/>
          <w:lang w:val="de-DE"/>
        </w:rPr>
      </w:pPr>
    </w:p>
    <w:p w14:paraId="33E91F69" w14:textId="77777777" w:rsidR="00FE291A" w:rsidRDefault="00C8738F">
      <w:pPr>
        <w:pStyle w:val="BodyText"/>
        <w:keepNext/>
        <w:widowControl/>
        <w:kinsoku w:val="0"/>
        <w:overflowPunct w:val="0"/>
        <w:ind w:left="0"/>
        <w:rPr>
          <w:u w:val="single"/>
          <w:lang w:val="de-DE"/>
        </w:rPr>
      </w:pPr>
      <w:r>
        <w:rPr>
          <w:color w:val="000000"/>
          <w:lang w:val="de-DE"/>
        </w:rPr>
        <w:t>AMGEVITA wird angewendet zur Behandlung der mittelschweren bis schweren aktiven Colitis ulcerosa bei Kindern und Jugendlichen (ab dem Alter von 6 Jahren), die nur unzureichend auf eine konventionelle Therapie, einschließlich Kortikosteroiden und/oder 6-Mercaptopurin (6-MP) oder Azathioprin (AZA), angesprochen haben oder die eine Unverträglichkeit gegenüber einer solchen Therapie haben oder bei denen eine solche Therapie kontraindiziert ist.</w:t>
      </w:r>
    </w:p>
    <w:p w14:paraId="1166BB77" w14:textId="77777777" w:rsidR="00FE291A" w:rsidRDefault="00FE291A">
      <w:pPr>
        <w:pStyle w:val="BodyText"/>
        <w:keepNext/>
        <w:widowControl/>
        <w:kinsoku w:val="0"/>
        <w:overflowPunct w:val="0"/>
        <w:ind w:left="0"/>
        <w:rPr>
          <w:u w:val="single"/>
          <w:lang w:val="de-DE"/>
        </w:rPr>
      </w:pPr>
    </w:p>
    <w:p w14:paraId="2D32802D" w14:textId="77777777" w:rsidR="00FE291A" w:rsidRDefault="00C8738F">
      <w:pPr>
        <w:pStyle w:val="BodyText"/>
        <w:keepNext/>
        <w:widowControl/>
        <w:kinsoku w:val="0"/>
        <w:overflowPunct w:val="0"/>
        <w:ind w:left="0"/>
        <w:rPr>
          <w:lang w:val="de-DE"/>
        </w:rPr>
      </w:pPr>
      <w:r>
        <w:rPr>
          <w:u w:val="single"/>
          <w:lang w:val="de-DE"/>
        </w:rPr>
        <w:t>Uveitis</w:t>
      </w:r>
    </w:p>
    <w:p w14:paraId="056BFDD1" w14:textId="77777777" w:rsidR="00FE291A" w:rsidRDefault="00FE291A">
      <w:pPr>
        <w:keepNext/>
        <w:widowControl/>
        <w:kinsoku w:val="0"/>
        <w:overflowPunct w:val="0"/>
        <w:rPr>
          <w:sz w:val="22"/>
          <w:szCs w:val="22"/>
          <w:lang w:val="de-DE"/>
        </w:rPr>
      </w:pPr>
    </w:p>
    <w:p w14:paraId="1AF4E8A2" w14:textId="77777777" w:rsidR="00FE291A" w:rsidRDefault="00C8738F">
      <w:pPr>
        <w:pStyle w:val="BodyText"/>
        <w:widowControl/>
        <w:kinsoku w:val="0"/>
        <w:overflowPunct w:val="0"/>
        <w:ind w:left="0"/>
        <w:rPr>
          <w:lang w:val="de-DE"/>
        </w:rPr>
      </w:pPr>
      <w:r>
        <w:rPr>
          <w:lang w:val="de-DE"/>
        </w:rPr>
        <w:t>AMGEVITA wird angewendet zur Behandlung der nicht infektiösen Uveitis intermedia, Uveitis posterior und Panuveitis bei erwachsenen Patienten, die nur unzureichend auf Kortikosteroide angesprochen haben, eine Kortikosteroid sparende Behandlung benötigen oder für die eine Behandlung mit Kortikosteroiden nicht geeignet ist.</w:t>
      </w:r>
    </w:p>
    <w:p w14:paraId="408D610C" w14:textId="77777777" w:rsidR="00FE291A" w:rsidRDefault="00FE291A">
      <w:pPr>
        <w:pStyle w:val="BodyText"/>
        <w:widowControl/>
        <w:kinsoku w:val="0"/>
        <w:overflowPunct w:val="0"/>
        <w:ind w:left="0"/>
        <w:rPr>
          <w:lang w:val="de-DE"/>
        </w:rPr>
      </w:pPr>
    </w:p>
    <w:p w14:paraId="0AD0ED2B" w14:textId="77777777" w:rsidR="00FE291A" w:rsidRDefault="00C8738F">
      <w:pPr>
        <w:pStyle w:val="BodyText"/>
        <w:keepNext/>
        <w:widowControl/>
        <w:kinsoku w:val="0"/>
        <w:overflowPunct w:val="0"/>
        <w:ind w:left="0"/>
        <w:rPr>
          <w:u w:val="single"/>
          <w:lang w:val="de-DE"/>
        </w:rPr>
      </w:pPr>
      <w:r>
        <w:rPr>
          <w:u w:val="single"/>
          <w:lang w:val="de-DE"/>
        </w:rPr>
        <w:t>Uveitis bei Kindern und Jugendlichen</w:t>
      </w:r>
    </w:p>
    <w:p w14:paraId="0C273C01" w14:textId="77777777" w:rsidR="00FE291A" w:rsidRDefault="00FE291A">
      <w:pPr>
        <w:pStyle w:val="BodyText"/>
        <w:keepNext/>
        <w:widowControl/>
        <w:kinsoku w:val="0"/>
        <w:overflowPunct w:val="0"/>
        <w:ind w:left="0"/>
        <w:rPr>
          <w:lang w:val="de-DE"/>
        </w:rPr>
      </w:pPr>
    </w:p>
    <w:p w14:paraId="58359A60" w14:textId="77777777" w:rsidR="00FE291A" w:rsidRDefault="00C8738F">
      <w:pPr>
        <w:pStyle w:val="BodyText"/>
        <w:widowControl/>
        <w:kinsoku w:val="0"/>
        <w:overflowPunct w:val="0"/>
        <w:ind w:left="0"/>
        <w:rPr>
          <w:lang w:val="de-DE"/>
        </w:rPr>
      </w:pPr>
      <w:r>
        <w:rPr>
          <w:lang w:val="de-DE"/>
        </w:rPr>
        <w:t xml:space="preserve">AMGEVITA wird angewendet zur Behandlung </w:t>
      </w:r>
      <w:r>
        <w:rPr>
          <w:rFonts w:cs="Calibri"/>
          <w:lang w:val="de-DE"/>
        </w:rPr>
        <w:t>der chronischen nicht infektiösen Uveitis anterior bei Kindern und Jugendlichen ab dem Alter von 2 Jahren, die unzureichend auf eine konventionelle Therapie angesprochen haben oder die eine Unverträglichkeit gegenüber einer solchen Therapie haben oder für die eine konventionelle Therapie nicht geeignet ist.</w:t>
      </w:r>
    </w:p>
    <w:p w14:paraId="1B702E91" w14:textId="77777777" w:rsidR="00FE291A" w:rsidRDefault="00FE291A">
      <w:pPr>
        <w:widowControl/>
        <w:kinsoku w:val="0"/>
        <w:overflowPunct w:val="0"/>
        <w:rPr>
          <w:sz w:val="22"/>
          <w:szCs w:val="22"/>
          <w:lang w:val="de-DE"/>
        </w:rPr>
      </w:pPr>
    </w:p>
    <w:p w14:paraId="39B73469" w14:textId="77777777" w:rsidR="00FE291A" w:rsidRDefault="00C8738F">
      <w:pPr>
        <w:pStyle w:val="Heading1"/>
        <w:keepNext/>
        <w:widowControl/>
        <w:numPr>
          <w:ilvl w:val="1"/>
          <w:numId w:val="14"/>
        </w:numPr>
        <w:tabs>
          <w:tab w:val="left" w:pos="567"/>
        </w:tabs>
        <w:kinsoku w:val="0"/>
        <w:overflowPunct w:val="0"/>
        <w:ind w:left="0" w:firstLine="0"/>
        <w:rPr>
          <w:b w:val="0"/>
          <w:bCs w:val="0"/>
          <w:lang w:val="de-DE"/>
        </w:rPr>
      </w:pPr>
      <w:r>
        <w:rPr>
          <w:lang w:val="de-DE"/>
        </w:rPr>
        <w:t>Dosierung und Art der Anwendung</w:t>
      </w:r>
    </w:p>
    <w:p w14:paraId="446281C7" w14:textId="77777777" w:rsidR="00FE291A" w:rsidRDefault="00FE291A">
      <w:pPr>
        <w:keepNext/>
        <w:widowControl/>
        <w:kinsoku w:val="0"/>
        <w:overflowPunct w:val="0"/>
        <w:rPr>
          <w:sz w:val="22"/>
          <w:szCs w:val="22"/>
          <w:lang w:val="de-DE"/>
        </w:rPr>
      </w:pPr>
    </w:p>
    <w:p w14:paraId="12197CC6" w14:textId="77777777" w:rsidR="00FE291A" w:rsidRDefault="00C8738F">
      <w:pPr>
        <w:pStyle w:val="BodyText"/>
        <w:widowControl/>
        <w:kinsoku w:val="0"/>
        <w:overflowPunct w:val="0"/>
        <w:ind w:left="0"/>
        <w:rPr>
          <w:lang w:val="de-DE"/>
        </w:rPr>
      </w:pPr>
      <w:r>
        <w:rPr>
          <w:lang w:val="de-DE"/>
        </w:rPr>
        <w:t>Die Behandlung mit AMGEVITA sollte von einem Facharzt mit Erfahrung in der Diagnose und Behandlung von Krankheitszuständen, für die AMGEVITA indiziert ist, eingeleitet und überwacht werden. Augenärzten wird angeraten, vor der Einleitung einer AMGEVITA-Therapie einen entsprechenden Spezialisten zurate zu ziehen (siehe Abschnitt 4.4). Patienten, die mit AMGEVITA behandelt werden, sollte der spezielle Patientenpass ausgehändigt werden.</w:t>
      </w:r>
    </w:p>
    <w:p w14:paraId="76D4645C" w14:textId="77777777" w:rsidR="00FE291A" w:rsidRDefault="00FE291A">
      <w:pPr>
        <w:widowControl/>
        <w:kinsoku w:val="0"/>
        <w:overflowPunct w:val="0"/>
        <w:rPr>
          <w:sz w:val="22"/>
          <w:szCs w:val="22"/>
          <w:lang w:val="de-DE"/>
        </w:rPr>
      </w:pPr>
    </w:p>
    <w:p w14:paraId="4D1B129C" w14:textId="77777777" w:rsidR="00FE291A" w:rsidRDefault="00C8738F">
      <w:pPr>
        <w:widowControl/>
        <w:kinsoku w:val="0"/>
        <w:overflowPunct w:val="0"/>
        <w:rPr>
          <w:sz w:val="22"/>
          <w:szCs w:val="22"/>
          <w:lang w:val="de-DE"/>
        </w:rPr>
      </w:pPr>
      <w:r>
        <w:rPr>
          <w:sz w:val="22"/>
          <w:szCs w:val="22"/>
          <w:lang w:val="de-DE"/>
        </w:rPr>
        <w:t>Nach einer entsprechenden Einweisung in die Injektionstechnik können Patienten AMGEVITA selbst injizieren, falls ihr Arzt dies für angemessen hält und medizinische Nachuntersuchungen nach Bedarf erfolgen.</w:t>
      </w:r>
    </w:p>
    <w:p w14:paraId="22A5C7CF" w14:textId="77777777" w:rsidR="00FE291A" w:rsidRDefault="00FE291A">
      <w:pPr>
        <w:widowControl/>
        <w:kinsoku w:val="0"/>
        <w:overflowPunct w:val="0"/>
        <w:rPr>
          <w:sz w:val="22"/>
          <w:szCs w:val="22"/>
          <w:lang w:val="de-DE"/>
        </w:rPr>
      </w:pPr>
    </w:p>
    <w:p w14:paraId="4CEF2192" w14:textId="77777777" w:rsidR="00FE291A" w:rsidRDefault="00C8738F">
      <w:pPr>
        <w:pStyle w:val="BodyText"/>
        <w:widowControl/>
        <w:kinsoku w:val="0"/>
        <w:overflowPunct w:val="0"/>
        <w:ind w:left="0"/>
        <w:rPr>
          <w:lang w:val="de-DE"/>
        </w:rPr>
      </w:pPr>
      <w:r>
        <w:rPr>
          <w:lang w:val="de-DE"/>
        </w:rPr>
        <w:t>Während der Behandlung mit AMGEVITA sollten andere Begleittherapien (z. B. Kortikosteroide und/oder Immunsuppressiva) optimiert werden.</w:t>
      </w:r>
    </w:p>
    <w:p w14:paraId="0CE7C1EC" w14:textId="77777777" w:rsidR="00FE291A" w:rsidRDefault="00FE291A">
      <w:pPr>
        <w:widowControl/>
        <w:kinsoku w:val="0"/>
        <w:overflowPunct w:val="0"/>
        <w:rPr>
          <w:sz w:val="22"/>
          <w:szCs w:val="22"/>
          <w:lang w:val="de-DE"/>
        </w:rPr>
      </w:pPr>
    </w:p>
    <w:p w14:paraId="32073315" w14:textId="77777777" w:rsidR="00FE291A" w:rsidRDefault="00C8738F">
      <w:pPr>
        <w:pStyle w:val="BodyText"/>
        <w:keepNext/>
        <w:widowControl/>
        <w:kinsoku w:val="0"/>
        <w:overflowPunct w:val="0"/>
        <w:ind w:left="0"/>
        <w:rPr>
          <w:lang w:val="de-DE"/>
        </w:rPr>
      </w:pPr>
      <w:r>
        <w:rPr>
          <w:u w:val="single"/>
          <w:lang w:val="de-DE"/>
        </w:rPr>
        <w:t>Dosierung</w:t>
      </w:r>
    </w:p>
    <w:p w14:paraId="593F76E2" w14:textId="77777777" w:rsidR="00FE291A" w:rsidRDefault="00FE291A">
      <w:pPr>
        <w:keepNext/>
        <w:widowControl/>
        <w:kinsoku w:val="0"/>
        <w:overflowPunct w:val="0"/>
        <w:rPr>
          <w:sz w:val="22"/>
          <w:szCs w:val="22"/>
          <w:lang w:val="de-DE"/>
        </w:rPr>
      </w:pPr>
    </w:p>
    <w:p w14:paraId="72C0962A" w14:textId="77777777" w:rsidR="00FE291A" w:rsidRDefault="00C8738F">
      <w:pPr>
        <w:keepNext/>
        <w:widowControl/>
        <w:kinsoku w:val="0"/>
        <w:overflowPunct w:val="0"/>
        <w:rPr>
          <w:sz w:val="22"/>
          <w:szCs w:val="22"/>
          <w:lang w:val="de-DE"/>
        </w:rPr>
      </w:pPr>
      <w:r>
        <w:rPr>
          <w:i/>
          <w:iCs/>
          <w:sz w:val="22"/>
          <w:szCs w:val="22"/>
          <w:lang w:val="de-DE"/>
        </w:rPr>
        <w:t>Rheumatoide Arthritis</w:t>
      </w:r>
    </w:p>
    <w:p w14:paraId="614DAFD5" w14:textId="77777777" w:rsidR="00FE291A" w:rsidRDefault="00FE291A">
      <w:pPr>
        <w:keepNext/>
        <w:widowControl/>
        <w:kinsoku w:val="0"/>
        <w:overflowPunct w:val="0"/>
        <w:rPr>
          <w:sz w:val="22"/>
          <w:szCs w:val="22"/>
          <w:lang w:val="de-DE"/>
        </w:rPr>
      </w:pPr>
    </w:p>
    <w:p w14:paraId="7C5F71D7" w14:textId="77777777" w:rsidR="00FE291A" w:rsidRDefault="00C8738F">
      <w:pPr>
        <w:pStyle w:val="BodyText"/>
        <w:widowControl/>
        <w:kinsoku w:val="0"/>
        <w:overflowPunct w:val="0"/>
        <w:ind w:left="0"/>
        <w:rPr>
          <w:lang w:val="de-DE"/>
        </w:rPr>
      </w:pPr>
      <w:r>
        <w:rPr>
          <w:lang w:val="de-DE"/>
        </w:rPr>
        <w:t>Bei erwachsenen Patienten mit rheumatoider Arthritis beträgt die empfohlene Dosis von AMGEVITA 40 mg Adalimumab, die jede zweite Woche als Einzeldosis subkutan injiziert wird. Die Anwendung von Methotrexat sollte während der Behandlung mit AMGEVITA fortgesetzt werden.</w:t>
      </w:r>
    </w:p>
    <w:p w14:paraId="749F41C9" w14:textId="77777777" w:rsidR="00FE291A" w:rsidRDefault="00FE291A">
      <w:pPr>
        <w:widowControl/>
        <w:kinsoku w:val="0"/>
        <w:overflowPunct w:val="0"/>
        <w:rPr>
          <w:sz w:val="22"/>
          <w:szCs w:val="22"/>
          <w:lang w:val="de-DE"/>
        </w:rPr>
      </w:pPr>
    </w:p>
    <w:p w14:paraId="1CAB9F74" w14:textId="77777777" w:rsidR="00FE291A" w:rsidRDefault="00C8738F">
      <w:pPr>
        <w:pStyle w:val="BodyText"/>
        <w:widowControl/>
        <w:kinsoku w:val="0"/>
        <w:overflowPunct w:val="0"/>
        <w:ind w:left="0"/>
        <w:rPr>
          <w:lang w:val="de-DE"/>
        </w:rPr>
      </w:pPr>
      <w:r>
        <w:rPr>
          <w:lang w:val="de-DE"/>
        </w:rPr>
        <w:t>Die Gabe von Kortikosteroiden, Salizylaten, nicht steroidalen Antiphlogistika oder Analgetika kann während der Behandlung mit AMGEVITA fortgesetzt werden. Bezüglich der Kombination mit anderen krankheitsmodifizierenden Antirheumatika als Methotrexat siehe Abschnitte 4.4 und 5.1.</w:t>
      </w:r>
    </w:p>
    <w:p w14:paraId="7F10DA1D" w14:textId="77777777" w:rsidR="00FE291A" w:rsidRDefault="00FE291A">
      <w:pPr>
        <w:widowControl/>
        <w:kinsoku w:val="0"/>
        <w:overflowPunct w:val="0"/>
        <w:rPr>
          <w:sz w:val="22"/>
          <w:szCs w:val="22"/>
          <w:lang w:val="de-DE"/>
        </w:rPr>
      </w:pPr>
    </w:p>
    <w:p w14:paraId="448C747C" w14:textId="77777777" w:rsidR="00FE291A" w:rsidRDefault="00C8738F">
      <w:pPr>
        <w:pStyle w:val="BodyText"/>
        <w:widowControl/>
        <w:kinsoku w:val="0"/>
        <w:overflowPunct w:val="0"/>
        <w:ind w:left="0"/>
        <w:rPr>
          <w:lang w:val="de-DE"/>
        </w:rPr>
      </w:pPr>
      <w:r>
        <w:rPr>
          <w:lang w:val="de-DE"/>
        </w:rPr>
        <w:t>Einige der Patienten, die mit einer Monotherapie behandelt werden und nur unzureichend auf AMGEVITA 40 mg jede zweite Woche ansprechen, könnten von einer Erhöhung der Dosis auf 40 mg Adalimumab jede Woche oder 80 mg jede zweite Woche profitieren.</w:t>
      </w:r>
    </w:p>
    <w:p w14:paraId="5B5D8CE4" w14:textId="77777777" w:rsidR="00FE291A" w:rsidRDefault="00FE291A">
      <w:pPr>
        <w:widowControl/>
        <w:kinsoku w:val="0"/>
        <w:overflowPunct w:val="0"/>
        <w:rPr>
          <w:sz w:val="22"/>
          <w:szCs w:val="22"/>
          <w:lang w:val="de-DE"/>
        </w:rPr>
      </w:pPr>
    </w:p>
    <w:p w14:paraId="2EF2EA7C" w14:textId="77777777" w:rsidR="00FE291A" w:rsidRDefault="00C8738F">
      <w:pPr>
        <w:pStyle w:val="BodyText"/>
        <w:widowControl/>
        <w:kinsoku w:val="0"/>
        <w:overflowPunct w:val="0"/>
        <w:ind w:left="0"/>
        <w:rPr>
          <w:lang w:val="de-DE"/>
        </w:rPr>
      </w:pPr>
      <w:r>
        <w:rPr>
          <w:lang w:val="de-DE"/>
        </w:rPr>
        <w:t>Die verfügbaren Adalimumab-Daten weisen darauf hin, dass ein klinisches Ansprechen üblicherweise innerhalb von 12 Behandlungswochen erreicht wird. Die Fortsetzung der Therapie sollte bei einem Patienten, der innerhalb dieser Zeitspanne nicht anspricht, nochmals überdacht werden.</w:t>
      </w:r>
    </w:p>
    <w:p w14:paraId="381A60DA" w14:textId="77777777" w:rsidR="00FE291A" w:rsidRDefault="00FE291A">
      <w:pPr>
        <w:widowControl/>
        <w:kinsoku w:val="0"/>
        <w:overflowPunct w:val="0"/>
        <w:rPr>
          <w:sz w:val="22"/>
          <w:szCs w:val="22"/>
          <w:lang w:val="de-DE"/>
        </w:rPr>
      </w:pPr>
    </w:p>
    <w:p w14:paraId="670261CF" w14:textId="77777777" w:rsidR="00FE291A" w:rsidRDefault="00C8738F">
      <w:pPr>
        <w:widowControl/>
        <w:kinsoku w:val="0"/>
        <w:overflowPunct w:val="0"/>
        <w:rPr>
          <w:sz w:val="22"/>
          <w:szCs w:val="22"/>
          <w:lang w:val="de-DE"/>
        </w:rPr>
      </w:pPr>
      <w:r>
        <w:rPr>
          <w:sz w:val="22"/>
          <w:szCs w:val="22"/>
          <w:lang w:val="de-DE"/>
        </w:rPr>
        <w:t>In Abhängigkeit von den individuellen Behandlungsbedürfnissen kann AMGEVITA in verschiedenen Stärken und/oder Darreichungsformen erhältlich sein.</w:t>
      </w:r>
    </w:p>
    <w:p w14:paraId="616F4180" w14:textId="77777777" w:rsidR="00FE291A" w:rsidRDefault="00FE291A">
      <w:pPr>
        <w:widowControl/>
        <w:kinsoku w:val="0"/>
        <w:overflowPunct w:val="0"/>
        <w:rPr>
          <w:sz w:val="22"/>
          <w:szCs w:val="22"/>
          <w:lang w:val="de-DE"/>
        </w:rPr>
      </w:pPr>
    </w:p>
    <w:p w14:paraId="0430BCA5" w14:textId="77777777" w:rsidR="00FE291A" w:rsidRDefault="00C8738F">
      <w:pPr>
        <w:keepNext/>
        <w:widowControl/>
        <w:kinsoku w:val="0"/>
        <w:overflowPunct w:val="0"/>
        <w:rPr>
          <w:sz w:val="22"/>
          <w:szCs w:val="22"/>
          <w:lang w:val="de-DE"/>
        </w:rPr>
      </w:pPr>
      <w:r>
        <w:rPr>
          <w:i/>
          <w:iCs/>
          <w:sz w:val="22"/>
          <w:szCs w:val="22"/>
          <w:u w:val="single"/>
          <w:lang w:val="de-DE"/>
        </w:rPr>
        <w:t>Dosisunterbrechung</w:t>
      </w:r>
    </w:p>
    <w:p w14:paraId="5CC1C40E" w14:textId="77777777" w:rsidR="00FE291A" w:rsidRDefault="00FE291A">
      <w:pPr>
        <w:keepNext/>
        <w:widowControl/>
        <w:kinsoku w:val="0"/>
        <w:overflowPunct w:val="0"/>
        <w:rPr>
          <w:sz w:val="22"/>
          <w:szCs w:val="22"/>
          <w:lang w:val="de-DE"/>
        </w:rPr>
      </w:pPr>
    </w:p>
    <w:p w14:paraId="108B3D2F" w14:textId="77777777" w:rsidR="00FE291A" w:rsidRDefault="00C8738F">
      <w:pPr>
        <w:pStyle w:val="BodyText"/>
        <w:widowControl/>
        <w:kinsoku w:val="0"/>
        <w:overflowPunct w:val="0"/>
        <w:ind w:left="0"/>
        <w:rPr>
          <w:lang w:val="de-DE"/>
        </w:rPr>
      </w:pPr>
      <w:r>
        <w:rPr>
          <w:lang w:val="de-DE"/>
        </w:rPr>
        <w:t>Eine Dosisunterbrechung kann erforderlich sein, z. B. vor einer Operation oder beim Auftreten einer schweren Infektion.</w:t>
      </w:r>
    </w:p>
    <w:p w14:paraId="48B6DD5C" w14:textId="77777777" w:rsidR="00FE291A" w:rsidRDefault="00FE291A">
      <w:pPr>
        <w:widowControl/>
        <w:kinsoku w:val="0"/>
        <w:overflowPunct w:val="0"/>
        <w:rPr>
          <w:sz w:val="22"/>
          <w:szCs w:val="22"/>
          <w:lang w:val="de-DE"/>
        </w:rPr>
      </w:pPr>
    </w:p>
    <w:p w14:paraId="2A56EF7C" w14:textId="77777777" w:rsidR="00FE291A" w:rsidRDefault="00C8738F">
      <w:pPr>
        <w:pStyle w:val="BodyText"/>
        <w:widowControl/>
        <w:kinsoku w:val="0"/>
        <w:overflowPunct w:val="0"/>
        <w:ind w:left="0"/>
        <w:rPr>
          <w:lang w:val="de-DE"/>
        </w:rPr>
      </w:pPr>
      <w:r>
        <w:rPr>
          <w:lang w:val="de-DE"/>
        </w:rPr>
        <w:t>Die verfügbaren Daten weisen darauf hin, dass nach einer Unterbrechung von 70 Tagen oder länger, die Wiederaufnahme der A</w:t>
      </w:r>
      <w:r>
        <w:rPr>
          <w:lang w:val="de-DE" w:eastAsia="en-GB"/>
        </w:rPr>
        <w:t>dalimumab</w:t>
      </w:r>
      <w:r>
        <w:rPr>
          <w:lang w:val="de-DE"/>
        </w:rPr>
        <w:noBreakHyphen/>
        <w:t>Therapie zu der gleichen Größenordnung des klinischen Ansprechens und einem ähnlichen Sicherheitsprofil wie vor der Dosisunterbrechung führte.</w:t>
      </w:r>
    </w:p>
    <w:p w14:paraId="642E3273" w14:textId="77777777" w:rsidR="00FE291A" w:rsidRDefault="00FE291A">
      <w:pPr>
        <w:widowControl/>
        <w:kinsoku w:val="0"/>
        <w:overflowPunct w:val="0"/>
        <w:rPr>
          <w:sz w:val="22"/>
          <w:szCs w:val="22"/>
          <w:lang w:val="de-DE"/>
        </w:rPr>
      </w:pPr>
    </w:p>
    <w:p w14:paraId="5B524DC7" w14:textId="77777777" w:rsidR="00FE291A" w:rsidRDefault="00C8738F">
      <w:pPr>
        <w:keepNext/>
        <w:widowControl/>
        <w:kinsoku w:val="0"/>
        <w:overflowPunct w:val="0"/>
        <w:rPr>
          <w:sz w:val="22"/>
          <w:szCs w:val="22"/>
          <w:lang w:val="de-DE"/>
        </w:rPr>
      </w:pPr>
      <w:r>
        <w:rPr>
          <w:i/>
          <w:iCs/>
          <w:sz w:val="22"/>
          <w:szCs w:val="22"/>
          <w:lang w:val="de-DE"/>
        </w:rPr>
        <w:t>Ankylosierende Spondylitis, axiale Spondyloarthritis ohne Röntgennachweis einer AS und Psoriasis- Arthritis</w:t>
      </w:r>
    </w:p>
    <w:p w14:paraId="7F7EA9A0" w14:textId="77777777" w:rsidR="00FE291A" w:rsidRDefault="00FE291A">
      <w:pPr>
        <w:keepNext/>
        <w:widowControl/>
        <w:kinsoku w:val="0"/>
        <w:overflowPunct w:val="0"/>
        <w:rPr>
          <w:sz w:val="22"/>
          <w:szCs w:val="22"/>
          <w:lang w:val="de-DE"/>
        </w:rPr>
      </w:pPr>
    </w:p>
    <w:p w14:paraId="393E5344" w14:textId="77777777" w:rsidR="00FE291A" w:rsidRDefault="00C8738F">
      <w:pPr>
        <w:pStyle w:val="BodyText"/>
        <w:widowControl/>
        <w:kinsoku w:val="0"/>
        <w:overflowPunct w:val="0"/>
        <w:ind w:left="0"/>
        <w:rPr>
          <w:lang w:val="de-DE"/>
        </w:rPr>
      </w:pPr>
      <w:r>
        <w:rPr>
          <w:lang w:val="de-DE"/>
        </w:rPr>
        <w:t>Bei Patienten mit ankylosierender Spondylitis, axialer Spondyloarthritis ohne Röntgennachweis einer AS oder bei Patienten mit Psoriasis-Arthritis beträgt die empfohlene Dosis von AMGEVITA 40 mg Adalimumab, die jede zweite Woche als Einzeldosis subkutan injiziert wird.</w:t>
      </w:r>
    </w:p>
    <w:p w14:paraId="270D2029" w14:textId="77777777" w:rsidR="00FE291A" w:rsidRDefault="00FE291A">
      <w:pPr>
        <w:widowControl/>
        <w:kinsoku w:val="0"/>
        <w:overflowPunct w:val="0"/>
        <w:rPr>
          <w:sz w:val="22"/>
          <w:szCs w:val="22"/>
          <w:lang w:val="de-DE"/>
        </w:rPr>
      </w:pPr>
    </w:p>
    <w:p w14:paraId="3D97912C" w14:textId="77777777" w:rsidR="00FE291A" w:rsidRDefault="00C8738F">
      <w:pPr>
        <w:pStyle w:val="BodyText"/>
        <w:widowControl/>
        <w:kinsoku w:val="0"/>
        <w:overflowPunct w:val="0"/>
        <w:ind w:left="0"/>
        <w:rPr>
          <w:lang w:val="de-DE"/>
        </w:rPr>
      </w:pPr>
      <w:r>
        <w:rPr>
          <w:lang w:val="de-DE"/>
        </w:rPr>
        <w:t>Die verfügbaren Daten weisen darauf hin, dass ein klinisches Ansprechen üblicherweise innerhalb von 12 Behandlungswochen erreicht wird. Die Fortsetzung der Therapie sollte bei einem Patienten, der innerhalb dieser Zeitspanne nicht anspricht, nochmals überdacht werden.</w:t>
      </w:r>
    </w:p>
    <w:p w14:paraId="7AA91B60" w14:textId="77777777" w:rsidR="00FE291A" w:rsidRDefault="00FE291A">
      <w:pPr>
        <w:widowControl/>
        <w:kinsoku w:val="0"/>
        <w:overflowPunct w:val="0"/>
        <w:rPr>
          <w:sz w:val="22"/>
          <w:szCs w:val="22"/>
          <w:lang w:val="de-DE"/>
        </w:rPr>
      </w:pPr>
    </w:p>
    <w:p w14:paraId="448C1C46" w14:textId="77777777" w:rsidR="00FE291A" w:rsidRDefault="00C8738F">
      <w:pPr>
        <w:keepNext/>
        <w:widowControl/>
        <w:kinsoku w:val="0"/>
        <w:overflowPunct w:val="0"/>
        <w:rPr>
          <w:sz w:val="22"/>
          <w:szCs w:val="22"/>
          <w:lang w:val="de-DE"/>
        </w:rPr>
      </w:pPr>
      <w:r>
        <w:rPr>
          <w:i/>
          <w:iCs/>
          <w:sz w:val="22"/>
          <w:szCs w:val="22"/>
          <w:lang w:val="de-DE"/>
        </w:rPr>
        <w:t>Psoriasis</w:t>
      </w:r>
    </w:p>
    <w:p w14:paraId="4E258092" w14:textId="77777777" w:rsidR="00FE291A" w:rsidRDefault="00FE291A">
      <w:pPr>
        <w:keepNext/>
        <w:widowControl/>
        <w:kinsoku w:val="0"/>
        <w:overflowPunct w:val="0"/>
        <w:rPr>
          <w:sz w:val="22"/>
          <w:szCs w:val="22"/>
          <w:lang w:val="de-DE"/>
        </w:rPr>
      </w:pPr>
    </w:p>
    <w:p w14:paraId="0FC24466" w14:textId="77777777" w:rsidR="00FE291A" w:rsidRDefault="00C8738F">
      <w:pPr>
        <w:pStyle w:val="BodyText"/>
        <w:widowControl/>
        <w:kinsoku w:val="0"/>
        <w:overflowPunct w:val="0"/>
        <w:ind w:left="0"/>
        <w:rPr>
          <w:lang w:val="de-DE"/>
        </w:rPr>
      </w:pPr>
      <w:r>
        <w:rPr>
          <w:lang w:val="de-DE"/>
        </w:rPr>
        <w:t>Die empfohlene Dosierung von AMGEVITA für erwachsene Patienten mit Psoriasis beträgt 80 mg Adalimumab, subkutan als Induktionsdosis verabreicht, gefolgt von 40 mg Adalimumab subkutan jede zweite Woche, beginnend eine Woche nach der Induktionsdosis.</w:t>
      </w:r>
    </w:p>
    <w:p w14:paraId="2AC6AAFD" w14:textId="77777777" w:rsidR="00FE291A" w:rsidRDefault="00FE291A">
      <w:pPr>
        <w:widowControl/>
        <w:kinsoku w:val="0"/>
        <w:overflowPunct w:val="0"/>
        <w:rPr>
          <w:sz w:val="22"/>
          <w:szCs w:val="22"/>
          <w:lang w:val="de-DE"/>
        </w:rPr>
      </w:pPr>
    </w:p>
    <w:p w14:paraId="229A6CA6" w14:textId="77777777" w:rsidR="00FE291A" w:rsidRDefault="00C8738F">
      <w:pPr>
        <w:pStyle w:val="BodyText"/>
        <w:widowControl/>
        <w:kinsoku w:val="0"/>
        <w:overflowPunct w:val="0"/>
        <w:ind w:left="0"/>
        <w:rPr>
          <w:lang w:val="de-DE"/>
        </w:rPr>
      </w:pPr>
      <w:r>
        <w:rPr>
          <w:lang w:val="de-DE"/>
        </w:rPr>
        <w:t>Bei Patienten, die 16 Wochen lang nicht auf die Therapie angesprochen haben, sollte eine Weiterbehandlung sorgfältig geprüft werden.</w:t>
      </w:r>
    </w:p>
    <w:p w14:paraId="1946F3C0" w14:textId="77777777" w:rsidR="00FE291A" w:rsidRDefault="00FE291A">
      <w:pPr>
        <w:widowControl/>
        <w:kinsoku w:val="0"/>
        <w:overflowPunct w:val="0"/>
        <w:rPr>
          <w:sz w:val="22"/>
          <w:szCs w:val="22"/>
          <w:lang w:val="de-DE"/>
        </w:rPr>
      </w:pPr>
    </w:p>
    <w:p w14:paraId="5201BF40" w14:textId="77777777" w:rsidR="00FE291A" w:rsidRDefault="00C8738F">
      <w:pPr>
        <w:pStyle w:val="BodyText"/>
        <w:widowControl/>
        <w:kinsoku w:val="0"/>
        <w:overflowPunct w:val="0"/>
        <w:ind w:left="0"/>
        <w:rPr>
          <w:lang w:val="de-DE"/>
        </w:rPr>
      </w:pPr>
      <w:r>
        <w:rPr>
          <w:lang w:val="de-DE"/>
        </w:rPr>
        <w:t>Nach 16 Wochen kann bei Patienten, die unzureichend auf AMGEVITA 40 mg jede zweite Woche ansprechen, eine Erhöhung der Dosis auf 40 mg jede Woche oder 80 mg jede zweite Woche von Nutzen sein. Bei Patienten, die auch nach Erhöhung der Dosis unzureichend ansprechen, sollten Nutzen und Risiko einer fortgesetzten Behandlung mit 40 mg jede Woche oder 80 mg jede zweite Woche sorgfältig abgewogen werden (siehe Abschnitt 5.1). Bei Erreichen eines ausreichenden Ansprechens mit 40 mg jede Woche oder 80 mg jede zweite Woche kann die Dosis anschließend auf 40 mg jede zweite Woche reduziert werden.</w:t>
      </w:r>
    </w:p>
    <w:p w14:paraId="2812E46D" w14:textId="77777777" w:rsidR="00FE291A" w:rsidRDefault="00FE291A">
      <w:pPr>
        <w:widowControl/>
        <w:kinsoku w:val="0"/>
        <w:overflowPunct w:val="0"/>
        <w:rPr>
          <w:sz w:val="22"/>
          <w:szCs w:val="22"/>
          <w:lang w:val="de-DE"/>
        </w:rPr>
      </w:pPr>
    </w:p>
    <w:p w14:paraId="77D1EBD5" w14:textId="77777777" w:rsidR="00FE291A" w:rsidRDefault="00C8738F">
      <w:pPr>
        <w:widowControl/>
        <w:kinsoku w:val="0"/>
        <w:overflowPunct w:val="0"/>
        <w:rPr>
          <w:sz w:val="22"/>
          <w:szCs w:val="22"/>
          <w:lang w:val="de-DE"/>
        </w:rPr>
      </w:pPr>
      <w:r>
        <w:rPr>
          <w:sz w:val="22"/>
          <w:szCs w:val="22"/>
          <w:lang w:val="de-DE"/>
        </w:rPr>
        <w:t>In Abhängigkeit von den individuellen Behandlungsbedürfnissen kann AMGEVITA in verschiedenen Stärken und/oder Darreichungsformen erhältlich sein.</w:t>
      </w:r>
    </w:p>
    <w:p w14:paraId="4B513A19" w14:textId="77777777" w:rsidR="00FE291A" w:rsidRDefault="00FE291A">
      <w:pPr>
        <w:widowControl/>
        <w:kinsoku w:val="0"/>
        <w:overflowPunct w:val="0"/>
        <w:rPr>
          <w:sz w:val="22"/>
          <w:szCs w:val="22"/>
          <w:lang w:val="de-DE"/>
        </w:rPr>
      </w:pPr>
    </w:p>
    <w:p w14:paraId="062EA455" w14:textId="77777777" w:rsidR="00FE291A" w:rsidRDefault="00C8738F">
      <w:pPr>
        <w:keepNext/>
        <w:widowControl/>
        <w:kinsoku w:val="0"/>
        <w:overflowPunct w:val="0"/>
        <w:rPr>
          <w:sz w:val="22"/>
          <w:szCs w:val="22"/>
          <w:lang w:val="de-DE"/>
        </w:rPr>
      </w:pPr>
      <w:r>
        <w:rPr>
          <w:i/>
          <w:iCs/>
          <w:sz w:val="22"/>
          <w:szCs w:val="22"/>
          <w:lang w:val="de-DE"/>
        </w:rPr>
        <w:t>Hidradenitis suppurativa (Acne inversa)</w:t>
      </w:r>
    </w:p>
    <w:p w14:paraId="4662FCC9" w14:textId="77777777" w:rsidR="00FE291A" w:rsidRDefault="00FE291A">
      <w:pPr>
        <w:widowControl/>
        <w:kinsoku w:val="0"/>
        <w:overflowPunct w:val="0"/>
        <w:rPr>
          <w:sz w:val="22"/>
          <w:szCs w:val="22"/>
          <w:lang w:val="de-DE"/>
        </w:rPr>
      </w:pPr>
    </w:p>
    <w:p w14:paraId="5E8895CA" w14:textId="77777777" w:rsidR="00FE291A" w:rsidRDefault="00C8738F">
      <w:pPr>
        <w:pStyle w:val="BodyText"/>
        <w:widowControl/>
        <w:kinsoku w:val="0"/>
        <w:overflowPunct w:val="0"/>
        <w:ind w:left="0"/>
        <w:rPr>
          <w:lang w:val="de-DE"/>
        </w:rPr>
      </w:pPr>
      <w:r>
        <w:rPr>
          <w:lang w:val="de-DE"/>
        </w:rPr>
        <w:t>Die empfohlene Dosis von AMGEVITA für erwachsene Patienten mit Hidradenitis suppurativa (HS) beträgt anfänglich 160 mg an Tag 1 (verabreicht als zwei Injektionen von 80 mg innerhalb eines Tages oder als eine Injektion von 80 mg pro Tag an zwei aufeinanderfolgenden Tagen), gefolgt von 80 mg zwei Wochen später an Tag 15. Zwei Wochen später (Tag 29) wird die Behandlung mit einer Dosis von 40 mg jede Woche oder 80 mg jede zweite Woche fortgesetzt. Falls notwendig, kann eine Antibiotikatherapie während der Behandlung mit AMGEVITA weitergeführt werden. Es wird empfohlen, dass die Patienten während der Behandlung mit AMGEVITA täglich eine topische antiseptische Waschlösung an ihren HS-Läsionen anwenden.</w:t>
      </w:r>
    </w:p>
    <w:p w14:paraId="38E7605E" w14:textId="77777777" w:rsidR="00FE291A" w:rsidRDefault="00FE291A">
      <w:pPr>
        <w:widowControl/>
        <w:kinsoku w:val="0"/>
        <w:overflowPunct w:val="0"/>
        <w:rPr>
          <w:sz w:val="22"/>
          <w:szCs w:val="22"/>
          <w:lang w:val="de-DE"/>
        </w:rPr>
      </w:pPr>
    </w:p>
    <w:p w14:paraId="1F68C4E6" w14:textId="77777777" w:rsidR="00FE291A" w:rsidRDefault="00C8738F">
      <w:pPr>
        <w:pStyle w:val="BodyText"/>
        <w:widowControl/>
        <w:kinsoku w:val="0"/>
        <w:overflowPunct w:val="0"/>
        <w:ind w:left="0"/>
        <w:rPr>
          <w:lang w:val="de-DE"/>
        </w:rPr>
      </w:pPr>
      <w:r>
        <w:rPr>
          <w:lang w:val="de-DE"/>
        </w:rPr>
        <w:t>Eine Fortsetzung der Therapie länger als 12 Wochen sollte sorgfältig abgewogen werden bei Patienten, die innerhalb dieser Zeitspanne keine Verbesserung zeigen.</w:t>
      </w:r>
    </w:p>
    <w:p w14:paraId="115681BA" w14:textId="77777777" w:rsidR="00FE291A" w:rsidRDefault="00FE291A">
      <w:pPr>
        <w:widowControl/>
        <w:kinsoku w:val="0"/>
        <w:overflowPunct w:val="0"/>
        <w:rPr>
          <w:sz w:val="22"/>
          <w:szCs w:val="22"/>
          <w:lang w:val="de-DE"/>
        </w:rPr>
      </w:pPr>
    </w:p>
    <w:p w14:paraId="3EBB6BB3" w14:textId="77777777" w:rsidR="00FE291A" w:rsidRDefault="00C8738F">
      <w:pPr>
        <w:pStyle w:val="BodyText"/>
        <w:widowControl/>
        <w:kinsoku w:val="0"/>
        <w:overflowPunct w:val="0"/>
        <w:ind w:left="0"/>
        <w:rPr>
          <w:lang w:val="de-DE"/>
        </w:rPr>
      </w:pPr>
      <w:r>
        <w:rPr>
          <w:lang w:val="de-DE"/>
        </w:rPr>
        <w:t>Sollte eine Unterbrechung der Behandlung erforderlich sein, kann wieder mit einer Behandlung mit AMGEVITA 40 mg jede Woche oder 80 mg jede zweite Woche begonnen werden (siehe Abschnitt 5.1).</w:t>
      </w:r>
    </w:p>
    <w:p w14:paraId="371F9588" w14:textId="77777777" w:rsidR="00FE291A" w:rsidRDefault="00FE291A">
      <w:pPr>
        <w:widowControl/>
        <w:kinsoku w:val="0"/>
        <w:overflowPunct w:val="0"/>
        <w:rPr>
          <w:sz w:val="22"/>
          <w:szCs w:val="22"/>
          <w:lang w:val="de-DE"/>
        </w:rPr>
      </w:pPr>
    </w:p>
    <w:p w14:paraId="51B864A3" w14:textId="77777777" w:rsidR="00FE291A" w:rsidRDefault="00C8738F">
      <w:pPr>
        <w:pStyle w:val="BodyText"/>
        <w:widowControl/>
        <w:kinsoku w:val="0"/>
        <w:overflowPunct w:val="0"/>
        <w:ind w:left="0"/>
        <w:rPr>
          <w:lang w:val="de-DE"/>
        </w:rPr>
      </w:pPr>
      <w:r>
        <w:rPr>
          <w:lang w:val="de-DE"/>
        </w:rPr>
        <w:t>Nutzen und Risiko einer Langzeitbehandlung sollten regelmäßig beurteilt werden (siehe Abschnitt 5.1).</w:t>
      </w:r>
    </w:p>
    <w:p w14:paraId="29F9A013" w14:textId="77777777" w:rsidR="00FE291A" w:rsidRDefault="00FE291A">
      <w:pPr>
        <w:widowControl/>
        <w:kinsoku w:val="0"/>
        <w:overflowPunct w:val="0"/>
        <w:rPr>
          <w:iCs/>
          <w:sz w:val="22"/>
          <w:szCs w:val="22"/>
          <w:lang w:val="de-DE"/>
        </w:rPr>
      </w:pPr>
    </w:p>
    <w:p w14:paraId="687ED117" w14:textId="77777777" w:rsidR="00FE291A" w:rsidRDefault="00C8738F">
      <w:pPr>
        <w:widowControl/>
        <w:kinsoku w:val="0"/>
        <w:overflowPunct w:val="0"/>
        <w:rPr>
          <w:sz w:val="22"/>
          <w:szCs w:val="22"/>
          <w:lang w:val="de-DE"/>
        </w:rPr>
      </w:pPr>
      <w:bookmarkStart w:id="35" w:name="_Hlk161218219"/>
      <w:r>
        <w:rPr>
          <w:sz w:val="22"/>
          <w:szCs w:val="22"/>
          <w:lang w:val="de-DE"/>
        </w:rPr>
        <w:t>In Abhängigkeit von den individuellen Behandlungsbedürfnissen kann AMGEVITA in verschiedenen Stärken und/oder Darreichungsformen erhältlich sein.</w:t>
      </w:r>
    </w:p>
    <w:bookmarkEnd w:id="35"/>
    <w:p w14:paraId="6428578A" w14:textId="77777777" w:rsidR="00FE291A" w:rsidRDefault="00FE291A">
      <w:pPr>
        <w:widowControl/>
        <w:kinsoku w:val="0"/>
        <w:overflowPunct w:val="0"/>
        <w:rPr>
          <w:iCs/>
          <w:sz w:val="22"/>
          <w:szCs w:val="22"/>
          <w:lang w:val="de-DE"/>
        </w:rPr>
      </w:pPr>
    </w:p>
    <w:p w14:paraId="7AB33075" w14:textId="77777777" w:rsidR="00FE291A" w:rsidRDefault="00C8738F">
      <w:pPr>
        <w:keepNext/>
        <w:widowControl/>
        <w:kinsoku w:val="0"/>
        <w:overflowPunct w:val="0"/>
        <w:rPr>
          <w:sz w:val="22"/>
          <w:szCs w:val="22"/>
          <w:lang w:val="de-DE"/>
        </w:rPr>
      </w:pPr>
      <w:r>
        <w:rPr>
          <w:i/>
          <w:iCs/>
          <w:sz w:val="22"/>
          <w:szCs w:val="22"/>
          <w:lang w:val="de-DE"/>
        </w:rPr>
        <w:t>Morbus Crohn</w:t>
      </w:r>
    </w:p>
    <w:p w14:paraId="4756E4DA" w14:textId="77777777" w:rsidR="00FE291A" w:rsidRDefault="00FE291A">
      <w:pPr>
        <w:keepNext/>
        <w:widowControl/>
        <w:kinsoku w:val="0"/>
        <w:overflowPunct w:val="0"/>
        <w:rPr>
          <w:sz w:val="22"/>
          <w:szCs w:val="22"/>
          <w:lang w:val="de-DE"/>
        </w:rPr>
      </w:pPr>
    </w:p>
    <w:p w14:paraId="6B964BD8" w14:textId="77777777" w:rsidR="00FE291A" w:rsidRDefault="00C8738F">
      <w:pPr>
        <w:pStyle w:val="BodyText"/>
        <w:widowControl/>
        <w:kinsoku w:val="0"/>
        <w:overflowPunct w:val="0"/>
        <w:ind w:left="0"/>
        <w:rPr>
          <w:lang w:val="de-DE"/>
        </w:rPr>
      </w:pPr>
      <w:r>
        <w:rPr>
          <w:lang w:val="de-DE"/>
        </w:rPr>
        <w:t>Die empfohlene Induktionsdosis für AMGEVITA beträgt bei Erwachsenen mit mittelschwerem bis schwerem, aktivem Morbus Crohn 80 mg in Woche 0, gefolgt von 40 mg in Woche 2. Ist ein schnelleres Ansprechen auf die Therapie erforderlich, kann die Dosis auf 160 mg in Woche 0 (verabreicht als zwei Injektionen von 80 mg innerhalb eines Tages oder als eine Injektion von 80 mg pro Tag an zwei aufeinanderfolgenden Tagen) gefolgt von 80 mg in Woche 2 erhöht werden, allerdings sollte beachtet werden, dass dies das Risiko für unerwünschte Ereignisse während der Therapieeinleitung erhöht.</w:t>
      </w:r>
    </w:p>
    <w:p w14:paraId="7FE896B3" w14:textId="77777777" w:rsidR="00FE291A" w:rsidRDefault="00FE291A">
      <w:pPr>
        <w:widowControl/>
        <w:kinsoku w:val="0"/>
        <w:overflowPunct w:val="0"/>
        <w:rPr>
          <w:sz w:val="22"/>
          <w:szCs w:val="22"/>
          <w:lang w:val="de-DE"/>
        </w:rPr>
      </w:pPr>
    </w:p>
    <w:p w14:paraId="18EA4D56" w14:textId="77777777" w:rsidR="00FE291A" w:rsidRDefault="00C8738F">
      <w:pPr>
        <w:pStyle w:val="BodyText"/>
        <w:widowControl/>
        <w:kinsoku w:val="0"/>
        <w:overflowPunct w:val="0"/>
        <w:ind w:left="0"/>
        <w:rPr>
          <w:lang w:val="de-DE"/>
        </w:rPr>
      </w:pPr>
      <w:r>
        <w:rPr>
          <w:lang w:val="de-DE"/>
        </w:rPr>
        <w:t>Nach der Induktionsbehandlung beträgt die empfohlene Dosis 40 mg als subkutane Injektion jede zweite Woche. Wenn AMGEVITA abgesetzt wurde, kann AMGEVITA erneut verabreicht werden, wenn die Anzeichen und Symptome der Erkrankung wieder auftreten. Zu einer erneuten Verabreichung nach mehr als 8 Wochen seit der letzten Dosis liegen nur wenige Erfahrungen vor.</w:t>
      </w:r>
    </w:p>
    <w:p w14:paraId="6FA59CE7" w14:textId="77777777" w:rsidR="00FE291A" w:rsidRDefault="00FE291A">
      <w:pPr>
        <w:widowControl/>
        <w:kinsoku w:val="0"/>
        <w:overflowPunct w:val="0"/>
        <w:rPr>
          <w:sz w:val="22"/>
          <w:szCs w:val="22"/>
          <w:lang w:val="de-DE"/>
        </w:rPr>
      </w:pPr>
    </w:p>
    <w:p w14:paraId="3F8140C1" w14:textId="77777777" w:rsidR="00FE291A" w:rsidRDefault="00C8738F">
      <w:pPr>
        <w:pStyle w:val="BodyText"/>
        <w:widowControl/>
        <w:kinsoku w:val="0"/>
        <w:overflowPunct w:val="0"/>
        <w:ind w:left="0"/>
        <w:rPr>
          <w:lang w:val="de-DE"/>
        </w:rPr>
      </w:pPr>
      <w:r>
        <w:rPr>
          <w:lang w:val="de-DE"/>
        </w:rPr>
        <w:t>Während der Erhaltungstherapie können Kortikosteroide gemäß den klinischen Empfehlungen ausgeschlichen werden.</w:t>
      </w:r>
    </w:p>
    <w:p w14:paraId="5C9E093F" w14:textId="77777777" w:rsidR="00FE291A" w:rsidRDefault="00FE291A">
      <w:pPr>
        <w:widowControl/>
        <w:kinsoku w:val="0"/>
        <w:overflowPunct w:val="0"/>
        <w:rPr>
          <w:sz w:val="22"/>
          <w:szCs w:val="22"/>
          <w:lang w:val="de-DE"/>
        </w:rPr>
      </w:pPr>
    </w:p>
    <w:p w14:paraId="35D5ADA0" w14:textId="77777777" w:rsidR="00FE291A" w:rsidRDefault="00C8738F">
      <w:pPr>
        <w:pStyle w:val="BodyText"/>
        <w:widowControl/>
        <w:kinsoku w:val="0"/>
        <w:overflowPunct w:val="0"/>
        <w:ind w:left="0"/>
        <w:rPr>
          <w:lang w:val="de-DE"/>
        </w:rPr>
      </w:pPr>
      <w:r>
        <w:rPr>
          <w:lang w:val="de-DE"/>
        </w:rPr>
        <w:t>Einige Patienten, bei deren Behandlung mit AMGEVITA 40 mg jede zweite Woche ein Wirkverlust auftritt, können von einer Erhöhung der Dosis auf 40 mg AMGEVITA jede Woche oder 80 mg jede zweite Woche profitieren.</w:t>
      </w:r>
    </w:p>
    <w:p w14:paraId="617290A4" w14:textId="77777777" w:rsidR="00FE291A" w:rsidRDefault="00FE291A">
      <w:pPr>
        <w:widowControl/>
        <w:kinsoku w:val="0"/>
        <w:overflowPunct w:val="0"/>
        <w:rPr>
          <w:sz w:val="22"/>
          <w:szCs w:val="22"/>
          <w:lang w:val="de-DE"/>
        </w:rPr>
      </w:pPr>
    </w:p>
    <w:p w14:paraId="0323C24B" w14:textId="77777777" w:rsidR="00FE291A" w:rsidRDefault="00C8738F">
      <w:pPr>
        <w:pStyle w:val="BodyText"/>
        <w:widowControl/>
        <w:kinsoku w:val="0"/>
        <w:overflowPunct w:val="0"/>
        <w:ind w:left="0"/>
        <w:rPr>
          <w:lang w:val="de-DE"/>
        </w:rPr>
      </w:pPr>
      <w:r>
        <w:rPr>
          <w:lang w:val="de-DE"/>
        </w:rPr>
        <w:t>Einige Patienten, die bis Woche 4 noch nicht auf die Therapie angesprochen haben, können von einer Weiterführung der Erhaltungstherapie bis Woche 12 profitieren. Eine weitere Behandlung von Patienten, die in diesem Zeitraum nicht auf die Therapie angesprochen haben, sollte sorgfältig abgewogen werden.</w:t>
      </w:r>
    </w:p>
    <w:p w14:paraId="0DE15B24" w14:textId="77777777" w:rsidR="00FE291A" w:rsidRDefault="00FE291A">
      <w:pPr>
        <w:widowControl/>
        <w:kinsoku w:val="0"/>
        <w:overflowPunct w:val="0"/>
        <w:rPr>
          <w:sz w:val="22"/>
          <w:szCs w:val="22"/>
          <w:lang w:val="de-DE"/>
        </w:rPr>
      </w:pPr>
    </w:p>
    <w:p w14:paraId="197227C9" w14:textId="77777777" w:rsidR="00FE291A" w:rsidRDefault="00C8738F">
      <w:pPr>
        <w:widowControl/>
        <w:kinsoku w:val="0"/>
        <w:overflowPunct w:val="0"/>
        <w:rPr>
          <w:sz w:val="22"/>
          <w:szCs w:val="22"/>
          <w:lang w:val="de-DE"/>
        </w:rPr>
      </w:pPr>
      <w:r>
        <w:rPr>
          <w:sz w:val="22"/>
          <w:szCs w:val="22"/>
          <w:lang w:val="de-DE"/>
        </w:rPr>
        <w:t>In Abhängigkeit von den individuellen Behandlungsbedürfnissen kann AMGEVITA in verschiedenen Stärken und/oder Darreichungsformen erhältlich sein.</w:t>
      </w:r>
    </w:p>
    <w:p w14:paraId="4B6CFADF" w14:textId="77777777" w:rsidR="00FE291A" w:rsidRDefault="00FE291A">
      <w:pPr>
        <w:widowControl/>
        <w:kinsoku w:val="0"/>
        <w:overflowPunct w:val="0"/>
        <w:rPr>
          <w:sz w:val="22"/>
          <w:szCs w:val="22"/>
          <w:lang w:val="de-DE"/>
        </w:rPr>
      </w:pPr>
    </w:p>
    <w:p w14:paraId="2EE12756" w14:textId="77777777" w:rsidR="00FE291A" w:rsidRDefault="00C8738F">
      <w:pPr>
        <w:keepNext/>
        <w:widowControl/>
        <w:kinsoku w:val="0"/>
        <w:overflowPunct w:val="0"/>
        <w:rPr>
          <w:sz w:val="22"/>
          <w:szCs w:val="22"/>
          <w:lang w:val="de-DE"/>
        </w:rPr>
      </w:pPr>
      <w:r>
        <w:rPr>
          <w:i/>
          <w:iCs/>
          <w:sz w:val="22"/>
          <w:szCs w:val="22"/>
          <w:lang w:val="de-DE"/>
        </w:rPr>
        <w:t>Colitis ulcerosa</w:t>
      </w:r>
    </w:p>
    <w:p w14:paraId="0EAEDE6B" w14:textId="77777777" w:rsidR="00FE291A" w:rsidRDefault="00FE291A">
      <w:pPr>
        <w:keepNext/>
        <w:widowControl/>
        <w:kinsoku w:val="0"/>
        <w:overflowPunct w:val="0"/>
        <w:rPr>
          <w:sz w:val="22"/>
          <w:szCs w:val="22"/>
          <w:lang w:val="de-DE"/>
        </w:rPr>
      </w:pPr>
    </w:p>
    <w:p w14:paraId="65976FFB" w14:textId="77777777" w:rsidR="00FE291A" w:rsidRDefault="00C8738F">
      <w:pPr>
        <w:pStyle w:val="BodyText"/>
        <w:widowControl/>
        <w:kinsoku w:val="0"/>
        <w:overflowPunct w:val="0"/>
        <w:ind w:left="0"/>
        <w:rPr>
          <w:lang w:val="de-DE"/>
        </w:rPr>
      </w:pPr>
      <w:r>
        <w:rPr>
          <w:lang w:val="de-DE"/>
        </w:rPr>
        <w:t>Die empfohlene Induktionsdosis für AMGEVITA beträgt bei erwachsenen Patienten mit mittelschwerer bis schwerer Colitis ulcerosa 160 mg in Woche 0 (verabreicht als zwei Injektionen von 80 mg innerhalb eines Tages oder als eine Injektion von 80 mg pro Tag an zwei aufeinanderfolgenden Tagen) und 80 mg in Woche 2. Nach der Induktionsbehandlung beträgt die empfohlene Dosis 40 mg als subkutane Injektion jede zweite Woche.</w:t>
      </w:r>
    </w:p>
    <w:p w14:paraId="7DAFEA77" w14:textId="77777777" w:rsidR="00FE291A" w:rsidRDefault="00FE291A">
      <w:pPr>
        <w:widowControl/>
        <w:kinsoku w:val="0"/>
        <w:overflowPunct w:val="0"/>
        <w:rPr>
          <w:sz w:val="22"/>
          <w:szCs w:val="22"/>
          <w:lang w:val="de-DE"/>
        </w:rPr>
      </w:pPr>
    </w:p>
    <w:p w14:paraId="60C2C1DA" w14:textId="77777777" w:rsidR="00FE291A" w:rsidRDefault="00C8738F">
      <w:pPr>
        <w:pStyle w:val="BodyText"/>
        <w:widowControl/>
        <w:kinsoku w:val="0"/>
        <w:overflowPunct w:val="0"/>
        <w:ind w:left="0"/>
        <w:rPr>
          <w:lang w:val="de-DE"/>
        </w:rPr>
      </w:pPr>
      <w:r>
        <w:rPr>
          <w:lang w:val="de-DE"/>
        </w:rPr>
        <w:t>Während der Erhaltungstherapie können Kortikosteroide gemäß den klinischen Empfehlungen ausgeschlichen werden.</w:t>
      </w:r>
    </w:p>
    <w:p w14:paraId="2A93B452" w14:textId="77777777" w:rsidR="00FE291A" w:rsidRDefault="00FE291A">
      <w:pPr>
        <w:widowControl/>
        <w:kinsoku w:val="0"/>
        <w:overflowPunct w:val="0"/>
        <w:rPr>
          <w:sz w:val="22"/>
          <w:szCs w:val="22"/>
          <w:lang w:val="de-DE"/>
        </w:rPr>
      </w:pPr>
    </w:p>
    <w:p w14:paraId="7F796562" w14:textId="77777777" w:rsidR="00FE291A" w:rsidRDefault="00C8738F">
      <w:pPr>
        <w:pStyle w:val="BodyText"/>
        <w:widowControl/>
        <w:kinsoku w:val="0"/>
        <w:overflowPunct w:val="0"/>
        <w:ind w:left="0"/>
        <w:rPr>
          <w:lang w:val="de-DE"/>
        </w:rPr>
      </w:pPr>
      <w:r>
        <w:rPr>
          <w:lang w:val="de-DE"/>
        </w:rPr>
        <w:t>Einige Patienten, bei deren Behandlung mit AMGEVITA 40 mg jede zweite Woche ein Wirkverlust auftritt, können von einer Erhöhung der Dosis auf 40 mg AMGEVITA jede Woche oder 80 mg jede zweite Woche profitieren.</w:t>
      </w:r>
    </w:p>
    <w:p w14:paraId="6F335842" w14:textId="77777777" w:rsidR="00FE291A" w:rsidRDefault="00FE291A">
      <w:pPr>
        <w:widowControl/>
        <w:kinsoku w:val="0"/>
        <w:overflowPunct w:val="0"/>
        <w:rPr>
          <w:sz w:val="22"/>
          <w:szCs w:val="22"/>
          <w:lang w:val="de-DE"/>
        </w:rPr>
      </w:pPr>
    </w:p>
    <w:p w14:paraId="1FCDDF54" w14:textId="77777777" w:rsidR="00FE291A" w:rsidRDefault="00C8738F">
      <w:pPr>
        <w:pStyle w:val="BodyText"/>
        <w:widowControl/>
        <w:kinsoku w:val="0"/>
        <w:overflowPunct w:val="0"/>
        <w:ind w:left="0"/>
        <w:rPr>
          <w:lang w:val="de-DE"/>
        </w:rPr>
      </w:pPr>
      <w:r>
        <w:rPr>
          <w:lang w:val="de-DE"/>
        </w:rPr>
        <w:t>Die verfügbaren Daten weisen darauf hin, dass ein klinisches Ansprechen gewöhnlich innerhalb von 2 bis 8 Behandlungswochen erreicht wird. Bei Patienten, die in dieser Zeit nicht ansprechen, sollte die Behandlung mit AMGEVITA nicht fortgesetzt werden.</w:t>
      </w:r>
    </w:p>
    <w:p w14:paraId="37FD5D07" w14:textId="77777777" w:rsidR="00FE291A" w:rsidRDefault="00FE291A">
      <w:pPr>
        <w:widowControl/>
        <w:kinsoku w:val="0"/>
        <w:overflowPunct w:val="0"/>
        <w:rPr>
          <w:sz w:val="22"/>
          <w:szCs w:val="22"/>
          <w:lang w:val="de-DE"/>
        </w:rPr>
      </w:pPr>
    </w:p>
    <w:p w14:paraId="0DE6A246" w14:textId="77777777" w:rsidR="00FE291A" w:rsidRDefault="00C8738F">
      <w:pPr>
        <w:widowControl/>
        <w:kinsoku w:val="0"/>
        <w:overflowPunct w:val="0"/>
        <w:rPr>
          <w:sz w:val="22"/>
          <w:szCs w:val="22"/>
          <w:lang w:val="de-DE"/>
        </w:rPr>
      </w:pPr>
      <w:r>
        <w:rPr>
          <w:sz w:val="22"/>
          <w:szCs w:val="22"/>
          <w:lang w:val="de-DE"/>
        </w:rPr>
        <w:t>In Abhängigkeit von den individuellen Behandlungsbedürfnissen kann AMGEVITA in verschiedenen Stärken und/oder Darreichungsformen erhältlich sein.</w:t>
      </w:r>
    </w:p>
    <w:p w14:paraId="63EC0AE7" w14:textId="77777777" w:rsidR="00FE291A" w:rsidRDefault="00FE291A">
      <w:pPr>
        <w:widowControl/>
        <w:kinsoku w:val="0"/>
        <w:overflowPunct w:val="0"/>
        <w:rPr>
          <w:sz w:val="22"/>
          <w:szCs w:val="22"/>
          <w:lang w:val="de-DE"/>
        </w:rPr>
      </w:pPr>
    </w:p>
    <w:p w14:paraId="716B37F3" w14:textId="77777777" w:rsidR="00FE291A" w:rsidRDefault="00C8738F">
      <w:pPr>
        <w:keepNext/>
        <w:widowControl/>
        <w:kinsoku w:val="0"/>
        <w:overflowPunct w:val="0"/>
        <w:rPr>
          <w:sz w:val="22"/>
          <w:szCs w:val="22"/>
          <w:lang w:val="de-DE"/>
        </w:rPr>
      </w:pPr>
      <w:r>
        <w:rPr>
          <w:i/>
          <w:iCs/>
          <w:sz w:val="22"/>
          <w:szCs w:val="22"/>
          <w:lang w:val="de-DE"/>
        </w:rPr>
        <w:t>Uveitis</w:t>
      </w:r>
    </w:p>
    <w:p w14:paraId="394E6508" w14:textId="77777777" w:rsidR="00FE291A" w:rsidRDefault="00FE291A">
      <w:pPr>
        <w:widowControl/>
        <w:kinsoku w:val="0"/>
        <w:overflowPunct w:val="0"/>
        <w:rPr>
          <w:sz w:val="22"/>
          <w:szCs w:val="22"/>
          <w:lang w:val="de-DE"/>
        </w:rPr>
      </w:pPr>
    </w:p>
    <w:p w14:paraId="0F86B236" w14:textId="77777777" w:rsidR="00FE291A" w:rsidRDefault="00C8738F">
      <w:pPr>
        <w:pStyle w:val="BodyText"/>
        <w:widowControl/>
        <w:kinsoku w:val="0"/>
        <w:overflowPunct w:val="0"/>
        <w:ind w:left="0"/>
        <w:rPr>
          <w:lang w:val="de-DE"/>
        </w:rPr>
      </w:pPr>
      <w:r>
        <w:rPr>
          <w:lang w:val="de-DE"/>
        </w:rPr>
        <w:t>Die empfohlene Dosierung von AMGEVITA für erwachsene Patienten mit Uveitis beträgt 80 mg als Induktionsdosis, gefolgt von 40 mg alle zwei Wochen, beginnend eine Woche nach der Induktionsdosis. Es liegen nur begrenzte Erfahrungen zur Einleitung von Adalimumab als Monotherapie vor. Die Behandlung mit AMGEVITA kann in Kombination mit Kortikosteroiden und/oder anderen nicht biologischen Immunsuppressiva eingeleitet werden. Eine begleitende Anwendung von Kortikosteroiden kann gemäß gängiger klinischer Praxis ab zwei Wochen nach der Einleitung der Behandlung mit AMGEVITA ausgeschlichen werden.</w:t>
      </w:r>
    </w:p>
    <w:p w14:paraId="3D6F6DFA" w14:textId="77777777" w:rsidR="00FE291A" w:rsidRDefault="00FE291A">
      <w:pPr>
        <w:pStyle w:val="BodyText"/>
        <w:widowControl/>
        <w:kinsoku w:val="0"/>
        <w:overflowPunct w:val="0"/>
        <w:ind w:left="0"/>
        <w:rPr>
          <w:lang w:val="de-DE"/>
        </w:rPr>
      </w:pPr>
    </w:p>
    <w:p w14:paraId="76DAD7AC" w14:textId="77777777" w:rsidR="00FE291A" w:rsidRDefault="00C8738F">
      <w:pPr>
        <w:pStyle w:val="BodyText"/>
        <w:widowControl/>
        <w:kinsoku w:val="0"/>
        <w:overflowPunct w:val="0"/>
        <w:ind w:left="0"/>
        <w:rPr>
          <w:lang w:val="de-DE"/>
        </w:rPr>
      </w:pPr>
      <w:r>
        <w:rPr>
          <w:lang w:val="de-DE"/>
        </w:rPr>
        <w:t>Es wird empfohlen, Nutzen und Risiko einer Langzeitbehandlung jährlich zu beurteilen (siehe Abschnitt 5.1).</w:t>
      </w:r>
    </w:p>
    <w:p w14:paraId="4490E91B" w14:textId="77777777" w:rsidR="00FE291A" w:rsidRDefault="00FE291A">
      <w:pPr>
        <w:pStyle w:val="BodyText"/>
        <w:widowControl/>
        <w:kinsoku w:val="0"/>
        <w:overflowPunct w:val="0"/>
        <w:ind w:left="0"/>
        <w:rPr>
          <w:lang w:val="de-DE"/>
        </w:rPr>
      </w:pPr>
    </w:p>
    <w:p w14:paraId="064B81F6" w14:textId="77777777" w:rsidR="00FE291A" w:rsidRDefault="00C8738F">
      <w:pPr>
        <w:widowControl/>
        <w:kinsoku w:val="0"/>
        <w:overflowPunct w:val="0"/>
        <w:rPr>
          <w:sz w:val="22"/>
          <w:szCs w:val="22"/>
          <w:lang w:val="de-DE"/>
        </w:rPr>
      </w:pPr>
      <w:r>
        <w:rPr>
          <w:sz w:val="22"/>
          <w:szCs w:val="22"/>
          <w:lang w:val="de-DE"/>
        </w:rPr>
        <w:t>In Abhängigkeit von den individuellen Behandlungsbedürfnissen kann AMGEVITA in verschiedenen Stärken und/oder Darreichungsformen erhältlich sein.</w:t>
      </w:r>
    </w:p>
    <w:p w14:paraId="19C562FB" w14:textId="77777777" w:rsidR="00FE291A" w:rsidRDefault="00FE291A">
      <w:pPr>
        <w:pStyle w:val="BodyText"/>
        <w:widowControl/>
        <w:kinsoku w:val="0"/>
        <w:overflowPunct w:val="0"/>
        <w:ind w:left="0"/>
        <w:rPr>
          <w:lang w:val="de-DE"/>
        </w:rPr>
      </w:pPr>
    </w:p>
    <w:p w14:paraId="4472FBE5" w14:textId="77777777" w:rsidR="00FE291A" w:rsidRDefault="00C8738F">
      <w:pPr>
        <w:pStyle w:val="BodyText"/>
        <w:keepNext/>
        <w:widowControl/>
        <w:kinsoku w:val="0"/>
        <w:overflowPunct w:val="0"/>
        <w:ind w:left="0"/>
        <w:rPr>
          <w:u w:val="single"/>
          <w:lang w:val="de-DE"/>
        </w:rPr>
      </w:pPr>
      <w:r>
        <w:rPr>
          <w:u w:val="single"/>
          <w:lang w:val="de-DE"/>
        </w:rPr>
        <w:t>Besondere Patientengruppen</w:t>
      </w:r>
    </w:p>
    <w:p w14:paraId="0A364953" w14:textId="77777777" w:rsidR="00FE291A" w:rsidRDefault="00FE291A">
      <w:pPr>
        <w:pStyle w:val="BodyText"/>
        <w:keepNext/>
        <w:widowControl/>
        <w:kinsoku w:val="0"/>
        <w:overflowPunct w:val="0"/>
        <w:ind w:left="0"/>
        <w:rPr>
          <w:u w:val="single"/>
          <w:lang w:val="de-DE"/>
        </w:rPr>
      </w:pPr>
    </w:p>
    <w:p w14:paraId="5FA7B36B" w14:textId="77777777" w:rsidR="00FE291A" w:rsidRDefault="00C8738F">
      <w:pPr>
        <w:pStyle w:val="BodyText"/>
        <w:keepNext/>
        <w:widowControl/>
        <w:kinsoku w:val="0"/>
        <w:overflowPunct w:val="0"/>
        <w:ind w:left="0"/>
        <w:rPr>
          <w:i/>
          <w:lang w:val="de-DE"/>
        </w:rPr>
      </w:pPr>
      <w:r>
        <w:rPr>
          <w:i/>
          <w:lang w:val="de-DE"/>
        </w:rPr>
        <w:t>Ältere Patienten</w:t>
      </w:r>
    </w:p>
    <w:p w14:paraId="3F9AE78A" w14:textId="77777777" w:rsidR="00FE291A" w:rsidRDefault="00FE291A">
      <w:pPr>
        <w:keepNext/>
        <w:widowControl/>
        <w:kinsoku w:val="0"/>
        <w:overflowPunct w:val="0"/>
        <w:rPr>
          <w:sz w:val="22"/>
          <w:szCs w:val="22"/>
          <w:lang w:val="de-DE"/>
        </w:rPr>
      </w:pPr>
    </w:p>
    <w:p w14:paraId="34B1608A" w14:textId="77777777" w:rsidR="00FE291A" w:rsidRDefault="00C8738F">
      <w:pPr>
        <w:pStyle w:val="BodyText"/>
        <w:widowControl/>
        <w:kinsoku w:val="0"/>
        <w:overflowPunct w:val="0"/>
        <w:ind w:left="0"/>
        <w:rPr>
          <w:lang w:val="de-DE"/>
        </w:rPr>
      </w:pPr>
      <w:r>
        <w:rPr>
          <w:lang w:val="de-DE"/>
        </w:rPr>
        <w:t xml:space="preserve">Eine Dosisanpassung ist nicht erforderlich. </w:t>
      </w:r>
    </w:p>
    <w:p w14:paraId="13D16BF2" w14:textId="77777777" w:rsidR="00FE291A" w:rsidRDefault="00FE291A">
      <w:pPr>
        <w:widowControl/>
        <w:kinsoku w:val="0"/>
        <w:overflowPunct w:val="0"/>
        <w:rPr>
          <w:sz w:val="22"/>
          <w:szCs w:val="22"/>
          <w:lang w:val="de-DE"/>
        </w:rPr>
      </w:pPr>
    </w:p>
    <w:p w14:paraId="6426E646" w14:textId="77777777" w:rsidR="00FE291A" w:rsidRDefault="00C8738F">
      <w:pPr>
        <w:pStyle w:val="BodyText"/>
        <w:keepNext/>
        <w:widowControl/>
        <w:kinsoku w:val="0"/>
        <w:overflowPunct w:val="0"/>
        <w:ind w:left="0"/>
        <w:rPr>
          <w:i/>
          <w:lang w:val="de-DE"/>
        </w:rPr>
      </w:pPr>
      <w:r>
        <w:rPr>
          <w:i/>
          <w:lang w:val="de-DE"/>
        </w:rPr>
        <w:t>Nieren- und/oder Leberfunktionsstörungen</w:t>
      </w:r>
    </w:p>
    <w:p w14:paraId="435CF095" w14:textId="77777777" w:rsidR="00FE291A" w:rsidRDefault="00FE291A">
      <w:pPr>
        <w:keepNext/>
        <w:widowControl/>
        <w:kinsoku w:val="0"/>
        <w:overflowPunct w:val="0"/>
        <w:rPr>
          <w:sz w:val="22"/>
          <w:szCs w:val="22"/>
          <w:lang w:val="de-DE"/>
        </w:rPr>
      </w:pPr>
    </w:p>
    <w:p w14:paraId="5F866635" w14:textId="77777777" w:rsidR="00FE291A" w:rsidRDefault="00C8738F">
      <w:pPr>
        <w:pStyle w:val="BodyText"/>
        <w:widowControl/>
        <w:kinsoku w:val="0"/>
        <w:overflowPunct w:val="0"/>
        <w:ind w:left="0"/>
        <w:rPr>
          <w:lang w:val="de-DE"/>
        </w:rPr>
      </w:pPr>
      <w:r>
        <w:rPr>
          <w:lang w:val="de-DE"/>
        </w:rPr>
        <w:t>Adalimumab wurde in dieser Patientengruppe nicht untersucht. Eine Dosisempfehlung kann nicht gegeben werden.</w:t>
      </w:r>
    </w:p>
    <w:p w14:paraId="420BF68A" w14:textId="77777777" w:rsidR="00FE291A" w:rsidRDefault="00FE291A">
      <w:pPr>
        <w:widowControl/>
        <w:kinsoku w:val="0"/>
        <w:overflowPunct w:val="0"/>
        <w:rPr>
          <w:sz w:val="22"/>
          <w:szCs w:val="22"/>
          <w:lang w:val="de-DE"/>
        </w:rPr>
      </w:pPr>
    </w:p>
    <w:p w14:paraId="5FFDEC90" w14:textId="77777777" w:rsidR="00FE291A" w:rsidRDefault="00C8738F">
      <w:pPr>
        <w:pStyle w:val="BodyText"/>
        <w:keepNext/>
        <w:keepLines/>
        <w:widowControl/>
        <w:kinsoku w:val="0"/>
        <w:overflowPunct w:val="0"/>
        <w:ind w:left="0"/>
        <w:rPr>
          <w:i/>
          <w:lang w:val="de-DE"/>
        </w:rPr>
      </w:pPr>
      <w:r>
        <w:rPr>
          <w:i/>
          <w:lang w:val="de-DE"/>
        </w:rPr>
        <w:t>Kinder und Jugendliche</w:t>
      </w:r>
    </w:p>
    <w:p w14:paraId="2B6947C0" w14:textId="77777777" w:rsidR="00FE291A" w:rsidRDefault="00FE291A">
      <w:pPr>
        <w:keepNext/>
        <w:keepLines/>
        <w:widowControl/>
        <w:kinsoku w:val="0"/>
        <w:overflowPunct w:val="0"/>
        <w:rPr>
          <w:sz w:val="22"/>
          <w:szCs w:val="22"/>
          <w:lang w:val="de-DE"/>
        </w:rPr>
      </w:pPr>
    </w:p>
    <w:p w14:paraId="00F258C3" w14:textId="77777777" w:rsidR="00FE291A" w:rsidRDefault="00C8738F">
      <w:pPr>
        <w:keepNext/>
        <w:widowControl/>
        <w:kinsoku w:val="0"/>
        <w:overflowPunct w:val="0"/>
        <w:rPr>
          <w:i/>
          <w:sz w:val="22"/>
          <w:szCs w:val="22"/>
          <w:u w:val="single"/>
          <w:lang w:val="de-DE"/>
        </w:rPr>
      </w:pPr>
      <w:r>
        <w:rPr>
          <w:i/>
          <w:sz w:val="22"/>
          <w:szCs w:val="22"/>
          <w:u w:val="single"/>
          <w:lang w:val="de-DE"/>
        </w:rPr>
        <w:t>Juvenile idiopathische Arthritis</w:t>
      </w:r>
    </w:p>
    <w:p w14:paraId="6C43D34E" w14:textId="77777777" w:rsidR="00FE291A" w:rsidRDefault="00FE291A">
      <w:pPr>
        <w:keepNext/>
        <w:widowControl/>
        <w:kinsoku w:val="0"/>
        <w:overflowPunct w:val="0"/>
        <w:rPr>
          <w:i/>
          <w:iCs/>
          <w:sz w:val="22"/>
          <w:szCs w:val="22"/>
          <w:u w:val="single"/>
          <w:lang w:val="de-DE"/>
        </w:rPr>
      </w:pPr>
    </w:p>
    <w:p w14:paraId="010E4676" w14:textId="77777777" w:rsidR="00FE291A" w:rsidRDefault="00C8738F">
      <w:pPr>
        <w:keepNext/>
        <w:widowControl/>
        <w:kinsoku w:val="0"/>
        <w:overflowPunct w:val="0"/>
        <w:rPr>
          <w:sz w:val="22"/>
          <w:szCs w:val="22"/>
          <w:lang w:val="de-DE"/>
        </w:rPr>
      </w:pPr>
      <w:r>
        <w:rPr>
          <w:iCs/>
          <w:sz w:val="22"/>
          <w:szCs w:val="22"/>
          <w:lang w:val="de-DE"/>
        </w:rPr>
        <w:t>Polyartikuläre juvenile idiopathische Arthritis ab einem Alter von 2 Jahren</w:t>
      </w:r>
    </w:p>
    <w:p w14:paraId="1BB1C3E8" w14:textId="77777777" w:rsidR="00FE291A" w:rsidRDefault="00FE291A">
      <w:pPr>
        <w:keepNext/>
        <w:widowControl/>
        <w:kinsoku w:val="0"/>
        <w:overflowPunct w:val="0"/>
        <w:rPr>
          <w:sz w:val="22"/>
          <w:szCs w:val="22"/>
          <w:lang w:val="de-DE"/>
        </w:rPr>
      </w:pPr>
    </w:p>
    <w:p w14:paraId="0DB5671D" w14:textId="77777777" w:rsidR="00FE291A" w:rsidRDefault="00C8738F">
      <w:pPr>
        <w:pStyle w:val="BodyText"/>
        <w:widowControl/>
        <w:kinsoku w:val="0"/>
        <w:overflowPunct w:val="0"/>
        <w:ind w:left="0"/>
        <w:rPr>
          <w:lang w:val="de-DE"/>
        </w:rPr>
      </w:pPr>
      <w:r>
        <w:rPr>
          <w:lang w:val="de-DE"/>
        </w:rPr>
        <w:t>Die empfohlene Dosis von AMGEVITA wird für Patienten mit polyartikulärer juveniler idiopathischer Arthritis ab einem Alter von 2 Jahren anhand des Körpergewichtes bestimmt (Tabelle 1). AMGEVITA wird jede zweite Woche subkutan injiziert.</w:t>
      </w:r>
    </w:p>
    <w:p w14:paraId="03417B9F" w14:textId="77777777" w:rsidR="00FE291A" w:rsidRDefault="00FE291A">
      <w:pPr>
        <w:pStyle w:val="BodyText"/>
        <w:widowControl/>
        <w:kinsoku w:val="0"/>
        <w:overflowPunct w:val="0"/>
        <w:ind w:left="0"/>
        <w:rPr>
          <w:lang w:val="de-DE"/>
        </w:rPr>
      </w:pPr>
    </w:p>
    <w:p w14:paraId="023047D0" w14:textId="77777777" w:rsidR="00FE291A" w:rsidRDefault="00C8738F">
      <w:pPr>
        <w:keepNext/>
        <w:keepLines/>
        <w:widowControl/>
        <w:rPr>
          <w:b/>
          <w:sz w:val="22"/>
          <w:szCs w:val="22"/>
          <w:lang w:val="de-DE"/>
        </w:rPr>
      </w:pPr>
      <w:r>
        <w:rPr>
          <w:b/>
          <w:sz w:val="22"/>
          <w:szCs w:val="22"/>
          <w:lang w:val="de-DE"/>
        </w:rPr>
        <w:t>Tabelle 1: AMGEVITA-Dosis für Patienten mit polyartikulärer juveniler idiopathischer Arthritis</w:t>
      </w:r>
    </w:p>
    <w:p w14:paraId="113FA583" w14:textId="77777777" w:rsidR="00FE291A" w:rsidRDefault="00FE291A">
      <w:pPr>
        <w:widowControl/>
        <w:kinsoku w:val="0"/>
        <w:overflowPunct w:val="0"/>
        <w:rPr>
          <w:sz w:val="22"/>
          <w:szCs w:val="22"/>
          <w:lang w:val="de-DE"/>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296"/>
        <w:gridCol w:w="5776"/>
      </w:tblGrid>
      <w:tr w:rsidR="00FE291A" w14:paraId="37852D5B" w14:textId="77777777">
        <w:trPr>
          <w:cantSplit/>
          <w:tblHeader/>
        </w:trPr>
        <w:tc>
          <w:tcPr>
            <w:tcW w:w="3296" w:type="dxa"/>
          </w:tcPr>
          <w:p w14:paraId="51BD4220" w14:textId="77777777" w:rsidR="00FE291A" w:rsidRDefault="00C8738F">
            <w:pPr>
              <w:keepNext/>
              <w:suppressAutoHyphens/>
              <w:rPr>
                <w:b/>
                <w:sz w:val="22"/>
                <w:szCs w:val="22"/>
                <w:lang w:val="de-DE"/>
              </w:rPr>
            </w:pPr>
            <w:r>
              <w:rPr>
                <w:b/>
                <w:sz w:val="22"/>
                <w:szCs w:val="22"/>
                <w:lang w:val="de-DE" w:eastAsia="en-GB"/>
              </w:rPr>
              <w:t>Gewicht des Patienten</w:t>
            </w:r>
          </w:p>
        </w:tc>
        <w:tc>
          <w:tcPr>
            <w:tcW w:w="5776" w:type="dxa"/>
          </w:tcPr>
          <w:p w14:paraId="649EB4A6" w14:textId="77777777" w:rsidR="00FE291A" w:rsidRDefault="00C8738F">
            <w:pPr>
              <w:keepNext/>
              <w:suppressAutoHyphens/>
              <w:rPr>
                <w:b/>
                <w:sz w:val="22"/>
                <w:szCs w:val="22"/>
                <w:lang w:val="de-DE"/>
              </w:rPr>
            </w:pPr>
            <w:r>
              <w:rPr>
                <w:b/>
                <w:sz w:val="22"/>
                <w:szCs w:val="22"/>
                <w:lang w:val="de-DE" w:eastAsia="en-GB"/>
              </w:rPr>
              <w:t>Dosierungsschema</w:t>
            </w:r>
          </w:p>
        </w:tc>
      </w:tr>
      <w:tr w:rsidR="00FE291A" w14:paraId="1D56537D" w14:textId="77777777">
        <w:trPr>
          <w:cantSplit/>
          <w:tblHeader/>
        </w:trPr>
        <w:tc>
          <w:tcPr>
            <w:tcW w:w="3296" w:type="dxa"/>
          </w:tcPr>
          <w:p w14:paraId="0B29C8DD" w14:textId="77777777" w:rsidR="00FE291A" w:rsidRDefault="00C8738F">
            <w:pPr>
              <w:keepNext/>
              <w:suppressAutoHyphens/>
              <w:rPr>
                <w:b/>
                <w:sz w:val="22"/>
                <w:szCs w:val="22"/>
                <w:lang w:val="de-DE"/>
              </w:rPr>
            </w:pPr>
            <w:r>
              <w:rPr>
                <w:sz w:val="22"/>
                <w:szCs w:val="22"/>
                <w:lang w:val="de-DE"/>
              </w:rPr>
              <w:t>10 </w:t>
            </w:r>
            <w:r>
              <w:rPr>
                <w:rFonts w:eastAsia="Calibri"/>
                <w:sz w:val="22"/>
                <w:szCs w:val="22"/>
                <w:lang w:val="de-DE" w:eastAsia="ja-JP"/>
              </w:rPr>
              <w:t>kg bis &lt; 30 kg</w:t>
            </w:r>
          </w:p>
        </w:tc>
        <w:tc>
          <w:tcPr>
            <w:tcW w:w="5776" w:type="dxa"/>
          </w:tcPr>
          <w:p w14:paraId="5D0B80BA" w14:textId="77777777" w:rsidR="00FE291A" w:rsidRDefault="00C8738F">
            <w:pPr>
              <w:keepNext/>
              <w:suppressAutoHyphens/>
              <w:rPr>
                <w:b/>
                <w:sz w:val="22"/>
                <w:szCs w:val="22"/>
                <w:lang w:val="de-DE" w:eastAsia="en-GB"/>
              </w:rPr>
            </w:pPr>
            <w:r>
              <w:rPr>
                <w:sz w:val="22"/>
                <w:szCs w:val="22"/>
                <w:lang w:val="de-DE" w:eastAsia="ja-JP"/>
              </w:rPr>
              <w:t>20 mg jede zweite Woche</w:t>
            </w:r>
          </w:p>
        </w:tc>
      </w:tr>
      <w:tr w:rsidR="00FE291A" w14:paraId="7EFE6936" w14:textId="77777777">
        <w:trPr>
          <w:cantSplit/>
          <w:tblHeader/>
        </w:trPr>
        <w:tc>
          <w:tcPr>
            <w:tcW w:w="3296" w:type="dxa"/>
          </w:tcPr>
          <w:p w14:paraId="13CD95D0" w14:textId="77777777" w:rsidR="00FE291A" w:rsidRDefault="00C8738F">
            <w:pPr>
              <w:suppressAutoHyphens/>
              <w:rPr>
                <w:b/>
                <w:sz w:val="22"/>
                <w:szCs w:val="22"/>
                <w:lang w:val="de-DE"/>
              </w:rPr>
            </w:pPr>
            <w:r>
              <w:rPr>
                <w:rFonts w:eastAsia="Calibri"/>
                <w:sz w:val="22"/>
                <w:szCs w:val="22"/>
                <w:lang w:val="de-DE" w:eastAsia="ja-JP"/>
              </w:rPr>
              <w:t>≥ 30</w:t>
            </w:r>
            <w:r>
              <w:rPr>
                <w:sz w:val="22"/>
                <w:szCs w:val="22"/>
                <w:lang w:val="de-DE" w:eastAsia="zh-TW"/>
              </w:rPr>
              <w:t> </w:t>
            </w:r>
            <w:r>
              <w:rPr>
                <w:rFonts w:eastAsia="Calibri"/>
                <w:sz w:val="22"/>
                <w:szCs w:val="22"/>
                <w:lang w:val="de-DE" w:eastAsia="ja-JP"/>
              </w:rPr>
              <w:t>kg</w:t>
            </w:r>
          </w:p>
        </w:tc>
        <w:tc>
          <w:tcPr>
            <w:tcW w:w="5776" w:type="dxa"/>
          </w:tcPr>
          <w:p w14:paraId="50F91744" w14:textId="77777777" w:rsidR="00FE291A" w:rsidRDefault="00C8738F">
            <w:pPr>
              <w:suppressAutoHyphens/>
              <w:rPr>
                <w:sz w:val="22"/>
                <w:szCs w:val="22"/>
                <w:lang w:val="de-DE" w:eastAsia="en-GB"/>
              </w:rPr>
            </w:pPr>
            <w:r>
              <w:rPr>
                <w:sz w:val="22"/>
                <w:szCs w:val="22"/>
                <w:lang w:val="de-DE" w:eastAsia="ja-JP"/>
              </w:rPr>
              <w:t>40 mg jede zweite Woche</w:t>
            </w:r>
          </w:p>
        </w:tc>
      </w:tr>
    </w:tbl>
    <w:p w14:paraId="011730D6" w14:textId="77777777" w:rsidR="00FE291A" w:rsidRDefault="00FE291A">
      <w:pPr>
        <w:widowControl/>
        <w:kinsoku w:val="0"/>
        <w:overflowPunct w:val="0"/>
        <w:rPr>
          <w:sz w:val="22"/>
          <w:szCs w:val="22"/>
          <w:lang w:val="de-DE"/>
        </w:rPr>
      </w:pPr>
    </w:p>
    <w:p w14:paraId="71B92ABA" w14:textId="77777777" w:rsidR="00FE291A" w:rsidRDefault="00C8738F">
      <w:pPr>
        <w:pStyle w:val="BodyText"/>
        <w:widowControl/>
        <w:kinsoku w:val="0"/>
        <w:overflowPunct w:val="0"/>
        <w:ind w:left="0"/>
        <w:rPr>
          <w:lang w:val="de-DE"/>
        </w:rPr>
      </w:pPr>
      <w:r>
        <w:rPr>
          <w:lang w:val="de-DE"/>
        </w:rPr>
        <w:t>Die verfügbaren Daten weisen darauf hin, dass ein klinisches Ansprechen üblicherweise innerhalb von 12 Behandlungswochen erreicht wird. Die Fortsetzung der Therapie sollte bei einem Patienten, der innerhalb dieser Zeitspanne nicht anspricht, nochmals sorgfältig überdacht werden.</w:t>
      </w:r>
    </w:p>
    <w:p w14:paraId="67A9091F" w14:textId="77777777" w:rsidR="00FE291A" w:rsidRDefault="00FE291A">
      <w:pPr>
        <w:widowControl/>
        <w:kinsoku w:val="0"/>
        <w:overflowPunct w:val="0"/>
        <w:rPr>
          <w:sz w:val="22"/>
          <w:szCs w:val="22"/>
          <w:lang w:val="de-DE"/>
        </w:rPr>
      </w:pPr>
    </w:p>
    <w:p w14:paraId="5ACFD0B0" w14:textId="77777777" w:rsidR="00FE291A" w:rsidRDefault="00C8738F">
      <w:pPr>
        <w:pStyle w:val="BodyText"/>
        <w:widowControl/>
        <w:kinsoku w:val="0"/>
        <w:overflowPunct w:val="0"/>
        <w:ind w:left="0"/>
        <w:rPr>
          <w:lang w:val="de-DE"/>
        </w:rPr>
      </w:pPr>
      <w:r>
        <w:rPr>
          <w:lang w:val="de-DE"/>
        </w:rPr>
        <w:t>Es gibt in dieser Indikation keinen relevanten Nutzen von Adalimumab bei Kindern, die jünger als 2 Jahre sind.</w:t>
      </w:r>
    </w:p>
    <w:p w14:paraId="7185D563" w14:textId="77777777" w:rsidR="00FE291A" w:rsidRDefault="00FE291A">
      <w:pPr>
        <w:widowControl/>
        <w:kinsoku w:val="0"/>
        <w:overflowPunct w:val="0"/>
        <w:rPr>
          <w:sz w:val="22"/>
          <w:szCs w:val="22"/>
          <w:lang w:val="de-DE"/>
        </w:rPr>
      </w:pPr>
    </w:p>
    <w:p w14:paraId="365834EC" w14:textId="77777777" w:rsidR="00FE291A" w:rsidRDefault="00C8738F">
      <w:pPr>
        <w:widowControl/>
        <w:kinsoku w:val="0"/>
        <w:overflowPunct w:val="0"/>
        <w:rPr>
          <w:sz w:val="22"/>
          <w:szCs w:val="22"/>
          <w:lang w:val="de-DE"/>
        </w:rPr>
      </w:pPr>
      <w:r>
        <w:rPr>
          <w:sz w:val="22"/>
          <w:szCs w:val="22"/>
          <w:lang w:val="de-DE"/>
        </w:rPr>
        <w:t>In Abhängigkeit von den individuellen Behandlungsbedürfnissen kann AMGEVITA in verschiedenen Stärken und/oder Darreichungsformen erhältlich sein.</w:t>
      </w:r>
    </w:p>
    <w:p w14:paraId="70F3023F" w14:textId="77777777" w:rsidR="00FE291A" w:rsidRDefault="00FE291A">
      <w:pPr>
        <w:widowControl/>
        <w:kinsoku w:val="0"/>
        <w:overflowPunct w:val="0"/>
        <w:rPr>
          <w:sz w:val="22"/>
          <w:szCs w:val="22"/>
          <w:lang w:val="de-DE"/>
        </w:rPr>
      </w:pPr>
    </w:p>
    <w:p w14:paraId="35AA13CA" w14:textId="77777777" w:rsidR="00FE291A" w:rsidRDefault="00C8738F">
      <w:pPr>
        <w:keepNext/>
        <w:widowControl/>
        <w:kinsoku w:val="0"/>
        <w:overflowPunct w:val="0"/>
        <w:rPr>
          <w:sz w:val="22"/>
          <w:szCs w:val="22"/>
          <w:u w:val="single"/>
          <w:lang w:val="de-DE"/>
        </w:rPr>
      </w:pPr>
      <w:r>
        <w:rPr>
          <w:i/>
          <w:iCs/>
          <w:sz w:val="22"/>
          <w:szCs w:val="22"/>
          <w:u w:val="single"/>
          <w:lang w:val="de-DE"/>
        </w:rPr>
        <w:t>Enthesitis-assoziierte Arthritis</w:t>
      </w:r>
    </w:p>
    <w:p w14:paraId="58C5EB3F" w14:textId="77777777" w:rsidR="00FE291A" w:rsidRDefault="00FE291A">
      <w:pPr>
        <w:keepNext/>
        <w:widowControl/>
        <w:kinsoku w:val="0"/>
        <w:overflowPunct w:val="0"/>
        <w:rPr>
          <w:sz w:val="22"/>
          <w:szCs w:val="22"/>
          <w:lang w:val="de-DE"/>
        </w:rPr>
      </w:pPr>
    </w:p>
    <w:p w14:paraId="3BDEB8F0" w14:textId="77777777" w:rsidR="00FE291A" w:rsidRDefault="00C8738F">
      <w:pPr>
        <w:pStyle w:val="BodyText"/>
        <w:widowControl/>
        <w:kinsoku w:val="0"/>
        <w:overflowPunct w:val="0"/>
        <w:ind w:left="0"/>
        <w:rPr>
          <w:lang w:val="de-DE"/>
        </w:rPr>
      </w:pPr>
      <w:r>
        <w:rPr>
          <w:lang w:val="de-DE"/>
        </w:rPr>
        <w:t>Die empfohlene Dosis von AMGEVITA für Patienten mit Enthesitis-assoziierter Arthritis ab einem Alter von 6 Jahren wird anhand des Körpergewichtes bestimmt (Tabelle 2). AMGEVITA wird jede zweite Woche subkutan injiziert.</w:t>
      </w:r>
    </w:p>
    <w:p w14:paraId="6A699BFD" w14:textId="77777777" w:rsidR="00FE291A" w:rsidRDefault="00FE291A">
      <w:pPr>
        <w:pStyle w:val="BodyText"/>
        <w:widowControl/>
        <w:kinsoku w:val="0"/>
        <w:overflowPunct w:val="0"/>
        <w:ind w:left="0"/>
        <w:rPr>
          <w:lang w:val="de-DE"/>
        </w:rPr>
      </w:pPr>
    </w:p>
    <w:p w14:paraId="709219B7" w14:textId="77777777" w:rsidR="00FE291A" w:rsidRDefault="00C8738F">
      <w:pPr>
        <w:keepNext/>
        <w:keepLines/>
        <w:widowControl/>
        <w:rPr>
          <w:b/>
          <w:sz w:val="22"/>
          <w:szCs w:val="22"/>
          <w:lang w:val="de-DE"/>
        </w:rPr>
      </w:pPr>
      <w:r>
        <w:rPr>
          <w:b/>
          <w:sz w:val="22"/>
          <w:szCs w:val="22"/>
          <w:lang w:val="de-DE"/>
        </w:rPr>
        <w:t>Tabelle 2: AMGEVITA-Dosis für Patienten mit Enthesitis-assoziierter Arthritis</w:t>
      </w:r>
    </w:p>
    <w:p w14:paraId="2FF17565" w14:textId="77777777" w:rsidR="00FE291A" w:rsidRDefault="00FE291A">
      <w:pPr>
        <w:pStyle w:val="BodyText"/>
        <w:widowControl/>
        <w:kinsoku w:val="0"/>
        <w:overflowPunct w:val="0"/>
        <w:ind w:left="0"/>
        <w:rPr>
          <w:lang w:val="de-DE"/>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296"/>
        <w:gridCol w:w="5776"/>
      </w:tblGrid>
      <w:tr w:rsidR="00FE291A" w14:paraId="5BD584A7" w14:textId="77777777">
        <w:trPr>
          <w:cantSplit/>
          <w:tblHeader/>
        </w:trPr>
        <w:tc>
          <w:tcPr>
            <w:tcW w:w="3296" w:type="dxa"/>
          </w:tcPr>
          <w:p w14:paraId="5D317D87" w14:textId="77777777" w:rsidR="00FE291A" w:rsidRDefault="00C8738F">
            <w:pPr>
              <w:keepNext/>
              <w:suppressAutoHyphens/>
              <w:rPr>
                <w:b/>
                <w:sz w:val="22"/>
                <w:szCs w:val="22"/>
                <w:lang w:val="de-DE"/>
              </w:rPr>
            </w:pPr>
            <w:r>
              <w:rPr>
                <w:b/>
                <w:sz w:val="22"/>
                <w:szCs w:val="22"/>
                <w:lang w:val="de-DE" w:eastAsia="en-GB"/>
              </w:rPr>
              <w:t>Gewicht des Patienten</w:t>
            </w:r>
          </w:p>
        </w:tc>
        <w:tc>
          <w:tcPr>
            <w:tcW w:w="5776" w:type="dxa"/>
          </w:tcPr>
          <w:p w14:paraId="4EA99C14" w14:textId="77777777" w:rsidR="00FE291A" w:rsidRDefault="00C8738F">
            <w:pPr>
              <w:keepNext/>
              <w:suppressAutoHyphens/>
              <w:rPr>
                <w:b/>
                <w:sz w:val="22"/>
                <w:szCs w:val="22"/>
                <w:lang w:val="de-DE"/>
              </w:rPr>
            </w:pPr>
            <w:r>
              <w:rPr>
                <w:b/>
                <w:sz w:val="22"/>
                <w:szCs w:val="22"/>
                <w:lang w:val="de-DE" w:eastAsia="en-GB"/>
              </w:rPr>
              <w:t>Dosierungsschema</w:t>
            </w:r>
          </w:p>
        </w:tc>
      </w:tr>
      <w:tr w:rsidR="00FE291A" w14:paraId="56CD0BE9" w14:textId="77777777">
        <w:trPr>
          <w:cantSplit/>
          <w:tblHeader/>
        </w:trPr>
        <w:tc>
          <w:tcPr>
            <w:tcW w:w="3296" w:type="dxa"/>
          </w:tcPr>
          <w:p w14:paraId="294EEF42" w14:textId="77777777" w:rsidR="00FE291A" w:rsidRDefault="00C8738F">
            <w:pPr>
              <w:keepNext/>
              <w:suppressAutoHyphens/>
              <w:rPr>
                <w:b/>
                <w:sz w:val="22"/>
                <w:szCs w:val="22"/>
                <w:lang w:val="de-DE"/>
              </w:rPr>
            </w:pPr>
            <w:r>
              <w:rPr>
                <w:sz w:val="22"/>
                <w:szCs w:val="22"/>
                <w:lang w:val="de-DE"/>
              </w:rPr>
              <w:t>15 </w:t>
            </w:r>
            <w:r>
              <w:rPr>
                <w:rFonts w:eastAsia="Calibri"/>
                <w:sz w:val="22"/>
                <w:szCs w:val="22"/>
                <w:lang w:val="de-DE" w:eastAsia="ja-JP"/>
              </w:rPr>
              <w:t>kg bis &lt; 30 kg</w:t>
            </w:r>
          </w:p>
        </w:tc>
        <w:tc>
          <w:tcPr>
            <w:tcW w:w="5776" w:type="dxa"/>
          </w:tcPr>
          <w:p w14:paraId="543D82BA" w14:textId="77777777" w:rsidR="00FE291A" w:rsidRDefault="00C8738F">
            <w:pPr>
              <w:keepNext/>
              <w:suppressAutoHyphens/>
              <w:rPr>
                <w:b/>
                <w:sz w:val="22"/>
                <w:szCs w:val="22"/>
                <w:lang w:val="de-DE" w:eastAsia="en-GB"/>
              </w:rPr>
            </w:pPr>
            <w:r>
              <w:rPr>
                <w:sz w:val="22"/>
                <w:szCs w:val="22"/>
                <w:lang w:val="de-DE" w:eastAsia="ja-JP"/>
              </w:rPr>
              <w:t>20 mg jede zweite Woche</w:t>
            </w:r>
          </w:p>
        </w:tc>
      </w:tr>
      <w:tr w:rsidR="00FE291A" w14:paraId="685D76F4" w14:textId="77777777">
        <w:trPr>
          <w:cantSplit/>
          <w:tblHeader/>
        </w:trPr>
        <w:tc>
          <w:tcPr>
            <w:tcW w:w="3296" w:type="dxa"/>
          </w:tcPr>
          <w:p w14:paraId="134ECA88" w14:textId="77777777" w:rsidR="00FE291A" w:rsidRDefault="00C8738F">
            <w:pPr>
              <w:suppressAutoHyphens/>
              <w:rPr>
                <w:b/>
                <w:sz w:val="22"/>
                <w:szCs w:val="22"/>
                <w:lang w:val="de-DE"/>
              </w:rPr>
            </w:pPr>
            <w:r>
              <w:rPr>
                <w:rFonts w:eastAsia="Calibri"/>
                <w:sz w:val="22"/>
                <w:szCs w:val="22"/>
                <w:lang w:val="de-DE" w:eastAsia="ja-JP"/>
              </w:rPr>
              <w:t>≥ 30</w:t>
            </w:r>
            <w:r>
              <w:rPr>
                <w:sz w:val="22"/>
                <w:szCs w:val="22"/>
                <w:lang w:val="de-DE" w:eastAsia="zh-TW"/>
              </w:rPr>
              <w:t> </w:t>
            </w:r>
            <w:r>
              <w:rPr>
                <w:rFonts w:eastAsia="Calibri"/>
                <w:sz w:val="22"/>
                <w:szCs w:val="22"/>
                <w:lang w:val="de-DE" w:eastAsia="ja-JP"/>
              </w:rPr>
              <w:t>kg</w:t>
            </w:r>
          </w:p>
        </w:tc>
        <w:tc>
          <w:tcPr>
            <w:tcW w:w="5776" w:type="dxa"/>
          </w:tcPr>
          <w:p w14:paraId="50BC7190" w14:textId="77777777" w:rsidR="00FE291A" w:rsidRDefault="00C8738F">
            <w:pPr>
              <w:suppressAutoHyphens/>
              <w:rPr>
                <w:sz w:val="22"/>
                <w:szCs w:val="22"/>
                <w:lang w:val="de-DE" w:eastAsia="en-GB"/>
              </w:rPr>
            </w:pPr>
            <w:r>
              <w:rPr>
                <w:sz w:val="22"/>
                <w:szCs w:val="22"/>
                <w:lang w:val="de-DE" w:eastAsia="ja-JP"/>
              </w:rPr>
              <w:t>40 mg jede zweite Woche</w:t>
            </w:r>
          </w:p>
        </w:tc>
      </w:tr>
    </w:tbl>
    <w:p w14:paraId="64A96015" w14:textId="77777777" w:rsidR="00FE291A" w:rsidRDefault="00FE291A">
      <w:pPr>
        <w:pStyle w:val="BodyText"/>
        <w:widowControl/>
        <w:kinsoku w:val="0"/>
        <w:overflowPunct w:val="0"/>
        <w:ind w:left="0"/>
        <w:rPr>
          <w:lang w:val="de-DE"/>
        </w:rPr>
      </w:pPr>
    </w:p>
    <w:p w14:paraId="50D7DF9E" w14:textId="77777777" w:rsidR="00FE291A" w:rsidRDefault="00C8738F">
      <w:pPr>
        <w:pStyle w:val="BodyText"/>
        <w:widowControl/>
        <w:kinsoku w:val="0"/>
        <w:overflowPunct w:val="0"/>
        <w:ind w:left="0"/>
        <w:rPr>
          <w:lang w:val="de-DE"/>
        </w:rPr>
      </w:pPr>
      <w:r>
        <w:rPr>
          <w:lang w:val="de-DE"/>
        </w:rPr>
        <w:t>Adalimumab wurde bei Patienten mit Enthesitis-assoziierter Arthritis, die jünger als 6 Jahre sind, nicht untersucht.</w:t>
      </w:r>
    </w:p>
    <w:p w14:paraId="04AA9003" w14:textId="77777777" w:rsidR="00FE291A" w:rsidRDefault="00FE291A">
      <w:pPr>
        <w:pStyle w:val="BodyText"/>
        <w:widowControl/>
        <w:kinsoku w:val="0"/>
        <w:overflowPunct w:val="0"/>
        <w:ind w:left="0"/>
        <w:rPr>
          <w:lang w:val="de-DE"/>
        </w:rPr>
      </w:pPr>
    </w:p>
    <w:p w14:paraId="1E636DE0" w14:textId="77777777" w:rsidR="00FE291A" w:rsidRDefault="00C8738F">
      <w:pPr>
        <w:widowControl/>
        <w:kinsoku w:val="0"/>
        <w:overflowPunct w:val="0"/>
        <w:rPr>
          <w:sz w:val="22"/>
          <w:szCs w:val="22"/>
          <w:lang w:val="de-DE"/>
        </w:rPr>
      </w:pPr>
      <w:r>
        <w:rPr>
          <w:sz w:val="22"/>
          <w:szCs w:val="22"/>
          <w:lang w:val="de-DE"/>
        </w:rPr>
        <w:t>In Abhängigkeit von den individuellen Behandlungsbedürfnissen kann AMGEVITA in verschiedenen Stärken und/oder Darreichungsformen erhältlich sein.</w:t>
      </w:r>
    </w:p>
    <w:p w14:paraId="677AF959" w14:textId="77777777" w:rsidR="00FE291A" w:rsidRDefault="00FE291A">
      <w:pPr>
        <w:pStyle w:val="BodyText"/>
        <w:widowControl/>
        <w:kinsoku w:val="0"/>
        <w:overflowPunct w:val="0"/>
        <w:ind w:left="0"/>
        <w:rPr>
          <w:lang w:val="de-DE"/>
        </w:rPr>
      </w:pPr>
    </w:p>
    <w:p w14:paraId="73BCB667" w14:textId="77777777" w:rsidR="00FE291A" w:rsidRDefault="00C8738F">
      <w:pPr>
        <w:keepNext/>
        <w:widowControl/>
        <w:rPr>
          <w:i/>
          <w:iCs/>
          <w:color w:val="000000"/>
          <w:sz w:val="22"/>
          <w:szCs w:val="22"/>
          <w:lang w:val="de-DE"/>
        </w:rPr>
      </w:pPr>
      <w:r>
        <w:rPr>
          <w:i/>
          <w:iCs/>
          <w:color w:val="000000"/>
          <w:sz w:val="22"/>
          <w:szCs w:val="22"/>
          <w:lang w:val="de-DE"/>
        </w:rPr>
        <w:t xml:space="preserve">Psoriasis-Arthritis und axiale Spondyloarthritis, einschließlich ankylosierender Spondylitis </w:t>
      </w:r>
    </w:p>
    <w:p w14:paraId="29AE7CEA" w14:textId="77777777" w:rsidR="00FE291A" w:rsidRDefault="00FE291A">
      <w:pPr>
        <w:keepNext/>
        <w:widowControl/>
        <w:rPr>
          <w:color w:val="000000"/>
          <w:sz w:val="22"/>
          <w:szCs w:val="22"/>
          <w:lang w:val="de-DE"/>
        </w:rPr>
      </w:pPr>
    </w:p>
    <w:p w14:paraId="25FADB46" w14:textId="77777777" w:rsidR="00FE291A" w:rsidRDefault="00C8738F">
      <w:pPr>
        <w:pStyle w:val="BodyText"/>
        <w:keepNext/>
        <w:widowControl/>
        <w:kinsoku w:val="0"/>
        <w:overflowPunct w:val="0"/>
        <w:ind w:left="0"/>
        <w:rPr>
          <w:lang w:val="de-DE"/>
        </w:rPr>
      </w:pPr>
      <w:r>
        <w:rPr>
          <w:color w:val="000000"/>
          <w:lang w:val="de-DE"/>
        </w:rPr>
        <w:t>Es gibt in den Indikationen ankylosierende Spondylitis und Psoriasis-Arthritis keinen relevanten Nutzen von Adalimumab bei Kindern und Jugendlichen.</w:t>
      </w:r>
    </w:p>
    <w:p w14:paraId="23BAE419" w14:textId="77777777" w:rsidR="00FE291A" w:rsidRDefault="00FE291A">
      <w:pPr>
        <w:pStyle w:val="BodyText"/>
        <w:widowControl/>
        <w:kinsoku w:val="0"/>
        <w:overflowPunct w:val="0"/>
        <w:ind w:left="0"/>
        <w:rPr>
          <w:lang w:val="de-DE"/>
        </w:rPr>
      </w:pPr>
    </w:p>
    <w:p w14:paraId="53CD5A7D" w14:textId="77777777" w:rsidR="00FE291A" w:rsidRDefault="00C8738F">
      <w:pPr>
        <w:widowControl/>
        <w:kinsoku w:val="0"/>
        <w:overflowPunct w:val="0"/>
        <w:rPr>
          <w:sz w:val="22"/>
          <w:szCs w:val="22"/>
          <w:lang w:val="de-DE"/>
        </w:rPr>
      </w:pPr>
      <w:r>
        <w:rPr>
          <w:i/>
          <w:iCs/>
          <w:sz w:val="22"/>
          <w:szCs w:val="22"/>
          <w:lang w:val="de-DE"/>
        </w:rPr>
        <w:t>Plaque-Psoriasis bei Kindern und Jugendlichen</w:t>
      </w:r>
    </w:p>
    <w:p w14:paraId="08154B39" w14:textId="77777777" w:rsidR="00FE291A" w:rsidRDefault="00FE291A">
      <w:pPr>
        <w:widowControl/>
        <w:kinsoku w:val="0"/>
        <w:overflowPunct w:val="0"/>
        <w:rPr>
          <w:sz w:val="22"/>
          <w:szCs w:val="22"/>
          <w:lang w:val="de-DE"/>
        </w:rPr>
      </w:pPr>
    </w:p>
    <w:p w14:paraId="33F38D12" w14:textId="77777777" w:rsidR="00FE291A" w:rsidRDefault="00C8738F">
      <w:pPr>
        <w:pStyle w:val="BodyText"/>
        <w:widowControl/>
        <w:kinsoku w:val="0"/>
        <w:overflowPunct w:val="0"/>
        <w:ind w:left="0"/>
        <w:rPr>
          <w:lang w:val="de-DE"/>
        </w:rPr>
      </w:pPr>
      <w:r>
        <w:rPr>
          <w:lang w:val="de-DE"/>
        </w:rPr>
        <w:t>Die empfohlene AMGEVITA-Dosis wird für Patienten mit Plaque-Psoriasis im Alter von 4 bis 17 Jahren anhand des Körpergewichtes bestimmt (Tabelle 3). AMGEVITA wird subkutan injiziert.</w:t>
      </w:r>
    </w:p>
    <w:p w14:paraId="2177AA55" w14:textId="77777777" w:rsidR="00FE291A" w:rsidRDefault="00FE291A">
      <w:pPr>
        <w:pStyle w:val="BodyText"/>
        <w:widowControl/>
        <w:kinsoku w:val="0"/>
        <w:overflowPunct w:val="0"/>
        <w:ind w:left="0"/>
        <w:rPr>
          <w:lang w:val="de-DE"/>
        </w:rPr>
      </w:pPr>
    </w:p>
    <w:p w14:paraId="06CE3A9A" w14:textId="77777777" w:rsidR="00FE291A" w:rsidRDefault="00C8738F">
      <w:pPr>
        <w:keepNext/>
        <w:keepLines/>
        <w:widowControl/>
        <w:rPr>
          <w:b/>
          <w:sz w:val="22"/>
          <w:szCs w:val="22"/>
          <w:lang w:val="de-DE"/>
        </w:rPr>
      </w:pPr>
      <w:r>
        <w:rPr>
          <w:b/>
          <w:sz w:val="22"/>
          <w:szCs w:val="22"/>
          <w:lang w:val="de-DE"/>
        </w:rPr>
        <w:t>Tabelle 3: AMGEVITA-Dosis für Kinder und Jugendliche mit Plaque-Psoriasis</w:t>
      </w:r>
    </w:p>
    <w:p w14:paraId="30AAD081" w14:textId="77777777" w:rsidR="00FE291A" w:rsidRDefault="00FE291A">
      <w:pPr>
        <w:keepNext/>
        <w:suppressAutoHyphens/>
        <w:rPr>
          <w:rFonts w:eastAsia="Times New Roman"/>
          <w:sz w:val="22"/>
          <w:szCs w:val="22"/>
          <w:lang w:val="de-DE"/>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253"/>
        <w:gridCol w:w="5103"/>
      </w:tblGrid>
      <w:tr w:rsidR="00FE291A" w14:paraId="7EEA9294" w14:textId="77777777">
        <w:trPr>
          <w:cantSplit/>
          <w:tblHeader/>
        </w:trPr>
        <w:tc>
          <w:tcPr>
            <w:tcW w:w="4253" w:type="dxa"/>
          </w:tcPr>
          <w:p w14:paraId="240DC54C" w14:textId="77777777" w:rsidR="00FE291A" w:rsidRDefault="00C8738F">
            <w:pPr>
              <w:keepNext/>
              <w:suppressAutoHyphens/>
              <w:rPr>
                <w:b/>
                <w:sz w:val="22"/>
                <w:szCs w:val="22"/>
                <w:lang w:val="de-DE" w:eastAsia="en-GB"/>
              </w:rPr>
            </w:pPr>
            <w:r>
              <w:rPr>
                <w:b/>
                <w:sz w:val="22"/>
                <w:szCs w:val="22"/>
                <w:lang w:val="de-DE" w:eastAsia="en-GB"/>
              </w:rPr>
              <w:t>Gewicht des Patienten</w:t>
            </w:r>
          </w:p>
        </w:tc>
        <w:tc>
          <w:tcPr>
            <w:tcW w:w="5103" w:type="dxa"/>
          </w:tcPr>
          <w:p w14:paraId="3F56C5AF" w14:textId="77777777" w:rsidR="00FE291A" w:rsidRDefault="00C8738F">
            <w:pPr>
              <w:keepNext/>
              <w:suppressAutoHyphens/>
              <w:rPr>
                <w:b/>
                <w:sz w:val="22"/>
                <w:szCs w:val="22"/>
                <w:lang w:val="de-DE" w:eastAsia="en-GB"/>
              </w:rPr>
            </w:pPr>
            <w:r>
              <w:rPr>
                <w:b/>
                <w:sz w:val="22"/>
                <w:szCs w:val="22"/>
                <w:lang w:val="de-DE" w:eastAsia="en-GB"/>
              </w:rPr>
              <w:t>Dosierungsschema</w:t>
            </w:r>
          </w:p>
        </w:tc>
      </w:tr>
      <w:tr w:rsidR="00FE291A" w:rsidRPr="002E6CD3" w14:paraId="0BA0B16A" w14:textId="77777777">
        <w:trPr>
          <w:cantSplit/>
          <w:tblHeader/>
        </w:trPr>
        <w:tc>
          <w:tcPr>
            <w:tcW w:w="4253" w:type="dxa"/>
          </w:tcPr>
          <w:p w14:paraId="080626F7" w14:textId="77777777" w:rsidR="00FE291A" w:rsidRDefault="00C8738F">
            <w:pPr>
              <w:keepNext/>
              <w:suppressAutoHyphens/>
              <w:rPr>
                <w:sz w:val="22"/>
                <w:szCs w:val="22"/>
                <w:lang w:val="de-DE"/>
              </w:rPr>
            </w:pPr>
            <w:r>
              <w:rPr>
                <w:sz w:val="22"/>
                <w:szCs w:val="22"/>
                <w:lang w:val="de-DE"/>
              </w:rPr>
              <w:t>15 kg bis &lt; 30 kg</w:t>
            </w:r>
          </w:p>
        </w:tc>
        <w:tc>
          <w:tcPr>
            <w:tcW w:w="5103" w:type="dxa"/>
          </w:tcPr>
          <w:p w14:paraId="6F11741F" w14:textId="77777777" w:rsidR="00FE291A" w:rsidRDefault="00C8738F">
            <w:pPr>
              <w:keepNext/>
              <w:suppressAutoHyphens/>
              <w:rPr>
                <w:sz w:val="22"/>
                <w:szCs w:val="22"/>
                <w:lang w:val="de-DE"/>
              </w:rPr>
            </w:pPr>
            <w:r>
              <w:rPr>
                <w:sz w:val="22"/>
                <w:szCs w:val="22"/>
                <w:lang w:val="de-DE" w:eastAsia="ja-JP"/>
              </w:rPr>
              <w:t>Anfangsdosis von 20 mg, gefolgt von einer Dosis von 20 mg jede zweite Woche, beginnend eine Woche nach der Anfangsdosis</w:t>
            </w:r>
          </w:p>
        </w:tc>
      </w:tr>
      <w:tr w:rsidR="00FE291A" w:rsidRPr="002E6CD3" w14:paraId="08A7659F" w14:textId="77777777">
        <w:trPr>
          <w:cantSplit/>
          <w:tblHeader/>
        </w:trPr>
        <w:tc>
          <w:tcPr>
            <w:tcW w:w="4253" w:type="dxa"/>
          </w:tcPr>
          <w:p w14:paraId="2EC2F591" w14:textId="77777777" w:rsidR="00FE291A" w:rsidRDefault="00C8738F">
            <w:pPr>
              <w:suppressAutoHyphens/>
              <w:rPr>
                <w:sz w:val="22"/>
                <w:szCs w:val="22"/>
                <w:lang w:val="de-DE"/>
              </w:rPr>
            </w:pPr>
            <w:r>
              <w:rPr>
                <w:sz w:val="22"/>
                <w:szCs w:val="22"/>
                <w:lang w:val="de-DE" w:eastAsia="ja-JP"/>
              </w:rPr>
              <w:t>≥ 30</w:t>
            </w:r>
            <w:r>
              <w:rPr>
                <w:sz w:val="22"/>
                <w:szCs w:val="22"/>
                <w:lang w:val="de-DE"/>
              </w:rPr>
              <w:t> </w:t>
            </w:r>
            <w:r>
              <w:rPr>
                <w:sz w:val="22"/>
                <w:szCs w:val="22"/>
                <w:lang w:val="de-DE" w:eastAsia="ja-JP"/>
              </w:rPr>
              <w:t>kg</w:t>
            </w:r>
          </w:p>
        </w:tc>
        <w:tc>
          <w:tcPr>
            <w:tcW w:w="5103" w:type="dxa"/>
          </w:tcPr>
          <w:p w14:paraId="08538F26" w14:textId="77777777" w:rsidR="00FE291A" w:rsidRDefault="00C8738F">
            <w:pPr>
              <w:suppressAutoHyphens/>
              <w:rPr>
                <w:sz w:val="22"/>
                <w:szCs w:val="22"/>
                <w:lang w:val="de-DE"/>
              </w:rPr>
            </w:pPr>
            <w:r>
              <w:rPr>
                <w:sz w:val="22"/>
                <w:szCs w:val="22"/>
                <w:lang w:val="de-DE" w:eastAsia="ja-JP"/>
              </w:rPr>
              <w:t>Anfangsdosis von 40 mg, gefolgt von einer Dosis von 40 mg jede zweite Woche, beginnend eine Woche nach der Anfangsdosis</w:t>
            </w:r>
          </w:p>
        </w:tc>
      </w:tr>
    </w:tbl>
    <w:p w14:paraId="18F23CD0" w14:textId="77777777" w:rsidR="00FE291A" w:rsidRDefault="00FE291A">
      <w:pPr>
        <w:pStyle w:val="BodyText"/>
        <w:widowControl/>
        <w:kinsoku w:val="0"/>
        <w:overflowPunct w:val="0"/>
        <w:ind w:left="0"/>
        <w:rPr>
          <w:lang w:val="de-DE"/>
        </w:rPr>
      </w:pPr>
    </w:p>
    <w:p w14:paraId="2013A5F2" w14:textId="77777777" w:rsidR="00FE291A" w:rsidRDefault="00C8738F">
      <w:pPr>
        <w:pStyle w:val="BodyText"/>
        <w:widowControl/>
        <w:kinsoku w:val="0"/>
        <w:overflowPunct w:val="0"/>
        <w:ind w:left="0"/>
        <w:rPr>
          <w:lang w:val="de-DE"/>
        </w:rPr>
      </w:pPr>
      <w:r>
        <w:rPr>
          <w:lang w:val="de-DE"/>
        </w:rPr>
        <w:t>Die Fortsetzung der Therapie länger als 16 Wochen sollte bei Patienten, die innerhalb dieser Zeitspanne nicht ansprechen, sorgfältig abgewogen werden.</w:t>
      </w:r>
    </w:p>
    <w:p w14:paraId="2CD1F91A" w14:textId="77777777" w:rsidR="00FE291A" w:rsidRDefault="00FE291A">
      <w:pPr>
        <w:widowControl/>
        <w:kinsoku w:val="0"/>
        <w:overflowPunct w:val="0"/>
        <w:rPr>
          <w:sz w:val="22"/>
          <w:szCs w:val="22"/>
          <w:lang w:val="de-DE"/>
        </w:rPr>
      </w:pPr>
    </w:p>
    <w:p w14:paraId="0E4E192A" w14:textId="77777777" w:rsidR="00FE291A" w:rsidRDefault="00C8738F">
      <w:pPr>
        <w:pStyle w:val="BodyText"/>
        <w:widowControl/>
        <w:kinsoku w:val="0"/>
        <w:overflowPunct w:val="0"/>
        <w:ind w:left="0"/>
        <w:rPr>
          <w:lang w:val="de-DE"/>
        </w:rPr>
      </w:pPr>
      <w:r>
        <w:rPr>
          <w:lang w:val="de-DE"/>
        </w:rPr>
        <w:t>Wenn die Wiederaufnahme der Therapie mit AMGEVITA angezeigt ist, sollte bezüglich Dosis und Behandlungsdauer die oben beschriebene Anleitung befolgt werden.</w:t>
      </w:r>
    </w:p>
    <w:p w14:paraId="65281501" w14:textId="77777777" w:rsidR="00FE291A" w:rsidRDefault="00FE291A">
      <w:pPr>
        <w:widowControl/>
        <w:kinsoku w:val="0"/>
        <w:overflowPunct w:val="0"/>
        <w:rPr>
          <w:sz w:val="22"/>
          <w:szCs w:val="22"/>
          <w:lang w:val="de-DE"/>
        </w:rPr>
      </w:pPr>
    </w:p>
    <w:p w14:paraId="4DBAC2C5" w14:textId="77777777" w:rsidR="00FE291A" w:rsidRDefault="00C8738F">
      <w:pPr>
        <w:pStyle w:val="BodyText"/>
        <w:widowControl/>
        <w:kinsoku w:val="0"/>
        <w:overflowPunct w:val="0"/>
        <w:ind w:left="0"/>
        <w:rPr>
          <w:lang w:val="de-DE"/>
        </w:rPr>
      </w:pPr>
      <w:r>
        <w:rPr>
          <w:lang w:val="de-DE"/>
        </w:rPr>
        <w:t>Die Sicherheit von Adalimumab bei Kindern und Jugendlichen mit Plaque-Psoriasis wurde für durchschnittlich 13 Monate beurteilt.</w:t>
      </w:r>
    </w:p>
    <w:p w14:paraId="10CEDFA1" w14:textId="77777777" w:rsidR="00FE291A" w:rsidRDefault="00FE291A">
      <w:pPr>
        <w:widowControl/>
        <w:kinsoku w:val="0"/>
        <w:overflowPunct w:val="0"/>
        <w:rPr>
          <w:sz w:val="22"/>
          <w:szCs w:val="22"/>
          <w:lang w:val="de-DE"/>
        </w:rPr>
      </w:pPr>
    </w:p>
    <w:p w14:paraId="6B65D1B7" w14:textId="77777777" w:rsidR="00FE291A" w:rsidRDefault="00C8738F">
      <w:pPr>
        <w:pStyle w:val="BodyText"/>
        <w:widowControl/>
        <w:kinsoku w:val="0"/>
        <w:overflowPunct w:val="0"/>
        <w:ind w:left="0"/>
        <w:rPr>
          <w:lang w:val="de-DE"/>
        </w:rPr>
      </w:pPr>
      <w:r>
        <w:rPr>
          <w:lang w:val="de-DE"/>
        </w:rPr>
        <w:t>Es gibt in dieser Indikation keinen relevanten Nutzen von Adalimumab bei Kindern, die jünger als 4 Jahre sind.</w:t>
      </w:r>
    </w:p>
    <w:p w14:paraId="3C2B5C75" w14:textId="77777777" w:rsidR="00FE291A" w:rsidRDefault="00FE291A">
      <w:pPr>
        <w:widowControl/>
        <w:kinsoku w:val="0"/>
        <w:overflowPunct w:val="0"/>
        <w:rPr>
          <w:sz w:val="22"/>
          <w:szCs w:val="22"/>
          <w:lang w:val="de-DE"/>
        </w:rPr>
      </w:pPr>
    </w:p>
    <w:p w14:paraId="6686BB75" w14:textId="77777777" w:rsidR="00FE291A" w:rsidRDefault="00C8738F">
      <w:pPr>
        <w:widowControl/>
        <w:kinsoku w:val="0"/>
        <w:overflowPunct w:val="0"/>
        <w:rPr>
          <w:sz w:val="22"/>
          <w:szCs w:val="22"/>
          <w:lang w:val="de-DE"/>
        </w:rPr>
      </w:pPr>
      <w:r>
        <w:rPr>
          <w:sz w:val="22"/>
          <w:szCs w:val="22"/>
          <w:lang w:val="de-DE"/>
        </w:rPr>
        <w:t>In Abhängigkeit von den individuellen Behandlungsbedürfnissen kann AMGEVITA in verschiedenen Stärken und/oder Darreichungsformen erhältlich sein.</w:t>
      </w:r>
    </w:p>
    <w:p w14:paraId="59D2783B" w14:textId="77777777" w:rsidR="00FE291A" w:rsidRDefault="00FE291A">
      <w:pPr>
        <w:widowControl/>
        <w:kinsoku w:val="0"/>
        <w:overflowPunct w:val="0"/>
        <w:rPr>
          <w:sz w:val="22"/>
          <w:szCs w:val="22"/>
          <w:lang w:val="de-DE"/>
        </w:rPr>
      </w:pPr>
    </w:p>
    <w:p w14:paraId="7A5B4B84" w14:textId="77777777" w:rsidR="00FE291A" w:rsidRDefault="00C8738F">
      <w:pPr>
        <w:keepNext/>
        <w:rPr>
          <w:i/>
          <w:sz w:val="22"/>
          <w:szCs w:val="22"/>
          <w:lang w:val="de-DE"/>
        </w:rPr>
      </w:pPr>
      <w:r>
        <w:rPr>
          <w:i/>
          <w:sz w:val="22"/>
          <w:szCs w:val="22"/>
          <w:lang w:val="de-DE" w:eastAsia="de-DE"/>
        </w:rPr>
        <w:t>Hidradenitis suppurativa (Acne inversa) bei Jugendlichen (ab 12 Jahren und mit einem Gewicht von mindestens 30 kg)</w:t>
      </w:r>
    </w:p>
    <w:p w14:paraId="1B6D1039" w14:textId="77777777" w:rsidR="00FE291A" w:rsidRDefault="00FE291A">
      <w:pPr>
        <w:keepNext/>
        <w:rPr>
          <w:i/>
          <w:sz w:val="22"/>
          <w:szCs w:val="22"/>
          <w:lang w:val="de-DE"/>
        </w:rPr>
      </w:pPr>
    </w:p>
    <w:p w14:paraId="42142B8E" w14:textId="77777777" w:rsidR="00FE291A" w:rsidRDefault="00C8738F">
      <w:pPr>
        <w:rPr>
          <w:sz w:val="22"/>
          <w:szCs w:val="22"/>
          <w:shd w:val="clear" w:color="000000" w:fill="auto"/>
          <w:lang w:val="de-DE"/>
        </w:rPr>
      </w:pPr>
      <w:r>
        <w:rPr>
          <w:sz w:val="22"/>
          <w:szCs w:val="22"/>
          <w:lang w:val="de-DE" w:eastAsia="de-DE"/>
        </w:rPr>
        <w:t>Es gibt keine klinischen Studien mit Adalimumab bei jugendlichen Patienten mit Hidradenitis suppurativa (HS). Die Dosierung von AMGEVITA bei diesen Patienten wurde in pharmakokinetischen Modellen und Simulationen bestimmt (siehe Abschnitt 5.2).</w:t>
      </w:r>
    </w:p>
    <w:p w14:paraId="1AD7C00E" w14:textId="77777777" w:rsidR="00FE291A" w:rsidRDefault="00FE291A">
      <w:pPr>
        <w:rPr>
          <w:sz w:val="22"/>
          <w:szCs w:val="22"/>
          <w:lang w:val="de-DE"/>
        </w:rPr>
      </w:pPr>
    </w:p>
    <w:p w14:paraId="61EF87EA" w14:textId="77777777" w:rsidR="00FE291A" w:rsidRDefault="00C8738F">
      <w:pPr>
        <w:rPr>
          <w:sz w:val="22"/>
          <w:szCs w:val="22"/>
          <w:lang w:val="de-DE"/>
        </w:rPr>
      </w:pPr>
      <w:r>
        <w:rPr>
          <w:sz w:val="22"/>
          <w:szCs w:val="22"/>
          <w:lang w:val="de-DE" w:eastAsia="de-DE"/>
        </w:rPr>
        <w:t>Die empfohlene Dosis von AMGEVITA beträgt 80 mg in Woche 0, gefolgt von 40 mg jede zweite Woche ab Woche 1 als subkutane Injektion.</w:t>
      </w:r>
    </w:p>
    <w:p w14:paraId="3D3E0A01" w14:textId="77777777" w:rsidR="00FE291A" w:rsidRDefault="00FE291A">
      <w:pPr>
        <w:rPr>
          <w:sz w:val="22"/>
          <w:szCs w:val="22"/>
          <w:lang w:val="de-DE"/>
        </w:rPr>
      </w:pPr>
    </w:p>
    <w:p w14:paraId="101294B8" w14:textId="77777777" w:rsidR="00FE291A" w:rsidRDefault="00C8738F">
      <w:pPr>
        <w:rPr>
          <w:sz w:val="22"/>
          <w:szCs w:val="22"/>
          <w:lang w:val="de-DE" w:eastAsia="de-DE"/>
        </w:rPr>
      </w:pPr>
      <w:r>
        <w:rPr>
          <w:sz w:val="22"/>
          <w:szCs w:val="22"/>
          <w:lang w:val="de-DE" w:eastAsia="de-DE"/>
        </w:rPr>
        <w:t>Bei jugendlichen Patienten, die unzureichend auf 40 mg AMGEVITA jede zweite Woche ansprechen, kann eine Erhöhung der Dosis auf 40 mg jede Woche oder 80 mg jede zweite Woche erwogen werden.</w:t>
      </w:r>
    </w:p>
    <w:p w14:paraId="33E00DD8" w14:textId="77777777" w:rsidR="00FE291A" w:rsidRDefault="00FE291A">
      <w:pPr>
        <w:rPr>
          <w:sz w:val="22"/>
          <w:szCs w:val="22"/>
          <w:lang w:val="de-DE"/>
        </w:rPr>
      </w:pPr>
    </w:p>
    <w:p w14:paraId="357FD762" w14:textId="77777777" w:rsidR="00FE291A" w:rsidRDefault="00C8738F">
      <w:pPr>
        <w:rPr>
          <w:sz w:val="22"/>
          <w:szCs w:val="22"/>
          <w:lang w:val="de-DE"/>
        </w:rPr>
      </w:pPr>
      <w:r>
        <w:rPr>
          <w:sz w:val="22"/>
          <w:szCs w:val="22"/>
          <w:lang w:val="de-DE" w:eastAsia="de-DE"/>
        </w:rPr>
        <w:t>Falls notwendig, kann eine Antibiotikatherapie während der Behandlung mit AMGEVITA weitergeführt werden. Es wird empfohlen, dass die Patienten während der Behandlung mit AMGEVITA täglich eine topische antiseptische Waschlösung an ihren HS-Läsionen anwenden.</w:t>
      </w:r>
    </w:p>
    <w:p w14:paraId="0476A21F" w14:textId="77777777" w:rsidR="00FE291A" w:rsidRDefault="00FE291A">
      <w:pPr>
        <w:rPr>
          <w:sz w:val="22"/>
          <w:szCs w:val="22"/>
          <w:lang w:val="de-DE" w:eastAsia="de-DE"/>
        </w:rPr>
      </w:pPr>
    </w:p>
    <w:p w14:paraId="563638BB" w14:textId="77777777" w:rsidR="00FE291A" w:rsidRDefault="00C8738F">
      <w:pPr>
        <w:rPr>
          <w:sz w:val="22"/>
          <w:szCs w:val="22"/>
          <w:lang w:val="de-DE"/>
        </w:rPr>
      </w:pPr>
      <w:r>
        <w:rPr>
          <w:sz w:val="22"/>
          <w:szCs w:val="22"/>
          <w:lang w:val="de-DE" w:eastAsia="de-DE"/>
        </w:rPr>
        <w:t>Eine Fortsetzung der Therapie länger als 12 Wochen sollte sorgfältig abgewogen werden bei Patienten, die innerhalb dieser Zeitspanne keine Verbesserung zeigen.</w:t>
      </w:r>
    </w:p>
    <w:p w14:paraId="792B43FC" w14:textId="77777777" w:rsidR="00FE291A" w:rsidRDefault="00FE291A">
      <w:pPr>
        <w:rPr>
          <w:sz w:val="22"/>
          <w:szCs w:val="22"/>
          <w:lang w:val="de-DE" w:eastAsia="de-DE"/>
        </w:rPr>
      </w:pPr>
    </w:p>
    <w:p w14:paraId="0BDC0386" w14:textId="77777777" w:rsidR="00FE291A" w:rsidRDefault="00C8738F">
      <w:pPr>
        <w:widowControl/>
        <w:rPr>
          <w:sz w:val="22"/>
          <w:szCs w:val="22"/>
          <w:lang w:val="de-DE"/>
        </w:rPr>
      </w:pPr>
      <w:r>
        <w:rPr>
          <w:sz w:val="22"/>
          <w:szCs w:val="22"/>
          <w:lang w:val="de-DE" w:eastAsia="de-DE"/>
        </w:rPr>
        <w:t>Sollte eine Unterbrechung der Behandlung erforderlich sein, kann AMGEVITA nach Bedarf erneut gegeben werden.</w:t>
      </w:r>
    </w:p>
    <w:p w14:paraId="127FF197" w14:textId="77777777" w:rsidR="00FE291A" w:rsidRDefault="00FE291A">
      <w:pPr>
        <w:rPr>
          <w:sz w:val="22"/>
          <w:szCs w:val="22"/>
          <w:lang w:val="de-DE" w:eastAsia="de-DE"/>
        </w:rPr>
      </w:pPr>
    </w:p>
    <w:p w14:paraId="5163F363" w14:textId="77777777" w:rsidR="00FE291A" w:rsidRDefault="00C8738F">
      <w:pPr>
        <w:rPr>
          <w:sz w:val="22"/>
          <w:szCs w:val="22"/>
          <w:lang w:val="de-DE"/>
        </w:rPr>
      </w:pPr>
      <w:r>
        <w:rPr>
          <w:sz w:val="22"/>
          <w:szCs w:val="22"/>
          <w:lang w:val="de-DE" w:eastAsia="de-DE"/>
        </w:rPr>
        <w:t>Nutzen und Risiko einer fortgesetzten Langzeitbehandlung sollten regelmäßig beurteilt werden (siehe Daten zu Erwachsenen in Abschnitt 5.1).</w:t>
      </w:r>
    </w:p>
    <w:p w14:paraId="027D0C63" w14:textId="77777777" w:rsidR="00FE291A" w:rsidRDefault="00FE291A">
      <w:pPr>
        <w:rPr>
          <w:sz w:val="22"/>
          <w:szCs w:val="22"/>
          <w:lang w:val="de-DE" w:eastAsia="de-DE"/>
        </w:rPr>
      </w:pPr>
    </w:p>
    <w:p w14:paraId="1250E944" w14:textId="77777777" w:rsidR="00FE291A" w:rsidRDefault="00C8738F">
      <w:pPr>
        <w:widowControl/>
        <w:kinsoku w:val="0"/>
        <w:overflowPunct w:val="0"/>
        <w:rPr>
          <w:sz w:val="22"/>
          <w:szCs w:val="22"/>
          <w:lang w:val="de-DE" w:eastAsia="de-DE"/>
        </w:rPr>
      </w:pPr>
      <w:r>
        <w:rPr>
          <w:sz w:val="22"/>
          <w:szCs w:val="22"/>
          <w:lang w:val="de-DE" w:eastAsia="de-DE"/>
        </w:rPr>
        <w:t>Es gibt in dieser Indikation keinen relevanten Nutzen von AMGEVITA bei Kindern, die jünger als 12 Jahre sind.</w:t>
      </w:r>
    </w:p>
    <w:p w14:paraId="45118B21" w14:textId="77777777" w:rsidR="00FE291A" w:rsidRDefault="00FE291A">
      <w:pPr>
        <w:widowControl/>
        <w:kinsoku w:val="0"/>
        <w:overflowPunct w:val="0"/>
        <w:rPr>
          <w:sz w:val="22"/>
          <w:szCs w:val="22"/>
          <w:lang w:val="de-DE"/>
        </w:rPr>
      </w:pPr>
    </w:p>
    <w:p w14:paraId="4D134F06" w14:textId="77777777" w:rsidR="00FE291A" w:rsidRDefault="00C8738F">
      <w:pPr>
        <w:widowControl/>
        <w:kinsoku w:val="0"/>
        <w:overflowPunct w:val="0"/>
        <w:rPr>
          <w:sz w:val="22"/>
          <w:szCs w:val="22"/>
          <w:lang w:val="de-DE"/>
        </w:rPr>
      </w:pPr>
      <w:r>
        <w:rPr>
          <w:sz w:val="22"/>
          <w:szCs w:val="22"/>
          <w:lang w:val="de-DE"/>
        </w:rPr>
        <w:t>In Abhängigkeit von den individuellen Behandlungsbedürfnissen kann AMGEVITA in verschiedenen Stärken und/oder Darreichungsformen erhältlich sein.</w:t>
      </w:r>
    </w:p>
    <w:p w14:paraId="78CB7171" w14:textId="77777777" w:rsidR="00FE291A" w:rsidRDefault="00FE291A">
      <w:pPr>
        <w:widowControl/>
        <w:kinsoku w:val="0"/>
        <w:overflowPunct w:val="0"/>
        <w:rPr>
          <w:sz w:val="22"/>
          <w:szCs w:val="22"/>
          <w:lang w:val="de-DE"/>
        </w:rPr>
      </w:pPr>
    </w:p>
    <w:p w14:paraId="2FCBFB35" w14:textId="77777777" w:rsidR="00FE291A" w:rsidRDefault="00C8738F">
      <w:pPr>
        <w:keepNext/>
        <w:widowControl/>
        <w:kinsoku w:val="0"/>
        <w:overflowPunct w:val="0"/>
        <w:rPr>
          <w:sz w:val="22"/>
          <w:szCs w:val="22"/>
          <w:lang w:val="de-DE"/>
        </w:rPr>
      </w:pPr>
      <w:r>
        <w:rPr>
          <w:i/>
          <w:iCs/>
          <w:sz w:val="22"/>
          <w:szCs w:val="22"/>
          <w:lang w:val="de-DE"/>
        </w:rPr>
        <w:t>Morbus Crohn bei Kindern und Jugendlichen</w:t>
      </w:r>
    </w:p>
    <w:p w14:paraId="3F70DD2C" w14:textId="77777777" w:rsidR="00FE291A" w:rsidRDefault="00FE291A">
      <w:pPr>
        <w:keepNext/>
        <w:widowControl/>
        <w:kinsoku w:val="0"/>
        <w:overflowPunct w:val="0"/>
        <w:rPr>
          <w:sz w:val="22"/>
          <w:szCs w:val="22"/>
          <w:lang w:val="de-DE"/>
        </w:rPr>
      </w:pPr>
    </w:p>
    <w:p w14:paraId="67E1AE4F" w14:textId="77777777" w:rsidR="00FE291A" w:rsidRDefault="00C8738F">
      <w:pPr>
        <w:pStyle w:val="BodyText"/>
        <w:widowControl/>
        <w:kinsoku w:val="0"/>
        <w:overflowPunct w:val="0"/>
        <w:ind w:left="0"/>
        <w:rPr>
          <w:lang w:val="de-DE"/>
        </w:rPr>
      </w:pPr>
      <w:r>
        <w:rPr>
          <w:lang w:val="de-DE"/>
        </w:rPr>
        <w:t>Die empfohlene Dosis von AMGEVITA für Patienten mit Morbus Crohn im Alter von 6 bis 17 Jahren wird anhand des Körpergewichts bestimmt (Tabelle 4). AMGEVITA wird subkutan injiziert.</w:t>
      </w:r>
    </w:p>
    <w:p w14:paraId="57E8F7EC" w14:textId="77777777" w:rsidR="00FE291A" w:rsidRDefault="00FE291A">
      <w:pPr>
        <w:pStyle w:val="BodyText"/>
        <w:widowControl/>
        <w:kinsoku w:val="0"/>
        <w:overflowPunct w:val="0"/>
        <w:ind w:left="0"/>
        <w:rPr>
          <w:lang w:val="de-DE"/>
        </w:rPr>
      </w:pPr>
    </w:p>
    <w:p w14:paraId="1F7BEFCE" w14:textId="77777777" w:rsidR="00FE291A" w:rsidRDefault="00C8738F">
      <w:pPr>
        <w:keepNext/>
        <w:keepLines/>
        <w:widowControl/>
        <w:rPr>
          <w:b/>
          <w:sz w:val="22"/>
          <w:szCs w:val="22"/>
          <w:lang w:val="de-DE"/>
        </w:rPr>
      </w:pPr>
      <w:r>
        <w:rPr>
          <w:b/>
          <w:sz w:val="22"/>
          <w:szCs w:val="22"/>
          <w:lang w:val="de-DE"/>
        </w:rPr>
        <w:t>Tabelle 4: AMGEVITA-Dosis für Kinder und Jugendliche mit Morbus Crohn</w:t>
      </w:r>
    </w:p>
    <w:p w14:paraId="70AB67DB" w14:textId="77777777" w:rsidR="00FE291A" w:rsidRDefault="00FE291A">
      <w:pPr>
        <w:keepNext/>
        <w:suppressAutoHyphens/>
        <w:rPr>
          <w:rFonts w:eastAsia="Times New Roman"/>
          <w:sz w:val="22"/>
          <w:szCs w:val="22"/>
          <w:lang w:val="de-DE"/>
        </w:rPr>
      </w:pPr>
    </w:p>
    <w:tbl>
      <w:tblPr>
        <w:tblW w:w="5000" w:type="pct"/>
        <w:tblBorders>
          <w:top w:val="outset" w:sz="6" w:space="0" w:color="auto"/>
          <w:left w:val="outset" w:sz="6" w:space="0" w:color="auto"/>
          <w:bottom w:val="outset" w:sz="6" w:space="0" w:color="auto"/>
          <w:right w:val="outset" w:sz="6" w:space="0" w:color="auto"/>
        </w:tblBorders>
        <w:tblLayout w:type="fixed"/>
        <w:tblCellMar>
          <w:top w:w="28" w:type="dxa"/>
          <w:bottom w:w="28" w:type="dxa"/>
        </w:tblCellMar>
        <w:tblLook w:val="04A0" w:firstRow="1" w:lastRow="0" w:firstColumn="1" w:lastColumn="0" w:noHBand="0" w:noVBand="1"/>
      </w:tblPr>
      <w:tblGrid>
        <w:gridCol w:w="1287"/>
        <w:gridCol w:w="5865"/>
        <w:gridCol w:w="1903"/>
      </w:tblGrid>
      <w:tr w:rsidR="00FE291A" w14:paraId="4564AF6D" w14:textId="77777777">
        <w:trPr>
          <w:cantSplit/>
          <w:tblHeader/>
        </w:trPr>
        <w:tc>
          <w:tcPr>
            <w:tcW w:w="1317" w:type="dxa"/>
            <w:tcBorders>
              <w:top w:val="single" w:sz="6" w:space="0" w:color="000000"/>
              <w:left w:val="single" w:sz="6" w:space="0" w:color="000000"/>
              <w:bottom w:val="single" w:sz="6" w:space="0" w:color="000000"/>
              <w:right w:val="single" w:sz="6" w:space="0" w:color="000000"/>
            </w:tcBorders>
          </w:tcPr>
          <w:p w14:paraId="7ABC3B56" w14:textId="77777777" w:rsidR="00FE291A" w:rsidRDefault="00C8738F">
            <w:pPr>
              <w:keepNext/>
              <w:suppressAutoHyphens/>
              <w:rPr>
                <w:b/>
                <w:sz w:val="22"/>
                <w:szCs w:val="22"/>
                <w:lang w:val="de-DE" w:eastAsia="en-GB"/>
              </w:rPr>
            </w:pPr>
            <w:r>
              <w:rPr>
                <w:b/>
                <w:sz w:val="22"/>
                <w:szCs w:val="22"/>
                <w:lang w:val="de-DE"/>
              </w:rPr>
              <w:t>Gewicht des Patienten</w:t>
            </w:r>
          </w:p>
        </w:tc>
        <w:tc>
          <w:tcPr>
            <w:tcW w:w="6021" w:type="dxa"/>
            <w:tcBorders>
              <w:top w:val="single" w:sz="6" w:space="0" w:color="000000"/>
              <w:left w:val="single" w:sz="6" w:space="0" w:color="000000"/>
              <w:bottom w:val="single" w:sz="6" w:space="0" w:color="000000"/>
              <w:right w:val="single" w:sz="6" w:space="0" w:color="000000"/>
            </w:tcBorders>
          </w:tcPr>
          <w:p w14:paraId="223D38F9" w14:textId="77777777" w:rsidR="00FE291A" w:rsidRDefault="00C8738F">
            <w:pPr>
              <w:keepNext/>
              <w:suppressAutoHyphens/>
              <w:ind w:firstLine="116"/>
              <w:rPr>
                <w:b/>
                <w:sz w:val="22"/>
                <w:szCs w:val="22"/>
                <w:lang w:val="de-DE" w:eastAsia="en-GB"/>
              </w:rPr>
            </w:pPr>
            <w:r>
              <w:rPr>
                <w:b/>
                <w:sz w:val="22"/>
                <w:szCs w:val="22"/>
                <w:lang w:val="de-DE"/>
              </w:rPr>
              <w:t>Anfangsdosis</w:t>
            </w:r>
          </w:p>
        </w:tc>
        <w:tc>
          <w:tcPr>
            <w:tcW w:w="1949" w:type="dxa"/>
            <w:tcBorders>
              <w:top w:val="single" w:sz="6" w:space="0" w:color="000000"/>
              <w:left w:val="single" w:sz="6" w:space="0" w:color="000000"/>
              <w:bottom w:val="single" w:sz="6" w:space="0" w:color="000000"/>
              <w:right w:val="single" w:sz="6" w:space="0" w:color="000000"/>
            </w:tcBorders>
          </w:tcPr>
          <w:p w14:paraId="21BF5D22" w14:textId="77777777" w:rsidR="00FE291A" w:rsidRDefault="00C8738F">
            <w:pPr>
              <w:keepNext/>
              <w:suppressAutoHyphens/>
              <w:rPr>
                <w:b/>
                <w:sz w:val="22"/>
                <w:szCs w:val="22"/>
                <w:lang w:val="de-DE" w:eastAsia="en-GB"/>
              </w:rPr>
            </w:pPr>
            <w:r>
              <w:rPr>
                <w:b/>
                <w:sz w:val="22"/>
                <w:szCs w:val="22"/>
                <w:lang w:val="de-DE"/>
              </w:rPr>
              <w:t>Erhaltungsdosis, beginnend in Woche 4</w:t>
            </w:r>
          </w:p>
        </w:tc>
      </w:tr>
      <w:tr w:rsidR="00FE291A" w14:paraId="66676E47" w14:textId="77777777">
        <w:trPr>
          <w:cantSplit/>
        </w:trPr>
        <w:tc>
          <w:tcPr>
            <w:tcW w:w="1317" w:type="dxa"/>
            <w:tcBorders>
              <w:top w:val="single" w:sz="6" w:space="0" w:color="000000"/>
              <w:left w:val="single" w:sz="6" w:space="0" w:color="000000"/>
              <w:bottom w:val="single" w:sz="6" w:space="0" w:color="000000"/>
              <w:right w:val="single" w:sz="6" w:space="0" w:color="000000"/>
            </w:tcBorders>
          </w:tcPr>
          <w:p w14:paraId="42AACCC7" w14:textId="77777777" w:rsidR="00FE291A" w:rsidRDefault="00C8738F">
            <w:pPr>
              <w:keepNext/>
              <w:suppressAutoHyphens/>
              <w:jc w:val="center"/>
              <w:rPr>
                <w:rFonts w:eastAsia="Times New Roman"/>
                <w:sz w:val="22"/>
                <w:szCs w:val="22"/>
                <w:lang w:val="de-DE"/>
              </w:rPr>
            </w:pPr>
            <w:r>
              <w:rPr>
                <w:rFonts w:eastAsia="Times New Roman"/>
                <w:sz w:val="22"/>
                <w:szCs w:val="22"/>
                <w:lang w:val="de-DE"/>
              </w:rPr>
              <w:t>&lt; 40 kg</w:t>
            </w:r>
          </w:p>
        </w:tc>
        <w:tc>
          <w:tcPr>
            <w:tcW w:w="6021" w:type="dxa"/>
            <w:tcBorders>
              <w:top w:val="single" w:sz="6" w:space="0" w:color="000000"/>
              <w:left w:val="single" w:sz="6" w:space="0" w:color="000000"/>
              <w:bottom w:val="single" w:sz="6" w:space="0" w:color="000000"/>
              <w:right w:val="single" w:sz="6" w:space="0" w:color="000000"/>
            </w:tcBorders>
          </w:tcPr>
          <w:p w14:paraId="2D7EC284" w14:textId="77777777" w:rsidR="00FE291A" w:rsidRDefault="00C8738F">
            <w:pPr>
              <w:keepNext/>
              <w:widowControl/>
              <w:numPr>
                <w:ilvl w:val="0"/>
                <w:numId w:val="9"/>
              </w:numPr>
              <w:suppressAutoHyphens/>
              <w:autoSpaceDE/>
              <w:autoSpaceDN/>
              <w:adjustRightInd/>
              <w:ind w:left="307" w:hanging="180"/>
              <w:rPr>
                <w:sz w:val="22"/>
                <w:szCs w:val="22"/>
                <w:lang w:val="de-DE"/>
              </w:rPr>
            </w:pPr>
            <w:r>
              <w:rPr>
                <w:sz w:val="22"/>
                <w:szCs w:val="22"/>
                <w:lang w:val="de-DE"/>
              </w:rPr>
              <w:t>40 mg in Woche 0 und 20 mg in Woche 2</w:t>
            </w:r>
          </w:p>
          <w:p w14:paraId="72F8FBB8" w14:textId="77777777" w:rsidR="00FE291A" w:rsidRDefault="00FE291A">
            <w:pPr>
              <w:keepNext/>
              <w:tabs>
                <w:tab w:val="left" w:pos="562"/>
              </w:tabs>
              <w:suppressAutoHyphens/>
              <w:ind w:left="142"/>
              <w:rPr>
                <w:sz w:val="22"/>
                <w:szCs w:val="22"/>
                <w:lang w:val="de-DE"/>
              </w:rPr>
            </w:pPr>
          </w:p>
          <w:p w14:paraId="54DDC3C5" w14:textId="77777777" w:rsidR="00FE291A" w:rsidRDefault="00C8738F">
            <w:pPr>
              <w:keepNext/>
              <w:tabs>
                <w:tab w:val="left" w:pos="562"/>
              </w:tabs>
              <w:suppressAutoHyphens/>
              <w:ind w:left="142"/>
              <w:rPr>
                <w:sz w:val="22"/>
                <w:szCs w:val="22"/>
                <w:lang w:val="de-DE"/>
              </w:rPr>
            </w:pPr>
            <w:r>
              <w:rPr>
                <w:sz w:val="22"/>
                <w:szCs w:val="22"/>
                <w:lang w:val="de-DE"/>
              </w:rPr>
              <w:t>In Fällen, in denen ein schnelleres Ansprechen auf die Therapie erforderlich ist, kann – unter Berücksichtigung, dass bei einer höheren Induktionsdosis auch das Risiko für Nebenwirkungen höher sein kann – folgende Dosis angewandt werden:</w:t>
            </w:r>
          </w:p>
          <w:p w14:paraId="5AAC3535" w14:textId="77777777" w:rsidR="00FE291A" w:rsidRDefault="00C8738F">
            <w:pPr>
              <w:keepNext/>
              <w:widowControl/>
              <w:numPr>
                <w:ilvl w:val="0"/>
                <w:numId w:val="9"/>
              </w:numPr>
              <w:suppressAutoHyphens/>
              <w:autoSpaceDE/>
              <w:autoSpaceDN/>
              <w:adjustRightInd/>
              <w:ind w:left="307" w:hanging="180"/>
              <w:rPr>
                <w:rFonts w:eastAsia="Times New Roman"/>
                <w:iCs/>
                <w:sz w:val="22"/>
                <w:szCs w:val="22"/>
                <w:lang w:val="de-DE"/>
              </w:rPr>
            </w:pPr>
            <w:r>
              <w:rPr>
                <w:sz w:val="22"/>
                <w:szCs w:val="22"/>
                <w:lang w:val="de-DE"/>
              </w:rPr>
              <w:t>80 mg in Woche 0 und 40 mg in Woche 2</w:t>
            </w:r>
          </w:p>
        </w:tc>
        <w:tc>
          <w:tcPr>
            <w:tcW w:w="1949" w:type="dxa"/>
            <w:tcBorders>
              <w:top w:val="single" w:sz="6" w:space="0" w:color="000000"/>
              <w:left w:val="single" w:sz="6" w:space="0" w:color="000000"/>
              <w:bottom w:val="single" w:sz="6" w:space="0" w:color="000000"/>
              <w:right w:val="single" w:sz="6" w:space="0" w:color="000000"/>
            </w:tcBorders>
          </w:tcPr>
          <w:p w14:paraId="1B820786" w14:textId="77777777" w:rsidR="00FE291A" w:rsidRDefault="00C8738F">
            <w:pPr>
              <w:keepNext/>
              <w:suppressAutoHyphens/>
              <w:ind w:left="16"/>
              <w:jc w:val="center"/>
              <w:rPr>
                <w:rFonts w:eastAsia="Times New Roman"/>
                <w:sz w:val="22"/>
                <w:szCs w:val="22"/>
                <w:lang w:val="de-DE"/>
              </w:rPr>
            </w:pPr>
            <w:r>
              <w:rPr>
                <w:sz w:val="22"/>
                <w:szCs w:val="22"/>
                <w:lang w:val="de-DE"/>
              </w:rPr>
              <w:t>20 mg jede zweite Woche</w:t>
            </w:r>
          </w:p>
        </w:tc>
      </w:tr>
      <w:tr w:rsidR="00FE291A" w14:paraId="433DDDDA" w14:textId="77777777">
        <w:trPr>
          <w:cantSplit/>
        </w:trPr>
        <w:tc>
          <w:tcPr>
            <w:tcW w:w="1317" w:type="dxa"/>
            <w:tcBorders>
              <w:top w:val="single" w:sz="6" w:space="0" w:color="000000"/>
              <w:left w:val="single" w:sz="6" w:space="0" w:color="000000"/>
              <w:bottom w:val="single" w:sz="6" w:space="0" w:color="000000"/>
              <w:right w:val="single" w:sz="6" w:space="0" w:color="000000"/>
            </w:tcBorders>
          </w:tcPr>
          <w:p w14:paraId="28FE8864" w14:textId="77777777" w:rsidR="00FE291A" w:rsidRDefault="00C8738F">
            <w:pPr>
              <w:suppressAutoHyphens/>
              <w:jc w:val="center"/>
              <w:rPr>
                <w:rFonts w:eastAsia="Times New Roman"/>
                <w:sz w:val="22"/>
                <w:szCs w:val="22"/>
                <w:lang w:val="de-DE"/>
              </w:rPr>
            </w:pPr>
            <w:r>
              <w:rPr>
                <w:rFonts w:eastAsia="Times New Roman"/>
                <w:sz w:val="22"/>
                <w:szCs w:val="22"/>
                <w:lang w:val="de-DE"/>
              </w:rPr>
              <w:t>≥ 40 kg</w:t>
            </w:r>
          </w:p>
        </w:tc>
        <w:tc>
          <w:tcPr>
            <w:tcW w:w="6021" w:type="dxa"/>
            <w:tcBorders>
              <w:top w:val="single" w:sz="6" w:space="0" w:color="000000"/>
              <w:left w:val="single" w:sz="6" w:space="0" w:color="000000"/>
              <w:bottom w:val="single" w:sz="6" w:space="0" w:color="000000"/>
              <w:right w:val="single" w:sz="6" w:space="0" w:color="000000"/>
            </w:tcBorders>
          </w:tcPr>
          <w:p w14:paraId="47C31BB3" w14:textId="77777777" w:rsidR="00FE291A" w:rsidRDefault="00C8738F">
            <w:pPr>
              <w:widowControl/>
              <w:numPr>
                <w:ilvl w:val="0"/>
                <w:numId w:val="10"/>
              </w:numPr>
              <w:suppressAutoHyphens/>
              <w:autoSpaceDE/>
              <w:autoSpaceDN/>
              <w:adjustRightInd/>
              <w:ind w:left="307" w:hanging="180"/>
              <w:rPr>
                <w:sz w:val="22"/>
                <w:szCs w:val="22"/>
                <w:lang w:val="de-DE"/>
              </w:rPr>
            </w:pPr>
            <w:r>
              <w:rPr>
                <w:sz w:val="22"/>
                <w:szCs w:val="22"/>
                <w:lang w:val="de-DE"/>
              </w:rPr>
              <w:t>80 mg in Woche 0 und 40 mg in Woche 2</w:t>
            </w:r>
          </w:p>
          <w:p w14:paraId="230A84C9" w14:textId="77777777" w:rsidR="00FE291A" w:rsidRDefault="00FE291A">
            <w:pPr>
              <w:tabs>
                <w:tab w:val="left" w:pos="562"/>
              </w:tabs>
              <w:suppressAutoHyphens/>
              <w:ind w:left="145" w:hanging="2"/>
              <w:rPr>
                <w:sz w:val="22"/>
                <w:szCs w:val="22"/>
                <w:lang w:val="de-DE"/>
              </w:rPr>
            </w:pPr>
          </w:p>
          <w:p w14:paraId="6594D5EE" w14:textId="77777777" w:rsidR="00FE291A" w:rsidRDefault="00C8738F">
            <w:pPr>
              <w:tabs>
                <w:tab w:val="left" w:pos="562"/>
              </w:tabs>
              <w:suppressAutoHyphens/>
              <w:ind w:left="145" w:hanging="2"/>
              <w:rPr>
                <w:sz w:val="22"/>
                <w:szCs w:val="22"/>
                <w:lang w:val="de-DE"/>
              </w:rPr>
            </w:pPr>
            <w:r>
              <w:rPr>
                <w:sz w:val="22"/>
                <w:szCs w:val="22"/>
                <w:lang w:val="de-DE"/>
              </w:rPr>
              <w:t>In Fällen, in denen ein schnelleres Ansprechen auf die Therapie erforderlich ist, kann – unter Berücksichtigung, dass bei einer höheren Induktionsdosis auch das Risiko für Nebenwirkungen höher sein kann – folgende Dosis angewandt werden:</w:t>
            </w:r>
          </w:p>
          <w:p w14:paraId="19DFED2C" w14:textId="77777777" w:rsidR="00FE291A" w:rsidRDefault="00C8738F">
            <w:pPr>
              <w:widowControl/>
              <w:numPr>
                <w:ilvl w:val="0"/>
                <w:numId w:val="10"/>
              </w:numPr>
              <w:suppressAutoHyphens/>
              <w:autoSpaceDE/>
              <w:autoSpaceDN/>
              <w:adjustRightInd/>
              <w:ind w:left="307" w:hanging="180"/>
              <w:rPr>
                <w:rFonts w:eastAsia="Times New Roman"/>
                <w:sz w:val="22"/>
                <w:szCs w:val="22"/>
                <w:lang w:val="de-DE"/>
              </w:rPr>
            </w:pPr>
            <w:r>
              <w:rPr>
                <w:sz w:val="22"/>
                <w:szCs w:val="22"/>
                <w:lang w:val="de-DE"/>
              </w:rPr>
              <w:t>160 mg in Woche 0 und 80 mg in Woche 2</w:t>
            </w:r>
          </w:p>
        </w:tc>
        <w:tc>
          <w:tcPr>
            <w:tcW w:w="1949" w:type="dxa"/>
            <w:tcBorders>
              <w:top w:val="single" w:sz="6" w:space="0" w:color="000000"/>
              <w:left w:val="single" w:sz="6" w:space="0" w:color="000000"/>
              <w:bottom w:val="single" w:sz="6" w:space="0" w:color="000000"/>
              <w:right w:val="single" w:sz="6" w:space="0" w:color="000000"/>
            </w:tcBorders>
          </w:tcPr>
          <w:p w14:paraId="3E9A5F11" w14:textId="77777777" w:rsidR="00FE291A" w:rsidRDefault="00C8738F">
            <w:pPr>
              <w:suppressAutoHyphens/>
              <w:ind w:left="16"/>
              <w:jc w:val="center"/>
              <w:rPr>
                <w:rFonts w:eastAsia="Times New Roman"/>
                <w:sz w:val="22"/>
                <w:szCs w:val="22"/>
                <w:lang w:val="de-DE"/>
              </w:rPr>
            </w:pPr>
            <w:r>
              <w:rPr>
                <w:sz w:val="22"/>
                <w:szCs w:val="22"/>
                <w:lang w:val="de-DE"/>
              </w:rPr>
              <w:t>40 mg jede zweite Woche</w:t>
            </w:r>
          </w:p>
        </w:tc>
      </w:tr>
    </w:tbl>
    <w:p w14:paraId="3774C365" w14:textId="77777777" w:rsidR="00FE291A" w:rsidRDefault="00FE291A">
      <w:pPr>
        <w:keepNext/>
        <w:suppressAutoHyphens/>
        <w:rPr>
          <w:rFonts w:eastAsia="Times New Roman"/>
          <w:sz w:val="22"/>
          <w:lang w:val="de-DE"/>
        </w:rPr>
      </w:pPr>
    </w:p>
    <w:p w14:paraId="1578D34F" w14:textId="77777777" w:rsidR="00FE291A" w:rsidRDefault="00C8738F">
      <w:pPr>
        <w:keepNext/>
        <w:rPr>
          <w:sz w:val="22"/>
          <w:szCs w:val="22"/>
          <w:lang w:val="de-DE"/>
        </w:rPr>
      </w:pPr>
      <w:r>
        <w:rPr>
          <w:sz w:val="22"/>
          <w:szCs w:val="22"/>
          <w:lang w:val="de-DE"/>
        </w:rPr>
        <w:t>Patienten, die unzureichend ansprechen, können unter Umständen von einer Erhöhung der Dosis profitieren:</w:t>
      </w:r>
    </w:p>
    <w:p w14:paraId="574F3A77" w14:textId="77777777" w:rsidR="00FE291A" w:rsidRDefault="00C8738F">
      <w:pPr>
        <w:keepNext/>
        <w:widowControl/>
        <w:numPr>
          <w:ilvl w:val="0"/>
          <w:numId w:val="11"/>
        </w:numPr>
        <w:autoSpaceDE/>
        <w:autoSpaceDN/>
        <w:adjustRightInd/>
        <w:ind w:left="567" w:hanging="567"/>
        <w:rPr>
          <w:sz w:val="22"/>
          <w:szCs w:val="22"/>
          <w:lang w:val="de-DE"/>
        </w:rPr>
      </w:pPr>
      <w:r>
        <w:rPr>
          <w:sz w:val="22"/>
          <w:szCs w:val="22"/>
          <w:lang w:val="de-DE"/>
        </w:rPr>
        <w:t>&lt; 40 kg: 20 mg jede Woche</w:t>
      </w:r>
    </w:p>
    <w:p w14:paraId="1582CCFC" w14:textId="77777777" w:rsidR="00FE291A" w:rsidRDefault="00C8738F">
      <w:pPr>
        <w:keepNext/>
        <w:widowControl/>
        <w:numPr>
          <w:ilvl w:val="0"/>
          <w:numId w:val="11"/>
        </w:numPr>
        <w:autoSpaceDE/>
        <w:autoSpaceDN/>
        <w:adjustRightInd/>
        <w:ind w:left="567" w:hanging="567"/>
        <w:rPr>
          <w:sz w:val="22"/>
          <w:szCs w:val="22"/>
          <w:lang w:val="de-DE"/>
        </w:rPr>
      </w:pPr>
      <w:r>
        <w:rPr>
          <w:sz w:val="22"/>
          <w:szCs w:val="22"/>
          <w:lang w:val="de-DE"/>
        </w:rPr>
        <w:t>≥ 40 kg: 40 mg jede Woche oder 80 mg jede zweite Woche</w:t>
      </w:r>
    </w:p>
    <w:p w14:paraId="55FEACA6" w14:textId="77777777" w:rsidR="00FE291A" w:rsidRDefault="00FE291A">
      <w:pPr>
        <w:widowControl/>
        <w:kinsoku w:val="0"/>
        <w:overflowPunct w:val="0"/>
        <w:rPr>
          <w:sz w:val="22"/>
          <w:szCs w:val="22"/>
          <w:lang w:val="de-DE"/>
        </w:rPr>
      </w:pPr>
    </w:p>
    <w:p w14:paraId="263232A0" w14:textId="77777777" w:rsidR="00FE291A" w:rsidRDefault="00C8738F">
      <w:pPr>
        <w:pStyle w:val="BodyText"/>
        <w:widowControl/>
        <w:kinsoku w:val="0"/>
        <w:overflowPunct w:val="0"/>
        <w:ind w:left="0"/>
        <w:rPr>
          <w:lang w:val="de-DE"/>
        </w:rPr>
      </w:pPr>
      <w:r>
        <w:rPr>
          <w:lang w:val="de-DE"/>
        </w:rPr>
        <w:t>Die Fortsetzung der Therapie sollte bei einem Patienten, der bis Woche 12 nicht angesprochen hat, nochmals sorgfältig überdacht werden.</w:t>
      </w:r>
    </w:p>
    <w:p w14:paraId="6ECCE130" w14:textId="77777777" w:rsidR="00FE291A" w:rsidRDefault="00FE291A">
      <w:pPr>
        <w:widowControl/>
        <w:kinsoku w:val="0"/>
        <w:overflowPunct w:val="0"/>
        <w:rPr>
          <w:sz w:val="22"/>
          <w:szCs w:val="22"/>
          <w:lang w:val="de-DE"/>
        </w:rPr>
      </w:pPr>
    </w:p>
    <w:p w14:paraId="44E7F010" w14:textId="77777777" w:rsidR="00FE291A" w:rsidRDefault="00C8738F">
      <w:pPr>
        <w:pStyle w:val="BodyText"/>
        <w:widowControl/>
        <w:kinsoku w:val="0"/>
        <w:overflowPunct w:val="0"/>
        <w:ind w:left="0"/>
        <w:rPr>
          <w:lang w:val="de-DE"/>
        </w:rPr>
      </w:pPr>
      <w:r>
        <w:rPr>
          <w:lang w:val="de-DE"/>
        </w:rPr>
        <w:t>Es gibt in dieser Indikation keinen relevanten Nutzen von Adalimumab bei Kindern, die jünger als 6 Jahre sind.</w:t>
      </w:r>
    </w:p>
    <w:p w14:paraId="10F178F2" w14:textId="77777777" w:rsidR="00FE291A" w:rsidRDefault="00FE291A">
      <w:pPr>
        <w:pStyle w:val="BodyText"/>
        <w:widowControl/>
        <w:kinsoku w:val="0"/>
        <w:overflowPunct w:val="0"/>
        <w:ind w:left="0"/>
        <w:rPr>
          <w:lang w:val="de-DE"/>
        </w:rPr>
      </w:pPr>
    </w:p>
    <w:p w14:paraId="1AB99B4E" w14:textId="77777777" w:rsidR="00FE291A" w:rsidRDefault="00C8738F">
      <w:pPr>
        <w:widowControl/>
        <w:kinsoku w:val="0"/>
        <w:overflowPunct w:val="0"/>
        <w:rPr>
          <w:sz w:val="22"/>
          <w:szCs w:val="22"/>
          <w:lang w:val="de-DE"/>
        </w:rPr>
      </w:pPr>
      <w:r>
        <w:rPr>
          <w:sz w:val="22"/>
          <w:szCs w:val="22"/>
          <w:lang w:val="de-DE"/>
        </w:rPr>
        <w:t>In Abhängigkeit von den individuellen Behandlungsbedürfnissen kann AMGEVITA in verschiedenen Stärken und/oder Darreichungsformen erhältlich sein.</w:t>
      </w:r>
    </w:p>
    <w:p w14:paraId="5D87CC70" w14:textId="77777777" w:rsidR="00FE291A" w:rsidRDefault="00FE291A">
      <w:pPr>
        <w:pStyle w:val="BodyText"/>
        <w:widowControl/>
        <w:kinsoku w:val="0"/>
        <w:overflowPunct w:val="0"/>
        <w:ind w:left="0"/>
        <w:rPr>
          <w:lang w:val="de-DE"/>
        </w:rPr>
      </w:pPr>
    </w:p>
    <w:p w14:paraId="3DBABB01" w14:textId="77777777" w:rsidR="00FE291A" w:rsidRDefault="00C8738F">
      <w:pPr>
        <w:widowControl/>
        <w:rPr>
          <w:i/>
          <w:iCs/>
          <w:color w:val="000000"/>
          <w:sz w:val="22"/>
          <w:szCs w:val="22"/>
          <w:lang w:val="de-DE"/>
        </w:rPr>
      </w:pPr>
      <w:r>
        <w:rPr>
          <w:i/>
          <w:iCs/>
          <w:color w:val="000000"/>
          <w:sz w:val="22"/>
          <w:szCs w:val="22"/>
          <w:lang w:val="de-DE"/>
        </w:rPr>
        <w:t xml:space="preserve">Colitis ulcerosa bei Kindern und Jugendlichen </w:t>
      </w:r>
    </w:p>
    <w:p w14:paraId="3FA4F8CB" w14:textId="77777777" w:rsidR="00FE291A" w:rsidRDefault="00FE291A">
      <w:pPr>
        <w:widowControl/>
        <w:rPr>
          <w:color w:val="000000"/>
          <w:sz w:val="22"/>
          <w:szCs w:val="22"/>
          <w:lang w:val="de-DE"/>
        </w:rPr>
      </w:pPr>
    </w:p>
    <w:p w14:paraId="36E95F02" w14:textId="77777777" w:rsidR="00FE291A" w:rsidRDefault="00C8738F">
      <w:pPr>
        <w:pStyle w:val="BodyText"/>
        <w:widowControl/>
        <w:kinsoku w:val="0"/>
        <w:overflowPunct w:val="0"/>
        <w:ind w:left="0"/>
        <w:rPr>
          <w:color w:val="000000"/>
          <w:lang w:val="de-DE"/>
        </w:rPr>
      </w:pPr>
      <w:r>
        <w:rPr>
          <w:color w:val="000000"/>
          <w:lang w:val="de-DE"/>
        </w:rPr>
        <w:t>Die empfohlene Dosis von AMGEVITA für Patienten im Alter von 6 bis 17 Jahren mit Colitis ulcerosa wird anhand des Körpergewichts bestimmt (Tabelle 5). AMGEVITA wird subkutan injiziert.</w:t>
      </w:r>
    </w:p>
    <w:p w14:paraId="31EEB2B5" w14:textId="77777777" w:rsidR="00FE291A" w:rsidRDefault="00FE291A">
      <w:pPr>
        <w:tabs>
          <w:tab w:val="left" w:pos="720"/>
        </w:tabs>
        <w:rPr>
          <w:iCs/>
          <w:sz w:val="22"/>
          <w:szCs w:val="22"/>
          <w:lang w:val="de-DE" w:eastAsia="en-GB"/>
        </w:rPr>
      </w:pPr>
    </w:p>
    <w:p w14:paraId="2D4AA192" w14:textId="77777777" w:rsidR="00FE291A" w:rsidRDefault="00C8738F">
      <w:pPr>
        <w:keepNext/>
        <w:suppressAutoHyphens/>
        <w:rPr>
          <w:b/>
          <w:bCs/>
          <w:sz w:val="22"/>
          <w:szCs w:val="22"/>
          <w:lang w:val="de-DE"/>
        </w:rPr>
      </w:pPr>
      <w:r>
        <w:rPr>
          <w:rFonts w:eastAsia="Times New Roman"/>
          <w:b/>
          <w:sz w:val="22"/>
          <w:szCs w:val="22"/>
          <w:lang w:val="de-DE"/>
        </w:rPr>
        <w:t>Tabelle 5: AMGEVITA</w:t>
      </w:r>
      <w:r>
        <w:rPr>
          <w:b/>
          <w:bCs/>
          <w:sz w:val="22"/>
          <w:szCs w:val="22"/>
          <w:lang w:val="de-DE"/>
        </w:rPr>
        <w:t>-Dosis für Kinder und Jugendliche mit Colitis ulcerosa</w:t>
      </w:r>
    </w:p>
    <w:p w14:paraId="23253362" w14:textId="77777777" w:rsidR="00FE291A" w:rsidRDefault="00FE291A">
      <w:pPr>
        <w:keepNext/>
        <w:suppressAutoHyphens/>
        <w:rPr>
          <w:iCs/>
          <w:sz w:val="22"/>
          <w:szCs w:val="22"/>
          <w:lang w:val="de-DE" w:eastAsia="en-GB"/>
        </w:rPr>
      </w:pPr>
    </w:p>
    <w:tbl>
      <w:tblPr>
        <w:tblW w:w="4974" w:type="pct"/>
        <w:tblBorders>
          <w:top w:val="outset" w:sz="6" w:space="0" w:color="auto"/>
          <w:left w:val="outset" w:sz="6" w:space="0" w:color="auto"/>
          <w:bottom w:val="outset" w:sz="6" w:space="0" w:color="auto"/>
          <w:right w:val="outset" w:sz="6" w:space="0" w:color="auto"/>
        </w:tblBorders>
        <w:tblLayout w:type="fixed"/>
        <w:tblCellMar>
          <w:top w:w="28" w:type="dxa"/>
          <w:bottom w:w="28" w:type="dxa"/>
        </w:tblCellMar>
        <w:tblLook w:val="04A0" w:firstRow="1" w:lastRow="0" w:firstColumn="1" w:lastColumn="0" w:noHBand="0" w:noVBand="1"/>
      </w:tblPr>
      <w:tblGrid>
        <w:gridCol w:w="1272"/>
        <w:gridCol w:w="6028"/>
        <w:gridCol w:w="1708"/>
      </w:tblGrid>
      <w:tr w:rsidR="00FE291A" w14:paraId="421FFA40" w14:textId="77777777">
        <w:trPr>
          <w:cantSplit/>
          <w:tblHeader/>
        </w:trPr>
        <w:tc>
          <w:tcPr>
            <w:tcW w:w="706" w:type="pct"/>
            <w:tcBorders>
              <w:top w:val="single" w:sz="6" w:space="0" w:color="000000"/>
              <w:left w:val="single" w:sz="6" w:space="0" w:color="000000"/>
              <w:bottom w:val="single" w:sz="6" w:space="0" w:color="000000"/>
              <w:right w:val="single" w:sz="6" w:space="0" w:color="000000"/>
            </w:tcBorders>
          </w:tcPr>
          <w:p w14:paraId="65310C2B" w14:textId="77777777" w:rsidR="00FE291A" w:rsidRDefault="00C8738F">
            <w:pPr>
              <w:keepNext/>
              <w:suppressAutoHyphens/>
              <w:rPr>
                <w:rFonts w:eastAsia="Times New Roman"/>
                <w:sz w:val="22"/>
                <w:szCs w:val="22"/>
                <w:lang w:val="de-DE"/>
              </w:rPr>
            </w:pPr>
            <w:r>
              <w:rPr>
                <w:rFonts w:eastAsia="Times New Roman"/>
                <w:b/>
                <w:sz w:val="22"/>
                <w:szCs w:val="22"/>
                <w:lang w:val="de-DE"/>
              </w:rPr>
              <w:t>Gewicht des Patienten</w:t>
            </w:r>
          </w:p>
        </w:tc>
        <w:tc>
          <w:tcPr>
            <w:tcW w:w="3346" w:type="pct"/>
            <w:tcBorders>
              <w:top w:val="single" w:sz="6" w:space="0" w:color="000000"/>
              <w:left w:val="single" w:sz="6" w:space="0" w:color="000000"/>
              <w:bottom w:val="single" w:sz="6" w:space="0" w:color="000000"/>
              <w:right w:val="single" w:sz="6" w:space="0" w:color="000000"/>
            </w:tcBorders>
          </w:tcPr>
          <w:p w14:paraId="25ACB819" w14:textId="77777777" w:rsidR="00FE291A" w:rsidRDefault="00C8738F">
            <w:pPr>
              <w:keepNext/>
              <w:suppressAutoHyphens/>
              <w:rPr>
                <w:rFonts w:eastAsia="Times New Roman"/>
                <w:sz w:val="22"/>
                <w:szCs w:val="22"/>
                <w:lang w:val="de-DE"/>
              </w:rPr>
            </w:pPr>
            <w:r>
              <w:rPr>
                <w:rFonts w:eastAsia="Times New Roman"/>
                <w:b/>
                <w:sz w:val="22"/>
                <w:szCs w:val="22"/>
                <w:lang w:val="de-DE"/>
              </w:rPr>
              <w:t>Anfangsdosis</w:t>
            </w:r>
          </w:p>
        </w:tc>
        <w:tc>
          <w:tcPr>
            <w:tcW w:w="948" w:type="pct"/>
            <w:tcBorders>
              <w:top w:val="single" w:sz="6" w:space="0" w:color="000000"/>
              <w:left w:val="single" w:sz="6" w:space="0" w:color="000000"/>
              <w:bottom w:val="single" w:sz="6" w:space="0" w:color="000000"/>
              <w:right w:val="single" w:sz="6" w:space="0" w:color="000000"/>
            </w:tcBorders>
          </w:tcPr>
          <w:p w14:paraId="6E1F4ED4" w14:textId="77777777" w:rsidR="00FE291A" w:rsidRDefault="00C8738F">
            <w:pPr>
              <w:keepNext/>
              <w:suppressAutoHyphens/>
              <w:ind w:left="-81"/>
              <w:rPr>
                <w:b/>
                <w:sz w:val="22"/>
                <w:szCs w:val="22"/>
                <w:lang w:val="de-DE"/>
              </w:rPr>
            </w:pPr>
            <w:r>
              <w:rPr>
                <w:b/>
                <w:sz w:val="22"/>
                <w:szCs w:val="22"/>
                <w:lang w:val="de-DE"/>
              </w:rPr>
              <w:t>Erhaltungsdosis, beginnend in Woche 4*</w:t>
            </w:r>
          </w:p>
        </w:tc>
      </w:tr>
      <w:tr w:rsidR="00FE291A" w14:paraId="78002061" w14:textId="77777777">
        <w:trPr>
          <w:cantSplit/>
        </w:trPr>
        <w:tc>
          <w:tcPr>
            <w:tcW w:w="706" w:type="pct"/>
            <w:tcBorders>
              <w:top w:val="single" w:sz="6" w:space="0" w:color="000000"/>
              <w:left w:val="single" w:sz="6" w:space="0" w:color="000000"/>
              <w:bottom w:val="single" w:sz="6" w:space="0" w:color="000000"/>
              <w:right w:val="single" w:sz="6" w:space="0" w:color="000000"/>
            </w:tcBorders>
          </w:tcPr>
          <w:p w14:paraId="5FD03DFE" w14:textId="77777777" w:rsidR="00FE291A" w:rsidRDefault="00C8738F">
            <w:pPr>
              <w:keepNext/>
              <w:suppressAutoHyphens/>
              <w:jc w:val="center"/>
              <w:rPr>
                <w:rFonts w:eastAsia="Times New Roman"/>
                <w:sz w:val="22"/>
                <w:szCs w:val="22"/>
                <w:lang w:val="de-DE"/>
              </w:rPr>
            </w:pPr>
            <w:r>
              <w:rPr>
                <w:rFonts w:eastAsia="Times New Roman"/>
                <w:sz w:val="22"/>
                <w:szCs w:val="22"/>
                <w:lang w:val="de-DE"/>
              </w:rPr>
              <w:t>&lt; 40 kg</w:t>
            </w:r>
          </w:p>
        </w:tc>
        <w:tc>
          <w:tcPr>
            <w:tcW w:w="3346" w:type="pct"/>
            <w:tcBorders>
              <w:top w:val="single" w:sz="6" w:space="0" w:color="000000"/>
              <w:left w:val="single" w:sz="6" w:space="0" w:color="000000"/>
              <w:bottom w:val="single" w:sz="6" w:space="0" w:color="000000"/>
              <w:right w:val="single" w:sz="6" w:space="0" w:color="000000"/>
            </w:tcBorders>
          </w:tcPr>
          <w:p w14:paraId="52E723D2" w14:textId="77777777" w:rsidR="00FE291A" w:rsidRDefault="00C8738F">
            <w:pPr>
              <w:keepNext/>
              <w:widowControl/>
              <w:numPr>
                <w:ilvl w:val="0"/>
                <w:numId w:val="9"/>
              </w:numPr>
              <w:suppressAutoHyphens/>
              <w:autoSpaceDE/>
              <w:autoSpaceDN/>
              <w:adjustRightInd/>
              <w:ind w:left="370" w:hanging="283"/>
              <w:rPr>
                <w:rFonts w:eastAsia="Times New Roman"/>
                <w:iCs/>
                <w:sz w:val="22"/>
                <w:szCs w:val="22"/>
                <w:lang w:val="de-DE"/>
              </w:rPr>
            </w:pPr>
            <w:r>
              <w:rPr>
                <w:rFonts w:eastAsia="Times New Roman"/>
                <w:iCs/>
                <w:sz w:val="22"/>
                <w:szCs w:val="22"/>
                <w:lang w:val="de-DE"/>
              </w:rPr>
              <w:t>80</w:t>
            </w:r>
            <w:r>
              <w:rPr>
                <w:rFonts w:eastAsia="Times New Roman"/>
                <w:sz w:val="22"/>
                <w:szCs w:val="22"/>
                <w:lang w:val="de-DE"/>
              </w:rPr>
              <w:t> </w:t>
            </w:r>
            <w:r>
              <w:rPr>
                <w:rFonts w:eastAsia="Times New Roman"/>
                <w:iCs/>
                <w:sz w:val="22"/>
                <w:szCs w:val="22"/>
                <w:lang w:val="de-DE"/>
              </w:rPr>
              <w:t>mg in Woche 0 (</w:t>
            </w:r>
            <w:r>
              <w:rPr>
                <w:sz w:val="22"/>
                <w:szCs w:val="22"/>
                <w:lang w:val="de-DE"/>
              </w:rPr>
              <w:t>verabreicht als eine Injektion von 80 mg innerhalb eines Tages) und</w:t>
            </w:r>
          </w:p>
          <w:p w14:paraId="0856145F" w14:textId="77777777" w:rsidR="00FE291A" w:rsidRDefault="00C8738F">
            <w:pPr>
              <w:keepNext/>
              <w:widowControl/>
              <w:numPr>
                <w:ilvl w:val="0"/>
                <w:numId w:val="9"/>
              </w:numPr>
              <w:suppressAutoHyphens/>
              <w:autoSpaceDE/>
              <w:autoSpaceDN/>
              <w:adjustRightInd/>
              <w:ind w:left="370" w:hanging="283"/>
              <w:rPr>
                <w:rFonts w:eastAsia="Times New Roman"/>
                <w:iCs/>
                <w:sz w:val="22"/>
                <w:szCs w:val="22"/>
                <w:lang w:val="de-DE"/>
              </w:rPr>
            </w:pPr>
            <w:r>
              <w:rPr>
                <w:rFonts w:eastAsia="Times New Roman"/>
                <w:iCs/>
                <w:sz w:val="22"/>
                <w:szCs w:val="22"/>
                <w:lang w:val="de-DE"/>
              </w:rPr>
              <w:t>40</w:t>
            </w:r>
            <w:r>
              <w:rPr>
                <w:rFonts w:eastAsia="Times New Roman"/>
                <w:sz w:val="22"/>
                <w:szCs w:val="22"/>
                <w:lang w:val="de-DE"/>
              </w:rPr>
              <w:t> </w:t>
            </w:r>
            <w:r>
              <w:rPr>
                <w:rFonts w:eastAsia="Times New Roman"/>
                <w:iCs/>
                <w:sz w:val="22"/>
                <w:szCs w:val="22"/>
                <w:lang w:val="de-DE"/>
              </w:rPr>
              <w:t>mg in Woche 2 (verabreicht als eine Injektion von 40 mg)</w:t>
            </w:r>
          </w:p>
        </w:tc>
        <w:tc>
          <w:tcPr>
            <w:tcW w:w="948" w:type="pct"/>
            <w:tcBorders>
              <w:top w:val="single" w:sz="6" w:space="0" w:color="000000"/>
              <w:left w:val="single" w:sz="6" w:space="0" w:color="000000"/>
              <w:bottom w:val="single" w:sz="6" w:space="0" w:color="000000"/>
              <w:right w:val="single" w:sz="6" w:space="0" w:color="000000"/>
            </w:tcBorders>
          </w:tcPr>
          <w:p w14:paraId="69583542" w14:textId="77777777" w:rsidR="00FE291A" w:rsidRDefault="00C8738F">
            <w:pPr>
              <w:keepNext/>
              <w:suppressAutoHyphens/>
              <w:jc w:val="center"/>
              <w:rPr>
                <w:rFonts w:eastAsia="Times New Roman"/>
                <w:sz w:val="22"/>
                <w:szCs w:val="22"/>
                <w:lang w:val="de-DE"/>
              </w:rPr>
            </w:pPr>
            <w:r>
              <w:rPr>
                <w:rFonts w:eastAsia="Times New Roman"/>
                <w:sz w:val="22"/>
                <w:szCs w:val="22"/>
                <w:lang w:val="de-DE"/>
              </w:rPr>
              <w:t>40 mg jede zweite Woche</w:t>
            </w:r>
          </w:p>
        </w:tc>
      </w:tr>
      <w:tr w:rsidR="00FE291A" w14:paraId="71180EFB" w14:textId="77777777">
        <w:trPr>
          <w:cantSplit/>
        </w:trPr>
        <w:tc>
          <w:tcPr>
            <w:tcW w:w="706" w:type="pct"/>
            <w:tcBorders>
              <w:top w:val="single" w:sz="6" w:space="0" w:color="000000"/>
              <w:left w:val="single" w:sz="6" w:space="0" w:color="000000"/>
              <w:bottom w:val="single" w:sz="6" w:space="0" w:color="000000"/>
              <w:right w:val="single" w:sz="6" w:space="0" w:color="000000"/>
            </w:tcBorders>
          </w:tcPr>
          <w:p w14:paraId="37E72FA9" w14:textId="77777777" w:rsidR="00FE291A" w:rsidRDefault="00C8738F">
            <w:pPr>
              <w:suppressAutoHyphens/>
              <w:jc w:val="center"/>
              <w:rPr>
                <w:rFonts w:eastAsia="Times New Roman"/>
                <w:sz w:val="22"/>
                <w:szCs w:val="22"/>
                <w:lang w:val="de-DE"/>
              </w:rPr>
            </w:pPr>
            <w:r>
              <w:rPr>
                <w:rFonts w:eastAsia="Times New Roman"/>
                <w:sz w:val="22"/>
                <w:szCs w:val="22"/>
                <w:lang w:val="de-DE"/>
              </w:rPr>
              <w:t>≥ 40 kg</w:t>
            </w:r>
          </w:p>
        </w:tc>
        <w:tc>
          <w:tcPr>
            <w:tcW w:w="3346" w:type="pct"/>
            <w:tcBorders>
              <w:top w:val="single" w:sz="6" w:space="0" w:color="000000"/>
              <w:left w:val="single" w:sz="6" w:space="0" w:color="000000"/>
              <w:bottom w:val="single" w:sz="6" w:space="0" w:color="000000"/>
              <w:right w:val="single" w:sz="6" w:space="0" w:color="000000"/>
            </w:tcBorders>
          </w:tcPr>
          <w:p w14:paraId="3B1C3B24" w14:textId="77777777" w:rsidR="00FE291A" w:rsidRDefault="00C8738F">
            <w:pPr>
              <w:widowControl/>
              <w:numPr>
                <w:ilvl w:val="0"/>
                <w:numId w:val="10"/>
              </w:numPr>
              <w:suppressAutoHyphens/>
              <w:autoSpaceDE/>
              <w:autoSpaceDN/>
              <w:adjustRightInd/>
              <w:ind w:left="370" w:hanging="283"/>
              <w:rPr>
                <w:rFonts w:eastAsia="Times New Roman"/>
                <w:sz w:val="22"/>
                <w:szCs w:val="22"/>
                <w:lang w:val="de-DE"/>
              </w:rPr>
            </w:pPr>
            <w:r>
              <w:rPr>
                <w:rFonts w:eastAsia="Times New Roman"/>
                <w:sz w:val="22"/>
                <w:szCs w:val="22"/>
                <w:lang w:val="de-DE"/>
              </w:rPr>
              <w:t xml:space="preserve">160 mg in Woche 0 </w:t>
            </w:r>
            <w:r>
              <w:rPr>
                <w:sz w:val="22"/>
                <w:szCs w:val="22"/>
                <w:lang w:val="de-DE"/>
              </w:rPr>
              <w:t>(verabreicht als zwei Injektionen von 80 mg innerhalb eines Tages oder als eine Injektion von 80 mg pro Tag an zwei aufeinanderfolgenden Tagen) und</w:t>
            </w:r>
          </w:p>
          <w:p w14:paraId="45159843" w14:textId="77777777" w:rsidR="00FE291A" w:rsidRDefault="00C8738F">
            <w:pPr>
              <w:widowControl/>
              <w:numPr>
                <w:ilvl w:val="0"/>
                <w:numId w:val="10"/>
              </w:numPr>
              <w:suppressAutoHyphens/>
              <w:autoSpaceDE/>
              <w:autoSpaceDN/>
              <w:adjustRightInd/>
              <w:ind w:left="370" w:hanging="283"/>
              <w:rPr>
                <w:rFonts w:eastAsia="Times New Roman"/>
                <w:sz w:val="22"/>
                <w:szCs w:val="22"/>
                <w:lang w:val="de-DE"/>
              </w:rPr>
            </w:pPr>
            <w:r>
              <w:rPr>
                <w:rFonts w:eastAsia="Times New Roman"/>
                <w:sz w:val="22"/>
                <w:szCs w:val="22"/>
                <w:lang w:val="de-DE"/>
              </w:rPr>
              <w:t xml:space="preserve">80 mg in Woche 2 </w:t>
            </w:r>
            <w:r>
              <w:rPr>
                <w:sz w:val="22"/>
                <w:szCs w:val="22"/>
                <w:lang w:val="de-DE"/>
              </w:rPr>
              <w:t xml:space="preserve">(verabreicht als eine Injektion von 80 mg innerhalb eines Tages) </w:t>
            </w:r>
          </w:p>
        </w:tc>
        <w:tc>
          <w:tcPr>
            <w:tcW w:w="948" w:type="pct"/>
            <w:tcBorders>
              <w:top w:val="single" w:sz="6" w:space="0" w:color="000000"/>
              <w:left w:val="single" w:sz="6" w:space="0" w:color="000000"/>
              <w:bottom w:val="single" w:sz="6" w:space="0" w:color="000000"/>
              <w:right w:val="single" w:sz="6" w:space="0" w:color="000000"/>
            </w:tcBorders>
          </w:tcPr>
          <w:p w14:paraId="687F276A" w14:textId="77777777" w:rsidR="00FE291A" w:rsidRDefault="00C8738F">
            <w:pPr>
              <w:suppressAutoHyphens/>
              <w:jc w:val="center"/>
              <w:rPr>
                <w:rFonts w:eastAsia="Times New Roman"/>
                <w:sz w:val="22"/>
                <w:szCs w:val="22"/>
                <w:lang w:val="de-DE"/>
              </w:rPr>
            </w:pPr>
            <w:r>
              <w:rPr>
                <w:rFonts w:eastAsia="Times New Roman"/>
                <w:sz w:val="22"/>
                <w:szCs w:val="22"/>
                <w:lang w:val="de-DE"/>
              </w:rPr>
              <w:t>80 mg jede zweite Woche</w:t>
            </w:r>
          </w:p>
        </w:tc>
      </w:tr>
    </w:tbl>
    <w:p w14:paraId="4303AE97" w14:textId="77777777" w:rsidR="00FE291A" w:rsidRDefault="00C8738F">
      <w:pPr>
        <w:pStyle w:val="Default"/>
        <w:rPr>
          <w:sz w:val="20"/>
          <w:szCs w:val="20"/>
          <w:lang w:val="de-DE" w:eastAsia="en-IN"/>
        </w:rPr>
      </w:pPr>
      <w:r>
        <w:rPr>
          <w:iCs/>
          <w:sz w:val="20"/>
          <w:szCs w:val="20"/>
          <w:lang w:val="de-DE" w:eastAsia="en-GB"/>
        </w:rPr>
        <w:t xml:space="preserve">* </w:t>
      </w:r>
      <w:r>
        <w:rPr>
          <w:rFonts w:eastAsia="PMingLiU"/>
          <w:sz w:val="20"/>
          <w:szCs w:val="20"/>
          <w:lang w:val="de-DE" w:eastAsia="en-IN"/>
        </w:rPr>
        <w:t xml:space="preserve">Kinder, die 18 Jahre alt werden, während sie mit AMGEVITA behandelt werden, sollten die jeweils verordnete Erhaltungsdosis beibehalten. </w:t>
      </w:r>
    </w:p>
    <w:p w14:paraId="7F4DB6FC" w14:textId="77777777" w:rsidR="00FE291A" w:rsidRDefault="00FE291A">
      <w:pPr>
        <w:tabs>
          <w:tab w:val="left" w:pos="720"/>
        </w:tabs>
        <w:rPr>
          <w:iCs/>
          <w:sz w:val="21"/>
          <w:szCs w:val="20"/>
          <w:lang w:val="de-DE" w:eastAsia="en-GB"/>
        </w:rPr>
      </w:pPr>
    </w:p>
    <w:p w14:paraId="6371E379" w14:textId="77777777" w:rsidR="00FE291A" w:rsidRDefault="00C8738F">
      <w:pPr>
        <w:widowControl/>
        <w:rPr>
          <w:color w:val="000000"/>
          <w:sz w:val="22"/>
          <w:szCs w:val="22"/>
          <w:lang w:val="de-DE"/>
        </w:rPr>
      </w:pPr>
      <w:r>
        <w:rPr>
          <w:color w:val="000000"/>
          <w:sz w:val="22"/>
          <w:szCs w:val="22"/>
          <w:lang w:val="de-DE"/>
        </w:rPr>
        <w:t xml:space="preserve">Die Fortsetzung der Therapie länger als 8 Wochen sollte bei Patienten, die innerhalb dieser Zeitspanne keine Anzeichen eines Ansprechens aufweisen, sorgfältig abgewogen werden. </w:t>
      </w:r>
    </w:p>
    <w:p w14:paraId="23307199" w14:textId="77777777" w:rsidR="00FE291A" w:rsidRDefault="00FE291A">
      <w:pPr>
        <w:widowControl/>
        <w:rPr>
          <w:color w:val="000000"/>
          <w:sz w:val="22"/>
          <w:szCs w:val="22"/>
          <w:lang w:val="de-DE"/>
        </w:rPr>
      </w:pPr>
    </w:p>
    <w:p w14:paraId="1482CFDA" w14:textId="77777777" w:rsidR="00FE291A" w:rsidRDefault="00C8738F">
      <w:pPr>
        <w:widowControl/>
        <w:rPr>
          <w:color w:val="000000"/>
          <w:sz w:val="22"/>
          <w:szCs w:val="22"/>
          <w:lang w:val="de-DE"/>
        </w:rPr>
      </w:pPr>
      <w:r>
        <w:rPr>
          <w:color w:val="000000"/>
          <w:sz w:val="22"/>
          <w:szCs w:val="22"/>
          <w:lang w:val="de-DE"/>
        </w:rPr>
        <w:t>Es gibt in dieser Indikation keinen relevanten Nutzen von AMGEVITA bei Kindern, die jünger als 6 Jahre sind.</w:t>
      </w:r>
    </w:p>
    <w:p w14:paraId="796CACCB" w14:textId="77777777" w:rsidR="00FE291A" w:rsidRDefault="00FE291A">
      <w:pPr>
        <w:pStyle w:val="BodyText"/>
        <w:widowControl/>
        <w:kinsoku w:val="0"/>
        <w:overflowPunct w:val="0"/>
        <w:ind w:left="0"/>
        <w:rPr>
          <w:lang w:val="de-DE"/>
        </w:rPr>
      </w:pPr>
    </w:p>
    <w:p w14:paraId="592DD657" w14:textId="77777777" w:rsidR="00FE291A" w:rsidRDefault="00C8738F">
      <w:pPr>
        <w:widowControl/>
        <w:kinsoku w:val="0"/>
        <w:overflowPunct w:val="0"/>
        <w:rPr>
          <w:sz w:val="22"/>
          <w:szCs w:val="22"/>
          <w:lang w:val="de-DE"/>
        </w:rPr>
      </w:pPr>
      <w:r>
        <w:rPr>
          <w:sz w:val="22"/>
          <w:szCs w:val="22"/>
          <w:lang w:val="de-DE"/>
        </w:rPr>
        <w:t>In Abhängigkeit von den individuellen Behandlungsbedürfnissen kann AMGEVITA in verschiedenen Stärken und/oder Darreichungsformen erhältlich sein.</w:t>
      </w:r>
    </w:p>
    <w:p w14:paraId="4E84A557" w14:textId="77777777" w:rsidR="00FE291A" w:rsidRDefault="00FE291A">
      <w:pPr>
        <w:pStyle w:val="BodyText"/>
        <w:widowControl/>
        <w:kinsoku w:val="0"/>
        <w:overflowPunct w:val="0"/>
        <w:ind w:left="0"/>
        <w:rPr>
          <w:lang w:val="de-DE"/>
        </w:rPr>
      </w:pPr>
    </w:p>
    <w:p w14:paraId="51C7DD5C" w14:textId="77777777" w:rsidR="00FE291A" w:rsidRDefault="00C8738F">
      <w:pPr>
        <w:keepNext/>
        <w:rPr>
          <w:rFonts w:cs="Calibri"/>
          <w:i/>
          <w:sz w:val="22"/>
          <w:szCs w:val="22"/>
          <w:lang w:val="de-DE"/>
        </w:rPr>
      </w:pPr>
      <w:r>
        <w:rPr>
          <w:rFonts w:cs="Calibri"/>
          <w:i/>
          <w:sz w:val="22"/>
          <w:szCs w:val="22"/>
          <w:lang w:val="de-DE"/>
        </w:rPr>
        <w:t>Uveitis bei Kindern und Jugendlichen</w:t>
      </w:r>
    </w:p>
    <w:p w14:paraId="7B83FBB1" w14:textId="77777777" w:rsidR="00FE291A" w:rsidRDefault="00FE291A">
      <w:pPr>
        <w:keepNext/>
        <w:rPr>
          <w:rFonts w:cs="Calibri"/>
          <w:i/>
          <w:sz w:val="22"/>
          <w:szCs w:val="22"/>
          <w:lang w:val="de-DE"/>
        </w:rPr>
      </w:pPr>
    </w:p>
    <w:p w14:paraId="115BBD60" w14:textId="77777777" w:rsidR="00FE291A" w:rsidRDefault="00C8738F">
      <w:pPr>
        <w:rPr>
          <w:sz w:val="22"/>
          <w:szCs w:val="22"/>
          <w:lang w:val="de-DE"/>
        </w:rPr>
      </w:pPr>
      <w:r>
        <w:rPr>
          <w:rFonts w:cs="Calibri"/>
          <w:sz w:val="22"/>
          <w:szCs w:val="22"/>
          <w:lang w:val="de-DE"/>
        </w:rPr>
        <w:t>Die empfohlene Dosis von AMGEVITA bei Kindern und Jugendlichen mit Uveitis ab einem Alter von 2 Jahren wird anhand des Körpergewichts bestimmt (Tabelle</w:t>
      </w:r>
      <w:r>
        <w:rPr>
          <w:sz w:val="22"/>
          <w:szCs w:val="22"/>
          <w:lang w:val="de-DE"/>
        </w:rPr>
        <w:t> </w:t>
      </w:r>
      <w:r>
        <w:rPr>
          <w:rFonts w:cs="Calibri"/>
          <w:sz w:val="22"/>
          <w:szCs w:val="22"/>
          <w:lang w:val="de-DE"/>
        </w:rPr>
        <w:t>6). AMGEVITA</w:t>
      </w:r>
      <w:r>
        <w:rPr>
          <w:sz w:val="22"/>
          <w:szCs w:val="22"/>
          <w:lang w:val="de-DE"/>
        </w:rPr>
        <w:t xml:space="preserve"> wird subkutan injiziert. </w:t>
      </w:r>
    </w:p>
    <w:p w14:paraId="077CB9F6" w14:textId="77777777" w:rsidR="00FE291A" w:rsidRDefault="00FE291A">
      <w:pPr>
        <w:rPr>
          <w:sz w:val="22"/>
          <w:szCs w:val="22"/>
          <w:lang w:val="de-DE"/>
        </w:rPr>
      </w:pPr>
    </w:p>
    <w:p w14:paraId="56F6BAAD" w14:textId="77777777" w:rsidR="00FE291A" w:rsidRDefault="00C8738F">
      <w:pPr>
        <w:rPr>
          <w:rFonts w:cs="Calibri"/>
          <w:sz w:val="22"/>
          <w:szCs w:val="22"/>
          <w:lang w:val="de-DE"/>
        </w:rPr>
      </w:pPr>
      <w:r>
        <w:rPr>
          <w:rFonts w:cs="Calibri"/>
          <w:sz w:val="22"/>
          <w:szCs w:val="22"/>
          <w:lang w:val="de-DE"/>
        </w:rPr>
        <w:t>Es gibt keine Erfahrungen für die Behandlung der Uveitis bei Kindern und Jugendlichen mit AMGEVITA ohne die gleichzeitige Behandlung mit Methotrexat.</w:t>
      </w:r>
    </w:p>
    <w:p w14:paraId="52647469" w14:textId="77777777" w:rsidR="00FE291A" w:rsidRDefault="00FE291A">
      <w:pPr>
        <w:rPr>
          <w:rFonts w:cs="Calibri"/>
          <w:sz w:val="22"/>
          <w:szCs w:val="22"/>
          <w:lang w:val="de-DE"/>
        </w:rPr>
      </w:pPr>
    </w:p>
    <w:p w14:paraId="72D2B9C2" w14:textId="77777777" w:rsidR="00FE291A" w:rsidRDefault="00C8738F">
      <w:pPr>
        <w:keepNext/>
        <w:rPr>
          <w:rFonts w:cs="Calibri"/>
          <w:b/>
          <w:sz w:val="22"/>
          <w:szCs w:val="22"/>
          <w:lang w:val="de-DE"/>
        </w:rPr>
      </w:pPr>
      <w:r>
        <w:rPr>
          <w:rFonts w:cs="Calibri"/>
          <w:b/>
          <w:sz w:val="22"/>
          <w:szCs w:val="22"/>
          <w:lang w:val="de-DE"/>
        </w:rPr>
        <w:t>Tabelle 6: AMGEVITA-Dosis für Kinder und Jugendliche mit Uveitis</w:t>
      </w:r>
    </w:p>
    <w:p w14:paraId="192D2A9C" w14:textId="77777777" w:rsidR="00FE291A" w:rsidRDefault="00FE291A">
      <w:pPr>
        <w:keepNext/>
        <w:rPr>
          <w:rFonts w:cs="Calibri"/>
          <w:sz w:val="22"/>
          <w:szCs w:val="22"/>
          <w:lang w:val="de-DE"/>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255"/>
        <w:gridCol w:w="5105"/>
      </w:tblGrid>
      <w:tr w:rsidR="00FE291A" w14:paraId="5F166D5D" w14:textId="77777777">
        <w:trPr>
          <w:cantSplit/>
          <w:tblHeader/>
        </w:trPr>
        <w:tc>
          <w:tcPr>
            <w:tcW w:w="4255" w:type="dxa"/>
            <w:tcBorders>
              <w:top w:val="single" w:sz="4" w:space="0" w:color="auto"/>
              <w:left w:val="single" w:sz="4" w:space="0" w:color="auto"/>
              <w:bottom w:val="single" w:sz="4" w:space="0" w:color="auto"/>
              <w:right w:val="single" w:sz="4" w:space="0" w:color="auto"/>
            </w:tcBorders>
          </w:tcPr>
          <w:p w14:paraId="74C86222" w14:textId="77777777" w:rsidR="00FE291A" w:rsidRDefault="00C8738F">
            <w:pPr>
              <w:keepNext/>
              <w:tabs>
                <w:tab w:val="left" w:pos="720"/>
              </w:tabs>
              <w:suppressAutoHyphens/>
              <w:rPr>
                <w:rFonts w:eastAsia="Calibri"/>
                <w:b/>
                <w:sz w:val="22"/>
                <w:szCs w:val="22"/>
                <w:lang w:val="de-DE" w:eastAsia="ja-JP"/>
              </w:rPr>
            </w:pPr>
            <w:r>
              <w:rPr>
                <w:rFonts w:eastAsia="Calibri"/>
                <w:b/>
                <w:sz w:val="22"/>
                <w:szCs w:val="22"/>
                <w:lang w:val="de-DE" w:eastAsia="ja-JP"/>
              </w:rPr>
              <w:t>Gewicht des Patienten</w:t>
            </w:r>
          </w:p>
        </w:tc>
        <w:tc>
          <w:tcPr>
            <w:tcW w:w="5105" w:type="dxa"/>
            <w:tcBorders>
              <w:top w:val="single" w:sz="4" w:space="0" w:color="auto"/>
              <w:left w:val="single" w:sz="4" w:space="0" w:color="auto"/>
              <w:bottom w:val="single" w:sz="4" w:space="0" w:color="auto"/>
              <w:right w:val="single" w:sz="4" w:space="0" w:color="auto"/>
            </w:tcBorders>
          </w:tcPr>
          <w:p w14:paraId="4669ACC9" w14:textId="77777777" w:rsidR="00FE291A" w:rsidRDefault="00C8738F">
            <w:pPr>
              <w:keepNext/>
              <w:tabs>
                <w:tab w:val="left" w:pos="720"/>
              </w:tabs>
              <w:suppressAutoHyphens/>
              <w:rPr>
                <w:rFonts w:eastAsia="Calibri"/>
                <w:b/>
                <w:sz w:val="22"/>
                <w:szCs w:val="22"/>
                <w:lang w:val="de-DE" w:eastAsia="ja-JP"/>
              </w:rPr>
            </w:pPr>
            <w:r>
              <w:rPr>
                <w:rFonts w:eastAsia="Calibri"/>
                <w:b/>
                <w:sz w:val="22"/>
                <w:szCs w:val="22"/>
                <w:lang w:val="de-DE" w:eastAsia="ja-JP"/>
              </w:rPr>
              <w:t>Dosierungsschema</w:t>
            </w:r>
          </w:p>
        </w:tc>
      </w:tr>
      <w:tr w:rsidR="00FE291A" w:rsidRPr="00723069" w14:paraId="146E0FB3" w14:textId="77777777">
        <w:trPr>
          <w:cantSplit/>
          <w:tblHeader/>
        </w:trPr>
        <w:tc>
          <w:tcPr>
            <w:tcW w:w="4255" w:type="dxa"/>
            <w:tcBorders>
              <w:top w:val="single" w:sz="4" w:space="0" w:color="auto"/>
              <w:left w:val="single" w:sz="4" w:space="0" w:color="auto"/>
              <w:bottom w:val="single" w:sz="4" w:space="0" w:color="auto"/>
              <w:right w:val="single" w:sz="4" w:space="0" w:color="auto"/>
            </w:tcBorders>
          </w:tcPr>
          <w:p w14:paraId="7A6E7A86" w14:textId="77777777" w:rsidR="00FE291A" w:rsidRDefault="00C8738F">
            <w:pPr>
              <w:keepNext/>
              <w:tabs>
                <w:tab w:val="left" w:pos="720"/>
              </w:tabs>
              <w:suppressAutoHyphens/>
              <w:rPr>
                <w:rFonts w:eastAsia="Calibri"/>
                <w:b/>
                <w:sz w:val="22"/>
                <w:szCs w:val="22"/>
                <w:lang w:val="de-DE" w:eastAsia="ja-JP"/>
              </w:rPr>
            </w:pPr>
            <w:r>
              <w:rPr>
                <w:rFonts w:eastAsia="Calibri"/>
                <w:sz w:val="22"/>
                <w:szCs w:val="22"/>
                <w:lang w:val="de-DE" w:eastAsia="ja-JP"/>
              </w:rPr>
              <w:t>&lt; 30 kg</w:t>
            </w:r>
          </w:p>
        </w:tc>
        <w:tc>
          <w:tcPr>
            <w:tcW w:w="5105" w:type="dxa"/>
            <w:tcBorders>
              <w:top w:val="single" w:sz="4" w:space="0" w:color="auto"/>
              <w:left w:val="single" w:sz="4" w:space="0" w:color="auto"/>
              <w:bottom w:val="single" w:sz="4" w:space="0" w:color="auto"/>
              <w:right w:val="single" w:sz="4" w:space="0" w:color="auto"/>
            </w:tcBorders>
          </w:tcPr>
          <w:p w14:paraId="7B5F5C8A" w14:textId="77777777" w:rsidR="00FE291A" w:rsidRDefault="00C8738F">
            <w:pPr>
              <w:keepNext/>
              <w:tabs>
                <w:tab w:val="left" w:pos="720"/>
              </w:tabs>
              <w:suppressAutoHyphens/>
              <w:rPr>
                <w:rFonts w:eastAsia="Calibri"/>
                <w:sz w:val="22"/>
                <w:szCs w:val="22"/>
                <w:lang w:val="de-DE" w:eastAsia="ja-JP"/>
              </w:rPr>
            </w:pPr>
            <w:r>
              <w:rPr>
                <w:rFonts w:eastAsia="Calibri"/>
                <w:sz w:val="22"/>
                <w:szCs w:val="22"/>
                <w:lang w:val="de-DE" w:eastAsia="ja-JP"/>
              </w:rPr>
              <w:t>20 mg jede zweite Woche in Kombination mit Methotrexat</w:t>
            </w:r>
          </w:p>
        </w:tc>
      </w:tr>
      <w:tr w:rsidR="00FE291A" w:rsidRPr="00723069" w14:paraId="17BADC61" w14:textId="77777777">
        <w:trPr>
          <w:cantSplit/>
          <w:tblHeader/>
        </w:trPr>
        <w:tc>
          <w:tcPr>
            <w:tcW w:w="4255" w:type="dxa"/>
            <w:tcBorders>
              <w:top w:val="single" w:sz="4" w:space="0" w:color="auto"/>
              <w:left w:val="single" w:sz="4" w:space="0" w:color="auto"/>
              <w:bottom w:val="single" w:sz="4" w:space="0" w:color="auto"/>
              <w:right w:val="single" w:sz="4" w:space="0" w:color="auto"/>
            </w:tcBorders>
          </w:tcPr>
          <w:p w14:paraId="5D5CF95A" w14:textId="77777777" w:rsidR="00FE291A" w:rsidRDefault="00C8738F">
            <w:pPr>
              <w:tabs>
                <w:tab w:val="left" w:pos="720"/>
              </w:tabs>
              <w:suppressAutoHyphens/>
              <w:rPr>
                <w:rFonts w:eastAsia="Calibri"/>
                <w:b/>
                <w:sz w:val="22"/>
                <w:szCs w:val="22"/>
                <w:lang w:val="de-DE" w:eastAsia="ja-JP"/>
              </w:rPr>
            </w:pPr>
            <w:r>
              <w:rPr>
                <w:rFonts w:eastAsia="Calibri"/>
                <w:sz w:val="22"/>
                <w:szCs w:val="22"/>
                <w:lang w:val="de-DE" w:eastAsia="ja-JP"/>
              </w:rPr>
              <w:t>≥ 30 kg</w:t>
            </w:r>
          </w:p>
        </w:tc>
        <w:tc>
          <w:tcPr>
            <w:tcW w:w="5105" w:type="dxa"/>
            <w:tcBorders>
              <w:top w:val="single" w:sz="4" w:space="0" w:color="auto"/>
              <w:left w:val="single" w:sz="4" w:space="0" w:color="auto"/>
              <w:bottom w:val="single" w:sz="4" w:space="0" w:color="auto"/>
              <w:right w:val="single" w:sz="4" w:space="0" w:color="auto"/>
            </w:tcBorders>
          </w:tcPr>
          <w:p w14:paraId="52D6DBCB" w14:textId="77777777" w:rsidR="00FE291A" w:rsidRDefault="00C8738F">
            <w:pPr>
              <w:suppressAutoHyphens/>
              <w:rPr>
                <w:rFonts w:eastAsia="Times New Roman"/>
                <w:sz w:val="22"/>
                <w:szCs w:val="22"/>
                <w:lang w:val="de-DE"/>
              </w:rPr>
            </w:pPr>
            <w:r>
              <w:rPr>
                <w:rFonts w:eastAsia="Times New Roman"/>
                <w:sz w:val="22"/>
                <w:szCs w:val="22"/>
                <w:lang w:val="de-DE"/>
              </w:rPr>
              <w:t xml:space="preserve">40 mg </w:t>
            </w:r>
            <w:r>
              <w:rPr>
                <w:rFonts w:eastAsia="Calibri"/>
                <w:sz w:val="22"/>
                <w:szCs w:val="22"/>
                <w:lang w:val="de-DE" w:eastAsia="ja-JP"/>
              </w:rPr>
              <w:t>jede zweite Woche in Kombination mit Methotrexat</w:t>
            </w:r>
          </w:p>
        </w:tc>
      </w:tr>
    </w:tbl>
    <w:p w14:paraId="76A542B6" w14:textId="77777777" w:rsidR="00FE291A" w:rsidRDefault="00FE291A">
      <w:pPr>
        <w:rPr>
          <w:rFonts w:cs="Calibri"/>
          <w:sz w:val="22"/>
          <w:szCs w:val="22"/>
          <w:lang w:val="de-DE"/>
        </w:rPr>
      </w:pPr>
    </w:p>
    <w:p w14:paraId="3CFD3947" w14:textId="77777777" w:rsidR="00FE291A" w:rsidRDefault="00C8738F">
      <w:pPr>
        <w:pStyle w:val="BodyText"/>
        <w:widowControl/>
        <w:kinsoku w:val="0"/>
        <w:overflowPunct w:val="0"/>
        <w:ind w:left="0"/>
        <w:rPr>
          <w:rFonts w:cs="Calibri"/>
          <w:lang w:val="de-DE"/>
        </w:rPr>
      </w:pPr>
      <w:r>
        <w:rPr>
          <w:rFonts w:cs="Calibri"/>
          <w:lang w:val="de-DE"/>
        </w:rPr>
        <w:t>Wenn mit der AMGEVITA-Therapie begonnen wird, kann eine Woche vor Beginn der Erhaltungstherapie eine Induktionsdosis von 40 mg bei Patienten &lt; 30 kg bzw. 80 mg bei Patienten </w:t>
      </w:r>
      <w:r>
        <w:rPr>
          <w:lang w:val="de-DE"/>
        </w:rPr>
        <w:t>≥ </w:t>
      </w:r>
      <w:r>
        <w:rPr>
          <w:rFonts w:cs="Calibri"/>
          <w:lang w:val="de-DE"/>
        </w:rPr>
        <w:t>30 kg</w:t>
      </w:r>
      <w:r>
        <w:rPr>
          <w:rFonts w:cs="Calibri"/>
          <w:color w:val="FF0000"/>
          <w:lang w:val="de-DE"/>
        </w:rPr>
        <w:t xml:space="preserve"> </w:t>
      </w:r>
      <w:r>
        <w:rPr>
          <w:rFonts w:cs="Calibri"/>
          <w:lang w:val="de-DE"/>
        </w:rPr>
        <w:t>verabreicht werden. Zur Anwendung einer AMGEVITA-Induktionsdosis bei Kindern &lt; 6 Jahren sind keine klinischen Daten vorhanden (siehe Abschnitt 5.2).</w:t>
      </w:r>
    </w:p>
    <w:p w14:paraId="598B27B1" w14:textId="77777777" w:rsidR="00FE291A" w:rsidRDefault="00FE291A">
      <w:pPr>
        <w:pStyle w:val="BodyText"/>
        <w:widowControl/>
        <w:kinsoku w:val="0"/>
        <w:overflowPunct w:val="0"/>
        <w:ind w:left="0"/>
        <w:rPr>
          <w:rFonts w:cs="Calibri"/>
          <w:lang w:val="de-DE"/>
        </w:rPr>
      </w:pPr>
    </w:p>
    <w:p w14:paraId="4A7E9568" w14:textId="77777777" w:rsidR="00FE291A" w:rsidRDefault="00C8738F">
      <w:pPr>
        <w:pStyle w:val="BodyText"/>
        <w:widowControl/>
        <w:kinsoku w:val="0"/>
        <w:overflowPunct w:val="0"/>
        <w:ind w:left="0"/>
        <w:rPr>
          <w:rFonts w:cs="Calibri"/>
          <w:lang w:val="de-DE"/>
        </w:rPr>
      </w:pPr>
      <w:r>
        <w:rPr>
          <w:rFonts w:cs="Calibri"/>
          <w:lang w:val="de-DE"/>
        </w:rPr>
        <w:t>Für diese Indikation gibt es bei Kindern, die jünger als 2 Jahre sind, keine relevante Anwendung von AMGEVITA.</w:t>
      </w:r>
    </w:p>
    <w:p w14:paraId="75368408" w14:textId="77777777" w:rsidR="00FE291A" w:rsidRDefault="00FE291A">
      <w:pPr>
        <w:pStyle w:val="BodyText"/>
        <w:widowControl/>
        <w:kinsoku w:val="0"/>
        <w:overflowPunct w:val="0"/>
        <w:ind w:left="0"/>
        <w:rPr>
          <w:rFonts w:cs="Calibri"/>
          <w:lang w:val="de-DE"/>
        </w:rPr>
      </w:pPr>
    </w:p>
    <w:p w14:paraId="47740B29" w14:textId="77777777" w:rsidR="00FE291A" w:rsidRDefault="00C8738F">
      <w:pPr>
        <w:pStyle w:val="BodyText"/>
        <w:widowControl/>
        <w:kinsoku w:val="0"/>
        <w:overflowPunct w:val="0"/>
        <w:ind w:left="0"/>
        <w:rPr>
          <w:lang w:val="de-DE"/>
        </w:rPr>
      </w:pPr>
      <w:r>
        <w:rPr>
          <w:lang w:val="de-DE"/>
        </w:rPr>
        <w:t xml:space="preserve">Es wird empfohlen, Nutzen und Risiko einer Langzeitbehandlung jährlich zu beurteilen </w:t>
      </w:r>
      <w:r>
        <w:rPr>
          <w:rFonts w:cs="Calibri"/>
          <w:lang w:val="de-DE"/>
        </w:rPr>
        <w:t>(siehe Abschnitt 5.1).</w:t>
      </w:r>
    </w:p>
    <w:p w14:paraId="49DCFF3B" w14:textId="77777777" w:rsidR="00FE291A" w:rsidRDefault="00FE291A">
      <w:pPr>
        <w:widowControl/>
        <w:kinsoku w:val="0"/>
        <w:overflowPunct w:val="0"/>
        <w:rPr>
          <w:sz w:val="22"/>
          <w:lang w:val="de-DE"/>
        </w:rPr>
      </w:pPr>
    </w:p>
    <w:p w14:paraId="3E386462" w14:textId="77777777" w:rsidR="00FE291A" w:rsidRDefault="00C8738F">
      <w:pPr>
        <w:widowControl/>
        <w:kinsoku w:val="0"/>
        <w:overflowPunct w:val="0"/>
        <w:rPr>
          <w:sz w:val="22"/>
          <w:szCs w:val="22"/>
          <w:lang w:val="de-DE"/>
        </w:rPr>
      </w:pPr>
      <w:r>
        <w:rPr>
          <w:sz w:val="22"/>
          <w:szCs w:val="22"/>
          <w:lang w:val="de-DE"/>
        </w:rPr>
        <w:t>In Abhängigkeit von den individuellen Behandlungsbedürfnissen kann AMGEVITA in verschiedenen Stärken und/oder Darreichungsformen erhältlich sein.</w:t>
      </w:r>
    </w:p>
    <w:p w14:paraId="146FD74D" w14:textId="77777777" w:rsidR="00FE291A" w:rsidRDefault="00FE291A">
      <w:pPr>
        <w:widowControl/>
        <w:kinsoku w:val="0"/>
        <w:overflowPunct w:val="0"/>
        <w:rPr>
          <w:sz w:val="22"/>
          <w:lang w:val="de-DE"/>
        </w:rPr>
      </w:pPr>
    </w:p>
    <w:p w14:paraId="21A35454" w14:textId="77777777" w:rsidR="00FE291A" w:rsidRDefault="00C8738F">
      <w:pPr>
        <w:pStyle w:val="BodyText"/>
        <w:keepNext/>
        <w:widowControl/>
        <w:kinsoku w:val="0"/>
        <w:overflowPunct w:val="0"/>
        <w:ind w:left="0"/>
        <w:rPr>
          <w:lang w:val="de-DE"/>
        </w:rPr>
      </w:pPr>
      <w:r>
        <w:rPr>
          <w:u w:val="single"/>
          <w:lang w:val="de-DE"/>
        </w:rPr>
        <w:t>Art der Anwendung</w:t>
      </w:r>
    </w:p>
    <w:p w14:paraId="11E6EC91" w14:textId="77777777" w:rsidR="00FE291A" w:rsidRDefault="00FE291A">
      <w:pPr>
        <w:keepNext/>
        <w:widowControl/>
        <w:kinsoku w:val="0"/>
        <w:overflowPunct w:val="0"/>
        <w:rPr>
          <w:sz w:val="22"/>
          <w:szCs w:val="22"/>
          <w:lang w:val="de-DE"/>
        </w:rPr>
      </w:pPr>
    </w:p>
    <w:p w14:paraId="630E262E" w14:textId="77777777" w:rsidR="00FE291A" w:rsidRDefault="00C8738F">
      <w:pPr>
        <w:pStyle w:val="BodyText"/>
        <w:widowControl/>
        <w:kinsoku w:val="0"/>
        <w:overflowPunct w:val="0"/>
        <w:ind w:left="0"/>
        <w:rPr>
          <w:lang w:val="de-DE"/>
        </w:rPr>
      </w:pPr>
      <w:r>
        <w:rPr>
          <w:lang w:val="de-DE"/>
        </w:rPr>
        <w:t>AMGEVITA wird mittels subkutaner Injektion verabreicht. Die vollständige Anweisung für die Anwendung findet sich in der Packungsbeilage.</w:t>
      </w:r>
    </w:p>
    <w:p w14:paraId="30DB92B2" w14:textId="77777777" w:rsidR="00FE291A" w:rsidRDefault="00FE291A">
      <w:pPr>
        <w:widowControl/>
        <w:kinsoku w:val="0"/>
        <w:overflowPunct w:val="0"/>
        <w:rPr>
          <w:sz w:val="22"/>
          <w:szCs w:val="22"/>
          <w:lang w:val="de-DE"/>
        </w:rPr>
      </w:pPr>
    </w:p>
    <w:p w14:paraId="72978449" w14:textId="77777777" w:rsidR="00FE291A" w:rsidRDefault="00C8738F">
      <w:pPr>
        <w:pStyle w:val="Heading1"/>
        <w:keepNext/>
        <w:widowControl/>
        <w:numPr>
          <w:ilvl w:val="1"/>
          <w:numId w:val="14"/>
        </w:numPr>
        <w:tabs>
          <w:tab w:val="left" w:pos="567"/>
        </w:tabs>
        <w:kinsoku w:val="0"/>
        <w:overflowPunct w:val="0"/>
        <w:ind w:left="0" w:firstLine="0"/>
        <w:rPr>
          <w:b w:val="0"/>
          <w:bCs w:val="0"/>
          <w:lang w:val="de-DE"/>
        </w:rPr>
      </w:pPr>
      <w:r>
        <w:rPr>
          <w:lang w:val="de-DE"/>
        </w:rPr>
        <w:t>Gegenanzeigen</w:t>
      </w:r>
    </w:p>
    <w:p w14:paraId="39BAEB9E" w14:textId="77777777" w:rsidR="00FE291A" w:rsidRDefault="00FE291A">
      <w:pPr>
        <w:keepNext/>
        <w:widowControl/>
        <w:kinsoku w:val="0"/>
        <w:overflowPunct w:val="0"/>
        <w:rPr>
          <w:sz w:val="22"/>
          <w:szCs w:val="22"/>
          <w:lang w:val="de-DE"/>
        </w:rPr>
      </w:pPr>
    </w:p>
    <w:p w14:paraId="52EDD30E" w14:textId="77777777" w:rsidR="00FE291A" w:rsidRDefault="00C8738F">
      <w:pPr>
        <w:pStyle w:val="BodyText"/>
        <w:keepNext/>
        <w:widowControl/>
        <w:kinsoku w:val="0"/>
        <w:overflowPunct w:val="0"/>
        <w:ind w:left="0"/>
        <w:rPr>
          <w:lang w:val="de-DE"/>
        </w:rPr>
      </w:pPr>
      <w:r>
        <w:rPr>
          <w:lang w:val="de-DE"/>
        </w:rPr>
        <w:t>Überempfindlichkeit gegen den Wirkstoff oder einen der in Abschnitt 6.1 genannten sonstigen Bestandteile.</w:t>
      </w:r>
    </w:p>
    <w:p w14:paraId="08C6A4F1" w14:textId="77777777" w:rsidR="00FE291A" w:rsidRDefault="00FE291A">
      <w:pPr>
        <w:widowControl/>
        <w:kinsoku w:val="0"/>
        <w:overflowPunct w:val="0"/>
        <w:rPr>
          <w:sz w:val="22"/>
          <w:lang w:val="de-DE"/>
        </w:rPr>
      </w:pPr>
    </w:p>
    <w:p w14:paraId="47B277C2" w14:textId="77777777" w:rsidR="00FE291A" w:rsidRDefault="00C8738F">
      <w:pPr>
        <w:pStyle w:val="BodyText"/>
        <w:widowControl/>
        <w:kinsoku w:val="0"/>
        <w:overflowPunct w:val="0"/>
        <w:ind w:left="0"/>
        <w:rPr>
          <w:lang w:val="de-DE"/>
        </w:rPr>
      </w:pPr>
      <w:r>
        <w:rPr>
          <w:lang w:val="de-DE"/>
        </w:rPr>
        <w:t>Aktive Tuberkulose oder andere schwere Infektionen wie Sepsis und opportunistische Infektionen (siehe Abschnitt 4.4).</w:t>
      </w:r>
    </w:p>
    <w:p w14:paraId="24A92EE3" w14:textId="77777777" w:rsidR="00FE291A" w:rsidRDefault="00FE291A">
      <w:pPr>
        <w:widowControl/>
        <w:kinsoku w:val="0"/>
        <w:overflowPunct w:val="0"/>
        <w:rPr>
          <w:sz w:val="22"/>
          <w:lang w:val="de-DE"/>
        </w:rPr>
      </w:pPr>
    </w:p>
    <w:p w14:paraId="0978730A" w14:textId="77777777" w:rsidR="00FE291A" w:rsidRDefault="00C8738F">
      <w:pPr>
        <w:pStyle w:val="BodyText"/>
        <w:widowControl/>
        <w:kinsoku w:val="0"/>
        <w:overflowPunct w:val="0"/>
        <w:ind w:left="0"/>
        <w:rPr>
          <w:lang w:val="de-DE"/>
        </w:rPr>
      </w:pPr>
      <w:r>
        <w:rPr>
          <w:lang w:val="de-DE"/>
        </w:rPr>
        <w:t>Mäßige bis schwere Herzinsuffizienz (NYHA-Klasse III/IV) (siehe Abschnitt 4.4).</w:t>
      </w:r>
    </w:p>
    <w:p w14:paraId="6CE1FF6D" w14:textId="77777777" w:rsidR="00FE291A" w:rsidRDefault="00FE291A">
      <w:pPr>
        <w:widowControl/>
        <w:kinsoku w:val="0"/>
        <w:overflowPunct w:val="0"/>
        <w:rPr>
          <w:sz w:val="22"/>
          <w:szCs w:val="26"/>
          <w:lang w:val="de-DE"/>
        </w:rPr>
      </w:pPr>
    </w:p>
    <w:p w14:paraId="3510ECAA" w14:textId="77777777" w:rsidR="00FE291A" w:rsidRDefault="00C8738F">
      <w:pPr>
        <w:pStyle w:val="Heading1"/>
        <w:keepNext/>
        <w:widowControl/>
        <w:numPr>
          <w:ilvl w:val="1"/>
          <w:numId w:val="14"/>
        </w:numPr>
        <w:tabs>
          <w:tab w:val="left" w:pos="567"/>
        </w:tabs>
        <w:kinsoku w:val="0"/>
        <w:overflowPunct w:val="0"/>
        <w:ind w:left="0" w:firstLine="0"/>
        <w:rPr>
          <w:b w:val="0"/>
          <w:bCs w:val="0"/>
          <w:lang w:val="de-DE"/>
        </w:rPr>
      </w:pPr>
      <w:r>
        <w:rPr>
          <w:lang w:val="de-DE"/>
        </w:rPr>
        <w:t>Besondere Warnhinweise und Vorsichtsmaßnahmen für die Anwendung</w:t>
      </w:r>
    </w:p>
    <w:p w14:paraId="6553F72B" w14:textId="77777777" w:rsidR="00FE291A" w:rsidRDefault="00FE291A">
      <w:pPr>
        <w:keepNext/>
        <w:widowControl/>
        <w:kinsoku w:val="0"/>
        <w:overflowPunct w:val="0"/>
        <w:rPr>
          <w:sz w:val="22"/>
          <w:szCs w:val="22"/>
          <w:lang w:val="de-DE"/>
        </w:rPr>
      </w:pPr>
    </w:p>
    <w:p w14:paraId="613E1C6A" w14:textId="77777777" w:rsidR="00FE291A" w:rsidRDefault="00C8738F">
      <w:pPr>
        <w:keepNext/>
        <w:keepLines/>
        <w:rPr>
          <w:sz w:val="22"/>
          <w:szCs w:val="22"/>
          <w:u w:val="single"/>
          <w:lang w:val="de-DE"/>
        </w:rPr>
      </w:pPr>
      <w:r>
        <w:rPr>
          <w:sz w:val="22"/>
          <w:szCs w:val="22"/>
          <w:u w:val="single"/>
          <w:lang w:val="de-DE"/>
        </w:rPr>
        <w:t>Rückverfolgbarkeit</w:t>
      </w:r>
    </w:p>
    <w:p w14:paraId="26D4E8A6" w14:textId="77777777" w:rsidR="00FE291A" w:rsidRDefault="00FE291A">
      <w:pPr>
        <w:pStyle w:val="BodyText"/>
        <w:keepNext/>
        <w:widowControl/>
        <w:kinsoku w:val="0"/>
        <w:overflowPunct w:val="0"/>
        <w:ind w:left="0"/>
        <w:rPr>
          <w:lang w:val="de-DE"/>
        </w:rPr>
      </w:pPr>
    </w:p>
    <w:p w14:paraId="50EDEF7C" w14:textId="77777777" w:rsidR="00FE291A" w:rsidRDefault="00C8738F">
      <w:pPr>
        <w:pStyle w:val="BodyText"/>
        <w:keepNext/>
        <w:widowControl/>
        <w:kinsoku w:val="0"/>
        <w:overflowPunct w:val="0"/>
        <w:ind w:left="0"/>
        <w:rPr>
          <w:lang w:val="de-DE"/>
        </w:rPr>
      </w:pPr>
      <w:r>
        <w:rPr>
          <w:lang w:val="de-DE"/>
        </w:rPr>
        <w:t>Um die Rückverfolgbarkeit biologischer Arzneimittel zu verbessern, müssen die Bezeichnung des Arzneimittels und die Chargenbezeichnung des angewendeten Arzneimittels eindeutig dokumentiert werden.</w:t>
      </w:r>
    </w:p>
    <w:p w14:paraId="53095751" w14:textId="77777777" w:rsidR="00FE291A" w:rsidRDefault="00FE291A">
      <w:pPr>
        <w:widowControl/>
        <w:kinsoku w:val="0"/>
        <w:overflowPunct w:val="0"/>
        <w:rPr>
          <w:sz w:val="22"/>
          <w:szCs w:val="22"/>
          <w:lang w:val="de-DE"/>
        </w:rPr>
      </w:pPr>
    </w:p>
    <w:p w14:paraId="28678E27" w14:textId="77777777" w:rsidR="00FE291A" w:rsidRDefault="00C8738F">
      <w:pPr>
        <w:pStyle w:val="BodyText"/>
        <w:keepNext/>
        <w:widowControl/>
        <w:kinsoku w:val="0"/>
        <w:overflowPunct w:val="0"/>
        <w:ind w:left="0"/>
        <w:rPr>
          <w:lang w:val="de-DE"/>
        </w:rPr>
      </w:pPr>
      <w:r>
        <w:rPr>
          <w:u w:val="single"/>
          <w:lang w:val="de-DE"/>
        </w:rPr>
        <w:t>Infektionen</w:t>
      </w:r>
    </w:p>
    <w:p w14:paraId="27C52BD6" w14:textId="77777777" w:rsidR="00FE291A" w:rsidRDefault="00FE291A">
      <w:pPr>
        <w:keepNext/>
        <w:widowControl/>
        <w:kinsoku w:val="0"/>
        <w:overflowPunct w:val="0"/>
        <w:rPr>
          <w:sz w:val="22"/>
          <w:szCs w:val="22"/>
          <w:lang w:val="de-DE"/>
        </w:rPr>
      </w:pPr>
    </w:p>
    <w:p w14:paraId="522F7706" w14:textId="77777777" w:rsidR="00FE291A" w:rsidRDefault="00C8738F">
      <w:pPr>
        <w:pStyle w:val="BodyText"/>
        <w:widowControl/>
        <w:kinsoku w:val="0"/>
        <w:overflowPunct w:val="0"/>
        <w:ind w:left="0"/>
        <w:rPr>
          <w:lang w:val="de-DE"/>
        </w:rPr>
      </w:pPr>
      <w:r>
        <w:rPr>
          <w:lang w:val="de-DE"/>
        </w:rPr>
        <w:t>Patienten, die mit TNF-Antagonisten behandelt werden, sind für schwerwiegende Infektionen empfänglicher. Eine beeinträchtigte Lungenfunktion kann das Risiko für die Entwicklung von Infektionen erhöhen. Patienten müssen daher im Hinblick auf Infektionen, einschließlich Tuberkulose, vor, während und nach der Behandlung mit AMGEVITA engmaschig überwacht werden. Da die Elimination von Adalimumab bis zu vier Monate dauern kann, sollte die Überwachung über diesen Zeitraum fortgesetzt werden.</w:t>
      </w:r>
    </w:p>
    <w:p w14:paraId="01F6098F" w14:textId="77777777" w:rsidR="00FE291A" w:rsidRDefault="00FE291A">
      <w:pPr>
        <w:widowControl/>
        <w:kinsoku w:val="0"/>
        <w:overflowPunct w:val="0"/>
        <w:rPr>
          <w:sz w:val="22"/>
          <w:szCs w:val="22"/>
          <w:lang w:val="de-DE"/>
        </w:rPr>
      </w:pPr>
    </w:p>
    <w:p w14:paraId="56D96766" w14:textId="77777777" w:rsidR="00FE291A" w:rsidRDefault="00C8738F">
      <w:pPr>
        <w:pStyle w:val="BodyText"/>
        <w:widowControl/>
        <w:kinsoku w:val="0"/>
        <w:overflowPunct w:val="0"/>
        <w:ind w:left="0"/>
        <w:rPr>
          <w:lang w:val="de-DE"/>
        </w:rPr>
      </w:pPr>
      <w:r>
        <w:rPr>
          <w:lang w:val="de-DE"/>
        </w:rPr>
        <w:t xml:space="preserve">Eine Behandlung mit AMGEVITA sollte bei Patienten mit aktiven Infektionen, einschließlich chronischer oder lokalisierter Infektionen, erst eingeleitet werden, wenn die Infektionen unter Kontrolle sind. Bei Patienten, die Tuberkulose ausgesetzt waren und bei Patienten, die in Hochrisikogebiete von Tuberkulose oder von endemischen Mykosen wie z. B. Histoplasmose, Kokzidioidomykose oder Blastomykose gereist sind, müssen vor Beginn der Therapie Risiko und Vorteile einer Behandlung mit AMGEVITA sorgfältig überdacht werden (siehe </w:t>
      </w:r>
      <w:r>
        <w:rPr>
          <w:i/>
          <w:iCs/>
          <w:lang w:val="de-DE"/>
        </w:rPr>
        <w:t>Andere opportunistische Infektionen</w:t>
      </w:r>
      <w:r>
        <w:rPr>
          <w:lang w:val="de-DE"/>
        </w:rPr>
        <w:t>).</w:t>
      </w:r>
    </w:p>
    <w:p w14:paraId="6D609397" w14:textId="77777777" w:rsidR="00FE291A" w:rsidRDefault="00FE291A">
      <w:pPr>
        <w:widowControl/>
        <w:kinsoku w:val="0"/>
        <w:overflowPunct w:val="0"/>
        <w:rPr>
          <w:sz w:val="22"/>
          <w:szCs w:val="22"/>
          <w:lang w:val="de-DE"/>
        </w:rPr>
      </w:pPr>
    </w:p>
    <w:p w14:paraId="2D0AE90A" w14:textId="77777777" w:rsidR="00FE291A" w:rsidRDefault="00C8738F">
      <w:pPr>
        <w:pStyle w:val="BodyText"/>
        <w:widowControl/>
        <w:kinsoku w:val="0"/>
        <w:overflowPunct w:val="0"/>
        <w:ind w:left="0"/>
        <w:rPr>
          <w:lang w:val="de-DE"/>
        </w:rPr>
      </w:pPr>
      <w:r>
        <w:rPr>
          <w:lang w:val="de-DE"/>
        </w:rPr>
        <w:t>Patienten, bei denen sich unter Behandlung mit AMGEVITA eine neue Infektion entwickelt, sollten engmaschig beobachtet werden und sich einer vollständigen diagnostischen Beurteilung unterziehen. Tritt bei einem Patienten eine schwere Infektion oder Sepsis neu auf, sollte AMGEVITA so lange abgesetzt werden und eine geeignete antibakterielle oder antimykotische Therapie eingeleitet werden, bis die Infektion unter Kontrolle ist. Bei Patienten mit anamnestisch bekannten rezidivierenden Infektionen sowie mit Grunderkrankungen und Begleitmedikationen, die das Entstehen von Infektionen begünstigen, darunter auch die medikamentöse Behandlung mit Immunsuppressiva, sollte die Anwendung von AMGEVITA durch den behandelnden Arzt mit Vorsicht abgewogen werden.</w:t>
      </w:r>
    </w:p>
    <w:p w14:paraId="169AEEBD" w14:textId="77777777" w:rsidR="00FE291A" w:rsidRDefault="00FE291A">
      <w:pPr>
        <w:widowControl/>
        <w:kinsoku w:val="0"/>
        <w:overflowPunct w:val="0"/>
        <w:rPr>
          <w:sz w:val="22"/>
          <w:szCs w:val="22"/>
          <w:lang w:val="de-DE"/>
        </w:rPr>
      </w:pPr>
    </w:p>
    <w:p w14:paraId="50C594C9" w14:textId="77777777" w:rsidR="00FE291A" w:rsidRDefault="00C8738F">
      <w:pPr>
        <w:keepNext/>
        <w:widowControl/>
        <w:kinsoku w:val="0"/>
        <w:overflowPunct w:val="0"/>
        <w:rPr>
          <w:sz w:val="22"/>
          <w:szCs w:val="22"/>
          <w:lang w:val="de-DE"/>
        </w:rPr>
      </w:pPr>
      <w:r>
        <w:rPr>
          <w:i/>
          <w:iCs/>
          <w:sz w:val="22"/>
          <w:szCs w:val="22"/>
          <w:lang w:val="de-DE"/>
        </w:rPr>
        <w:t>Schwere Infektionen</w:t>
      </w:r>
    </w:p>
    <w:p w14:paraId="46E9D1D7" w14:textId="77777777" w:rsidR="00FE291A" w:rsidRDefault="00FE291A">
      <w:pPr>
        <w:keepNext/>
        <w:widowControl/>
        <w:kinsoku w:val="0"/>
        <w:overflowPunct w:val="0"/>
        <w:rPr>
          <w:sz w:val="22"/>
          <w:szCs w:val="22"/>
          <w:lang w:val="de-DE"/>
        </w:rPr>
      </w:pPr>
    </w:p>
    <w:p w14:paraId="1323F163" w14:textId="77777777" w:rsidR="00FE291A" w:rsidRDefault="00C8738F">
      <w:pPr>
        <w:pStyle w:val="BodyText"/>
        <w:widowControl/>
        <w:kinsoku w:val="0"/>
        <w:overflowPunct w:val="0"/>
        <w:ind w:left="0"/>
        <w:rPr>
          <w:lang w:val="de-DE"/>
        </w:rPr>
      </w:pPr>
      <w:r>
        <w:rPr>
          <w:lang w:val="de-DE"/>
        </w:rPr>
        <w:t>Schwere Infektionen, einschließlich Sepsis, aufgrund von bakteriellen, mykobakteriellen, invasiven Pilz</w:t>
      </w:r>
      <w:r>
        <w:rPr>
          <w:lang w:val="de-DE"/>
        </w:rPr>
        <w:noBreakHyphen/>
        <w:t>, Parasiten</w:t>
      </w:r>
      <w:r>
        <w:rPr>
          <w:lang w:val="de-DE"/>
        </w:rPr>
        <w:noBreakHyphen/>
        <w:t>, viralen oder anderen opportunistischen Infektionen, wie z. B. Listeriose, Legionellose und Pneumocystisinfektion, sind im Zusammenhang mit Adalimumab beschrieben worden.</w:t>
      </w:r>
    </w:p>
    <w:p w14:paraId="64F012FE" w14:textId="77777777" w:rsidR="00FE291A" w:rsidRDefault="00FE291A">
      <w:pPr>
        <w:widowControl/>
        <w:kinsoku w:val="0"/>
        <w:overflowPunct w:val="0"/>
        <w:rPr>
          <w:sz w:val="22"/>
          <w:szCs w:val="22"/>
          <w:lang w:val="de-DE"/>
        </w:rPr>
      </w:pPr>
    </w:p>
    <w:p w14:paraId="691584AB" w14:textId="77777777" w:rsidR="00FE291A" w:rsidRDefault="00C8738F">
      <w:pPr>
        <w:pStyle w:val="BodyText"/>
        <w:widowControl/>
        <w:kinsoku w:val="0"/>
        <w:overflowPunct w:val="0"/>
        <w:ind w:left="0"/>
        <w:rPr>
          <w:lang w:val="de-DE"/>
        </w:rPr>
      </w:pPr>
      <w:r>
        <w:rPr>
          <w:lang w:val="de-DE"/>
        </w:rPr>
        <w:t>Andere schwere Infektionen in klinischen Studien schließen Pneumonie, Pyelonephritis, septische Arthritis und Septikämie ein. Über Hospitalisierung oder Todesfälle in Verbindung mit Infektionen wurde berichtet.</w:t>
      </w:r>
    </w:p>
    <w:p w14:paraId="798F919F" w14:textId="77777777" w:rsidR="00FE291A" w:rsidRDefault="00FE291A">
      <w:pPr>
        <w:widowControl/>
        <w:kinsoku w:val="0"/>
        <w:overflowPunct w:val="0"/>
        <w:rPr>
          <w:sz w:val="22"/>
          <w:szCs w:val="22"/>
          <w:lang w:val="de-DE"/>
        </w:rPr>
      </w:pPr>
    </w:p>
    <w:p w14:paraId="13D28A7C" w14:textId="77777777" w:rsidR="00FE291A" w:rsidRDefault="00C8738F">
      <w:pPr>
        <w:keepNext/>
        <w:widowControl/>
        <w:kinsoku w:val="0"/>
        <w:overflowPunct w:val="0"/>
        <w:rPr>
          <w:i/>
          <w:iCs/>
          <w:sz w:val="22"/>
          <w:szCs w:val="22"/>
          <w:lang w:val="de-DE"/>
        </w:rPr>
      </w:pPr>
      <w:r>
        <w:rPr>
          <w:i/>
          <w:iCs/>
          <w:sz w:val="22"/>
          <w:szCs w:val="22"/>
          <w:lang w:val="de-DE"/>
        </w:rPr>
        <w:t>Tuberkulose</w:t>
      </w:r>
    </w:p>
    <w:p w14:paraId="0F176522" w14:textId="77777777" w:rsidR="00FE291A" w:rsidRDefault="00FE291A">
      <w:pPr>
        <w:keepNext/>
        <w:widowControl/>
        <w:kinsoku w:val="0"/>
        <w:overflowPunct w:val="0"/>
        <w:rPr>
          <w:i/>
          <w:iCs/>
          <w:sz w:val="22"/>
          <w:szCs w:val="22"/>
          <w:lang w:val="de-DE"/>
        </w:rPr>
      </w:pPr>
    </w:p>
    <w:p w14:paraId="0F8F71AB" w14:textId="77777777" w:rsidR="00FE291A" w:rsidRDefault="00C8738F">
      <w:pPr>
        <w:pStyle w:val="BodyText"/>
        <w:widowControl/>
        <w:kinsoku w:val="0"/>
        <w:overflowPunct w:val="0"/>
        <w:ind w:left="0"/>
        <w:rPr>
          <w:lang w:val="de-DE"/>
        </w:rPr>
      </w:pPr>
      <w:r>
        <w:rPr>
          <w:lang w:val="de-DE"/>
        </w:rPr>
        <w:t>Es gab Berichte von Tuberkulose, einschließlich Reaktivierung und Tuberkuloseneuerkrankungen, bei Patienten, die Adalimumab erhielten. Die Berichte umfassten pulmonale und extrapulmonale (d. h. disseminierte) Tuberkulosefälle.</w:t>
      </w:r>
    </w:p>
    <w:p w14:paraId="0D0855F6" w14:textId="77777777" w:rsidR="00FE291A" w:rsidRDefault="00FE291A">
      <w:pPr>
        <w:widowControl/>
        <w:kinsoku w:val="0"/>
        <w:overflowPunct w:val="0"/>
        <w:rPr>
          <w:sz w:val="22"/>
          <w:szCs w:val="22"/>
          <w:lang w:val="de-DE"/>
        </w:rPr>
      </w:pPr>
    </w:p>
    <w:p w14:paraId="13D6719F" w14:textId="77777777" w:rsidR="00FE291A" w:rsidRDefault="00C8738F">
      <w:pPr>
        <w:pStyle w:val="BodyText"/>
        <w:widowControl/>
        <w:kinsoku w:val="0"/>
        <w:overflowPunct w:val="0"/>
        <w:ind w:left="0"/>
        <w:rPr>
          <w:lang w:val="de-DE"/>
        </w:rPr>
      </w:pPr>
      <w:r>
        <w:rPr>
          <w:lang w:val="de-DE"/>
        </w:rPr>
        <w:t>Vor Beginn der Behandlung mit AMGEVITA müssen alle Patienten sowohl auf aktive als auch auf inaktive („latente“) Tuberkuloseinfektionen untersucht werden. Zu dieser Untersuchung sollte eine eingehende medizinische Anamnese des Patienten gehören. Diese sollte eine persönliche Tuberkulosevorerkrankung, mögliche frühere Kontakte zu Personen mit aktiver Tuberkulose und eine frühere bzw. derzeitige Behandlung mit Immunsuppressiva abklären. Geeignete Screeningtests (d. h. Tuberkulinhauttest und Röntgen-Thoraxaufnahme) sollten bei allen Patienten durchgeführt werden (nationale Empfehlungen sollten befolgt werden). Es wird empfohlen, die Durchführung und Ergebnisse dieser Tests auf dem Patientenpass zu dokumentieren. Verschreibende Ärzte werden an das Risiko der falsch-negativen Ergebnisse des Tuberkulinhauttests, insbesondere bei schwer erkrankten oder immunsupprimierten Patienten, erinnert.</w:t>
      </w:r>
    </w:p>
    <w:p w14:paraId="24D19D88" w14:textId="77777777" w:rsidR="00FE291A" w:rsidRDefault="00FE291A">
      <w:pPr>
        <w:widowControl/>
        <w:kinsoku w:val="0"/>
        <w:overflowPunct w:val="0"/>
        <w:rPr>
          <w:sz w:val="22"/>
          <w:szCs w:val="22"/>
          <w:lang w:val="de-DE"/>
        </w:rPr>
      </w:pPr>
    </w:p>
    <w:p w14:paraId="189529CC" w14:textId="77777777" w:rsidR="00FE291A" w:rsidRDefault="00C8738F">
      <w:pPr>
        <w:pStyle w:val="BodyText"/>
        <w:widowControl/>
        <w:kinsoku w:val="0"/>
        <w:overflowPunct w:val="0"/>
        <w:ind w:left="0"/>
        <w:rPr>
          <w:lang w:val="de-DE"/>
        </w:rPr>
      </w:pPr>
      <w:r>
        <w:rPr>
          <w:lang w:val="de-DE"/>
        </w:rPr>
        <w:t>Wird eine aktive Tuberkulose diagnostiziert, darf die Behandlung mit AMGEVITA nicht eingeleitet werden (siehe Abschnitt 4.3).</w:t>
      </w:r>
    </w:p>
    <w:p w14:paraId="2D714436" w14:textId="77777777" w:rsidR="00FE291A" w:rsidRDefault="00FE291A">
      <w:pPr>
        <w:widowControl/>
        <w:kinsoku w:val="0"/>
        <w:overflowPunct w:val="0"/>
        <w:rPr>
          <w:sz w:val="22"/>
          <w:szCs w:val="22"/>
          <w:lang w:val="de-DE"/>
        </w:rPr>
      </w:pPr>
    </w:p>
    <w:p w14:paraId="6D52A1EF" w14:textId="77777777" w:rsidR="00FE291A" w:rsidRDefault="00C8738F">
      <w:pPr>
        <w:pStyle w:val="BodyText"/>
        <w:widowControl/>
        <w:kinsoku w:val="0"/>
        <w:overflowPunct w:val="0"/>
        <w:ind w:left="0"/>
        <w:rPr>
          <w:lang w:val="de-DE"/>
        </w:rPr>
      </w:pPr>
      <w:r>
        <w:rPr>
          <w:lang w:val="de-DE"/>
        </w:rPr>
        <w:t>In allen nachstehend beschriebenen Situationen sollte das Nutzen-Risiko-Verhältnis einer Therapie sehr sorgfältig abgewogen werden.</w:t>
      </w:r>
    </w:p>
    <w:p w14:paraId="161B3142" w14:textId="77777777" w:rsidR="00FE291A" w:rsidRDefault="00FE291A">
      <w:pPr>
        <w:widowControl/>
        <w:kinsoku w:val="0"/>
        <w:overflowPunct w:val="0"/>
        <w:rPr>
          <w:sz w:val="22"/>
          <w:szCs w:val="22"/>
          <w:lang w:val="de-DE"/>
        </w:rPr>
      </w:pPr>
    </w:p>
    <w:p w14:paraId="2C3D65F4" w14:textId="77777777" w:rsidR="00FE291A" w:rsidRDefault="00C8738F">
      <w:pPr>
        <w:pStyle w:val="BodyText"/>
        <w:widowControl/>
        <w:kinsoku w:val="0"/>
        <w:overflowPunct w:val="0"/>
        <w:ind w:left="0"/>
        <w:rPr>
          <w:lang w:val="de-DE"/>
        </w:rPr>
      </w:pPr>
      <w:r>
        <w:rPr>
          <w:lang w:val="de-DE"/>
        </w:rPr>
        <w:t>Bei Verdacht auf latente Tuberkulose sollte ein in der Tuberkulosebehandlung erfahrener Arzt aufgesucht werden.</w:t>
      </w:r>
    </w:p>
    <w:p w14:paraId="4A7D053A" w14:textId="77777777" w:rsidR="00FE291A" w:rsidRDefault="00FE291A">
      <w:pPr>
        <w:widowControl/>
        <w:kinsoku w:val="0"/>
        <w:overflowPunct w:val="0"/>
        <w:rPr>
          <w:sz w:val="22"/>
          <w:szCs w:val="22"/>
          <w:lang w:val="de-DE"/>
        </w:rPr>
      </w:pPr>
    </w:p>
    <w:p w14:paraId="393E55C4" w14:textId="77777777" w:rsidR="00FE291A" w:rsidRDefault="00C8738F">
      <w:pPr>
        <w:pStyle w:val="BodyText"/>
        <w:widowControl/>
        <w:kinsoku w:val="0"/>
        <w:overflowPunct w:val="0"/>
        <w:ind w:left="0"/>
        <w:rPr>
          <w:lang w:val="de-DE"/>
        </w:rPr>
      </w:pPr>
      <w:r>
        <w:rPr>
          <w:lang w:val="de-DE"/>
        </w:rPr>
        <w:t>Wird eine latente Tuberkulose diagnostiziert, muss vor der ersten Gabe von AMGEVITA eine geeignete Tuberkuloseprophylaxe entsprechend den nationalen Empfehlungen begonnen werden.</w:t>
      </w:r>
    </w:p>
    <w:p w14:paraId="276D15EC" w14:textId="77777777" w:rsidR="00FE291A" w:rsidRDefault="00FE291A">
      <w:pPr>
        <w:widowControl/>
        <w:kinsoku w:val="0"/>
        <w:overflowPunct w:val="0"/>
        <w:rPr>
          <w:sz w:val="22"/>
          <w:szCs w:val="22"/>
          <w:lang w:val="de-DE"/>
        </w:rPr>
      </w:pPr>
    </w:p>
    <w:p w14:paraId="1EEED0C8" w14:textId="77777777" w:rsidR="00FE291A" w:rsidRDefault="00C8738F">
      <w:pPr>
        <w:pStyle w:val="BodyText"/>
        <w:widowControl/>
        <w:kinsoku w:val="0"/>
        <w:overflowPunct w:val="0"/>
        <w:ind w:left="0"/>
        <w:rPr>
          <w:lang w:val="de-DE"/>
        </w:rPr>
      </w:pPr>
      <w:r>
        <w:rPr>
          <w:lang w:val="de-DE"/>
        </w:rPr>
        <w:t>Eine Tuberkuloseprophylaxe vor Beginn der Behandlung mit AMGEVITA sollte ebenfalls bei Patienten erwogen werden, bei denen trotz negativem Tuberkulosetest mehrere oder signifikante Risikofaktoren für Tuberkulose gegeben sind, und bei Patienten mit anamnestisch bekannter latenter oder aktiver Tuberkulose, wenn unklar ist, ob eine adäquate Behandlung durchgeführt wurde.</w:t>
      </w:r>
    </w:p>
    <w:p w14:paraId="4ACC5E86" w14:textId="77777777" w:rsidR="00FE291A" w:rsidRDefault="00FE291A">
      <w:pPr>
        <w:widowControl/>
        <w:kinsoku w:val="0"/>
        <w:overflowPunct w:val="0"/>
        <w:rPr>
          <w:sz w:val="22"/>
          <w:szCs w:val="22"/>
          <w:lang w:val="de-DE"/>
        </w:rPr>
      </w:pPr>
    </w:p>
    <w:p w14:paraId="1D531AAA" w14:textId="77777777" w:rsidR="00FE291A" w:rsidRDefault="00C8738F">
      <w:pPr>
        <w:pStyle w:val="BodyText"/>
        <w:widowControl/>
        <w:kinsoku w:val="0"/>
        <w:overflowPunct w:val="0"/>
        <w:ind w:left="0"/>
        <w:rPr>
          <w:lang w:val="de-DE"/>
        </w:rPr>
      </w:pPr>
      <w:r>
        <w:rPr>
          <w:lang w:val="de-DE"/>
        </w:rPr>
        <w:t>Trotz Tuberkuloseprophylaxe sind Fälle von Tuberkulosereaktivierung bei Patienten, die mit Adalimumab behandelt wurden, aufgetreten. Einige Patienten, die zuvor erfolgreich gegen aktive Tuberkulose behandelt worden waren, entwickelten unter der Behandlung mit Adalimumab erneut eine Tuberkulose.</w:t>
      </w:r>
    </w:p>
    <w:p w14:paraId="1832B963" w14:textId="77777777" w:rsidR="00FE291A" w:rsidRDefault="00FE291A">
      <w:pPr>
        <w:widowControl/>
        <w:kinsoku w:val="0"/>
        <w:overflowPunct w:val="0"/>
        <w:rPr>
          <w:sz w:val="22"/>
          <w:szCs w:val="22"/>
          <w:lang w:val="de-DE"/>
        </w:rPr>
      </w:pPr>
    </w:p>
    <w:p w14:paraId="6CFEC555" w14:textId="77777777" w:rsidR="00FE291A" w:rsidRDefault="00C8738F">
      <w:pPr>
        <w:pStyle w:val="BodyText"/>
        <w:widowControl/>
        <w:kinsoku w:val="0"/>
        <w:overflowPunct w:val="0"/>
        <w:ind w:left="0"/>
        <w:rPr>
          <w:lang w:val="de-DE"/>
        </w:rPr>
      </w:pPr>
      <w:r>
        <w:rPr>
          <w:lang w:val="de-DE"/>
        </w:rPr>
        <w:t>Die Patienten sind anzuweisen, ärztlichen Rat einzuholen, falls es während oder nach der Behandlung mit AMGEVITA zu klinischen Anzeichen/Symptomen kommt, die auf eine Tuberkuloseinfektion hinweisen (z. B. anhaltender Husten, Kräfteschwund/Gewichtsverlust, leicht erhöhte Körpertemperatur, Teilnahmslosigkeit).</w:t>
      </w:r>
    </w:p>
    <w:p w14:paraId="04E53AD4" w14:textId="77777777" w:rsidR="00FE291A" w:rsidRDefault="00FE291A">
      <w:pPr>
        <w:widowControl/>
        <w:kinsoku w:val="0"/>
        <w:overflowPunct w:val="0"/>
        <w:rPr>
          <w:sz w:val="22"/>
          <w:szCs w:val="22"/>
          <w:lang w:val="de-DE"/>
        </w:rPr>
      </w:pPr>
    </w:p>
    <w:p w14:paraId="690E8EAF" w14:textId="77777777" w:rsidR="00FE291A" w:rsidRDefault="00C8738F">
      <w:pPr>
        <w:keepNext/>
        <w:keepLines/>
        <w:widowControl/>
        <w:kinsoku w:val="0"/>
        <w:overflowPunct w:val="0"/>
        <w:rPr>
          <w:sz w:val="22"/>
          <w:szCs w:val="22"/>
          <w:lang w:val="de-DE"/>
        </w:rPr>
      </w:pPr>
      <w:r>
        <w:rPr>
          <w:i/>
          <w:iCs/>
          <w:sz w:val="22"/>
          <w:szCs w:val="22"/>
          <w:lang w:val="de-DE"/>
        </w:rPr>
        <w:t>Andere opportunistische Infektionen</w:t>
      </w:r>
    </w:p>
    <w:p w14:paraId="6E84CE33" w14:textId="77777777" w:rsidR="00FE291A" w:rsidRDefault="00FE291A">
      <w:pPr>
        <w:keepNext/>
        <w:keepLines/>
        <w:widowControl/>
        <w:kinsoku w:val="0"/>
        <w:overflowPunct w:val="0"/>
        <w:rPr>
          <w:sz w:val="22"/>
          <w:szCs w:val="22"/>
          <w:lang w:val="de-DE"/>
        </w:rPr>
      </w:pPr>
    </w:p>
    <w:p w14:paraId="77E779AD" w14:textId="77777777" w:rsidR="00FE291A" w:rsidRDefault="00C8738F">
      <w:pPr>
        <w:pStyle w:val="BodyText"/>
        <w:keepNext/>
        <w:keepLines/>
        <w:widowControl/>
        <w:kinsoku w:val="0"/>
        <w:overflowPunct w:val="0"/>
        <w:ind w:left="0"/>
        <w:rPr>
          <w:lang w:val="de-DE"/>
        </w:rPr>
      </w:pPr>
      <w:r>
        <w:rPr>
          <w:lang w:val="de-DE"/>
        </w:rPr>
        <w:t>Opportunistische Infektionen, einschließlich invasiver Pilzinfektionen, wurden bei Patienten beobachtet, die Adalimumab erhielten. Diese Infektionen wurden nicht lückenlos bei Patienten erkannt, die TNF</w:t>
      </w:r>
      <w:r>
        <w:rPr>
          <w:lang w:val="de-DE"/>
        </w:rPr>
        <w:noBreakHyphen/>
        <w:t>Antagonisten anwendeten. Dies führte zu Verzögerungen bei der geeigneten Therapie, manchmal mit tödlichem Ausgang.</w:t>
      </w:r>
    </w:p>
    <w:p w14:paraId="0633EB7F" w14:textId="77777777" w:rsidR="00FE291A" w:rsidRDefault="00FE291A">
      <w:pPr>
        <w:widowControl/>
        <w:kinsoku w:val="0"/>
        <w:overflowPunct w:val="0"/>
        <w:rPr>
          <w:sz w:val="22"/>
          <w:szCs w:val="22"/>
          <w:lang w:val="de-DE"/>
        </w:rPr>
      </w:pPr>
    </w:p>
    <w:p w14:paraId="10DE0E2D" w14:textId="77777777" w:rsidR="00FE291A" w:rsidRDefault="00C8738F">
      <w:pPr>
        <w:pStyle w:val="BodyText"/>
        <w:widowControl/>
        <w:kinsoku w:val="0"/>
        <w:overflowPunct w:val="0"/>
        <w:ind w:left="0"/>
        <w:rPr>
          <w:lang w:val="de-DE"/>
        </w:rPr>
      </w:pPr>
      <w:r>
        <w:rPr>
          <w:lang w:val="de-DE"/>
        </w:rPr>
        <w:t>Bei Patienten, die Anzeichen oder Symptome wie z. B. Fieber, Unwohlsein, Gewichtsverlust, Schweißausbrüche, Husten, Atemnot und/oder Lungeninfiltrate oder eine andere schwere systemische Erkrankung mit oder ohne gleichzeitigem Schock entwickeln, ist eine invasive Pilzinfektion zu befürchten. Die Verabreichung von AMGEVITA muss sofort unterbrochen werden. Bei diesen Patienten sollten die Diagnose und die Einleitung einer empirischen Antimykotikatherapie mit einem Arzt abgesprochen werden, der in der Behandlung von Patienten mit invasiven Pilzinfektionen Erfahrung hat.</w:t>
      </w:r>
    </w:p>
    <w:p w14:paraId="31D2A02D" w14:textId="77777777" w:rsidR="00FE291A" w:rsidRDefault="00FE291A">
      <w:pPr>
        <w:widowControl/>
        <w:kinsoku w:val="0"/>
        <w:overflowPunct w:val="0"/>
        <w:rPr>
          <w:sz w:val="22"/>
          <w:szCs w:val="22"/>
          <w:lang w:val="de-DE"/>
        </w:rPr>
      </w:pPr>
    </w:p>
    <w:p w14:paraId="7857B14A" w14:textId="77777777" w:rsidR="00FE291A" w:rsidRDefault="00C8738F">
      <w:pPr>
        <w:pStyle w:val="BodyText"/>
        <w:keepNext/>
        <w:widowControl/>
        <w:kinsoku w:val="0"/>
        <w:overflowPunct w:val="0"/>
        <w:ind w:left="0"/>
        <w:rPr>
          <w:lang w:val="de-DE"/>
        </w:rPr>
      </w:pPr>
      <w:r>
        <w:rPr>
          <w:u w:val="single"/>
          <w:lang w:val="de-DE"/>
        </w:rPr>
        <w:t>Hepatitis-B-Reaktivierung</w:t>
      </w:r>
    </w:p>
    <w:p w14:paraId="57396702" w14:textId="77777777" w:rsidR="00FE291A" w:rsidRDefault="00FE291A">
      <w:pPr>
        <w:keepNext/>
        <w:widowControl/>
        <w:kinsoku w:val="0"/>
        <w:overflowPunct w:val="0"/>
        <w:rPr>
          <w:sz w:val="22"/>
          <w:szCs w:val="22"/>
          <w:lang w:val="de-DE"/>
        </w:rPr>
      </w:pPr>
    </w:p>
    <w:p w14:paraId="50318CC5" w14:textId="77777777" w:rsidR="00FE291A" w:rsidRDefault="00C8738F">
      <w:pPr>
        <w:pStyle w:val="BodyText"/>
        <w:widowControl/>
        <w:kinsoku w:val="0"/>
        <w:overflowPunct w:val="0"/>
        <w:ind w:left="0"/>
        <w:rPr>
          <w:lang w:val="de-DE"/>
        </w:rPr>
      </w:pPr>
      <w:r>
        <w:rPr>
          <w:lang w:val="de-DE"/>
        </w:rPr>
        <w:t>Die Reaktivierung einer Hepatitis B trat bei Patienten auf, die einen TNF-Antagonisten, einschließlich Adalimumab, erhielten und chronische Träger dieses Virus waren (d. h. HBsAg-positiv). Einige Fälle nahmen einen tödlichen Ausgang. Patienten müssen vor Beginn der Therapie mit AMGEVITA auf eine HBV</w:t>
      </w:r>
      <w:r>
        <w:rPr>
          <w:lang w:val="de-DE"/>
        </w:rPr>
        <w:noBreakHyphen/>
        <w:t>Infektion untersucht werden. Patienten, die positiv auf eine Hepatitis-B-Infektion getestet wurden, sollten Rücksprache mit einem Arzt halten, der Fachkenntnisse zur Behandlung von Hepatitis B hat.</w:t>
      </w:r>
    </w:p>
    <w:p w14:paraId="17F241A1" w14:textId="77777777" w:rsidR="00FE291A" w:rsidRDefault="00FE291A">
      <w:pPr>
        <w:widowControl/>
        <w:kinsoku w:val="0"/>
        <w:overflowPunct w:val="0"/>
        <w:rPr>
          <w:sz w:val="22"/>
          <w:szCs w:val="22"/>
          <w:lang w:val="de-DE"/>
        </w:rPr>
      </w:pPr>
    </w:p>
    <w:p w14:paraId="43CC6BB8" w14:textId="77777777" w:rsidR="00FE291A" w:rsidRDefault="00C8738F">
      <w:pPr>
        <w:pStyle w:val="BodyText"/>
        <w:widowControl/>
        <w:kinsoku w:val="0"/>
        <w:overflowPunct w:val="0"/>
        <w:ind w:left="0"/>
        <w:rPr>
          <w:lang w:val="de-DE"/>
        </w:rPr>
      </w:pPr>
      <w:r>
        <w:rPr>
          <w:lang w:val="de-DE"/>
        </w:rPr>
        <w:t>Träger von HBV, die eine Behandlung mit AMGEVITA benötigen, müssen engmaschig auf Anzeichen und Symptome einer aktiven HBV-Infektion sowohl während der gesamten Therapie als auch mehrere Monate nach Beendigung der Therapie überwacht werden. Es gibt keine ausreichenden Daten zur Vorbeugung einer HBV-Reaktivierung durch eine antivirale Therapie bei Patienten, die mit TNF</w:t>
      </w:r>
      <w:r>
        <w:rPr>
          <w:lang w:val="de-DE"/>
        </w:rPr>
        <w:noBreakHyphen/>
        <w:t>Antagonisten behandelt werden und Träger von HBV sind. Patienten, bei denen eine HBV</w:t>
      </w:r>
      <w:r>
        <w:rPr>
          <w:lang w:val="de-DE"/>
        </w:rPr>
        <w:noBreakHyphen/>
        <w:t>Reaktivierung auftritt, müssen AMGEVITA absetzen, und eine effektive antivirale Therapie mit geeigneter unterstützender Behandlung muss eingeleitet werden.</w:t>
      </w:r>
    </w:p>
    <w:p w14:paraId="144D4E75" w14:textId="77777777" w:rsidR="00FE291A" w:rsidRDefault="00FE291A">
      <w:pPr>
        <w:widowControl/>
        <w:kinsoku w:val="0"/>
        <w:overflowPunct w:val="0"/>
        <w:rPr>
          <w:sz w:val="22"/>
          <w:szCs w:val="22"/>
          <w:lang w:val="de-DE"/>
        </w:rPr>
      </w:pPr>
    </w:p>
    <w:p w14:paraId="74C7A575" w14:textId="77777777" w:rsidR="00FE291A" w:rsidRDefault="00C8738F">
      <w:pPr>
        <w:pStyle w:val="BodyText"/>
        <w:keepNext/>
        <w:widowControl/>
        <w:kinsoku w:val="0"/>
        <w:overflowPunct w:val="0"/>
        <w:ind w:left="0"/>
        <w:rPr>
          <w:lang w:val="de-DE"/>
        </w:rPr>
      </w:pPr>
      <w:r>
        <w:rPr>
          <w:u w:val="single"/>
          <w:lang w:val="de-DE"/>
        </w:rPr>
        <w:t>Neurologische Ereignisse</w:t>
      </w:r>
    </w:p>
    <w:p w14:paraId="2A237A3B" w14:textId="77777777" w:rsidR="00FE291A" w:rsidRDefault="00FE291A">
      <w:pPr>
        <w:widowControl/>
        <w:kinsoku w:val="0"/>
        <w:overflowPunct w:val="0"/>
        <w:rPr>
          <w:sz w:val="22"/>
          <w:szCs w:val="22"/>
          <w:lang w:val="de-DE"/>
        </w:rPr>
      </w:pPr>
    </w:p>
    <w:p w14:paraId="2E1505AC" w14:textId="77777777" w:rsidR="00FE291A" w:rsidRDefault="00C8738F">
      <w:pPr>
        <w:pStyle w:val="BodyText"/>
        <w:widowControl/>
        <w:kinsoku w:val="0"/>
        <w:overflowPunct w:val="0"/>
        <w:ind w:left="0"/>
        <w:rPr>
          <w:lang w:val="de-DE"/>
        </w:rPr>
      </w:pPr>
      <w:r>
        <w:rPr>
          <w:lang w:val="de-DE"/>
        </w:rPr>
        <w:t>TNF-Antagonisten, einschließlich Adalimumab, wurden in seltenen Fällen mit dem neuen Auftreten oder der Verstärkung der klinischen Symptomatik und/oder dem radiologischen Nachweis von demyelinisierenden Erkrankungen im zentralen Nervensystem, einschließlich multipler Sklerose und Optikusneuritis, und demyelinisierenden Erkrankungen im peripheren Nervensystem, einschließlich Guillain-Barré-Syndrom, in Verbindung gebracht. Die Verordnung von AMGEVITA sollte bei Patienten mit vorbestehenden oder beginnenden demyelinisierenden Erkrankungen des ZNS oder des peripheren Nervensystems vom verschreibenden Arzt sorgfältig abgewogen werden. Tritt eine dieser Erkrankungen auf, sollte in Betracht gezogen werden, AMGEVITA abzusetzen. Es besteht ein bekannter Zusammenhang zwischen einer Uveitis intermedia und demyelinisierenden Erkrankungen des ZNS. Patienten mit nicht infektiöser Uveitis intermedia sollten vor der Einleitung einer AMGEVITA-Therapie und regelmäßig während der Behandlung neurologisch untersucht werden, um vorbestehende oder beginnende demyelinisierende Erkrankungen des ZNS zu erfassen.</w:t>
      </w:r>
    </w:p>
    <w:p w14:paraId="778761F6" w14:textId="77777777" w:rsidR="00FE291A" w:rsidRDefault="00FE291A">
      <w:pPr>
        <w:widowControl/>
        <w:kinsoku w:val="0"/>
        <w:overflowPunct w:val="0"/>
        <w:rPr>
          <w:sz w:val="22"/>
          <w:szCs w:val="22"/>
          <w:lang w:val="de-DE"/>
        </w:rPr>
      </w:pPr>
    </w:p>
    <w:p w14:paraId="1FC60957" w14:textId="77777777" w:rsidR="00FE291A" w:rsidRDefault="00C8738F">
      <w:pPr>
        <w:pStyle w:val="BodyText"/>
        <w:keepNext/>
        <w:widowControl/>
        <w:kinsoku w:val="0"/>
        <w:overflowPunct w:val="0"/>
        <w:ind w:left="0"/>
        <w:rPr>
          <w:lang w:val="de-DE"/>
        </w:rPr>
      </w:pPr>
      <w:r>
        <w:rPr>
          <w:u w:val="single"/>
          <w:lang w:val="de-DE"/>
        </w:rPr>
        <w:t>Allergische Reaktionen</w:t>
      </w:r>
    </w:p>
    <w:p w14:paraId="0B610289" w14:textId="77777777" w:rsidR="00FE291A" w:rsidRDefault="00FE291A">
      <w:pPr>
        <w:keepNext/>
        <w:widowControl/>
        <w:kinsoku w:val="0"/>
        <w:overflowPunct w:val="0"/>
        <w:rPr>
          <w:sz w:val="22"/>
          <w:szCs w:val="22"/>
          <w:lang w:val="de-DE"/>
        </w:rPr>
      </w:pPr>
    </w:p>
    <w:p w14:paraId="23AAF087" w14:textId="77777777" w:rsidR="00FE291A" w:rsidRDefault="00C8738F">
      <w:pPr>
        <w:pStyle w:val="BodyText"/>
        <w:widowControl/>
        <w:kinsoku w:val="0"/>
        <w:overflowPunct w:val="0"/>
        <w:ind w:left="0"/>
        <w:rPr>
          <w:lang w:val="de-DE"/>
        </w:rPr>
      </w:pPr>
      <w:r>
        <w:rPr>
          <w:lang w:val="de-DE"/>
        </w:rPr>
        <w:t>In klinischen Studien waren schwerwiegende allergische Reaktionen in Verbindung mit Adalimumab selten. Nicht schwerwiegende allergische Reaktionen im Zusammenhang mit Adalimumab wurden in klinischen Studien gelegentlich beobachtet. Es gibt Berichte zum Auftreten von schwerwiegenden allergischen Reaktionen, einschließlich anaphylaktischer Reaktionen, nach Verabreichung von Adalimumab. Falls eine anaphylaktische Reaktion oder andere schwerwiegende allergische Reaktionen auftreten, sollte AMGEVITA sofort abgesetzt und eine geeignete Behandlung eingeleitet werden.</w:t>
      </w:r>
    </w:p>
    <w:p w14:paraId="6FDA2BB4" w14:textId="77777777" w:rsidR="00FE291A" w:rsidRDefault="00FE291A">
      <w:pPr>
        <w:widowControl/>
        <w:kinsoku w:val="0"/>
        <w:overflowPunct w:val="0"/>
        <w:rPr>
          <w:sz w:val="22"/>
          <w:szCs w:val="22"/>
          <w:lang w:val="de-DE"/>
        </w:rPr>
      </w:pPr>
    </w:p>
    <w:p w14:paraId="1FCB8F3B" w14:textId="77777777" w:rsidR="00FE291A" w:rsidRDefault="00C8738F">
      <w:pPr>
        <w:pStyle w:val="BodyText"/>
        <w:keepNext/>
        <w:keepLines/>
        <w:widowControl/>
        <w:kinsoku w:val="0"/>
        <w:overflowPunct w:val="0"/>
        <w:ind w:left="0"/>
        <w:rPr>
          <w:lang w:val="de-DE"/>
        </w:rPr>
      </w:pPr>
      <w:r>
        <w:rPr>
          <w:u w:val="single"/>
          <w:lang w:val="de-DE"/>
        </w:rPr>
        <w:t>Immunsuppression</w:t>
      </w:r>
    </w:p>
    <w:p w14:paraId="5F428134" w14:textId="77777777" w:rsidR="00FE291A" w:rsidRDefault="00FE291A">
      <w:pPr>
        <w:keepNext/>
        <w:keepLines/>
        <w:widowControl/>
        <w:kinsoku w:val="0"/>
        <w:overflowPunct w:val="0"/>
        <w:rPr>
          <w:sz w:val="22"/>
          <w:szCs w:val="22"/>
          <w:lang w:val="de-DE"/>
        </w:rPr>
      </w:pPr>
    </w:p>
    <w:p w14:paraId="15639FA1" w14:textId="77777777" w:rsidR="00FE291A" w:rsidRDefault="00C8738F">
      <w:pPr>
        <w:pStyle w:val="BodyText"/>
        <w:keepNext/>
        <w:keepLines/>
        <w:widowControl/>
        <w:kinsoku w:val="0"/>
        <w:overflowPunct w:val="0"/>
        <w:ind w:left="0"/>
        <w:rPr>
          <w:lang w:val="de-DE"/>
        </w:rPr>
      </w:pPr>
      <w:r>
        <w:rPr>
          <w:lang w:val="de-DE"/>
        </w:rPr>
        <w:t>In einer Studie mit 64 Patienten mit rheumatoider Arthritis, die mit Adalimumab behandelt wurden, ergab sich kein Beleg für eine Abschwächung der Überempfindlichkeitsreaktion vom verzögerten Typ, für eine Abnahme der Immunglobulinkonzentration oder für Veränderungen der Zahl von Effektor-T-, B-, NK-Zellen, Monozyten/Makrophagen und neutrophilen Granulozyten.</w:t>
      </w:r>
    </w:p>
    <w:p w14:paraId="29EFA102" w14:textId="77777777" w:rsidR="00FE291A" w:rsidRDefault="00FE291A">
      <w:pPr>
        <w:widowControl/>
        <w:kinsoku w:val="0"/>
        <w:overflowPunct w:val="0"/>
        <w:rPr>
          <w:sz w:val="22"/>
          <w:szCs w:val="22"/>
          <w:lang w:val="de-DE"/>
        </w:rPr>
      </w:pPr>
    </w:p>
    <w:p w14:paraId="69008212" w14:textId="77777777" w:rsidR="00FE291A" w:rsidRDefault="00C8738F">
      <w:pPr>
        <w:pStyle w:val="BodyText"/>
        <w:keepNext/>
        <w:widowControl/>
        <w:kinsoku w:val="0"/>
        <w:overflowPunct w:val="0"/>
        <w:ind w:left="0"/>
        <w:rPr>
          <w:lang w:val="de-DE"/>
        </w:rPr>
      </w:pPr>
      <w:r>
        <w:rPr>
          <w:u w:val="single"/>
          <w:lang w:val="de-DE"/>
        </w:rPr>
        <w:t>Maligne und lymphoproliferative Erkrankungen</w:t>
      </w:r>
    </w:p>
    <w:p w14:paraId="538ADD28" w14:textId="77777777" w:rsidR="00FE291A" w:rsidRDefault="00FE291A">
      <w:pPr>
        <w:keepNext/>
        <w:widowControl/>
        <w:kinsoku w:val="0"/>
        <w:overflowPunct w:val="0"/>
        <w:rPr>
          <w:sz w:val="22"/>
          <w:szCs w:val="22"/>
          <w:lang w:val="de-DE"/>
        </w:rPr>
      </w:pPr>
    </w:p>
    <w:p w14:paraId="11532199" w14:textId="77777777" w:rsidR="00FE291A" w:rsidRDefault="00C8738F">
      <w:pPr>
        <w:pStyle w:val="BodyText"/>
        <w:widowControl/>
        <w:kinsoku w:val="0"/>
        <w:overflowPunct w:val="0"/>
        <w:ind w:left="0"/>
        <w:rPr>
          <w:lang w:val="de-DE"/>
        </w:rPr>
      </w:pPr>
      <w:r>
        <w:rPr>
          <w:lang w:val="de-DE"/>
        </w:rPr>
        <w:t>Innerhalb kontrollierter Phasen von klinischen Studien mit TNF-Antagonisten wurden mehr Fälle von malignen Erkrankungen, einschließlich Lymphome, bei Patienten unter TNF-Antagonisten im Vergleich zu Kontrollpatienten beobachtet. Allerdings war das Auftreten selten. In der Phase nach Markteinführung wurden Fälle von Leukämie bei Patienten, die mit einem TNF-Antagonisten behandelt wurden, berichtet. Die Risikoeinschätzung wird dadurch erschwert, dass bei Patienten mit langjährig bestehender rheumatoider Arthritis und hoch aktiver, entzündlicher Erkrankung ein erhöhtes Grundrisiko für Lymphome und Leukämie besteht. Nach dem derzeitigen Kenntnisstand kann ein mögliches Risiko für die Entwicklung von Lymphomen, Leukämie und anderen malignen Erkrankungen bei Patienten, die mit TNF</w:t>
      </w:r>
      <w:r>
        <w:rPr>
          <w:lang w:val="de-DE"/>
        </w:rPr>
        <w:noBreakHyphen/>
        <w:t>Antagonisten behandelt werden, nicht ausgeschlossen werden.</w:t>
      </w:r>
    </w:p>
    <w:p w14:paraId="3D3CAACC" w14:textId="77777777" w:rsidR="00FE291A" w:rsidRDefault="00FE291A">
      <w:pPr>
        <w:widowControl/>
        <w:kinsoku w:val="0"/>
        <w:overflowPunct w:val="0"/>
        <w:rPr>
          <w:sz w:val="22"/>
          <w:szCs w:val="22"/>
          <w:lang w:val="de-DE"/>
        </w:rPr>
      </w:pPr>
    </w:p>
    <w:p w14:paraId="5B712122" w14:textId="77777777" w:rsidR="00FE291A" w:rsidRDefault="00C8738F">
      <w:pPr>
        <w:pStyle w:val="BodyText"/>
        <w:widowControl/>
        <w:kinsoku w:val="0"/>
        <w:overflowPunct w:val="0"/>
        <w:ind w:left="0"/>
        <w:rPr>
          <w:lang w:val="de-DE"/>
        </w:rPr>
      </w:pPr>
      <w:r>
        <w:rPr>
          <w:lang w:val="de-DE"/>
        </w:rPr>
        <w:t>Bei Kindern, Jugendlichen und jungen Erwachsenen (bis 22 Jahre), die mit TNF-Antagonisten (einschließlich Adalimumab in der Phase nach der Markteinführung) behandelt wurden (Therapieeinleitung ≤ 18 Jahre), wurden maligne Erkrankungen, von denen einige tödlich waren, berichtet. Annähernd die Hälfte der Fälle waren Lymphome. Die anderen Fälle stellten eine Vielfalt verschiedener maligner Erkrankungen dar und umfassten auch seltene maligne Erkrankungen, die üblicherweise mit Immunsuppression in Verbindung gebracht werden. Bei Kindern und Jugendlichen kann unter der Behandlung mit TNF-Antagonisten ein Risiko für die Entwicklung maligner Erkrankungen nicht ausgeschlossen werden.</w:t>
      </w:r>
    </w:p>
    <w:p w14:paraId="1E110B11" w14:textId="77777777" w:rsidR="00FE291A" w:rsidRDefault="00FE291A">
      <w:pPr>
        <w:widowControl/>
        <w:kinsoku w:val="0"/>
        <w:overflowPunct w:val="0"/>
        <w:rPr>
          <w:sz w:val="22"/>
          <w:szCs w:val="22"/>
          <w:lang w:val="de-DE"/>
        </w:rPr>
      </w:pPr>
    </w:p>
    <w:p w14:paraId="0EE24C5E" w14:textId="77777777" w:rsidR="00FE291A" w:rsidRDefault="00C8738F">
      <w:pPr>
        <w:pStyle w:val="BodyText"/>
        <w:widowControl/>
        <w:kinsoku w:val="0"/>
        <w:overflowPunct w:val="0"/>
        <w:ind w:left="0"/>
        <w:rPr>
          <w:lang w:val="de-DE"/>
        </w:rPr>
      </w:pPr>
      <w:r>
        <w:rPr>
          <w:lang w:val="de-DE"/>
        </w:rPr>
        <w:t>Nach Markteinführung wurden bei Patienten, die mit Adalimumab behandelt wurden, seltene Fälle von hepatosplenalen T-Zell-Lymphomen beobachtet. Diese seltene Form eines T-Zell-Lymphoms hat einen sehr aggressiven Krankheitsverlauf und führt in der Regel zum Tode. Einige der hepatosplenalen T</w:t>
      </w:r>
      <w:r>
        <w:rPr>
          <w:lang w:val="de-DE"/>
        </w:rPr>
        <w:noBreakHyphen/>
        <w:t>Zell</w:t>
      </w:r>
      <w:r>
        <w:rPr>
          <w:lang w:val="de-DE"/>
        </w:rPr>
        <w:noBreakHyphen/>
        <w:t>Lymphome sind bei jungen Erwachsenen aufgetreten, die Adalimumab in Kombination mit Azathioprin oder 6-Mercaptopurin zur Behandlung einer chronisch entzündlichen Darmerkrankung erhielten. Ein mögliches Risiko von AMGEVITA in Kombination mit Azathioprin oder 6</w:t>
      </w:r>
      <w:r>
        <w:rPr>
          <w:lang w:val="de-DE"/>
        </w:rPr>
        <w:noBreakHyphen/>
        <w:t>Mercaptopurin sollte sorgfältig geprüft werden. Es kann nicht ausgeschlossen werden, dass bei Patienten, die mit AMGEVITA behandelt werden, ein Risiko für die Entwicklung eines hepatosplenalen T</w:t>
      </w:r>
      <w:r>
        <w:rPr>
          <w:lang w:val="de-DE"/>
        </w:rPr>
        <w:noBreakHyphen/>
        <w:t>Zell</w:t>
      </w:r>
      <w:r>
        <w:rPr>
          <w:lang w:val="de-DE"/>
        </w:rPr>
        <w:noBreakHyphen/>
        <w:t>Lymphoms besteht (siehe Abschnitt 4.8).</w:t>
      </w:r>
    </w:p>
    <w:p w14:paraId="1A9866AD" w14:textId="77777777" w:rsidR="00FE291A" w:rsidRDefault="00FE291A">
      <w:pPr>
        <w:widowControl/>
        <w:kinsoku w:val="0"/>
        <w:overflowPunct w:val="0"/>
        <w:rPr>
          <w:sz w:val="22"/>
          <w:szCs w:val="22"/>
          <w:lang w:val="de-DE"/>
        </w:rPr>
      </w:pPr>
    </w:p>
    <w:p w14:paraId="63A7BAFC" w14:textId="77777777" w:rsidR="00FE291A" w:rsidRDefault="00C8738F">
      <w:pPr>
        <w:pStyle w:val="BodyText"/>
        <w:widowControl/>
        <w:kinsoku w:val="0"/>
        <w:overflowPunct w:val="0"/>
        <w:ind w:left="0"/>
        <w:rPr>
          <w:lang w:val="de-DE"/>
        </w:rPr>
      </w:pPr>
      <w:r>
        <w:rPr>
          <w:lang w:val="de-DE"/>
        </w:rPr>
        <w:t>Es wurden keine Studien durchgeführt, in die Patienten mit einer malignen Erkrankung in der Vorgeschichte eingeschlossen wurden oder in denen die Behandlung mit Adalimumab bei Patienten fortgesetzt wurde, nachdem sich eine maligne Erkrankung entwickelte. Daher sollte zusätzliche Vorsicht bei der Behandlung dieser Patienten mit AMGEVITA angewandt werden (siehe Abschnitt 4.8).</w:t>
      </w:r>
    </w:p>
    <w:p w14:paraId="34BD41F8" w14:textId="77777777" w:rsidR="00FE291A" w:rsidRDefault="00FE291A">
      <w:pPr>
        <w:widowControl/>
        <w:kinsoku w:val="0"/>
        <w:overflowPunct w:val="0"/>
        <w:rPr>
          <w:sz w:val="22"/>
          <w:szCs w:val="22"/>
          <w:lang w:val="de-DE"/>
        </w:rPr>
      </w:pPr>
    </w:p>
    <w:p w14:paraId="5B989A90" w14:textId="77777777" w:rsidR="00FE291A" w:rsidRDefault="00C8738F">
      <w:pPr>
        <w:pStyle w:val="BodyText"/>
        <w:widowControl/>
        <w:kinsoku w:val="0"/>
        <w:overflowPunct w:val="0"/>
        <w:ind w:left="0"/>
        <w:rPr>
          <w:lang w:val="de-DE"/>
        </w:rPr>
      </w:pPr>
      <w:r>
        <w:rPr>
          <w:lang w:val="de-DE"/>
        </w:rPr>
        <w:t>Alle Patienten, insbesondere Patienten mit einer intensiven immunsuppressiven Therapie in der Vorgeschichte oder Psoriasispatienten, die zuvor eine PUVA-Therapie erhalten haben, sollten vor und während der Behandlung mit AMGEVITA auf das Vorliegen von nicht melanomartigen Hauttumoren untersucht werden. Ebenso wurde das Auftreten von Melanomen und Merkelzellkarzinomen bei Patienten, die mit TNF-Antagonisten, einschließlich Adalimumab, behandelt wurden, berichtet (siehe Abschnitt 4.8).</w:t>
      </w:r>
    </w:p>
    <w:p w14:paraId="086E6D7E" w14:textId="77777777" w:rsidR="00FE291A" w:rsidRDefault="00FE291A">
      <w:pPr>
        <w:widowControl/>
        <w:kinsoku w:val="0"/>
        <w:overflowPunct w:val="0"/>
        <w:rPr>
          <w:sz w:val="22"/>
          <w:szCs w:val="22"/>
          <w:lang w:val="de-DE"/>
        </w:rPr>
      </w:pPr>
    </w:p>
    <w:p w14:paraId="0F6B32D3" w14:textId="77777777" w:rsidR="00FE291A" w:rsidRDefault="00C8738F">
      <w:pPr>
        <w:pStyle w:val="BodyText"/>
        <w:widowControl/>
        <w:kinsoku w:val="0"/>
        <w:overflowPunct w:val="0"/>
        <w:ind w:left="0"/>
        <w:rPr>
          <w:lang w:val="de-DE"/>
        </w:rPr>
      </w:pPr>
      <w:r>
        <w:rPr>
          <w:lang w:val="de-DE"/>
        </w:rPr>
        <w:t>In einer exploratorischen klinischen Studie zur Evaluierung der Anwendung eines anderen TNF</w:t>
      </w:r>
      <w:r>
        <w:rPr>
          <w:lang w:val="de-DE"/>
        </w:rPr>
        <w:noBreakHyphen/>
        <w:t>Antagonisten, Infliximab, bei Patienten mit mäßiger bis schwerer chronischer obstruktiver Lungenerkrankung (COPD) wurden bei mit Infliximab behandelten Patienten im Vergleich zu Kontrollpatienten mehr maligne Erkrankungen, meistens der Lunge oder des Kopfes und Halses, berichtet. Alle Patienten waren in der Vorgeschichte starke Raucher. Daher müssen TNF-Antagonisten bei COPD-Patienten mit Vorsicht angewendet werden, ebenso bei Patienten mit erhöhtem Risiko für maligne Erkrankungen als Folge starken Rauchens.</w:t>
      </w:r>
    </w:p>
    <w:p w14:paraId="1E897709" w14:textId="77777777" w:rsidR="00FE291A" w:rsidRDefault="00FE291A">
      <w:pPr>
        <w:widowControl/>
        <w:kinsoku w:val="0"/>
        <w:overflowPunct w:val="0"/>
        <w:rPr>
          <w:sz w:val="22"/>
          <w:szCs w:val="22"/>
          <w:lang w:val="de-DE"/>
        </w:rPr>
      </w:pPr>
    </w:p>
    <w:p w14:paraId="1AA85875" w14:textId="77777777" w:rsidR="00FE291A" w:rsidRDefault="00C8738F">
      <w:pPr>
        <w:pStyle w:val="BodyText"/>
        <w:widowControl/>
        <w:kinsoku w:val="0"/>
        <w:overflowPunct w:val="0"/>
        <w:ind w:left="0"/>
        <w:rPr>
          <w:lang w:val="de-DE"/>
        </w:rPr>
      </w:pPr>
      <w:r>
        <w:rPr>
          <w:lang w:val="de-DE"/>
        </w:rPr>
        <w:t>Nach der aktuellen Datenlage ist nicht bekannt, ob eine Adalimumab-Behandlung das Risiko für die Entwicklung von Dysplasien oder kolorektalen Karzinomen beeinflusst. Alle Patienten mit Colitis ulcerosa, die ein erhöhtes Risiko für Dysplasien oder kolorektales Karzinom haben (z. B. Patienten mit lange bestehender Colitis ulcerosa oder primär sklerosierender Cholangitis), oder die eine Vorgeschichte für Dysplasie oder kolorektales Karzinom hatten, sollten vor der Therapie und während des Krankheitsverlaufs in regelmäßigen Intervallen auf Dysplasien untersucht werden. Die Untersuchung sollte Koloskopie und Biopsien entsprechend der nationalen Empfehlungen umfassen.</w:t>
      </w:r>
    </w:p>
    <w:p w14:paraId="47563F38" w14:textId="77777777" w:rsidR="00FE291A" w:rsidRDefault="00FE291A">
      <w:pPr>
        <w:widowControl/>
        <w:kinsoku w:val="0"/>
        <w:overflowPunct w:val="0"/>
        <w:rPr>
          <w:sz w:val="22"/>
          <w:szCs w:val="22"/>
          <w:lang w:val="de-DE"/>
        </w:rPr>
      </w:pPr>
    </w:p>
    <w:p w14:paraId="52C42275" w14:textId="77777777" w:rsidR="00FE291A" w:rsidRDefault="00C8738F">
      <w:pPr>
        <w:pStyle w:val="BodyText"/>
        <w:keepNext/>
        <w:widowControl/>
        <w:kinsoku w:val="0"/>
        <w:overflowPunct w:val="0"/>
        <w:ind w:left="0"/>
        <w:rPr>
          <w:lang w:val="de-DE"/>
        </w:rPr>
      </w:pPr>
      <w:r>
        <w:rPr>
          <w:u w:val="single"/>
          <w:lang w:val="de-DE"/>
        </w:rPr>
        <w:t>Hämatologische Reaktionen</w:t>
      </w:r>
    </w:p>
    <w:p w14:paraId="496AB78C" w14:textId="77777777" w:rsidR="00FE291A" w:rsidRDefault="00FE291A">
      <w:pPr>
        <w:keepNext/>
        <w:widowControl/>
        <w:kinsoku w:val="0"/>
        <w:overflowPunct w:val="0"/>
        <w:rPr>
          <w:sz w:val="22"/>
          <w:szCs w:val="22"/>
          <w:lang w:val="de-DE"/>
        </w:rPr>
      </w:pPr>
    </w:p>
    <w:p w14:paraId="1E1055EB" w14:textId="77777777" w:rsidR="00FE291A" w:rsidRDefault="00C8738F">
      <w:pPr>
        <w:pStyle w:val="BodyText"/>
        <w:widowControl/>
        <w:kinsoku w:val="0"/>
        <w:overflowPunct w:val="0"/>
        <w:ind w:left="0"/>
        <w:rPr>
          <w:lang w:val="de-DE"/>
        </w:rPr>
      </w:pPr>
      <w:r>
        <w:rPr>
          <w:lang w:val="de-DE"/>
        </w:rPr>
        <w:t>Im Zusammenhang mit TNF-Antagonisten wurde in seltenen Fällen über das Auftreten von Panzytopenie, einschließlich aplastischer Anämie, berichtet. Unerwünschte Ereignisse des blutbildenden Systems, einschließlich medizinisch signifikanter Zytopenie (z. B. Thrombozytopenie, Leukopenie), wurden unter Adalimumab berichtet. Alle Patienten sollten darauf hingewiesen werden, dass sie sofort einen Arzt aufsuchen sollten, wenn sie unter der AMGEVITA-Therapie Anzeichen und Symptome entwickeln, die auf eine Blutdyskrasie hindeuten (z. B. anhaltendes Fieber, Blutergüsse, Blutung, Blässe). Bei Patienten mit bestätigten signifikanten hämatologischen Abnormalitäten sollte eine Unterbrechung der AMGEVITA-Therapie in Betracht gezogen werden.</w:t>
      </w:r>
    </w:p>
    <w:p w14:paraId="73BCECF6" w14:textId="77777777" w:rsidR="00FE291A" w:rsidRDefault="00FE291A">
      <w:pPr>
        <w:widowControl/>
        <w:kinsoku w:val="0"/>
        <w:overflowPunct w:val="0"/>
        <w:rPr>
          <w:sz w:val="22"/>
          <w:szCs w:val="22"/>
          <w:lang w:val="de-DE"/>
        </w:rPr>
      </w:pPr>
    </w:p>
    <w:p w14:paraId="31DB9C58" w14:textId="77777777" w:rsidR="00FE291A" w:rsidRDefault="00C8738F">
      <w:pPr>
        <w:pStyle w:val="BodyText"/>
        <w:keepNext/>
        <w:widowControl/>
        <w:kinsoku w:val="0"/>
        <w:overflowPunct w:val="0"/>
        <w:ind w:left="0"/>
        <w:rPr>
          <w:lang w:val="de-DE"/>
        </w:rPr>
      </w:pPr>
      <w:r>
        <w:rPr>
          <w:u w:val="single"/>
          <w:lang w:val="de-DE"/>
        </w:rPr>
        <w:t>Impfungen</w:t>
      </w:r>
    </w:p>
    <w:p w14:paraId="5109A2ED" w14:textId="77777777" w:rsidR="00FE291A" w:rsidRDefault="00FE291A">
      <w:pPr>
        <w:keepNext/>
        <w:widowControl/>
        <w:kinsoku w:val="0"/>
        <w:overflowPunct w:val="0"/>
        <w:rPr>
          <w:sz w:val="22"/>
          <w:szCs w:val="22"/>
          <w:lang w:val="de-DE"/>
        </w:rPr>
      </w:pPr>
    </w:p>
    <w:p w14:paraId="79BC3875" w14:textId="77777777" w:rsidR="00FE291A" w:rsidRDefault="00C8738F">
      <w:pPr>
        <w:pStyle w:val="BodyText"/>
        <w:widowControl/>
        <w:kinsoku w:val="0"/>
        <w:overflowPunct w:val="0"/>
        <w:ind w:left="0"/>
        <w:rPr>
          <w:lang w:val="de-DE"/>
        </w:rPr>
      </w:pPr>
      <w:r>
        <w:rPr>
          <w:lang w:val="de-DE"/>
        </w:rPr>
        <w:t>Vergleichbare Antikörperantworten auf einen 23-valenten Standardpneumokokkenimpfstoff und einen trivalenten Influenzaimpfstoff wurden in einer Studie bei 226 Erwachsenen mit rheumatoider Arthritis, die mit Adalimumab oder Placebo behandelt wurden, beobachtet. Es liegen keine Daten vor über eine sekundäre Infektionsübertragung durch Lebendimpfstoffe bei Patienten, die Adalimumab erhielten.</w:t>
      </w:r>
    </w:p>
    <w:p w14:paraId="44CEE2F4" w14:textId="77777777" w:rsidR="00FE291A" w:rsidRDefault="00FE291A">
      <w:pPr>
        <w:widowControl/>
        <w:kinsoku w:val="0"/>
        <w:overflowPunct w:val="0"/>
        <w:rPr>
          <w:sz w:val="22"/>
          <w:szCs w:val="22"/>
          <w:lang w:val="de-DE"/>
        </w:rPr>
      </w:pPr>
    </w:p>
    <w:p w14:paraId="4FE58D9F" w14:textId="77777777" w:rsidR="00FE291A" w:rsidRDefault="00C8738F">
      <w:pPr>
        <w:pStyle w:val="BodyText"/>
        <w:widowControl/>
        <w:kinsoku w:val="0"/>
        <w:overflowPunct w:val="0"/>
        <w:ind w:left="0"/>
        <w:rPr>
          <w:lang w:val="de-DE"/>
        </w:rPr>
      </w:pPr>
      <w:r>
        <w:rPr>
          <w:lang w:val="de-DE"/>
        </w:rPr>
        <w:t>Bei Kindern und Jugendlichen wird empfohlen, nach Möglichkeit vor Therapiebeginn mit AMGEVITA alle Immunisierungen in Übereinstimmung mit den gegenwärtigen Richtlinien auf den aktuellen Stand zu bringen.</w:t>
      </w:r>
    </w:p>
    <w:p w14:paraId="3476E494" w14:textId="77777777" w:rsidR="00FE291A" w:rsidRDefault="00FE291A">
      <w:pPr>
        <w:widowControl/>
        <w:kinsoku w:val="0"/>
        <w:overflowPunct w:val="0"/>
        <w:rPr>
          <w:sz w:val="22"/>
          <w:szCs w:val="22"/>
          <w:lang w:val="de-DE"/>
        </w:rPr>
      </w:pPr>
    </w:p>
    <w:p w14:paraId="502BD71C" w14:textId="77777777" w:rsidR="00FE291A" w:rsidRDefault="00C8738F">
      <w:pPr>
        <w:pStyle w:val="BodyText"/>
        <w:widowControl/>
        <w:kinsoku w:val="0"/>
        <w:overflowPunct w:val="0"/>
        <w:ind w:left="0"/>
        <w:rPr>
          <w:lang w:val="de-DE"/>
        </w:rPr>
      </w:pPr>
      <w:r>
        <w:rPr>
          <w:lang w:val="de-DE"/>
        </w:rPr>
        <w:t xml:space="preserve">Patienten können gleichzeitig zur AMGEVITA-Therapie Impfungen erhalten, mit Ausnahme von Lebendimpfstoffen. Es wird empfohlen, Säuglinge, die </w:t>
      </w:r>
      <w:r>
        <w:rPr>
          <w:i/>
          <w:iCs/>
          <w:lang w:val="de-DE"/>
        </w:rPr>
        <w:t xml:space="preserve">in utero </w:t>
      </w:r>
      <w:r>
        <w:rPr>
          <w:lang w:val="de-DE"/>
        </w:rPr>
        <w:t>AMGEVITA ausgesetzt waren, nicht vor Ablauf von 5 Monaten nach der letzten Gabe von AMGEVITA bei der Mutter während der Schwangerschaft mit Lebendimpfstoffen (z. B. BCG-Vakzine) zu impfen.</w:t>
      </w:r>
    </w:p>
    <w:p w14:paraId="3CE822BE" w14:textId="77777777" w:rsidR="00FE291A" w:rsidRDefault="00FE291A">
      <w:pPr>
        <w:keepNext/>
        <w:widowControl/>
        <w:kinsoku w:val="0"/>
        <w:overflowPunct w:val="0"/>
        <w:rPr>
          <w:sz w:val="22"/>
          <w:szCs w:val="22"/>
          <w:lang w:val="de-DE"/>
        </w:rPr>
      </w:pPr>
    </w:p>
    <w:p w14:paraId="30899722" w14:textId="77777777" w:rsidR="00FE291A" w:rsidRDefault="00C8738F">
      <w:pPr>
        <w:pStyle w:val="BodyText"/>
        <w:keepNext/>
        <w:widowControl/>
        <w:kinsoku w:val="0"/>
        <w:overflowPunct w:val="0"/>
        <w:ind w:left="0"/>
        <w:rPr>
          <w:lang w:val="de-DE"/>
        </w:rPr>
      </w:pPr>
      <w:r>
        <w:rPr>
          <w:u w:val="single"/>
          <w:lang w:val="de-DE"/>
        </w:rPr>
        <w:t>Dekompensierte Herzinsuffizienz</w:t>
      </w:r>
    </w:p>
    <w:p w14:paraId="2977D177" w14:textId="77777777" w:rsidR="00FE291A" w:rsidRDefault="00FE291A">
      <w:pPr>
        <w:keepNext/>
        <w:widowControl/>
        <w:kinsoku w:val="0"/>
        <w:overflowPunct w:val="0"/>
        <w:rPr>
          <w:sz w:val="22"/>
          <w:szCs w:val="22"/>
          <w:lang w:val="de-DE"/>
        </w:rPr>
      </w:pPr>
    </w:p>
    <w:p w14:paraId="74AB7B19" w14:textId="77777777" w:rsidR="00FE291A" w:rsidRDefault="00C8738F">
      <w:pPr>
        <w:pStyle w:val="BodyText"/>
        <w:widowControl/>
        <w:kinsoku w:val="0"/>
        <w:overflowPunct w:val="0"/>
        <w:ind w:left="0"/>
        <w:rPr>
          <w:lang w:val="de-DE"/>
        </w:rPr>
      </w:pPr>
      <w:r>
        <w:rPr>
          <w:lang w:val="de-DE"/>
        </w:rPr>
        <w:t>In einer klinischen Studie mit einem anderen TNF-Antagonisten wurden eine Verschlechterung einer dekompensierten Herzinsuffizienz sowie eine Erhöhung der damit einhergehenden Mortalität beobachtet. Bei mit Adalimumab behandelten Patienten wurden ebenfalls Fälle einer Verschlechterung einer dekompensierten Herzinsuffizienz berichtet. AMGEVITA sollte bei Patienten mit leichter Herzinsuffizienz (NYHA-Klasse I/II) mit Vorsicht eingesetzt werden. AMGEVITA darf nicht bei mäßiger bis schwerer Herzinsuffizienz angewendet werden (siehe Abschnitt 4.3). Die Behandlung mit AMGEVITA muss bei Patienten, die neue oder sich verschlechternde Symptome einer dekompensierten Herzinsuffizienz entwickeln, abgesetzt werden.</w:t>
      </w:r>
    </w:p>
    <w:p w14:paraId="719E691D" w14:textId="77777777" w:rsidR="00FE291A" w:rsidRDefault="00FE291A">
      <w:pPr>
        <w:widowControl/>
        <w:kinsoku w:val="0"/>
        <w:overflowPunct w:val="0"/>
        <w:rPr>
          <w:sz w:val="22"/>
          <w:szCs w:val="22"/>
          <w:lang w:val="de-DE"/>
        </w:rPr>
      </w:pPr>
    </w:p>
    <w:p w14:paraId="65336143" w14:textId="77777777" w:rsidR="00FE291A" w:rsidRDefault="00C8738F">
      <w:pPr>
        <w:pStyle w:val="BodyText"/>
        <w:keepNext/>
        <w:widowControl/>
        <w:kinsoku w:val="0"/>
        <w:overflowPunct w:val="0"/>
        <w:ind w:left="0"/>
        <w:rPr>
          <w:lang w:val="de-DE"/>
        </w:rPr>
      </w:pPr>
      <w:r>
        <w:rPr>
          <w:u w:val="single"/>
          <w:lang w:val="de-DE"/>
        </w:rPr>
        <w:t>Autoimmunprozesse</w:t>
      </w:r>
    </w:p>
    <w:p w14:paraId="7F273E8C" w14:textId="77777777" w:rsidR="00FE291A" w:rsidRDefault="00FE291A">
      <w:pPr>
        <w:keepNext/>
        <w:widowControl/>
        <w:kinsoku w:val="0"/>
        <w:overflowPunct w:val="0"/>
        <w:rPr>
          <w:sz w:val="22"/>
          <w:szCs w:val="22"/>
          <w:lang w:val="de-DE"/>
        </w:rPr>
      </w:pPr>
    </w:p>
    <w:p w14:paraId="1F9780B0" w14:textId="77777777" w:rsidR="00FE291A" w:rsidRDefault="00C8738F">
      <w:pPr>
        <w:pStyle w:val="BodyText"/>
        <w:widowControl/>
        <w:kinsoku w:val="0"/>
        <w:overflowPunct w:val="0"/>
        <w:ind w:left="0"/>
        <w:rPr>
          <w:lang w:val="de-DE"/>
        </w:rPr>
      </w:pPr>
      <w:r>
        <w:rPr>
          <w:lang w:val="de-DE"/>
        </w:rPr>
        <w:t>Die Behandlung mit AMGEVITA kann zur Bildung von Autoantikörpern führen. Der Einfluss einer Langzeitbehandlung mit AMGEVITA auf die Entwicklung von Autoimmunerkrankungen ist nicht bekannt. Entwickelt ein Patient nach der Behandlung mit AMGEVITA Symptome, die auf ein lupusähnliches Syndrom hindeuten und wird positiv auf Antikörper gegen doppelsträngige DNA getestet, darf die Behandlung mit AMGEVITA nicht weitergeführt werden (siehe Abschnitt 4.8).</w:t>
      </w:r>
    </w:p>
    <w:p w14:paraId="1230B549" w14:textId="77777777" w:rsidR="00FE291A" w:rsidRDefault="00FE291A">
      <w:pPr>
        <w:widowControl/>
        <w:kinsoku w:val="0"/>
        <w:overflowPunct w:val="0"/>
        <w:rPr>
          <w:sz w:val="22"/>
          <w:szCs w:val="22"/>
          <w:lang w:val="de-DE"/>
        </w:rPr>
      </w:pPr>
    </w:p>
    <w:p w14:paraId="71A760B9" w14:textId="77777777" w:rsidR="00FE291A" w:rsidRDefault="00C8738F">
      <w:pPr>
        <w:pStyle w:val="BodyText"/>
        <w:keepNext/>
        <w:keepLines/>
        <w:widowControl/>
        <w:kinsoku w:val="0"/>
        <w:overflowPunct w:val="0"/>
        <w:ind w:left="0"/>
        <w:rPr>
          <w:lang w:val="de-DE"/>
        </w:rPr>
      </w:pPr>
      <w:r>
        <w:rPr>
          <w:u w:val="single"/>
          <w:lang w:val="de-DE"/>
        </w:rPr>
        <w:t>Gleichzeitige Anwendung von biologischen DMARDs oder TNF-Antagonisten</w:t>
      </w:r>
    </w:p>
    <w:p w14:paraId="3D3683AE" w14:textId="77777777" w:rsidR="00FE291A" w:rsidRDefault="00FE291A">
      <w:pPr>
        <w:keepNext/>
        <w:keepLines/>
        <w:widowControl/>
        <w:kinsoku w:val="0"/>
        <w:overflowPunct w:val="0"/>
        <w:rPr>
          <w:sz w:val="22"/>
          <w:szCs w:val="22"/>
          <w:lang w:val="de-DE"/>
        </w:rPr>
      </w:pPr>
    </w:p>
    <w:p w14:paraId="6F668865" w14:textId="77777777" w:rsidR="00FE291A" w:rsidRDefault="00C8738F">
      <w:pPr>
        <w:pStyle w:val="BodyText"/>
        <w:widowControl/>
        <w:kinsoku w:val="0"/>
        <w:overflowPunct w:val="0"/>
        <w:ind w:left="0"/>
        <w:rPr>
          <w:lang w:val="de-DE"/>
        </w:rPr>
      </w:pPr>
      <w:r>
        <w:rPr>
          <w:lang w:val="de-DE"/>
        </w:rPr>
        <w:t>In klinischen Studien wurden bei gleichzeitiger Anwendung von Anakinra und einem anderen TNF</w:t>
      </w:r>
      <w:r>
        <w:rPr>
          <w:lang w:val="de-DE"/>
        </w:rPr>
        <w:noBreakHyphen/>
        <w:t>Antagonisten, Etanercept, schwere Infektionen beobachtet, während die Kombinationstherapie im Vergleich zur Etanercept-Monotherapie keinen zusätzlichen klinischen Nutzen aufwies. Aufgrund der Art der unerwünschten Ereignisse, die unter der Kombinationstherapie mit Etanercept und Anakinra beobachtet wurden, könnten ähnliche Toxizitäten auch aus der Kombination von Anakinra und anderen TNF-Antagonisten resultieren. Daher wird die Kombination von AMGEVITA und Anakinra nicht empfohlen (siehe Abschnitt 4.5).</w:t>
      </w:r>
    </w:p>
    <w:p w14:paraId="4B8B70E5" w14:textId="77777777" w:rsidR="00FE291A" w:rsidRDefault="00FE291A">
      <w:pPr>
        <w:widowControl/>
        <w:kinsoku w:val="0"/>
        <w:overflowPunct w:val="0"/>
        <w:rPr>
          <w:sz w:val="22"/>
          <w:szCs w:val="22"/>
          <w:lang w:val="de-DE"/>
        </w:rPr>
      </w:pPr>
    </w:p>
    <w:p w14:paraId="3F76D1BD" w14:textId="77777777" w:rsidR="00FE291A" w:rsidRDefault="00C8738F">
      <w:pPr>
        <w:pStyle w:val="BodyText"/>
        <w:widowControl/>
        <w:kinsoku w:val="0"/>
        <w:overflowPunct w:val="0"/>
        <w:ind w:left="0"/>
        <w:rPr>
          <w:lang w:val="de-DE"/>
        </w:rPr>
      </w:pPr>
      <w:r>
        <w:rPr>
          <w:lang w:val="de-DE"/>
        </w:rPr>
        <w:t>Die gleichzeitige Anwendung von AMGEVITA mit anderen biologischen DMARDs (z. B. Anakinra und Abatacept) oder anderen TNF-Antagonisten wird aufgrund des möglichen erhöhten Infektionsrisikos, einschließlich schwerwiegender Infektionen und anderer möglicher pharmakologischer Interaktionen, nicht empfohlen (siehe Abschnitt 4.5).</w:t>
      </w:r>
    </w:p>
    <w:p w14:paraId="4C59239D" w14:textId="77777777" w:rsidR="00FE291A" w:rsidRDefault="00FE291A">
      <w:pPr>
        <w:widowControl/>
        <w:kinsoku w:val="0"/>
        <w:overflowPunct w:val="0"/>
        <w:rPr>
          <w:sz w:val="22"/>
          <w:szCs w:val="22"/>
          <w:lang w:val="de-DE"/>
        </w:rPr>
      </w:pPr>
    </w:p>
    <w:p w14:paraId="12B823B7" w14:textId="77777777" w:rsidR="00FE291A" w:rsidRDefault="00C8738F">
      <w:pPr>
        <w:pStyle w:val="BodyText"/>
        <w:keepNext/>
        <w:widowControl/>
        <w:kinsoku w:val="0"/>
        <w:overflowPunct w:val="0"/>
        <w:ind w:left="0"/>
        <w:rPr>
          <w:lang w:val="de-DE"/>
        </w:rPr>
      </w:pPr>
      <w:r>
        <w:rPr>
          <w:u w:val="single"/>
          <w:lang w:val="de-DE"/>
        </w:rPr>
        <w:t>Operationen</w:t>
      </w:r>
    </w:p>
    <w:p w14:paraId="3D3EE99D" w14:textId="77777777" w:rsidR="00FE291A" w:rsidRDefault="00FE291A">
      <w:pPr>
        <w:keepNext/>
        <w:widowControl/>
        <w:kinsoku w:val="0"/>
        <w:overflowPunct w:val="0"/>
        <w:rPr>
          <w:sz w:val="22"/>
          <w:szCs w:val="22"/>
          <w:lang w:val="de-DE"/>
        </w:rPr>
      </w:pPr>
    </w:p>
    <w:p w14:paraId="3195067A" w14:textId="77777777" w:rsidR="00FE291A" w:rsidRDefault="00C8738F">
      <w:pPr>
        <w:pStyle w:val="BodyText"/>
        <w:widowControl/>
        <w:kinsoku w:val="0"/>
        <w:overflowPunct w:val="0"/>
        <w:ind w:left="0"/>
        <w:rPr>
          <w:lang w:val="de-DE"/>
        </w:rPr>
      </w:pPr>
      <w:r>
        <w:rPr>
          <w:lang w:val="de-DE"/>
        </w:rPr>
        <w:t>Es liegen begrenzte Erfahrungen hinsichtlich der Sicherheit von Adalimumab im Rahmen von operativen Eingriffen vor. Bei der Planung von operativen Eingriffen sollte die lange Halbwertszeit von Adalimumab berücksichtigt werden. Patienten, die während der Therapie mit AMGEVITA operiert werden, sollten im Hinblick auf Infektionen engmaschig überwacht und geeignete Maßnahmen ergriffen werden. Es liegen begrenzte Erfahrungen hinsichtlich der Sicherheit von Adalimumab im Rahmen von Gelenkersatzoperationen vor.</w:t>
      </w:r>
    </w:p>
    <w:p w14:paraId="3D263303" w14:textId="77777777" w:rsidR="00FE291A" w:rsidRDefault="00FE291A">
      <w:pPr>
        <w:widowControl/>
        <w:kinsoku w:val="0"/>
        <w:overflowPunct w:val="0"/>
        <w:rPr>
          <w:sz w:val="22"/>
          <w:szCs w:val="22"/>
          <w:lang w:val="de-DE"/>
        </w:rPr>
      </w:pPr>
    </w:p>
    <w:p w14:paraId="7D7FD8DF" w14:textId="77777777" w:rsidR="00FE291A" w:rsidRDefault="00C8738F">
      <w:pPr>
        <w:pStyle w:val="BodyText"/>
        <w:keepNext/>
        <w:widowControl/>
        <w:kinsoku w:val="0"/>
        <w:overflowPunct w:val="0"/>
        <w:ind w:left="0"/>
        <w:rPr>
          <w:lang w:val="de-DE"/>
        </w:rPr>
      </w:pPr>
      <w:r>
        <w:rPr>
          <w:u w:val="single"/>
          <w:lang w:val="de-DE"/>
        </w:rPr>
        <w:t>Dünndarmstenose</w:t>
      </w:r>
    </w:p>
    <w:p w14:paraId="2CAFDA99" w14:textId="77777777" w:rsidR="00FE291A" w:rsidRDefault="00FE291A">
      <w:pPr>
        <w:keepNext/>
        <w:widowControl/>
        <w:kinsoku w:val="0"/>
        <w:overflowPunct w:val="0"/>
        <w:rPr>
          <w:sz w:val="22"/>
          <w:szCs w:val="22"/>
          <w:lang w:val="de-DE"/>
        </w:rPr>
      </w:pPr>
    </w:p>
    <w:p w14:paraId="7161F586" w14:textId="77777777" w:rsidR="00FE291A" w:rsidRDefault="00C8738F">
      <w:pPr>
        <w:pStyle w:val="BodyText"/>
        <w:widowControl/>
        <w:kinsoku w:val="0"/>
        <w:overflowPunct w:val="0"/>
        <w:ind w:left="0"/>
        <w:rPr>
          <w:lang w:val="de-DE"/>
        </w:rPr>
      </w:pPr>
      <w:r>
        <w:rPr>
          <w:lang w:val="de-DE"/>
        </w:rPr>
        <w:t>Ein unzureichendes Ansprechen auf die Behandlung bei Morbus Crohn kann ein Hinweis für eine fibrotische Stenose sein, die gegebenenfalls chirurgisch behandelt werden sollte. Nach den verfügbaren Daten scheint Adalimumab eine Stenose weder zu verschlimmern noch zu verursachen.</w:t>
      </w:r>
    </w:p>
    <w:p w14:paraId="5614FCA1" w14:textId="77777777" w:rsidR="00FE291A" w:rsidRDefault="00FE291A">
      <w:pPr>
        <w:widowControl/>
        <w:kinsoku w:val="0"/>
        <w:overflowPunct w:val="0"/>
        <w:rPr>
          <w:sz w:val="22"/>
          <w:szCs w:val="22"/>
          <w:lang w:val="de-DE"/>
        </w:rPr>
      </w:pPr>
    </w:p>
    <w:p w14:paraId="7E2C9C81" w14:textId="77777777" w:rsidR="00FE291A" w:rsidRDefault="00C8738F">
      <w:pPr>
        <w:pStyle w:val="BodyText"/>
        <w:keepNext/>
        <w:widowControl/>
        <w:kinsoku w:val="0"/>
        <w:overflowPunct w:val="0"/>
        <w:ind w:left="0"/>
        <w:rPr>
          <w:lang w:val="de-DE"/>
        </w:rPr>
      </w:pPr>
      <w:r>
        <w:rPr>
          <w:u w:val="single"/>
          <w:lang w:val="de-DE"/>
        </w:rPr>
        <w:t>Ältere Patienten</w:t>
      </w:r>
    </w:p>
    <w:p w14:paraId="107CEFE9" w14:textId="77777777" w:rsidR="00FE291A" w:rsidRDefault="00FE291A">
      <w:pPr>
        <w:keepNext/>
        <w:widowControl/>
        <w:kinsoku w:val="0"/>
        <w:overflowPunct w:val="0"/>
        <w:rPr>
          <w:sz w:val="22"/>
          <w:szCs w:val="22"/>
          <w:lang w:val="de-DE"/>
        </w:rPr>
      </w:pPr>
    </w:p>
    <w:p w14:paraId="240C789D" w14:textId="77777777" w:rsidR="00FE291A" w:rsidRDefault="00C8738F">
      <w:pPr>
        <w:pStyle w:val="BodyText"/>
        <w:widowControl/>
        <w:kinsoku w:val="0"/>
        <w:overflowPunct w:val="0"/>
        <w:ind w:left="0"/>
        <w:rPr>
          <w:lang w:val="de-DE"/>
        </w:rPr>
      </w:pPr>
      <w:r>
        <w:rPr>
          <w:lang w:val="de-DE"/>
        </w:rPr>
        <w:t>Die Häufigkeit von schweren Infektionen war bei mit Adalimumab behandelten Patienten über 65 Jahren höher (3,7 %) als bei solchen unter 65 Jahren (1,5 %). Einige nahmen einen tödlichen Verlauf. Bei der Behandlung älterer Patienten sollte auf das Risiko von Infektionen besonders geachtet werden.</w:t>
      </w:r>
    </w:p>
    <w:p w14:paraId="0D7BF701" w14:textId="77777777" w:rsidR="00FE291A" w:rsidRDefault="00FE291A">
      <w:pPr>
        <w:widowControl/>
        <w:kinsoku w:val="0"/>
        <w:overflowPunct w:val="0"/>
        <w:rPr>
          <w:sz w:val="22"/>
          <w:szCs w:val="22"/>
          <w:lang w:val="de-DE"/>
        </w:rPr>
      </w:pPr>
    </w:p>
    <w:p w14:paraId="67BF9E47" w14:textId="77777777" w:rsidR="00FE291A" w:rsidRDefault="00C8738F">
      <w:pPr>
        <w:pStyle w:val="BodyText"/>
        <w:keepNext/>
        <w:widowControl/>
        <w:kinsoku w:val="0"/>
        <w:overflowPunct w:val="0"/>
        <w:ind w:left="0"/>
        <w:rPr>
          <w:lang w:val="de-DE"/>
        </w:rPr>
      </w:pPr>
      <w:r>
        <w:rPr>
          <w:u w:val="single"/>
          <w:lang w:val="de-DE"/>
        </w:rPr>
        <w:t>Kinder und Jugendliche</w:t>
      </w:r>
    </w:p>
    <w:p w14:paraId="3D27FD7C" w14:textId="77777777" w:rsidR="00FE291A" w:rsidRDefault="00FE291A">
      <w:pPr>
        <w:widowControl/>
        <w:kinsoku w:val="0"/>
        <w:overflowPunct w:val="0"/>
        <w:rPr>
          <w:sz w:val="22"/>
          <w:szCs w:val="22"/>
          <w:lang w:val="de-DE"/>
        </w:rPr>
      </w:pPr>
    </w:p>
    <w:p w14:paraId="423442E8" w14:textId="77777777" w:rsidR="00FE291A" w:rsidRDefault="00C8738F">
      <w:pPr>
        <w:pStyle w:val="BodyText"/>
        <w:widowControl/>
        <w:kinsoku w:val="0"/>
        <w:overflowPunct w:val="0"/>
        <w:ind w:left="0"/>
        <w:rPr>
          <w:lang w:val="de-DE"/>
        </w:rPr>
      </w:pPr>
      <w:r>
        <w:rPr>
          <w:lang w:val="de-DE"/>
        </w:rPr>
        <w:t>Zu Impfungen siehe oben.</w:t>
      </w:r>
    </w:p>
    <w:p w14:paraId="69F79558" w14:textId="77777777" w:rsidR="00FE291A" w:rsidRDefault="00FE291A">
      <w:pPr>
        <w:pStyle w:val="BodyText"/>
        <w:widowControl/>
        <w:kinsoku w:val="0"/>
        <w:overflowPunct w:val="0"/>
        <w:ind w:left="0"/>
        <w:rPr>
          <w:lang w:val="de-DE"/>
        </w:rPr>
      </w:pPr>
    </w:p>
    <w:p w14:paraId="5A2953B8" w14:textId="77777777" w:rsidR="00FE291A" w:rsidRDefault="00C8738F">
      <w:pPr>
        <w:pStyle w:val="BodyText"/>
        <w:keepNext/>
        <w:widowControl/>
        <w:kinsoku w:val="0"/>
        <w:overflowPunct w:val="0"/>
        <w:ind w:left="0"/>
        <w:rPr>
          <w:u w:val="single"/>
          <w:lang w:val="de-DE"/>
        </w:rPr>
      </w:pPr>
      <w:r>
        <w:rPr>
          <w:u w:val="single"/>
          <w:lang w:val="de-DE"/>
        </w:rPr>
        <w:t>Natriumgehalt</w:t>
      </w:r>
    </w:p>
    <w:p w14:paraId="7E7D9241" w14:textId="77777777" w:rsidR="00FE291A" w:rsidRDefault="00FE291A">
      <w:pPr>
        <w:pStyle w:val="BodyText"/>
        <w:keepNext/>
        <w:widowControl/>
        <w:kinsoku w:val="0"/>
        <w:overflowPunct w:val="0"/>
        <w:ind w:left="0"/>
        <w:rPr>
          <w:lang w:val="de-DE"/>
        </w:rPr>
      </w:pPr>
    </w:p>
    <w:p w14:paraId="3260D4B4" w14:textId="77777777" w:rsidR="00FE291A" w:rsidRDefault="00C8738F">
      <w:pPr>
        <w:pStyle w:val="BodyText"/>
        <w:widowControl/>
        <w:kinsoku w:val="0"/>
        <w:overflowPunct w:val="0"/>
        <w:ind w:left="0"/>
        <w:rPr>
          <w:lang w:val="de-DE"/>
        </w:rPr>
      </w:pPr>
      <w:r>
        <w:rPr>
          <w:lang w:val="de-DE"/>
        </w:rPr>
        <w:t>Dieses Arzneimittel enthält weniger als 1 mmol Natrium (23 mg) pro 0,8 ml Dosis, d. h. es ist nahezu „natriumfrei“.</w:t>
      </w:r>
    </w:p>
    <w:p w14:paraId="47CCD86E" w14:textId="77777777" w:rsidR="00FE291A" w:rsidRDefault="00FE291A">
      <w:pPr>
        <w:pStyle w:val="BodyText"/>
        <w:widowControl/>
        <w:kinsoku w:val="0"/>
        <w:overflowPunct w:val="0"/>
        <w:ind w:left="0"/>
        <w:rPr>
          <w:lang w:val="de-DE"/>
        </w:rPr>
      </w:pPr>
    </w:p>
    <w:p w14:paraId="1897C20A" w14:textId="77777777" w:rsidR="00FE291A" w:rsidRDefault="00C8738F">
      <w:pPr>
        <w:pStyle w:val="Heading1"/>
        <w:keepNext/>
        <w:widowControl/>
        <w:numPr>
          <w:ilvl w:val="1"/>
          <w:numId w:val="14"/>
        </w:numPr>
        <w:tabs>
          <w:tab w:val="left" w:pos="567"/>
        </w:tabs>
        <w:kinsoku w:val="0"/>
        <w:overflowPunct w:val="0"/>
        <w:ind w:left="0" w:firstLine="0"/>
        <w:rPr>
          <w:b w:val="0"/>
          <w:bCs w:val="0"/>
          <w:lang w:val="de-DE"/>
        </w:rPr>
      </w:pPr>
      <w:r>
        <w:rPr>
          <w:lang w:val="de-DE"/>
        </w:rPr>
        <w:t>Wechselwirkungen mit anderen Arzneimitteln und sonstige Wechselwirkungen</w:t>
      </w:r>
    </w:p>
    <w:p w14:paraId="10FBB774" w14:textId="77777777" w:rsidR="00FE291A" w:rsidRDefault="00FE291A">
      <w:pPr>
        <w:keepNext/>
        <w:widowControl/>
        <w:kinsoku w:val="0"/>
        <w:overflowPunct w:val="0"/>
        <w:rPr>
          <w:sz w:val="22"/>
          <w:szCs w:val="22"/>
          <w:lang w:val="de-DE"/>
        </w:rPr>
      </w:pPr>
    </w:p>
    <w:p w14:paraId="23B98B00" w14:textId="77777777" w:rsidR="00FE291A" w:rsidRDefault="00C8738F">
      <w:pPr>
        <w:pStyle w:val="BodyText"/>
        <w:keepNext/>
        <w:widowControl/>
        <w:kinsoku w:val="0"/>
        <w:overflowPunct w:val="0"/>
        <w:ind w:left="0"/>
        <w:rPr>
          <w:lang w:val="de-DE"/>
        </w:rPr>
      </w:pPr>
      <w:r>
        <w:rPr>
          <w:lang w:val="de-DE"/>
        </w:rPr>
        <w:t xml:space="preserve">Adalimumab wurde bei Patienten mit rheumatoider Arthritis, polyartikulärer juveniler idiopathischer Arthritis und Psoriasis-Arthritis sowohl als Monotherapie als auch in der Kombination mit Methotrexat untersucht. Die Bildung von Antikörpern war bei gleichzeitiger Anwendung von Adalimumab und Methotrexat niedriger als unter Monotherapie. Die Anwendung von Adalimumab ohne Methotrexat führte zu einer gesteigerten Bildung von Antikörpern, einer erhöhten </w:t>
      </w:r>
      <w:r>
        <w:rPr>
          <w:i/>
          <w:iCs/>
          <w:lang w:val="de-DE"/>
        </w:rPr>
        <w:t xml:space="preserve">Clearance </w:t>
      </w:r>
      <w:r>
        <w:rPr>
          <w:lang w:val="de-DE"/>
        </w:rPr>
        <w:t>und einer verminderten Wirksamkeit von Adalimumab (siehe Abschnitt 5.1).</w:t>
      </w:r>
    </w:p>
    <w:p w14:paraId="201638C6" w14:textId="77777777" w:rsidR="00FE291A" w:rsidRDefault="00FE291A">
      <w:pPr>
        <w:widowControl/>
        <w:kinsoku w:val="0"/>
        <w:overflowPunct w:val="0"/>
        <w:rPr>
          <w:sz w:val="22"/>
          <w:lang w:val="de-DE"/>
        </w:rPr>
      </w:pPr>
    </w:p>
    <w:p w14:paraId="0F8CB922" w14:textId="77777777" w:rsidR="00FE291A" w:rsidRDefault="00C8738F">
      <w:pPr>
        <w:pStyle w:val="BodyText"/>
        <w:widowControl/>
        <w:kinsoku w:val="0"/>
        <w:overflowPunct w:val="0"/>
        <w:ind w:left="0"/>
        <w:rPr>
          <w:lang w:val="de-DE"/>
        </w:rPr>
      </w:pPr>
      <w:r>
        <w:rPr>
          <w:lang w:val="de-DE"/>
        </w:rPr>
        <w:t>Die Kombination von AMGEVITA und Anakinra wird nicht empfohlen (siehe Abschnitt 4.4 „Gleichzeitige Anwendung von biologischen DMARDs oder TNF-Antagonisten“).</w:t>
      </w:r>
    </w:p>
    <w:p w14:paraId="24A6FF7B" w14:textId="77777777" w:rsidR="00FE291A" w:rsidRDefault="00FE291A">
      <w:pPr>
        <w:widowControl/>
        <w:kinsoku w:val="0"/>
        <w:overflowPunct w:val="0"/>
        <w:rPr>
          <w:sz w:val="22"/>
          <w:szCs w:val="26"/>
          <w:lang w:val="de-DE"/>
        </w:rPr>
      </w:pPr>
    </w:p>
    <w:p w14:paraId="35A3D904" w14:textId="77777777" w:rsidR="00FE291A" w:rsidRDefault="00C8738F">
      <w:pPr>
        <w:pStyle w:val="BodyText"/>
        <w:widowControl/>
        <w:kinsoku w:val="0"/>
        <w:overflowPunct w:val="0"/>
        <w:ind w:left="0"/>
        <w:rPr>
          <w:lang w:val="de-DE"/>
        </w:rPr>
      </w:pPr>
      <w:r>
        <w:rPr>
          <w:lang w:val="de-DE"/>
        </w:rPr>
        <w:t>Die Kombination von AMGEVITA und Abatacept wird nicht empfohlen (siehe Abschnitt 4.4 „Gleichzeitige Anwendung von biologischen DMARDs oder TNF-Antagonisten“).</w:t>
      </w:r>
    </w:p>
    <w:p w14:paraId="69C9454B" w14:textId="77777777" w:rsidR="00FE291A" w:rsidRDefault="00FE291A">
      <w:pPr>
        <w:widowControl/>
        <w:kinsoku w:val="0"/>
        <w:overflowPunct w:val="0"/>
        <w:rPr>
          <w:sz w:val="22"/>
          <w:szCs w:val="26"/>
          <w:lang w:val="de-DE"/>
        </w:rPr>
      </w:pPr>
    </w:p>
    <w:p w14:paraId="69743C17" w14:textId="77777777" w:rsidR="00FE291A" w:rsidRDefault="00C8738F">
      <w:pPr>
        <w:pStyle w:val="Heading1"/>
        <w:keepNext/>
        <w:keepLines/>
        <w:widowControl/>
        <w:numPr>
          <w:ilvl w:val="1"/>
          <w:numId w:val="15"/>
        </w:numPr>
        <w:kinsoku w:val="0"/>
        <w:overflowPunct w:val="0"/>
        <w:ind w:left="567"/>
        <w:rPr>
          <w:b w:val="0"/>
          <w:bCs w:val="0"/>
          <w:lang w:val="de-DE"/>
        </w:rPr>
      </w:pPr>
      <w:r>
        <w:rPr>
          <w:lang w:val="de-DE"/>
        </w:rPr>
        <w:t>Fertilität, Schwangerschaft und Stillzeit</w:t>
      </w:r>
    </w:p>
    <w:p w14:paraId="2B322323" w14:textId="77777777" w:rsidR="00FE291A" w:rsidRDefault="00FE291A">
      <w:pPr>
        <w:keepNext/>
        <w:keepLines/>
        <w:widowControl/>
        <w:kinsoku w:val="0"/>
        <w:overflowPunct w:val="0"/>
        <w:rPr>
          <w:sz w:val="22"/>
          <w:szCs w:val="22"/>
          <w:lang w:val="de-DE"/>
        </w:rPr>
      </w:pPr>
    </w:p>
    <w:p w14:paraId="3D7AB4F4" w14:textId="77777777" w:rsidR="00FE291A" w:rsidRDefault="00C8738F">
      <w:pPr>
        <w:pStyle w:val="BodyText"/>
        <w:keepNext/>
        <w:widowControl/>
        <w:kinsoku w:val="0"/>
        <w:overflowPunct w:val="0"/>
        <w:ind w:left="0"/>
        <w:rPr>
          <w:lang w:val="de-DE"/>
        </w:rPr>
      </w:pPr>
      <w:r>
        <w:rPr>
          <w:u w:val="single"/>
          <w:lang w:val="de-DE"/>
        </w:rPr>
        <w:t>Frauen im gebärfähigen Alter</w:t>
      </w:r>
    </w:p>
    <w:p w14:paraId="277CDA2C" w14:textId="77777777" w:rsidR="00FE291A" w:rsidRDefault="00FE291A">
      <w:pPr>
        <w:keepNext/>
        <w:widowControl/>
        <w:kinsoku w:val="0"/>
        <w:overflowPunct w:val="0"/>
        <w:rPr>
          <w:sz w:val="22"/>
          <w:szCs w:val="22"/>
          <w:lang w:val="de-DE"/>
        </w:rPr>
      </w:pPr>
    </w:p>
    <w:p w14:paraId="7BCA822D" w14:textId="77777777" w:rsidR="00FE291A" w:rsidRDefault="00C8738F">
      <w:pPr>
        <w:pStyle w:val="BodyText"/>
        <w:widowControl/>
        <w:kinsoku w:val="0"/>
        <w:overflowPunct w:val="0"/>
        <w:ind w:left="0"/>
        <w:rPr>
          <w:lang w:val="de-DE"/>
        </w:rPr>
      </w:pPr>
      <w:r>
        <w:rPr>
          <w:lang w:val="de-DE"/>
        </w:rPr>
        <w:t>Frauen im gebärfähigen Alter sollten zur Vermeidung einer Schwangerschaft geeignete Empfängnisverhütungsmethoden in Erwägung ziehen und diese für mindestens fünf Monate nach der letzten Gabe von AMGEVITA fortführen.</w:t>
      </w:r>
    </w:p>
    <w:p w14:paraId="22F10165" w14:textId="77777777" w:rsidR="00FE291A" w:rsidRDefault="00FE291A">
      <w:pPr>
        <w:widowControl/>
        <w:kinsoku w:val="0"/>
        <w:overflowPunct w:val="0"/>
        <w:rPr>
          <w:sz w:val="22"/>
          <w:szCs w:val="22"/>
          <w:lang w:val="de-DE"/>
        </w:rPr>
      </w:pPr>
    </w:p>
    <w:p w14:paraId="12CF3BB6" w14:textId="77777777" w:rsidR="00FE291A" w:rsidRDefault="00C8738F">
      <w:pPr>
        <w:pStyle w:val="BodyText"/>
        <w:keepNext/>
        <w:keepLines/>
        <w:widowControl/>
        <w:kinsoku w:val="0"/>
        <w:overflowPunct w:val="0"/>
        <w:ind w:left="0"/>
        <w:rPr>
          <w:lang w:val="de-DE"/>
        </w:rPr>
      </w:pPr>
      <w:r>
        <w:rPr>
          <w:u w:val="single"/>
          <w:lang w:val="de-DE"/>
        </w:rPr>
        <w:t>Schwangerschaft</w:t>
      </w:r>
    </w:p>
    <w:p w14:paraId="33327B8D" w14:textId="77777777" w:rsidR="00FE291A" w:rsidRDefault="00FE291A">
      <w:pPr>
        <w:keepNext/>
        <w:keepLines/>
        <w:widowControl/>
        <w:kinsoku w:val="0"/>
        <w:overflowPunct w:val="0"/>
        <w:rPr>
          <w:sz w:val="22"/>
          <w:szCs w:val="22"/>
          <w:lang w:val="de-DE"/>
        </w:rPr>
      </w:pPr>
    </w:p>
    <w:p w14:paraId="32BAA02C" w14:textId="77777777" w:rsidR="00FE291A" w:rsidRDefault="00C8738F">
      <w:pPr>
        <w:pStyle w:val="BodyText"/>
        <w:widowControl/>
        <w:kinsoku w:val="0"/>
        <w:overflowPunct w:val="0"/>
        <w:ind w:left="0"/>
        <w:rPr>
          <w:lang w:val="de-DE"/>
        </w:rPr>
      </w:pPr>
      <w:r>
        <w:rPr>
          <w:lang w:val="de-DE"/>
        </w:rPr>
        <w:t>Die Auswertung einer großen Anzahl (etwa 2 100) prospektiv erfasster Schwangerschaften mit Exposition gegenüber Adalimumab und mit Lebendgeburten mit bekanntem Ausgang deutete nicht auf eine erhöhte Rate von Missbildungen bei Neugeborenen hin. Bei über 1 500 dieser Schwangerschaften fand die Exposition während des ersten Trimesters statt.</w:t>
      </w:r>
    </w:p>
    <w:p w14:paraId="3C9F8A8E" w14:textId="77777777" w:rsidR="00FE291A" w:rsidRDefault="00FE291A">
      <w:pPr>
        <w:pStyle w:val="BodyText"/>
        <w:widowControl/>
        <w:kinsoku w:val="0"/>
        <w:overflowPunct w:val="0"/>
        <w:rPr>
          <w:lang w:val="de-DE"/>
        </w:rPr>
      </w:pPr>
    </w:p>
    <w:p w14:paraId="4F9349DE" w14:textId="77777777" w:rsidR="00FE291A" w:rsidRDefault="00C8738F">
      <w:pPr>
        <w:pStyle w:val="BodyText"/>
        <w:widowControl/>
        <w:kinsoku w:val="0"/>
        <w:overflowPunct w:val="0"/>
        <w:ind w:left="0"/>
        <w:rPr>
          <w:lang w:val="de-DE"/>
        </w:rPr>
      </w:pPr>
      <w:r>
        <w:rPr>
          <w:lang w:val="de-DE"/>
        </w:rPr>
        <w:t xml:space="preserve">Folgende Probanden wurden in eine prospektive Kohortenstudie eingeschlossen: 257 Frauen mit rheumatoider Arthritis (RA) oder Morbus Crohn (MC), die mindestens während des ersten Trimesters mit Adalimumab behandelt wurden, sowie 120 Frauen mit RA oder MC, die nicht mit Adalimumab behandelt wurden. Der primäre Endpunkt war die Prävalenz schwerwiegender Geburtsfehler. Der Anteil an Schwangerschaften mit mindestens einem lebend geborenen Kind, das einen schwerwiegenden Geburtsfehler hatte, betrug 6/69 (8,7 %) bei mit Adalimumab behandelten Patientinnen mit RA, 5/74 (6,8 %) bei unbehandelten Frauen mit RA (nicht bereinigte OR 1,31; 95 % KI 0,38 - 4,52); 16/152 (10,5 %) bei mit Adalimumab behandelten Patientinnen mit MC und 3/32 (9,4 %) bei unbehandelten Frauen mit MC (nicht bereinigte OR 1,14; 95 % KI 0,31 - 4,16). Die bereinigte OR (die Unterschiede bei </w:t>
      </w:r>
      <w:r>
        <w:rPr>
          <w:i/>
          <w:iCs/>
          <w:lang w:val="de-DE"/>
        </w:rPr>
        <w:t>Baseline</w:t>
      </w:r>
      <w:r>
        <w:rPr>
          <w:lang w:val="de-DE"/>
        </w:rPr>
        <w:t xml:space="preserve"> miteinbezieht) betrug für RA und MC zusammen insgesamt 1,10 (95 % KI 0,45 – 2,73). Es gab keine eindeutigen Unterschiede zwischen den mit Adalimumab behandelten und den nicht mit Adalimumab behandelten Frauen im Hinblick auf die sekundären Endpunkte Spontanaborte, geringfügige Geburtsfehler, Frühgeburten, Geburtsgröße und schwerwiegende oder opportunistische Infektionen. Es wurden keine Totgeburten oder maligne Erkrankungen berichtet. Die Auswertung der Daten kann durch die methodologischen Einschränkungen der Registerstudie beeinflusst sein, darunter eine kleine Fallzahl und ein nicht randomisiertes Design.</w:t>
      </w:r>
    </w:p>
    <w:p w14:paraId="6085B325" w14:textId="77777777" w:rsidR="00FE291A" w:rsidRDefault="00FE291A">
      <w:pPr>
        <w:widowControl/>
        <w:kinsoku w:val="0"/>
        <w:overflowPunct w:val="0"/>
        <w:rPr>
          <w:sz w:val="22"/>
          <w:szCs w:val="22"/>
          <w:lang w:val="de-DE"/>
        </w:rPr>
      </w:pPr>
    </w:p>
    <w:p w14:paraId="0436890F" w14:textId="77777777" w:rsidR="00FE291A" w:rsidRDefault="00C8738F">
      <w:pPr>
        <w:pStyle w:val="BodyText"/>
        <w:widowControl/>
        <w:kinsoku w:val="0"/>
        <w:overflowPunct w:val="0"/>
        <w:ind w:left="0"/>
        <w:rPr>
          <w:lang w:val="de-DE"/>
        </w:rPr>
      </w:pPr>
      <w:r>
        <w:rPr>
          <w:lang w:val="de-DE"/>
        </w:rPr>
        <w:t>Eine Studie zur Entwicklungstoxizität an Affen ergab keine Hinweise auf eine maternale Toxizität, Embryotoxizität oder Teratogenität. Präklinische Daten zur postnatalen Toxizität von Adalimumab liegen nicht vor (siehe Abschnitt 5.3).</w:t>
      </w:r>
    </w:p>
    <w:p w14:paraId="3B34A62B" w14:textId="77777777" w:rsidR="00FE291A" w:rsidRDefault="00FE291A">
      <w:pPr>
        <w:widowControl/>
        <w:kinsoku w:val="0"/>
        <w:overflowPunct w:val="0"/>
        <w:rPr>
          <w:sz w:val="22"/>
          <w:szCs w:val="22"/>
          <w:lang w:val="de-DE"/>
        </w:rPr>
      </w:pPr>
    </w:p>
    <w:p w14:paraId="6DD78F6B" w14:textId="77777777" w:rsidR="00FE291A" w:rsidRDefault="00C8738F">
      <w:pPr>
        <w:pStyle w:val="BodyText"/>
        <w:widowControl/>
        <w:kinsoku w:val="0"/>
        <w:overflowPunct w:val="0"/>
        <w:ind w:left="0"/>
        <w:rPr>
          <w:lang w:val="de-DE"/>
        </w:rPr>
      </w:pPr>
      <w:r>
        <w:rPr>
          <w:lang w:val="de-DE"/>
        </w:rPr>
        <w:t>Bei Anwendung von Adalimumab während der Schwangerschaft könnten wegen der TNF-α-Hemmung die normalen Immunreaktionen des Neugeborenen beeinflusst werden. AMGEVITA sollte während einer Schwangerschaft nur angewendet werden, wenn dies eindeutig erforderlich ist.</w:t>
      </w:r>
    </w:p>
    <w:p w14:paraId="01A5E6DF" w14:textId="77777777" w:rsidR="00FE291A" w:rsidRDefault="00FE291A">
      <w:pPr>
        <w:widowControl/>
        <w:kinsoku w:val="0"/>
        <w:overflowPunct w:val="0"/>
        <w:rPr>
          <w:sz w:val="22"/>
          <w:szCs w:val="22"/>
          <w:lang w:val="de-DE"/>
        </w:rPr>
      </w:pPr>
    </w:p>
    <w:p w14:paraId="5496BB2C" w14:textId="77777777" w:rsidR="00FE291A" w:rsidRDefault="00C8738F">
      <w:pPr>
        <w:pStyle w:val="BodyText"/>
        <w:widowControl/>
        <w:kinsoku w:val="0"/>
        <w:overflowPunct w:val="0"/>
        <w:ind w:left="0"/>
        <w:rPr>
          <w:lang w:val="de-DE"/>
        </w:rPr>
      </w:pPr>
      <w:r>
        <w:rPr>
          <w:lang w:val="de-DE"/>
        </w:rPr>
        <w:t xml:space="preserve">Wenn Mütter während der Schwangerschaft mit Adalimumab behandelt wurden, gelangt Adalimumab möglicherweise über die Plazenta in das Serum von Säuglingen. Infolgedessen haben diese Säuglinge eventuell ein erhöhtes Risiko für Infektionen. Die Verabreichung von Lebendimpfstoffen (z. B. BCG-Vakzine) an Säuglinge, die </w:t>
      </w:r>
      <w:r>
        <w:rPr>
          <w:i/>
          <w:iCs/>
          <w:lang w:val="de-DE"/>
        </w:rPr>
        <w:t xml:space="preserve">in utero </w:t>
      </w:r>
      <w:r>
        <w:rPr>
          <w:lang w:val="de-DE"/>
        </w:rPr>
        <w:t>Adalimumab ausgesetzt waren, ist für 5 Monate nach der letzten Gabe von Adalimumab bei der Mutter während der Schwangerschaft nicht empfohlen.</w:t>
      </w:r>
    </w:p>
    <w:p w14:paraId="35976FBC" w14:textId="77777777" w:rsidR="00FE291A" w:rsidRDefault="00FE291A">
      <w:pPr>
        <w:widowControl/>
        <w:kinsoku w:val="0"/>
        <w:overflowPunct w:val="0"/>
        <w:rPr>
          <w:sz w:val="22"/>
          <w:szCs w:val="22"/>
          <w:lang w:val="de-DE"/>
        </w:rPr>
      </w:pPr>
    </w:p>
    <w:p w14:paraId="0DA6620E" w14:textId="77777777" w:rsidR="00FE291A" w:rsidRDefault="00C8738F">
      <w:pPr>
        <w:pStyle w:val="BodyText"/>
        <w:keepNext/>
        <w:widowControl/>
        <w:kinsoku w:val="0"/>
        <w:overflowPunct w:val="0"/>
        <w:ind w:left="0"/>
        <w:rPr>
          <w:lang w:val="de-DE"/>
        </w:rPr>
      </w:pPr>
      <w:r>
        <w:rPr>
          <w:u w:val="single"/>
          <w:lang w:val="de-DE"/>
        </w:rPr>
        <w:t>Stillzeit</w:t>
      </w:r>
    </w:p>
    <w:p w14:paraId="430C75FF" w14:textId="77777777" w:rsidR="00FE291A" w:rsidRDefault="00FE291A">
      <w:pPr>
        <w:keepNext/>
        <w:widowControl/>
        <w:kinsoku w:val="0"/>
        <w:overflowPunct w:val="0"/>
        <w:rPr>
          <w:sz w:val="22"/>
          <w:szCs w:val="22"/>
          <w:lang w:val="de-DE"/>
        </w:rPr>
      </w:pPr>
    </w:p>
    <w:p w14:paraId="50179958" w14:textId="77777777" w:rsidR="00FE291A" w:rsidRDefault="00C8738F">
      <w:pPr>
        <w:pStyle w:val="BodyText"/>
        <w:widowControl/>
        <w:kinsoku w:val="0"/>
        <w:overflowPunct w:val="0"/>
        <w:ind w:left="0"/>
        <w:rPr>
          <w:lang w:val="de-DE"/>
        </w:rPr>
      </w:pPr>
      <w:r>
        <w:rPr>
          <w:lang w:val="de-DE"/>
        </w:rPr>
        <w:t>Eingeschränkte Informationen aus der veröffentlichten Literatur lassen darauf schließen, dass Adalimumab in sehr geringer Konzentration (zwischen 0,1 – 1 % des Serumspiegels der Mutter) in die Muttermilch übergeht. Bei oraler Anwendung durchlaufen Proteine des Typs Immunglobulin G eine intestinale Proteolyse und weisen eine schlechte Bioverfügbarkeit auf. Es werden keine Auswirkungen auf die gestillten Neugeborenen/Säuglinge erwartet. Folglich kann AMGEVITA während der Stillzeit angewendet werden.</w:t>
      </w:r>
    </w:p>
    <w:p w14:paraId="3462996A" w14:textId="77777777" w:rsidR="00FE291A" w:rsidRDefault="00FE291A">
      <w:pPr>
        <w:widowControl/>
        <w:kinsoku w:val="0"/>
        <w:overflowPunct w:val="0"/>
        <w:rPr>
          <w:sz w:val="22"/>
          <w:szCs w:val="22"/>
          <w:lang w:val="de-DE"/>
        </w:rPr>
      </w:pPr>
    </w:p>
    <w:p w14:paraId="45A4462F" w14:textId="77777777" w:rsidR="00FE291A" w:rsidRDefault="00C8738F">
      <w:pPr>
        <w:pStyle w:val="BodyText"/>
        <w:keepNext/>
        <w:widowControl/>
        <w:kinsoku w:val="0"/>
        <w:overflowPunct w:val="0"/>
        <w:ind w:left="0"/>
        <w:rPr>
          <w:lang w:val="de-DE"/>
        </w:rPr>
      </w:pPr>
      <w:r>
        <w:rPr>
          <w:u w:val="single"/>
          <w:lang w:val="de-DE"/>
        </w:rPr>
        <w:t>Fertilität</w:t>
      </w:r>
    </w:p>
    <w:p w14:paraId="4A254846" w14:textId="77777777" w:rsidR="00FE291A" w:rsidRDefault="00FE291A">
      <w:pPr>
        <w:keepNext/>
        <w:widowControl/>
        <w:kinsoku w:val="0"/>
        <w:overflowPunct w:val="0"/>
        <w:rPr>
          <w:sz w:val="22"/>
          <w:szCs w:val="22"/>
          <w:lang w:val="de-DE"/>
        </w:rPr>
      </w:pPr>
    </w:p>
    <w:p w14:paraId="13527F0C" w14:textId="77777777" w:rsidR="00FE291A" w:rsidRDefault="00C8738F">
      <w:pPr>
        <w:pStyle w:val="BodyText"/>
        <w:widowControl/>
        <w:kinsoku w:val="0"/>
        <w:overflowPunct w:val="0"/>
        <w:ind w:left="0"/>
        <w:rPr>
          <w:lang w:val="de-DE"/>
        </w:rPr>
      </w:pPr>
      <w:r>
        <w:rPr>
          <w:lang w:val="de-DE"/>
        </w:rPr>
        <w:t>Präklinische Daten zu Auswirkungen von Adalimumab auf die Fertilität liegen nicht vor.</w:t>
      </w:r>
    </w:p>
    <w:p w14:paraId="5EE0AC20" w14:textId="77777777" w:rsidR="00FE291A" w:rsidRDefault="00FE291A">
      <w:pPr>
        <w:widowControl/>
        <w:kinsoku w:val="0"/>
        <w:overflowPunct w:val="0"/>
        <w:rPr>
          <w:sz w:val="22"/>
          <w:szCs w:val="22"/>
          <w:lang w:val="de-DE"/>
        </w:rPr>
      </w:pPr>
    </w:p>
    <w:p w14:paraId="6C382D60" w14:textId="77777777" w:rsidR="00FE291A" w:rsidRDefault="00C8738F">
      <w:pPr>
        <w:pStyle w:val="Heading1"/>
        <w:widowControl/>
        <w:numPr>
          <w:ilvl w:val="1"/>
          <w:numId w:val="15"/>
        </w:numPr>
        <w:tabs>
          <w:tab w:val="left" w:pos="567"/>
        </w:tabs>
        <w:kinsoku w:val="0"/>
        <w:overflowPunct w:val="0"/>
        <w:ind w:firstLine="0"/>
        <w:rPr>
          <w:b w:val="0"/>
          <w:bCs w:val="0"/>
          <w:lang w:val="de-DE"/>
        </w:rPr>
      </w:pPr>
      <w:r>
        <w:rPr>
          <w:lang w:val="de-DE"/>
        </w:rPr>
        <w:t>Auswirkungen auf die Verkehrstüchtigkeit und die Fähigkeit zum Bedienen von Maschinen</w:t>
      </w:r>
    </w:p>
    <w:p w14:paraId="4231AF57" w14:textId="77777777" w:rsidR="00FE291A" w:rsidRDefault="00FE291A">
      <w:pPr>
        <w:widowControl/>
        <w:kinsoku w:val="0"/>
        <w:overflowPunct w:val="0"/>
        <w:rPr>
          <w:sz w:val="22"/>
          <w:lang w:val="de-DE"/>
        </w:rPr>
      </w:pPr>
    </w:p>
    <w:p w14:paraId="07207300" w14:textId="77777777" w:rsidR="00FE291A" w:rsidRDefault="00C8738F">
      <w:pPr>
        <w:pStyle w:val="BodyText"/>
        <w:widowControl/>
        <w:kinsoku w:val="0"/>
        <w:overflowPunct w:val="0"/>
        <w:ind w:left="0"/>
        <w:rPr>
          <w:lang w:val="de-DE"/>
        </w:rPr>
      </w:pPr>
      <w:r>
        <w:rPr>
          <w:lang w:val="de-DE"/>
        </w:rPr>
        <w:t>AMGEVITA kann einen geringen Einfluss auf die Verkehrstüchtigkeit und die Fähigkeit zum Bedienen von Maschinen haben. Es können nach Verabreichung von AMGEVITA Schwindel und eine Beeinträchtigung des Sehvermögens auftreten (siehe Abschnitt 4.8).</w:t>
      </w:r>
    </w:p>
    <w:p w14:paraId="02E88B0A" w14:textId="77777777" w:rsidR="00FE291A" w:rsidRDefault="00FE291A">
      <w:pPr>
        <w:widowControl/>
        <w:kinsoku w:val="0"/>
        <w:overflowPunct w:val="0"/>
        <w:rPr>
          <w:sz w:val="22"/>
          <w:szCs w:val="26"/>
          <w:lang w:val="de-DE"/>
        </w:rPr>
      </w:pPr>
    </w:p>
    <w:p w14:paraId="2E2AAF6A" w14:textId="77777777" w:rsidR="00FE291A" w:rsidRDefault="00C8738F">
      <w:pPr>
        <w:pStyle w:val="Heading1"/>
        <w:keepNext/>
        <w:keepLines/>
        <w:widowControl/>
        <w:numPr>
          <w:ilvl w:val="1"/>
          <w:numId w:val="15"/>
        </w:numPr>
        <w:tabs>
          <w:tab w:val="left" w:pos="567"/>
        </w:tabs>
        <w:kinsoku w:val="0"/>
        <w:overflowPunct w:val="0"/>
        <w:ind w:firstLine="0"/>
        <w:rPr>
          <w:b w:val="0"/>
          <w:bCs w:val="0"/>
          <w:lang w:val="de-DE"/>
        </w:rPr>
      </w:pPr>
      <w:r>
        <w:rPr>
          <w:lang w:val="de-DE"/>
        </w:rPr>
        <w:t>Nebenwirkungen</w:t>
      </w:r>
    </w:p>
    <w:p w14:paraId="36983281" w14:textId="77777777" w:rsidR="00FE291A" w:rsidRDefault="00FE291A">
      <w:pPr>
        <w:keepNext/>
        <w:keepLines/>
        <w:widowControl/>
        <w:kinsoku w:val="0"/>
        <w:overflowPunct w:val="0"/>
        <w:rPr>
          <w:sz w:val="22"/>
          <w:szCs w:val="22"/>
          <w:lang w:val="de-DE"/>
        </w:rPr>
      </w:pPr>
    </w:p>
    <w:p w14:paraId="07D643CD" w14:textId="77777777" w:rsidR="00FE291A" w:rsidRDefault="00C8738F">
      <w:pPr>
        <w:pStyle w:val="BodyText"/>
        <w:keepNext/>
        <w:keepLines/>
        <w:widowControl/>
        <w:kinsoku w:val="0"/>
        <w:overflowPunct w:val="0"/>
        <w:ind w:left="0"/>
        <w:rPr>
          <w:lang w:val="de-DE"/>
        </w:rPr>
      </w:pPr>
      <w:r>
        <w:rPr>
          <w:u w:val="single"/>
          <w:lang w:val="de-DE"/>
        </w:rPr>
        <w:t>Zusammenfassung des Sicherheitsprofils</w:t>
      </w:r>
    </w:p>
    <w:p w14:paraId="41F3C725" w14:textId="77777777" w:rsidR="00FE291A" w:rsidRDefault="00FE291A">
      <w:pPr>
        <w:keepNext/>
        <w:keepLines/>
        <w:widowControl/>
        <w:kinsoku w:val="0"/>
        <w:overflowPunct w:val="0"/>
        <w:rPr>
          <w:sz w:val="22"/>
          <w:szCs w:val="22"/>
          <w:lang w:val="de-DE"/>
        </w:rPr>
      </w:pPr>
    </w:p>
    <w:p w14:paraId="402BAEB5" w14:textId="77777777" w:rsidR="00FE291A" w:rsidRDefault="00C8738F">
      <w:pPr>
        <w:pStyle w:val="BodyText"/>
        <w:widowControl/>
        <w:kinsoku w:val="0"/>
        <w:overflowPunct w:val="0"/>
        <w:ind w:left="0"/>
        <w:rPr>
          <w:lang w:val="de-DE"/>
        </w:rPr>
      </w:pPr>
      <w:r>
        <w:rPr>
          <w:lang w:val="de-DE"/>
        </w:rPr>
        <w:t>Adalimumab wurde bei 9 506 Patienten in kontrollierten Zulassungsstudien und offenen Erweiterungsstudien über einen Zeitraum von bis zu 60 Monaten oder länger untersucht. Diese Studien umfassten Patienten mit kurz und langjährig bestehender rheumatoider Arthritis, mit juveniler idiopathischer Arthritis (polyartikulärer juveniler idiopathischer Arthritis und Enthesitis-assoziierter Arthritis) sowie Patienten mit axialer Spondyloarthritis (ankylosierender Spondylitis und axialer Spondyloarthritis ohne Röntgennachweis einer AS), mit Psoriasis-Arthritis, Morbus Crohn, Colitis ulcerosa, Psoriasis, Hidradenitis suppurativa und Uveitis. Die pivotalen kontrollierten Studien umfassten 6 089 mit Adalimumab behandelte Patienten und 3 801 Patienten, die während der kontrollierten Studienphase Placebo oder eine aktive Vergleichssubstanz erhielten.</w:t>
      </w:r>
    </w:p>
    <w:p w14:paraId="66DA2E8B" w14:textId="77777777" w:rsidR="00FE291A" w:rsidRDefault="00FE291A">
      <w:pPr>
        <w:widowControl/>
        <w:kinsoku w:val="0"/>
        <w:overflowPunct w:val="0"/>
        <w:rPr>
          <w:sz w:val="22"/>
          <w:szCs w:val="22"/>
          <w:lang w:val="de-DE"/>
        </w:rPr>
      </w:pPr>
    </w:p>
    <w:p w14:paraId="5B386DB3" w14:textId="77777777" w:rsidR="00FE291A" w:rsidRDefault="00C8738F">
      <w:pPr>
        <w:pStyle w:val="BodyText"/>
        <w:widowControl/>
        <w:kinsoku w:val="0"/>
        <w:overflowPunct w:val="0"/>
        <w:ind w:left="0"/>
        <w:rPr>
          <w:lang w:val="de-DE"/>
        </w:rPr>
      </w:pPr>
      <w:r>
        <w:rPr>
          <w:lang w:val="de-DE"/>
        </w:rPr>
        <w:t>Der Anteil der Patienten, die die Behandlung während der doppelblinden, kontrollierten Phase der pivotalen Studien aufgrund unerwünschter Ereignisse abbrachen, betrug 5,9 % in der Adalimumab</w:t>
      </w:r>
      <w:r>
        <w:rPr>
          <w:lang w:val="de-DE"/>
        </w:rPr>
        <w:noBreakHyphen/>
        <w:t>Gruppe und 5,4 % in der Kontrollgruppe.</w:t>
      </w:r>
    </w:p>
    <w:p w14:paraId="1ED558C0" w14:textId="77777777" w:rsidR="00FE291A" w:rsidRDefault="00FE291A">
      <w:pPr>
        <w:widowControl/>
        <w:kinsoku w:val="0"/>
        <w:overflowPunct w:val="0"/>
        <w:rPr>
          <w:sz w:val="22"/>
          <w:szCs w:val="22"/>
          <w:lang w:val="de-DE"/>
        </w:rPr>
      </w:pPr>
    </w:p>
    <w:p w14:paraId="79BA86BA" w14:textId="77777777" w:rsidR="00FE291A" w:rsidRDefault="00C8738F">
      <w:pPr>
        <w:pStyle w:val="BodyText"/>
        <w:widowControl/>
        <w:kinsoku w:val="0"/>
        <w:overflowPunct w:val="0"/>
        <w:ind w:left="0"/>
        <w:rPr>
          <w:lang w:val="de-DE"/>
        </w:rPr>
      </w:pPr>
      <w:r>
        <w:rPr>
          <w:lang w:val="de-DE"/>
        </w:rPr>
        <w:t>Die am häufigsten berichteten Nebenwirkungen sind Infektionen (wie z. B. Nasopharyngitis, Infektion im oberen Respirationstrakt und Sinusitis), Reaktionen an der Injektionsstelle (Erytheme, Juckreiz, Hämorrhagien, Schmerzen oder Schwellungen), Kopfschmerzen und muskuloskelettale Schmerzen.</w:t>
      </w:r>
    </w:p>
    <w:p w14:paraId="03CF8AA1" w14:textId="77777777" w:rsidR="00FE291A" w:rsidRDefault="00FE291A">
      <w:pPr>
        <w:widowControl/>
        <w:kinsoku w:val="0"/>
        <w:overflowPunct w:val="0"/>
        <w:rPr>
          <w:sz w:val="22"/>
          <w:szCs w:val="22"/>
          <w:lang w:val="de-DE"/>
        </w:rPr>
      </w:pPr>
    </w:p>
    <w:p w14:paraId="4C05FC1C" w14:textId="77777777" w:rsidR="00FE291A" w:rsidRDefault="00C8738F">
      <w:pPr>
        <w:pStyle w:val="BodyText"/>
        <w:widowControl/>
        <w:kinsoku w:val="0"/>
        <w:overflowPunct w:val="0"/>
        <w:ind w:left="0"/>
        <w:rPr>
          <w:lang w:val="de-DE"/>
        </w:rPr>
      </w:pPr>
      <w:r>
        <w:rPr>
          <w:lang w:val="de-DE"/>
        </w:rPr>
        <w:t>Es wurden für Adalimumab schwerwiegende Nebenwirkungen berichtet. TNF-Antagonisten, wie z. B. AMGEVITA, beeinflussen das Immunsystem, und ihre Anwendung kann die körpereigene Abwehr gegen Infektionen und Krebs beeinflussen.</w:t>
      </w:r>
    </w:p>
    <w:p w14:paraId="1CA58BCD" w14:textId="77777777" w:rsidR="00FE291A" w:rsidRDefault="00FE291A">
      <w:pPr>
        <w:widowControl/>
        <w:kinsoku w:val="0"/>
        <w:overflowPunct w:val="0"/>
        <w:rPr>
          <w:sz w:val="22"/>
          <w:szCs w:val="22"/>
          <w:lang w:val="de-DE"/>
        </w:rPr>
      </w:pPr>
    </w:p>
    <w:p w14:paraId="15F0F1D8" w14:textId="77777777" w:rsidR="00FE291A" w:rsidRDefault="00C8738F">
      <w:pPr>
        <w:pStyle w:val="BodyText"/>
        <w:widowControl/>
        <w:kinsoku w:val="0"/>
        <w:overflowPunct w:val="0"/>
        <w:ind w:left="0"/>
        <w:rPr>
          <w:lang w:val="de-DE"/>
        </w:rPr>
      </w:pPr>
      <w:r>
        <w:rPr>
          <w:lang w:val="de-DE"/>
        </w:rPr>
        <w:t>Tödlich verlaufende und lebensbedrohende Infektionen (einschließlich Sepsis, opportunistischer Infektionen und TB), HBV-Reaktivierung und verschiedene maligne Erkrankungen (einschließlich Leukämie, Lymphome und HSTCL) sind auch unter der Anwendung von Adalimumab berichtet worden.</w:t>
      </w:r>
    </w:p>
    <w:p w14:paraId="577AB20D" w14:textId="77777777" w:rsidR="00FE291A" w:rsidRDefault="00FE291A">
      <w:pPr>
        <w:widowControl/>
        <w:kinsoku w:val="0"/>
        <w:overflowPunct w:val="0"/>
        <w:rPr>
          <w:sz w:val="22"/>
          <w:szCs w:val="22"/>
          <w:lang w:val="de-DE"/>
        </w:rPr>
      </w:pPr>
    </w:p>
    <w:p w14:paraId="190D7A9C" w14:textId="77777777" w:rsidR="00FE291A" w:rsidRDefault="00C8738F">
      <w:pPr>
        <w:pStyle w:val="BodyText"/>
        <w:widowControl/>
        <w:kinsoku w:val="0"/>
        <w:overflowPunct w:val="0"/>
        <w:ind w:left="0"/>
        <w:rPr>
          <w:lang w:val="de-DE"/>
        </w:rPr>
      </w:pPr>
      <w:r>
        <w:rPr>
          <w:lang w:val="de-DE"/>
        </w:rPr>
        <w:t>Schwerwiegende hämatologische, neurologische und Autoimmunreaktionen sind ebenfalls berichtet worden. Diese umfassen seltene Berichte zu Panzytopenie, aplastischer Anämie, zentralen und peripheren Demyelinisierungen und Berichte zu Lupus, lupusähnlichen Zuständen und Stevens- Johnson-Syndrom.</w:t>
      </w:r>
    </w:p>
    <w:p w14:paraId="35257D00" w14:textId="77777777" w:rsidR="00FE291A" w:rsidRDefault="00FE291A">
      <w:pPr>
        <w:widowControl/>
        <w:kinsoku w:val="0"/>
        <w:overflowPunct w:val="0"/>
        <w:rPr>
          <w:sz w:val="22"/>
          <w:szCs w:val="22"/>
          <w:lang w:val="de-DE"/>
        </w:rPr>
      </w:pPr>
    </w:p>
    <w:p w14:paraId="7A394A07" w14:textId="77777777" w:rsidR="00FE291A" w:rsidRDefault="00C8738F">
      <w:pPr>
        <w:pStyle w:val="BodyText"/>
        <w:keepNext/>
        <w:widowControl/>
        <w:kinsoku w:val="0"/>
        <w:overflowPunct w:val="0"/>
        <w:ind w:left="0"/>
        <w:rPr>
          <w:lang w:val="de-DE"/>
        </w:rPr>
      </w:pPr>
      <w:r>
        <w:rPr>
          <w:u w:val="single"/>
          <w:lang w:val="de-DE"/>
        </w:rPr>
        <w:t>Kinder und Jugendliche</w:t>
      </w:r>
    </w:p>
    <w:p w14:paraId="02D9F75E" w14:textId="77777777" w:rsidR="00FE291A" w:rsidRDefault="00FE291A">
      <w:pPr>
        <w:keepNext/>
        <w:widowControl/>
        <w:kinsoku w:val="0"/>
        <w:overflowPunct w:val="0"/>
        <w:rPr>
          <w:sz w:val="22"/>
          <w:szCs w:val="22"/>
          <w:lang w:val="de-DE"/>
        </w:rPr>
      </w:pPr>
    </w:p>
    <w:p w14:paraId="7EF37855" w14:textId="77777777" w:rsidR="00FE291A" w:rsidRDefault="00C8738F">
      <w:pPr>
        <w:pStyle w:val="BodyText"/>
        <w:widowControl/>
        <w:kinsoku w:val="0"/>
        <w:overflowPunct w:val="0"/>
        <w:ind w:left="0"/>
        <w:rPr>
          <w:lang w:val="de-DE"/>
        </w:rPr>
      </w:pPr>
      <w:r>
        <w:rPr>
          <w:lang w:val="de-DE"/>
        </w:rPr>
        <w:t>Im Allgemeinen waren die bei Kindern und Jugendlichen beobachteten unerwünschten Ereignisse bezüglich Häufigkeit und Art ähnlich denjenigen, die bei erwachsenen Patienten beobachtet wurden.</w:t>
      </w:r>
    </w:p>
    <w:p w14:paraId="5D5C5502" w14:textId="77777777" w:rsidR="00FE291A" w:rsidRDefault="00FE291A">
      <w:pPr>
        <w:widowControl/>
        <w:kinsoku w:val="0"/>
        <w:overflowPunct w:val="0"/>
        <w:rPr>
          <w:sz w:val="22"/>
          <w:szCs w:val="22"/>
          <w:lang w:val="de-DE"/>
        </w:rPr>
      </w:pPr>
    </w:p>
    <w:p w14:paraId="3A360F82" w14:textId="77777777" w:rsidR="00FE291A" w:rsidRDefault="00C8738F">
      <w:pPr>
        <w:pStyle w:val="BodyText"/>
        <w:keepNext/>
        <w:widowControl/>
        <w:kinsoku w:val="0"/>
        <w:overflowPunct w:val="0"/>
        <w:ind w:left="0"/>
        <w:rPr>
          <w:lang w:val="de-DE"/>
        </w:rPr>
      </w:pPr>
      <w:r>
        <w:rPr>
          <w:u w:val="single"/>
          <w:lang w:val="de-DE"/>
        </w:rPr>
        <w:t>Tabellarische Auflistung der Nebenwirkungen</w:t>
      </w:r>
    </w:p>
    <w:p w14:paraId="46FDC9A4" w14:textId="77777777" w:rsidR="00FE291A" w:rsidRDefault="00FE291A">
      <w:pPr>
        <w:keepNext/>
        <w:widowControl/>
        <w:kinsoku w:val="0"/>
        <w:overflowPunct w:val="0"/>
        <w:rPr>
          <w:sz w:val="22"/>
          <w:szCs w:val="22"/>
          <w:lang w:val="de-DE"/>
        </w:rPr>
      </w:pPr>
    </w:p>
    <w:p w14:paraId="112D6323" w14:textId="77777777" w:rsidR="00FE291A" w:rsidRDefault="00C8738F">
      <w:pPr>
        <w:pStyle w:val="BodyText"/>
        <w:widowControl/>
        <w:kinsoku w:val="0"/>
        <w:overflowPunct w:val="0"/>
        <w:ind w:left="0"/>
        <w:rPr>
          <w:lang w:val="de-DE"/>
        </w:rPr>
      </w:pPr>
      <w:r>
        <w:rPr>
          <w:lang w:val="de-DE"/>
        </w:rPr>
        <w:t>Die folgende Auflistung von Nebenwirkungen basiert auf der Erfahrung aus klinischen Studien und auf der Erfahrung nach der Markteinführung und ist in der untenstehenden Tabelle 7 nach Systemorganklasse und Häufigkeit dargestellt: sehr häufig (≥ 1/10); häufig (≥ 1/100 bis &lt; 1/10); gelegentlich (≥ 1/1 000 bis &lt; 1/100); selten (≥ 1/10 000 bis &lt; 1/1 000) und nicht bekannt (Häufigkeit auf Grundlage der verfügbaren Daten nicht abschätzbar). Innerhalb jeder Häufigkeitsgruppe werden die Nebenwirkungen nach abnehmendem Schweregrad angegeben. Es wurde die größte bei den verschiedenen Indikationen beobachtete Häufigkeit berücksichtigt. Ein Asterisk (*) weist in der Spalte „Systemorganklasse“ darauf hin, ob in anderen Abschnitten (4.3, 4.4 und 4.8) weitere Informationen zu finden sind.</w:t>
      </w:r>
    </w:p>
    <w:p w14:paraId="1540DEEE" w14:textId="77777777" w:rsidR="00FE291A" w:rsidRDefault="00FE291A">
      <w:pPr>
        <w:widowControl/>
        <w:kinsoku w:val="0"/>
        <w:overflowPunct w:val="0"/>
        <w:rPr>
          <w:sz w:val="22"/>
          <w:szCs w:val="22"/>
          <w:lang w:val="de-DE"/>
        </w:rPr>
      </w:pPr>
    </w:p>
    <w:p w14:paraId="74B50030" w14:textId="77777777" w:rsidR="00FE291A" w:rsidRDefault="00C8738F">
      <w:pPr>
        <w:pStyle w:val="Heading1"/>
        <w:keepNext/>
        <w:widowControl/>
        <w:kinsoku w:val="0"/>
        <w:overflowPunct w:val="0"/>
        <w:ind w:left="0"/>
        <w:rPr>
          <w:lang w:val="de-DE"/>
        </w:rPr>
      </w:pPr>
      <w:r>
        <w:rPr>
          <w:lang w:val="de-DE"/>
        </w:rPr>
        <w:t>Tabelle 7: Unerwünschte Wirkungen</w:t>
      </w:r>
    </w:p>
    <w:p w14:paraId="5ED52653" w14:textId="77777777" w:rsidR="00FE291A" w:rsidRDefault="00FE291A">
      <w:pPr>
        <w:keepNext/>
        <w:widowControl/>
        <w:rPr>
          <w:sz w:val="22"/>
          <w:lang w:val="de-DE"/>
        </w:rPr>
      </w:pPr>
    </w:p>
    <w:tbl>
      <w:tblPr>
        <w:tblW w:w="9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517"/>
        <w:gridCol w:w="1920"/>
        <w:gridCol w:w="4598"/>
      </w:tblGrid>
      <w:tr w:rsidR="00FE291A" w14:paraId="50FBC8DF" w14:textId="77777777">
        <w:trPr>
          <w:cantSplit/>
          <w:tblHeader/>
        </w:trPr>
        <w:tc>
          <w:tcPr>
            <w:tcW w:w="2517" w:type="dxa"/>
            <w:vAlign w:val="center"/>
          </w:tcPr>
          <w:p w14:paraId="322C25C8" w14:textId="77777777" w:rsidR="00FE291A" w:rsidRDefault="00C8738F">
            <w:pPr>
              <w:pStyle w:val="TableParagraph"/>
              <w:keepNext/>
              <w:widowControl/>
              <w:suppressAutoHyphens/>
              <w:kinsoku w:val="0"/>
              <w:overflowPunct w:val="0"/>
              <w:rPr>
                <w:sz w:val="22"/>
                <w:szCs w:val="22"/>
                <w:lang w:val="de-DE"/>
              </w:rPr>
            </w:pPr>
            <w:r>
              <w:rPr>
                <w:b/>
                <w:bCs/>
                <w:sz w:val="22"/>
                <w:szCs w:val="22"/>
                <w:lang w:val="de-DE" w:eastAsia="en-US"/>
              </w:rPr>
              <w:t>Systemorganklasse</w:t>
            </w:r>
          </w:p>
        </w:tc>
        <w:tc>
          <w:tcPr>
            <w:tcW w:w="1920" w:type="dxa"/>
            <w:vAlign w:val="center"/>
          </w:tcPr>
          <w:p w14:paraId="62B22526" w14:textId="77777777" w:rsidR="00FE291A" w:rsidRDefault="00C8738F">
            <w:pPr>
              <w:pStyle w:val="TableParagraph"/>
              <w:keepNext/>
              <w:widowControl/>
              <w:suppressAutoHyphens/>
              <w:kinsoku w:val="0"/>
              <w:overflowPunct w:val="0"/>
              <w:rPr>
                <w:sz w:val="22"/>
                <w:szCs w:val="22"/>
                <w:lang w:val="de-DE"/>
              </w:rPr>
            </w:pPr>
            <w:r>
              <w:rPr>
                <w:b/>
                <w:bCs/>
                <w:sz w:val="22"/>
                <w:szCs w:val="22"/>
                <w:lang w:val="de-DE" w:eastAsia="en-US"/>
              </w:rPr>
              <w:t>Häufigkeit</w:t>
            </w:r>
          </w:p>
        </w:tc>
        <w:tc>
          <w:tcPr>
            <w:tcW w:w="4598" w:type="dxa"/>
            <w:vAlign w:val="center"/>
          </w:tcPr>
          <w:p w14:paraId="6748052F" w14:textId="77777777" w:rsidR="00FE291A" w:rsidRDefault="00C8738F">
            <w:pPr>
              <w:pStyle w:val="TableParagraph"/>
              <w:keepNext/>
              <w:widowControl/>
              <w:suppressAutoHyphens/>
              <w:kinsoku w:val="0"/>
              <w:overflowPunct w:val="0"/>
              <w:rPr>
                <w:sz w:val="22"/>
                <w:szCs w:val="22"/>
                <w:lang w:val="de-DE"/>
              </w:rPr>
            </w:pPr>
            <w:r>
              <w:rPr>
                <w:b/>
                <w:bCs/>
                <w:sz w:val="22"/>
                <w:szCs w:val="22"/>
                <w:lang w:val="de-DE" w:eastAsia="en-US"/>
              </w:rPr>
              <w:t>Nebenwirkungen</w:t>
            </w:r>
          </w:p>
        </w:tc>
      </w:tr>
      <w:tr w:rsidR="00FE291A" w:rsidRPr="00723069" w14:paraId="4C1755F7" w14:textId="77777777">
        <w:trPr>
          <w:cantSplit/>
        </w:trPr>
        <w:tc>
          <w:tcPr>
            <w:tcW w:w="2517" w:type="dxa"/>
            <w:vMerge w:val="restart"/>
          </w:tcPr>
          <w:p w14:paraId="6655E2F5" w14:textId="77777777" w:rsidR="00FE291A" w:rsidRDefault="00C8738F">
            <w:pPr>
              <w:widowControl/>
              <w:suppressAutoHyphens/>
              <w:rPr>
                <w:sz w:val="22"/>
                <w:szCs w:val="22"/>
                <w:lang w:val="de-DE" w:eastAsia="en-US"/>
              </w:rPr>
            </w:pPr>
            <w:r>
              <w:rPr>
                <w:sz w:val="22"/>
                <w:szCs w:val="22"/>
                <w:lang w:val="de-DE" w:eastAsia="en-US"/>
              </w:rPr>
              <w:t>Infektionen und parasitäre Erkrankungen*</w:t>
            </w:r>
          </w:p>
        </w:tc>
        <w:tc>
          <w:tcPr>
            <w:tcW w:w="1920" w:type="dxa"/>
          </w:tcPr>
          <w:p w14:paraId="07F0C9F1" w14:textId="77777777" w:rsidR="00FE291A" w:rsidRDefault="00C8738F">
            <w:pPr>
              <w:widowControl/>
              <w:suppressAutoHyphens/>
              <w:kinsoku w:val="0"/>
              <w:overflowPunct w:val="0"/>
              <w:rPr>
                <w:sz w:val="22"/>
                <w:szCs w:val="22"/>
                <w:lang w:val="de-DE" w:eastAsia="en-US"/>
              </w:rPr>
            </w:pPr>
            <w:r>
              <w:rPr>
                <w:sz w:val="22"/>
                <w:szCs w:val="22"/>
                <w:lang w:val="de-DE" w:eastAsia="en-US"/>
              </w:rPr>
              <w:t>Sehr häufig</w:t>
            </w:r>
          </w:p>
          <w:p w14:paraId="3B7FDC79" w14:textId="77777777" w:rsidR="00FE291A" w:rsidRDefault="00FE291A">
            <w:pPr>
              <w:widowControl/>
              <w:suppressAutoHyphens/>
              <w:kinsoku w:val="0"/>
              <w:overflowPunct w:val="0"/>
              <w:rPr>
                <w:sz w:val="22"/>
                <w:szCs w:val="22"/>
                <w:lang w:val="de-DE"/>
              </w:rPr>
            </w:pPr>
          </w:p>
        </w:tc>
        <w:tc>
          <w:tcPr>
            <w:tcW w:w="4598" w:type="dxa"/>
          </w:tcPr>
          <w:p w14:paraId="3339D118" w14:textId="77777777" w:rsidR="00FE291A" w:rsidRDefault="00C8738F">
            <w:pPr>
              <w:widowControl/>
              <w:suppressAutoHyphens/>
              <w:rPr>
                <w:sz w:val="22"/>
                <w:szCs w:val="22"/>
                <w:lang w:val="de-DE"/>
              </w:rPr>
            </w:pPr>
            <w:r>
              <w:rPr>
                <w:sz w:val="22"/>
                <w:szCs w:val="22"/>
                <w:lang w:val="de-DE" w:eastAsia="en-US"/>
              </w:rPr>
              <w:t>Infektionen des Respirationstraktes (einschließlich des unteren und oberen Respirationstraktes, Pneumonie, Sinusitis, Pharyngitis, Nasopharyngitis und virale Herpespneumonie)</w:t>
            </w:r>
          </w:p>
        </w:tc>
      </w:tr>
      <w:tr w:rsidR="00FE291A" w14:paraId="4A5AA5FD" w14:textId="77777777">
        <w:trPr>
          <w:cantSplit/>
        </w:trPr>
        <w:tc>
          <w:tcPr>
            <w:tcW w:w="2517" w:type="dxa"/>
            <w:vMerge/>
          </w:tcPr>
          <w:p w14:paraId="3649D32D" w14:textId="77777777" w:rsidR="00FE291A" w:rsidRDefault="00FE291A">
            <w:pPr>
              <w:widowControl/>
              <w:suppressAutoHyphens/>
              <w:rPr>
                <w:sz w:val="22"/>
                <w:szCs w:val="22"/>
                <w:lang w:val="de-DE" w:eastAsia="en-US"/>
              </w:rPr>
            </w:pPr>
          </w:p>
        </w:tc>
        <w:tc>
          <w:tcPr>
            <w:tcW w:w="1920" w:type="dxa"/>
          </w:tcPr>
          <w:p w14:paraId="49373525" w14:textId="77777777" w:rsidR="00FE291A" w:rsidRDefault="00C8738F">
            <w:pPr>
              <w:widowControl/>
              <w:suppressAutoHyphens/>
              <w:kinsoku w:val="0"/>
              <w:overflowPunct w:val="0"/>
              <w:rPr>
                <w:sz w:val="22"/>
                <w:szCs w:val="22"/>
                <w:lang w:val="de-DE" w:eastAsia="en-US"/>
              </w:rPr>
            </w:pPr>
            <w:r>
              <w:rPr>
                <w:sz w:val="22"/>
                <w:szCs w:val="22"/>
                <w:lang w:val="de-DE" w:eastAsia="en-US"/>
              </w:rPr>
              <w:t>Häufig</w:t>
            </w:r>
          </w:p>
          <w:p w14:paraId="65FEB770" w14:textId="77777777" w:rsidR="00FE291A" w:rsidRDefault="00FE291A">
            <w:pPr>
              <w:widowControl/>
              <w:suppressAutoHyphens/>
              <w:kinsoku w:val="0"/>
              <w:overflowPunct w:val="0"/>
              <w:rPr>
                <w:sz w:val="22"/>
                <w:szCs w:val="22"/>
                <w:lang w:val="de-DE" w:eastAsia="en-US"/>
              </w:rPr>
            </w:pPr>
          </w:p>
        </w:tc>
        <w:tc>
          <w:tcPr>
            <w:tcW w:w="4598" w:type="dxa"/>
          </w:tcPr>
          <w:p w14:paraId="77D02C36" w14:textId="77777777" w:rsidR="00FE291A" w:rsidRDefault="00C8738F">
            <w:pPr>
              <w:widowControl/>
              <w:suppressAutoHyphens/>
              <w:rPr>
                <w:sz w:val="22"/>
                <w:szCs w:val="22"/>
                <w:lang w:val="de-DE" w:eastAsia="en-US"/>
              </w:rPr>
            </w:pPr>
            <w:r>
              <w:rPr>
                <w:sz w:val="22"/>
                <w:szCs w:val="22"/>
                <w:lang w:val="de-DE" w:eastAsia="en-US"/>
              </w:rPr>
              <w:t xml:space="preserve">systemische Infektionen (einschließlich Sepsis, Candidiasis und Influenza), </w:t>
            </w:r>
          </w:p>
          <w:p w14:paraId="083CFC5F" w14:textId="77777777" w:rsidR="00FE291A" w:rsidRDefault="00C8738F">
            <w:pPr>
              <w:widowControl/>
              <w:suppressAutoHyphens/>
              <w:rPr>
                <w:sz w:val="22"/>
                <w:szCs w:val="22"/>
                <w:lang w:val="de-DE" w:eastAsia="en-US"/>
              </w:rPr>
            </w:pPr>
            <w:r>
              <w:rPr>
                <w:sz w:val="22"/>
                <w:szCs w:val="22"/>
                <w:lang w:val="de-DE" w:eastAsia="en-US"/>
              </w:rPr>
              <w:t xml:space="preserve">intestinale Infektionen (einschließlich viraler Gastroenteritis), </w:t>
            </w:r>
          </w:p>
          <w:p w14:paraId="26AA7997" w14:textId="77777777" w:rsidR="00FE291A" w:rsidRDefault="00C8738F">
            <w:pPr>
              <w:widowControl/>
              <w:suppressAutoHyphens/>
              <w:rPr>
                <w:sz w:val="22"/>
                <w:szCs w:val="22"/>
                <w:lang w:val="de-DE" w:eastAsia="en-US"/>
              </w:rPr>
            </w:pPr>
            <w:r>
              <w:rPr>
                <w:sz w:val="22"/>
                <w:szCs w:val="22"/>
                <w:lang w:val="de-DE" w:eastAsia="en-US"/>
              </w:rPr>
              <w:t>Haut- und Weichteilinfektionen (einschließlich Paronychie, Zellgewebsentzündung, Impetigo, nekrotisierender Fasciitis und Herpes zoster),</w:t>
            </w:r>
          </w:p>
          <w:p w14:paraId="75076EB8" w14:textId="77777777" w:rsidR="00FE291A" w:rsidRDefault="00C8738F">
            <w:pPr>
              <w:widowControl/>
              <w:suppressAutoHyphens/>
              <w:rPr>
                <w:sz w:val="22"/>
                <w:szCs w:val="22"/>
                <w:lang w:val="de-DE" w:eastAsia="en-US"/>
              </w:rPr>
            </w:pPr>
            <w:r>
              <w:rPr>
                <w:sz w:val="22"/>
                <w:szCs w:val="22"/>
                <w:lang w:val="de-DE" w:eastAsia="en-US"/>
              </w:rPr>
              <w:t xml:space="preserve">Ohrinfektionen, </w:t>
            </w:r>
          </w:p>
          <w:p w14:paraId="392F7305" w14:textId="77777777" w:rsidR="00FE291A" w:rsidRDefault="00C8738F">
            <w:pPr>
              <w:widowControl/>
              <w:suppressAutoHyphens/>
              <w:rPr>
                <w:sz w:val="22"/>
                <w:szCs w:val="22"/>
                <w:lang w:val="de-DE" w:eastAsia="en-US"/>
              </w:rPr>
            </w:pPr>
            <w:r>
              <w:rPr>
                <w:sz w:val="22"/>
                <w:szCs w:val="22"/>
                <w:lang w:val="de-DE" w:eastAsia="en-US"/>
              </w:rPr>
              <w:t>Mundinfektionen (einschließlich Herpes simplex, Mundherpes und Zahninfektionen),</w:t>
            </w:r>
          </w:p>
          <w:p w14:paraId="6C5C4920" w14:textId="77777777" w:rsidR="00FE291A" w:rsidRDefault="00C8738F">
            <w:pPr>
              <w:widowControl/>
              <w:suppressAutoHyphens/>
              <w:rPr>
                <w:sz w:val="22"/>
                <w:szCs w:val="22"/>
                <w:lang w:val="de-DE" w:eastAsia="en-US"/>
              </w:rPr>
            </w:pPr>
            <w:r>
              <w:rPr>
                <w:sz w:val="22"/>
                <w:szCs w:val="22"/>
                <w:lang w:val="de-DE" w:eastAsia="en-US"/>
              </w:rPr>
              <w:t>Genitaltraktinfektionen (einschließlich vulvovaginaler Pilzinfektion),</w:t>
            </w:r>
          </w:p>
          <w:p w14:paraId="2B6E4750" w14:textId="77777777" w:rsidR="00FE291A" w:rsidRDefault="00C8738F">
            <w:pPr>
              <w:widowControl/>
              <w:suppressAutoHyphens/>
              <w:rPr>
                <w:sz w:val="22"/>
                <w:szCs w:val="22"/>
                <w:lang w:val="de-DE" w:eastAsia="en-US"/>
              </w:rPr>
            </w:pPr>
            <w:r>
              <w:rPr>
                <w:sz w:val="22"/>
                <w:szCs w:val="22"/>
                <w:lang w:val="de-DE" w:eastAsia="en-US"/>
              </w:rPr>
              <w:t xml:space="preserve">Harnwegsinfektionen (einschließlich Pyelonephritis), </w:t>
            </w:r>
          </w:p>
          <w:p w14:paraId="40B2971D" w14:textId="77777777" w:rsidR="00FE291A" w:rsidRDefault="00C8738F">
            <w:pPr>
              <w:widowControl/>
              <w:suppressAutoHyphens/>
              <w:rPr>
                <w:sz w:val="22"/>
                <w:szCs w:val="22"/>
                <w:lang w:val="de-DE" w:eastAsia="en-US"/>
              </w:rPr>
            </w:pPr>
            <w:r>
              <w:rPr>
                <w:sz w:val="22"/>
                <w:szCs w:val="22"/>
                <w:lang w:val="de-DE" w:eastAsia="en-US"/>
              </w:rPr>
              <w:t>Pilzinfektionen,</w:t>
            </w:r>
          </w:p>
          <w:p w14:paraId="1E5BFF37" w14:textId="77777777" w:rsidR="00FE291A" w:rsidRDefault="00C8738F">
            <w:pPr>
              <w:widowControl/>
              <w:suppressAutoHyphens/>
              <w:rPr>
                <w:sz w:val="22"/>
                <w:szCs w:val="22"/>
                <w:lang w:val="de-DE" w:eastAsia="en-US"/>
              </w:rPr>
            </w:pPr>
            <w:r>
              <w:rPr>
                <w:sz w:val="22"/>
                <w:szCs w:val="22"/>
                <w:lang w:val="de-DE" w:eastAsia="en-US"/>
              </w:rPr>
              <w:t>Gelenkinfektionen</w:t>
            </w:r>
          </w:p>
        </w:tc>
      </w:tr>
      <w:tr w:rsidR="00FE291A" w14:paraId="381DAC71" w14:textId="77777777">
        <w:trPr>
          <w:cantSplit/>
        </w:trPr>
        <w:tc>
          <w:tcPr>
            <w:tcW w:w="2517" w:type="dxa"/>
            <w:vMerge/>
          </w:tcPr>
          <w:p w14:paraId="129EBFEB" w14:textId="77777777" w:rsidR="00FE291A" w:rsidRDefault="00FE291A">
            <w:pPr>
              <w:widowControl/>
              <w:suppressAutoHyphens/>
              <w:rPr>
                <w:sz w:val="22"/>
                <w:szCs w:val="22"/>
                <w:lang w:val="de-DE" w:eastAsia="en-US"/>
              </w:rPr>
            </w:pPr>
          </w:p>
        </w:tc>
        <w:tc>
          <w:tcPr>
            <w:tcW w:w="1920" w:type="dxa"/>
          </w:tcPr>
          <w:p w14:paraId="6F354826" w14:textId="77777777" w:rsidR="00FE291A" w:rsidRDefault="00C8738F">
            <w:pPr>
              <w:widowControl/>
              <w:suppressAutoHyphens/>
              <w:kinsoku w:val="0"/>
              <w:overflowPunct w:val="0"/>
              <w:rPr>
                <w:sz w:val="22"/>
                <w:szCs w:val="22"/>
                <w:lang w:val="de-DE" w:eastAsia="en-US"/>
              </w:rPr>
            </w:pPr>
            <w:r>
              <w:rPr>
                <w:sz w:val="22"/>
                <w:szCs w:val="22"/>
                <w:lang w:val="de-DE" w:eastAsia="en-US"/>
              </w:rPr>
              <w:t>Gelegentlich</w:t>
            </w:r>
          </w:p>
        </w:tc>
        <w:tc>
          <w:tcPr>
            <w:tcW w:w="4598" w:type="dxa"/>
          </w:tcPr>
          <w:p w14:paraId="6A1DD955" w14:textId="77777777" w:rsidR="00FE291A" w:rsidRDefault="00C8738F">
            <w:pPr>
              <w:widowControl/>
              <w:suppressAutoHyphens/>
              <w:rPr>
                <w:sz w:val="22"/>
                <w:szCs w:val="22"/>
                <w:lang w:val="de-DE" w:eastAsia="en-US"/>
              </w:rPr>
            </w:pPr>
            <w:r>
              <w:rPr>
                <w:sz w:val="22"/>
                <w:szCs w:val="22"/>
                <w:lang w:val="de-DE" w:eastAsia="en-US"/>
              </w:rPr>
              <w:t>neurologische Infektionen (einschließlich viraler Meningitis),</w:t>
            </w:r>
          </w:p>
          <w:p w14:paraId="162771B7" w14:textId="77777777" w:rsidR="00FE291A" w:rsidRDefault="00C8738F">
            <w:pPr>
              <w:widowControl/>
              <w:suppressAutoHyphens/>
              <w:rPr>
                <w:sz w:val="22"/>
                <w:szCs w:val="22"/>
                <w:lang w:val="de-DE" w:eastAsia="en-US"/>
              </w:rPr>
            </w:pPr>
            <w:r>
              <w:rPr>
                <w:sz w:val="22"/>
                <w:szCs w:val="22"/>
                <w:lang w:val="de-DE" w:eastAsia="en-US"/>
              </w:rPr>
              <w:t>opportunistische Infektionen und Tuberkulose (einschließlich Kokzidioidomykose, Histoplasmose und komplexe Infektion durch Mycobacterium avium),</w:t>
            </w:r>
          </w:p>
          <w:p w14:paraId="0242392C" w14:textId="77777777" w:rsidR="00FE291A" w:rsidRDefault="00C8738F">
            <w:pPr>
              <w:widowControl/>
              <w:suppressAutoHyphens/>
              <w:rPr>
                <w:sz w:val="22"/>
                <w:szCs w:val="22"/>
                <w:lang w:val="de-DE" w:eastAsia="en-US"/>
              </w:rPr>
            </w:pPr>
            <w:r>
              <w:rPr>
                <w:sz w:val="22"/>
                <w:szCs w:val="22"/>
                <w:lang w:val="de-DE" w:eastAsia="en-US"/>
              </w:rPr>
              <w:t>bakterielle Infektionen,</w:t>
            </w:r>
          </w:p>
          <w:p w14:paraId="41980F99" w14:textId="77777777" w:rsidR="00FE291A" w:rsidRDefault="00C8738F">
            <w:pPr>
              <w:widowControl/>
              <w:suppressAutoHyphens/>
              <w:rPr>
                <w:sz w:val="22"/>
                <w:szCs w:val="22"/>
                <w:lang w:val="de-DE" w:eastAsia="en-US"/>
              </w:rPr>
            </w:pPr>
            <w:r>
              <w:rPr>
                <w:sz w:val="22"/>
                <w:szCs w:val="22"/>
                <w:lang w:val="de-DE" w:eastAsia="en-US"/>
              </w:rPr>
              <w:t>Augeninfektionen,</w:t>
            </w:r>
          </w:p>
          <w:p w14:paraId="019B266C" w14:textId="77777777" w:rsidR="00FE291A" w:rsidRDefault="00C8738F">
            <w:pPr>
              <w:widowControl/>
              <w:suppressAutoHyphens/>
              <w:rPr>
                <w:sz w:val="22"/>
                <w:szCs w:val="22"/>
                <w:lang w:val="de-DE" w:eastAsia="en-US"/>
              </w:rPr>
            </w:pPr>
            <w:r>
              <w:rPr>
                <w:sz w:val="22"/>
                <w:szCs w:val="22"/>
                <w:lang w:val="de-DE" w:eastAsia="en-US"/>
              </w:rPr>
              <w:t>Divertikulitis</w:t>
            </w:r>
            <w:r>
              <w:rPr>
                <w:sz w:val="22"/>
                <w:szCs w:val="22"/>
                <w:vertAlign w:val="superscript"/>
                <w:lang w:val="de-DE" w:eastAsia="en-US"/>
              </w:rPr>
              <w:t>1)</w:t>
            </w:r>
          </w:p>
        </w:tc>
      </w:tr>
      <w:tr w:rsidR="00FE291A" w14:paraId="4A293EDA" w14:textId="77777777">
        <w:trPr>
          <w:cantSplit/>
        </w:trPr>
        <w:tc>
          <w:tcPr>
            <w:tcW w:w="2517" w:type="dxa"/>
            <w:vMerge w:val="restart"/>
          </w:tcPr>
          <w:p w14:paraId="656D2F29" w14:textId="77777777" w:rsidR="00FE291A" w:rsidRDefault="00C8738F">
            <w:pPr>
              <w:widowControl/>
              <w:suppressAutoHyphens/>
              <w:rPr>
                <w:sz w:val="22"/>
                <w:szCs w:val="22"/>
                <w:lang w:val="de-DE" w:eastAsia="en-US"/>
              </w:rPr>
            </w:pPr>
            <w:r>
              <w:rPr>
                <w:sz w:val="22"/>
                <w:szCs w:val="22"/>
                <w:lang w:val="de-DE" w:eastAsia="en-US"/>
              </w:rPr>
              <w:t>Gutartige, bösartige und unspezifische Neubildungen (einschließlich Zysten und Polypen)*</w:t>
            </w:r>
          </w:p>
        </w:tc>
        <w:tc>
          <w:tcPr>
            <w:tcW w:w="1920" w:type="dxa"/>
          </w:tcPr>
          <w:p w14:paraId="28B72178" w14:textId="77777777" w:rsidR="00FE291A" w:rsidRDefault="00C8738F">
            <w:pPr>
              <w:widowControl/>
              <w:suppressAutoHyphens/>
              <w:kinsoku w:val="0"/>
              <w:overflowPunct w:val="0"/>
              <w:rPr>
                <w:sz w:val="22"/>
                <w:szCs w:val="22"/>
                <w:lang w:val="de-DE"/>
              </w:rPr>
            </w:pPr>
            <w:r>
              <w:rPr>
                <w:sz w:val="22"/>
                <w:szCs w:val="22"/>
                <w:lang w:val="de-DE" w:eastAsia="en-US"/>
              </w:rPr>
              <w:t>Häufig</w:t>
            </w:r>
          </w:p>
        </w:tc>
        <w:tc>
          <w:tcPr>
            <w:tcW w:w="4598" w:type="dxa"/>
          </w:tcPr>
          <w:p w14:paraId="148BCFD0" w14:textId="77777777" w:rsidR="00FE291A" w:rsidRDefault="00C8738F">
            <w:pPr>
              <w:widowControl/>
              <w:suppressAutoHyphens/>
              <w:rPr>
                <w:sz w:val="22"/>
                <w:szCs w:val="22"/>
                <w:lang w:val="de-DE" w:eastAsia="en-US"/>
              </w:rPr>
            </w:pPr>
            <w:r>
              <w:rPr>
                <w:sz w:val="22"/>
                <w:szCs w:val="22"/>
                <w:lang w:val="de-DE" w:eastAsia="en-US"/>
              </w:rPr>
              <w:t>Hautkrebs außer Melanom (einschließlich Basalzellkarzinom und Plattenepithelkarzinom),</w:t>
            </w:r>
          </w:p>
          <w:p w14:paraId="52B02286" w14:textId="77777777" w:rsidR="00FE291A" w:rsidRDefault="00C8738F">
            <w:pPr>
              <w:widowControl/>
              <w:suppressAutoHyphens/>
              <w:rPr>
                <w:sz w:val="22"/>
                <w:szCs w:val="22"/>
                <w:lang w:val="de-DE"/>
              </w:rPr>
            </w:pPr>
            <w:r>
              <w:rPr>
                <w:sz w:val="22"/>
                <w:szCs w:val="22"/>
                <w:lang w:val="de-DE" w:eastAsia="en-US"/>
              </w:rPr>
              <w:t>gutartiges Neoplasma</w:t>
            </w:r>
          </w:p>
        </w:tc>
      </w:tr>
      <w:tr w:rsidR="00FE291A" w:rsidRPr="002E6CD3" w14:paraId="186B5950" w14:textId="77777777">
        <w:trPr>
          <w:cantSplit/>
        </w:trPr>
        <w:tc>
          <w:tcPr>
            <w:tcW w:w="2517" w:type="dxa"/>
            <w:vMerge/>
          </w:tcPr>
          <w:p w14:paraId="2B5D18AC" w14:textId="77777777" w:rsidR="00FE291A" w:rsidRDefault="00FE291A">
            <w:pPr>
              <w:widowControl/>
              <w:suppressAutoHyphens/>
              <w:rPr>
                <w:sz w:val="22"/>
                <w:szCs w:val="22"/>
                <w:lang w:val="de-DE" w:eastAsia="en-US"/>
              </w:rPr>
            </w:pPr>
          </w:p>
        </w:tc>
        <w:tc>
          <w:tcPr>
            <w:tcW w:w="1920" w:type="dxa"/>
          </w:tcPr>
          <w:p w14:paraId="2D885268" w14:textId="77777777" w:rsidR="00FE291A" w:rsidRDefault="00C8738F">
            <w:pPr>
              <w:widowControl/>
              <w:suppressAutoHyphens/>
              <w:kinsoku w:val="0"/>
              <w:overflowPunct w:val="0"/>
              <w:rPr>
                <w:sz w:val="22"/>
                <w:szCs w:val="22"/>
                <w:lang w:val="de-DE" w:eastAsia="en-US"/>
              </w:rPr>
            </w:pPr>
            <w:r>
              <w:rPr>
                <w:sz w:val="22"/>
                <w:szCs w:val="22"/>
                <w:lang w:val="de-DE" w:eastAsia="en-US"/>
              </w:rPr>
              <w:t>Gelegentlich</w:t>
            </w:r>
          </w:p>
          <w:p w14:paraId="61CE240A" w14:textId="77777777" w:rsidR="00FE291A" w:rsidRDefault="00FE291A">
            <w:pPr>
              <w:widowControl/>
              <w:suppressAutoHyphens/>
              <w:kinsoku w:val="0"/>
              <w:overflowPunct w:val="0"/>
              <w:rPr>
                <w:sz w:val="22"/>
                <w:szCs w:val="22"/>
                <w:lang w:val="de-DE" w:eastAsia="en-US"/>
              </w:rPr>
            </w:pPr>
          </w:p>
        </w:tc>
        <w:tc>
          <w:tcPr>
            <w:tcW w:w="4598" w:type="dxa"/>
          </w:tcPr>
          <w:p w14:paraId="3C497FAE" w14:textId="77777777" w:rsidR="00FE291A" w:rsidRDefault="00C8738F">
            <w:pPr>
              <w:widowControl/>
              <w:suppressAutoHyphens/>
              <w:rPr>
                <w:sz w:val="22"/>
                <w:szCs w:val="22"/>
                <w:lang w:val="de-DE" w:eastAsia="en-US"/>
              </w:rPr>
            </w:pPr>
            <w:r>
              <w:rPr>
                <w:sz w:val="22"/>
                <w:szCs w:val="22"/>
                <w:lang w:val="de-DE" w:eastAsia="en-US"/>
              </w:rPr>
              <w:t>Lymphom**,</w:t>
            </w:r>
          </w:p>
          <w:p w14:paraId="6AB40D33" w14:textId="77777777" w:rsidR="00FE291A" w:rsidRDefault="00C8738F">
            <w:pPr>
              <w:widowControl/>
              <w:suppressAutoHyphens/>
              <w:rPr>
                <w:sz w:val="22"/>
                <w:szCs w:val="22"/>
                <w:lang w:val="de-DE" w:eastAsia="en-US"/>
              </w:rPr>
            </w:pPr>
            <w:r>
              <w:rPr>
                <w:sz w:val="22"/>
                <w:szCs w:val="22"/>
                <w:lang w:val="de-DE" w:eastAsia="en-US"/>
              </w:rPr>
              <w:t>solide Organtumoren (einschließlich Brustkrebs, Lungentumor und Schilddrüsentumor), Melanom**</w:t>
            </w:r>
          </w:p>
        </w:tc>
      </w:tr>
      <w:tr w:rsidR="00FE291A" w14:paraId="58806EAB" w14:textId="77777777">
        <w:trPr>
          <w:cantSplit/>
        </w:trPr>
        <w:tc>
          <w:tcPr>
            <w:tcW w:w="2517" w:type="dxa"/>
            <w:vMerge/>
          </w:tcPr>
          <w:p w14:paraId="694E083C" w14:textId="77777777" w:rsidR="00FE291A" w:rsidRDefault="00FE291A">
            <w:pPr>
              <w:widowControl/>
              <w:suppressAutoHyphens/>
              <w:rPr>
                <w:sz w:val="22"/>
                <w:szCs w:val="22"/>
                <w:lang w:val="de-DE" w:eastAsia="en-US"/>
              </w:rPr>
            </w:pPr>
          </w:p>
        </w:tc>
        <w:tc>
          <w:tcPr>
            <w:tcW w:w="1920" w:type="dxa"/>
          </w:tcPr>
          <w:p w14:paraId="719ECC25" w14:textId="77777777" w:rsidR="00FE291A" w:rsidRDefault="00C8738F">
            <w:pPr>
              <w:widowControl/>
              <w:suppressAutoHyphens/>
              <w:kinsoku w:val="0"/>
              <w:overflowPunct w:val="0"/>
              <w:rPr>
                <w:sz w:val="22"/>
                <w:szCs w:val="22"/>
                <w:lang w:val="de-DE" w:eastAsia="en-US"/>
              </w:rPr>
            </w:pPr>
            <w:r>
              <w:rPr>
                <w:sz w:val="22"/>
                <w:szCs w:val="22"/>
                <w:lang w:val="de-DE" w:eastAsia="en-US"/>
              </w:rPr>
              <w:t>Selten</w:t>
            </w:r>
          </w:p>
        </w:tc>
        <w:tc>
          <w:tcPr>
            <w:tcW w:w="4598" w:type="dxa"/>
          </w:tcPr>
          <w:p w14:paraId="740AAC49" w14:textId="77777777" w:rsidR="00FE291A" w:rsidRDefault="00C8738F">
            <w:pPr>
              <w:widowControl/>
              <w:suppressAutoHyphens/>
              <w:kinsoku w:val="0"/>
              <w:overflowPunct w:val="0"/>
              <w:rPr>
                <w:sz w:val="22"/>
                <w:szCs w:val="22"/>
                <w:lang w:val="de-DE" w:eastAsia="en-US"/>
              </w:rPr>
            </w:pPr>
            <w:r>
              <w:rPr>
                <w:sz w:val="22"/>
                <w:szCs w:val="22"/>
                <w:lang w:val="de-DE" w:eastAsia="en-US"/>
              </w:rPr>
              <w:t>Leukämie</w:t>
            </w:r>
            <w:r>
              <w:rPr>
                <w:sz w:val="22"/>
                <w:szCs w:val="22"/>
                <w:vertAlign w:val="superscript"/>
                <w:lang w:val="de-DE" w:eastAsia="en-US"/>
              </w:rPr>
              <w:t>1)</w:t>
            </w:r>
          </w:p>
        </w:tc>
      </w:tr>
      <w:tr w:rsidR="00FE291A" w14:paraId="59587CF9" w14:textId="77777777">
        <w:trPr>
          <w:cantSplit/>
        </w:trPr>
        <w:tc>
          <w:tcPr>
            <w:tcW w:w="2517" w:type="dxa"/>
            <w:vMerge/>
          </w:tcPr>
          <w:p w14:paraId="52228397" w14:textId="77777777" w:rsidR="00FE291A" w:rsidRDefault="00FE291A">
            <w:pPr>
              <w:widowControl/>
              <w:suppressAutoHyphens/>
              <w:rPr>
                <w:sz w:val="22"/>
                <w:szCs w:val="22"/>
                <w:lang w:val="de-DE" w:eastAsia="en-US"/>
              </w:rPr>
            </w:pPr>
          </w:p>
        </w:tc>
        <w:tc>
          <w:tcPr>
            <w:tcW w:w="1920" w:type="dxa"/>
          </w:tcPr>
          <w:p w14:paraId="111F2029" w14:textId="77777777" w:rsidR="00FE291A" w:rsidRDefault="00C8738F">
            <w:pPr>
              <w:widowControl/>
              <w:suppressAutoHyphens/>
              <w:kinsoku w:val="0"/>
              <w:overflowPunct w:val="0"/>
              <w:rPr>
                <w:sz w:val="22"/>
                <w:szCs w:val="22"/>
                <w:lang w:val="de-DE" w:eastAsia="en-US"/>
              </w:rPr>
            </w:pPr>
            <w:r>
              <w:rPr>
                <w:sz w:val="22"/>
                <w:szCs w:val="22"/>
                <w:lang w:val="de-DE" w:eastAsia="en-US"/>
              </w:rPr>
              <w:t>Nicht bekannt</w:t>
            </w:r>
          </w:p>
        </w:tc>
        <w:tc>
          <w:tcPr>
            <w:tcW w:w="4598" w:type="dxa"/>
          </w:tcPr>
          <w:p w14:paraId="72217260" w14:textId="77777777" w:rsidR="00FE291A" w:rsidRDefault="00C8738F">
            <w:pPr>
              <w:widowControl/>
              <w:suppressAutoHyphens/>
              <w:rPr>
                <w:sz w:val="22"/>
                <w:szCs w:val="22"/>
                <w:lang w:val="de-DE" w:eastAsia="en-US"/>
              </w:rPr>
            </w:pPr>
            <w:r>
              <w:rPr>
                <w:sz w:val="22"/>
                <w:szCs w:val="22"/>
                <w:lang w:val="de-DE" w:eastAsia="en-US"/>
              </w:rPr>
              <w:t>hepatosplenales T-Zell-Lymphom</w:t>
            </w:r>
            <w:r>
              <w:rPr>
                <w:sz w:val="22"/>
                <w:szCs w:val="22"/>
                <w:vertAlign w:val="superscript"/>
                <w:lang w:val="de-DE" w:eastAsia="en-US"/>
              </w:rPr>
              <w:t>1)</w:t>
            </w:r>
            <w:r>
              <w:rPr>
                <w:sz w:val="22"/>
                <w:szCs w:val="22"/>
                <w:lang w:val="de-DE" w:eastAsia="en-US"/>
              </w:rPr>
              <w:t>,</w:t>
            </w:r>
          </w:p>
          <w:p w14:paraId="082DB089" w14:textId="77777777" w:rsidR="00FE291A" w:rsidRDefault="00C8738F">
            <w:pPr>
              <w:widowControl/>
              <w:suppressAutoHyphens/>
              <w:rPr>
                <w:sz w:val="22"/>
                <w:szCs w:val="22"/>
                <w:lang w:val="de-DE" w:eastAsia="en-US"/>
              </w:rPr>
            </w:pPr>
            <w:r>
              <w:rPr>
                <w:sz w:val="22"/>
                <w:szCs w:val="22"/>
                <w:lang w:val="de-DE" w:eastAsia="en-US"/>
              </w:rPr>
              <w:t>Merkelzellkarzinom (neuroendokrines Karzinom der Haut)</w:t>
            </w:r>
            <w:r>
              <w:rPr>
                <w:sz w:val="22"/>
                <w:szCs w:val="22"/>
                <w:vertAlign w:val="superscript"/>
                <w:lang w:val="de-DE" w:eastAsia="en-US"/>
              </w:rPr>
              <w:t>1)</w:t>
            </w:r>
            <w:r>
              <w:rPr>
                <w:sz w:val="22"/>
                <w:szCs w:val="22"/>
                <w:lang w:val="de-DE" w:eastAsia="en-US"/>
              </w:rPr>
              <w:t>,</w:t>
            </w:r>
          </w:p>
          <w:p w14:paraId="5BDA1B5C" w14:textId="77777777" w:rsidR="00FE291A" w:rsidRDefault="00C8738F">
            <w:pPr>
              <w:widowControl/>
              <w:suppressAutoHyphens/>
              <w:rPr>
                <w:sz w:val="22"/>
                <w:szCs w:val="22"/>
                <w:lang w:val="de-DE" w:eastAsia="en-US"/>
              </w:rPr>
            </w:pPr>
            <w:r>
              <w:rPr>
                <w:sz w:val="22"/>
                <w:szCs w:val="22"/>
                <w:lang w:val="de-DE" w:eastAsia="en-US"/>
              </w:rPr>
              <w:t>Kaposi-Sarkom</w:t>
            </w:r>
          </w:p>
        </w:tc>
      </w:tr>
      <w:tr w:rsidR="00FE291A" w14:paraId="25D33087" w14:textId="77777777">
        <w:trPr>
          <w:cantSplit/>
        </w:trPr>
        <w:tc>
          <w:tcPr>
            <w:tcW w:w="2517" w:type="dxa"/>
            <w:vMerge w:val="restart"/>
          </w:tcPr>
          <w:p w14:paraId="32BF5385" w14:textId="77777777" w:rsidR="00FE291A" w:rsidRDefault="00C8738F">
            <w:pPr>
              <w:widowControl/>
              <w:suppressAutoHyphens/>
              <w:rPr>
                <w:sz w:val="22"/>
                <w:szCs w:val="22"/>
                <w:lang w:val="de-DE" w:eastAsia="en-US"/>
              </w:rPr>
            </w:pPr>
            <w:r>
              <w:rPr>
                <w:sz w:val="22"/>
                <w:szCs w:val="22"/>
                <w:lang w:val="de-DE" w:eastAsia="en-US"/>
              </w:rPr>
              <w:t>Erkrankungen des Blutes und des Lymphsystems*</w:t>
            </w:r>
          </w:p>
        </w:tc>
        <w:tc>
          <w:tcPr>
            <w:tcW w:w="1920" w:type="dxa"/>
          </w:tcPr>
          <w:p w14:paraId="70F3E0D7" w14:textId="77777777" w:rsidR="00FE291A" w:rsidRDefault="00C8738F">
            <w:pPr>
              <w:widowControl/>
              <w:suppressAutoHyphens/>
              <w:kinsoku w:val="0"/>
              <w:overflowPunct w:val="0"/>
              <w:rPr>
                <w:sz w:val="22"/>
                <w:szCs w:val="22"/>
                <w:lang w:val="de-DE"/>
              </w:rPr>
            </w:pPr>
            <w:r>
              <w:rPr>
                <w:sz w:val="22"/>
                <w:szCs w:val="22"/>
                <w:lang w:val="de-DE" w:eastAsia="en-US"/>
              </w:rPr>
              <w:t>Sehr häufig</w:t>
            </w:r>
          </w:p>
        </w:tc>
        <w:tc>
          <w:tcPr>
            <w:tcW w:w="4598" w:type="dxa"/>
          </w:tcPr>
          <w:p w14:paraId="57059BE7" w14:textId="77777777" w:rsidR="00FE291A" w:rsidRDefault="00C8738F">
            <w:pPr>
              <w:widowControl/>
              <w:suppressAutoHyphens/>
              <w:rPr>
                <w:sz w:val="22"/>
                <w:szCs w:val="22"/>
                <w:lang w:val="de-DE" w:eastAsia="en-US"/>
              </w:rPr>
            </w:pPr>
            <w:r>
              <w:rPr>
                <w:sz w:val="22"/>
                <w:szCs w:val="22"/>
                <w:lang w:val="de-DE" w:eastAsia="en-US"/>
              </w:rPr>
              <w:t>Leukopenie (einschließlich Neutropenie und Agranulozytose),</w:t>
            </w:r>
          </w:p>
          <w:p w14:paraId="0D3ADA3E" w14:textId="77777777" w:rsidR="00FE291A" w:rsidRDefault="00C8738F">
            <w:pPr>
              <w:widowControl/>
              <w:suppressAutoHyphens/>
              <w:kinsoku w:val="0"/>
              <w:overflowPunct w:val="0"/>
              <w:rPr>
                <w:sz w:val="22"/>
                <w:szCs w:val="22"/>
                <w:lang w:val="de-DE"/>
              </w:rPr>
            </w:pPr>
            <w:r>
              <w:rPr>
                <w:sz w:val="22"/>
                <w:szCs w:val="22"/>
                <w:lang w:val="de-DE" w:eastAsia="en-US"/>
              </w:rPr>
              <w:t>Anämie</w:t>
            </w:r>
          </w:p>
        </w:tc>
      </w:tr>
      <w:tr w:rsidR="00FE291A" w14:paraId="13EB395A" w14:textId="77777777">
        <w:trPr>
          <w:cantSplit/>
        </w:trPr>
        <w:tc>
          <w:tcPr>
            <w:tcW w:w="2517" w:type="dxa"/>
            <w:vMerge/>
          </w:tcPr>
          <w:p w14:paraId="31F960C5" w14:textId="77777777" w:rsidR="00FE291A" w:rsidRDefault="00FE291A">
            <w:pPr>
              <w:widowControl/>
              <w:suppressAutoHyphens/>
              <w:rPr>
                <w:sz w:val="22"/>
                <w:szCs w:val="22"/>
                <w:lang w:val="de-DE" w:eastAsia="en-US"/>
              </w:rPr>
            </w:pPr>
          </w:p>
        </w:tc>
        <w:tc>
          <w:tcPr>
            <w:tcW w:w="1920" w:type="dxa"/>
          </w:tcPr>
          <w:p w14:paraId="4702221C" w14:textId="77777777" w:rsidR="00FE291A" w:rsidRDefault="00C8738F">
            <w:pPr>
              <w:widowControl/>
              <w:suppressAutoHyphens/>
              <w:kinsoku w:val="0"/>
              <w:overflowPunct w:val="0"/>
              <w:rPr>
                <w:sz w:val="22"/>
                <w:szCs w:val="22"/>
                <w:lang w:val="de-DE" w:eastAsia="en-US"/>
              </w:rPr>
            </w:pPr>
            <w:r>
              <w:rPr>
                <w:sz w:val="22"/>
                <w:szCs w:val="22"/>
                <w:lang w:val="de-DE" w:eastAsia="en-US"/>
              </w:rPr>
              <w:t>Häufig</w:t>
            </w:r>
          </w:p>
        </w:tc>
        <w:tc>
          <w:tcPr>
            <w:tcW w:w="4598" w:type="dxa"/>
          </w:tcPr>
          <w:p w14:paraId="37E35D05" w14:textId="77777777" w:rsidR="00FE291A" w:rsidRDefault="00C8738F">
            <w:pPr>
              <w:widowControl/>
              <w:suppressAutoHyphens/>
              <w:rPr>
                <w:sz w:val="22"/>
                <w:szCs w:val="22"/>
                <w:lang w:val="de-DE" w:eastAsia="en-US"/>
              </w:rPr>
            </w:pPr>
            <w:r>
              <w:rPr>
                <w:sz w:val="22"/>
                <w:szCs w:val="22"/>
                <w:lang w:val="de-DE" w:eastAsia="en-US"/>
              </w:rPr>
              <w:t>Leukozytose,</w:t>
            </w:r>
          </w:p>
          <w:p w14:paraId="28746248" w14:textId="77777777" w:rsidR="00FE291A" w:rsidRDefault="00C8738F">
            <w:pPr>
              <w:widowControl/>
              <w:suppressAutoHyphens/>
              <w:kinsoku w:val="0"/>
              <w:overflowPunct w:val="0"/>
              <w:rPr>
                <w:sz w:val="22"/>
                <w:szCs w:val="22"/>
                <w:lang w:val="de-DE" w:eastAsia="en-US"/>
              </w:rPr>
            </w:pPr>
            <w:r>
              <w:rPr>
                <w:sz w:val="22"/>
                <w:szCs w:val="22"/>
                <w:lang w:val="de-DE" w:eastAsia="en-US"/>
              </w:rPr>
              <w:t>Thrombozytopenie</w:t>
            </w:r>
          </w:p>
        </w:tc>
      </w:tr>
      <w:tr w:rsidR="00FE291A" w14:paraId="15BF5C02" w14:textId="77777777">
        <w:trPr>
          <w:cantSplit/>
        </w:trPr>
        <w:tc>
          <w:tcPr>
            <w:tcW w:w="2517" w:type="dxa"/>
            <w:vMerge/>
          </w:tcPr>
          <w:p w14:paraId="4203F954" w14:textId="77777777" w:rsidR="00FE291A" w:rsidRDefault="00FE291A">
            <w:pPr>
              <w:widowControl/>
              <w:suppressAutoHyphens/>
              <w:rPr>
                <w:sz w:val="22"/>
                <w:szCs w:val="22"/>
                <w:lang w:val="de-DE" w:eastAsia="en-US"/>
              </w:rPr>
            </w:pPr>
          </w:p>
        </w:tc>
        <w:tc>
          <w:tcPr>
            <w:tcW w:w="1920" w:type="dxa"/>
          </w:tcPr>
          <w:p w14:paraId="2D80D7DE" w14:textId="77777777" w:rsidR="00FE291A" w:rsidRDefault="00C8738F">
            <w:pPr>
              <w:widowControl/>
              <w:suppressAutoHyphens/>
              <w:kinsoku w:val="0"/>
              <w:overflowPunct w:val="0"/>
              <w:rPr>
                <w:sz w:val="22"/>
                <w:szCs w:val="22"/>
                <w:lang w:val="de-DE" w:eastAsia="en-US"/>
              </w:rPr>
            </w:pPr>
            <w:r>
              <w:rPr>
                <w:sz w:val="22"/>
                <w:szCs w:val="22"/>
                <w:lang w:val="de-DE" w:eastAsia="en-US"/>
              </w:rPr>
              <w:t>Gelegentlich</w:t>
            </w:r>
          </w:p>
        </w:tc>
        <w:tc>
          <w:tcPr>
            <w:tcW w:w="4598" w:type="dxa"/>
          </w:tcPr>
          <w:p w14:paraId="42E63D02" w14:textId="77777777" w:rsidR="00FE291A" w:rsidRDefault="00C8738F">
            <w:pPr>
              <w:widowControl/>
              <w:suppressAutoHyphens/>
              <w:kinsoku w:val="0"/>
              <w:overflowPunct w:val="0"/>
              <w:rPr>
                <w:sz w:val="22"/>
                <w:szCs w:val="22"/>
                <w:lang w:val="de-DE" w:eastAsia="en-US"/>
              </w:rPr>
            </w:pPr>
            <w:r>
              <w:rPr>
                <w:sz w:val="22"/>
                <w:szCs w:val="22"/>
                <w:lang w:val="de-DE" w:eastAsia="en-US"/>
              </w:rPr>
              <w:t>idiopathische thrombozytopenische Purpura</w:t>
            </w:r>
          </w:p>
        </w:tc>
      </w:tr>
      <w:tr w:rsidR="00FE291A" w14:paraId="79734254" w14:textId="77777777">
        <w:trPr>
          <w:cantSplit/>
        </w:trPr>
        <w:tc>
          <w:tcPr>
            <w:tcW w:w="2517" w:type="dxa"/>
            <w:vMerge/>
          </w:tcPr>
          <w:p w14:paraId="693969E1" w14:textId="77777777" w:rsidR="00FE291A" w:rsidRDefault="00FE291A">
            <w:pPr>
              <w:widowControl/>
              <w:suppressAutoHyphens/>
              <w:rPr>
                <w:sz w:val="22"/>
                <w:szCs w:val="22"/>
                <w:lang w:val="de-DE" w:eastAsia="en-US"/>
              </w:rPr>
            </w:pPr>
          </w:p>
        </w:tc>
        <w:tc>
          <w:tcPr>
            <w:tcW w:w="1920" w:type="dxa"/>
          </w:tcPr>
          <w:p w14:paraId="5A9FBC92" w14:textId="77777777" w:rsidR="00FE291A" w:rsidRDefault="00C8738F">
            <w:pPr>
              <w:widowControl/>
              <w:suppressAutoHyphens/>
              <w:kinsoku w:val="0"/>
              <w:overflowPunct w:val="0"/>
              <w:rPr>
                <w:sz w:val="22"/>
                <w:szCs w:val="22"/>
                <w:lang w:val="de-DE" w:eastAsia="en-US"/>
              </w:rPr>
            </w:pPr>
            <w:r>
              <w:rPr>
                <w:sz w:val="22"/>
                <w:szCs w:val="22"/>
                <w:lang w:val="de-DE" w:eastAsia="en-US"/>
              </w:rPr>
              <w:t>Selten</w:t>
            </w:r>
          </w:p>
        </w:tc>
        <w:tc>
          <w:tcPr>
            <w:tcW w:w="4598" w:type="dxa"/>
          </w:tcPr>
          <w:p w14:paraId="3D121318" w14:textId="77777777" w:rsidR="00FE291A" w:rsidRDefault="00C8738F">
            <w:pPr>
              <w:widowControl/>
              <w:suppressAutoHyphens/>
              <w:kinsoku w:val="0"/>
              <w:overflowPunct w:val="0"/>
              <w:rPr>
                <w:sz w:val="22"/>
                <w:szCs w:val="22"/>
                <w:lang w:val="de-DE" w:eastAsia="en-US"/>
              </w:rPr>
            </w:pPr>
            <w:r>
              <w:rPr>
                <w:sz w:val="22"/>
                <w:szCs w:val="22"/>
                <w:lang w:val="de-DE" w:eastAsia="en-US"/>
              </w:rPr>
              <w:t>Panzytopenie</w:t>
            </w:r>
          </w:p>
        </w:tc>
      </w:tr>
      <w:tr w:rsidR="00FE291A" w:rsidRPr="002E6CD3" w14:paraId="054D9D24" w14:textId="77777777">
        <w:trPr>
          <w:cantSplit/>
        </w:trPr>
        <w:tc>
          <w:tcPr>
            <w:tcW w:w="2517" w:type="dxa"/>
            <w:vMerge w:val="restart"/>
          </w:tcPr>
          <w:p w14:paraId="55C47CB6" w14:textId="77777777" w:rsidR="00FE291A" w:rsidRDefault="00C8738F">
            <w:pPr>
              <w:widowControl/>
              <w:suppressAutoHyphens/>
              <w:rPr>
                <w:sz w:val="22"/>
                <w:szCs w:val="22"/>
                <w:lang w:val="de-DE" w:eastAsia="en-US"/>
              </w:rPr>
            </w:pPr>
            <w:r>
              <w:rPr>
                <w:sz w:val="22"/>
                <w:szCs w:val="22"/>
                <w:lang w:val="de-DE" w:eastAsia="en-US"/>
              </w:rPr>
              <w:t>Erkrankungen des Immunsystems*</w:t>
            </w:r>
          </w:p>
        </w:tc>
        <w:tc>
          <w:tcPr>
            <w:tcW w:w="1920" w:type="dxa"/>
          </w:tcPr>
          <w:p w14:paraId="6DF1370B" w14:textId="77777777" w:rsidR="00FE291A" w:rsidRDefault="00C8738F">
            <w:pPr>
              <w:widowControl/>
              <w:suppressAutoHyphens/>
              <w:kinsoku w:val="0"/>
              <w:overflowPunct w:val="0"/>
              <w:rPr>
                <w:sz w:val="22"/>
                <w:szCs w:val="22"/>
                <w:lang w:val="de-DE"/>
              </w:rPr>
            </w:pPr>
            <w:r>
              <w:rPr>
                <w:sz w:val="22"/>
                <w:szCs w:val="22"/>
                <w:lang w:val="de-DE" w:eastAsia="en-US"/>
              </w:rPr>
              <w:t>Häufig</w:t>
            </w:r>
          </w:p>
        </w:tc>
        <w:tc>
          <w:tcPr>
            <w:tcW w:w="4598" w:type="dxa"/>
          </w:tcPr>
          <w:p w14:paraId="59D99489" w14:textId="77777777" w:rsidR="00FE291A" w:rsidRDefault="00C8738F">
            <w:pPr>
              <w:widowControl/>
              <w:suppressAutoHyphens/>
              <w:rPr>
                <w:sz w:val="22"/>
                <w:szCs w:val="22"/>
                <w:lang w:val="de-DE" w:eastAsia="en-US"/>
              </w:rPr>
            </w:pPr>
            <w:r>
              <w:rPr>
                <w:sz w:val="22"/>
                <w:szCs w:val="22"/>
                <w:lang w:val="de-DE" w:eastAsia="en-US"/>
              </w:rPr>
              <w:t>Überempfindlichkeit,</w:t>
            </w:r>
          </w:p>
          <w:p w14:paraId="0B242935" w14:textId="77777777" w:rsidR="00FE291A" w:rsidRDefault="00C8738F">
            <w:pPr>
              <w:widowControl/>
              <w:suppressAutoHyphens/>
              <w:kinsoku w:val="0"/>
              <w:overflowPunct w:val="0"/>
              <w:rPr>
                <w:sz w:val="22"/>
                <w:szCs w:val="22"/>
                <w:lang w:val="de-DE"/>
              </w:rPr>
            </w:pPr>
            <w:r>
              <w:rPr>
                <w:sz w:val="22"/>
                <w:szCs w:val="22"/>
                <w:lang w:val="de-DE" w:eastAsia="en-US"/>
              </w:rPr>
              <w:t>Allergien (einschließlich durch Jahreszeiten bedingte Allergie)</w:t>
            </w:r>
          </w:p>
        </w:tc>
      </w:tr>
      <w:tr w:rsidR="00FE291A" w14:paraId="0ED97BE6" w14:textId="77777777">
        <w:trPr>
          <w:cantSplit/>
        </w:trPr>
        <w:tc>
          <w:tcPr>
            <w:tcW w:w="2517" w:type="dxa"/>
            <w:vMerge/>
          </w:tcPr>
          <w:p w14:paraId="0D921B1D" w14:textId="77777777" w:rsidR="00FE291A" w:rsidRDefault="00FE291A">
            <w:pPr>
              <w:widowControl/>
              <w:suppressAutoHyphens/>
              <w:rPr>
                <w:sz w:val="22"/>
                <w:szCs w:val="22"/>
                <w:lang w:val="de-DE" w:eastAsia="en-US"/>
              </w:rPr>
            </w:pPr>
          </w:p>
        </w:tc>
        <w:tc>
          <w:tcPr>
            <w:tcW w:w="1920" w:type="dxa"/>
          </w:tcPr>
          <w:p w14:paraId="3926E161" w14:textId="77777777" w:rsidR="00FE291A" w:rsidRDefault="00C8738F">
            <w:pPr>
              <w:widowControl/>
              <w:suppressAutoHyphens/>
              <w:kinsoku w:val="0"/>
              <w:overflowPunct w:val="0"/>
              <w:rPr>
                <w:sz w:val="22"/>
                <w:szCs w:val="22"/>
                <w:lang w:val="de-DE" w:eastAsia="en-US"/>
              </w:rPr>
            </w:pPr>
            <w:r>
              <w:rPr>
                <w:sz w:val="22"/>
                <w:szCs w:val="22"/>
                <w:lang w:val="de-DE" w:eastAsia="en-US"/>
              </w:rPr>
              <w:t>Gelegentlich</w:t>
            </w:r>
          </w:p>
        </w:tc>
        <w:tc>
          <w:tcPr>
            <w:tcW w:w="4598" w:type="dxa"/>
          </w:tcPr>
          <w:p w14:paraId="23A128C5" w14:textId="77777777" w:rsidR="00FE291A" w:rsidRDefault="00C8738F">
            <w:pPr>
              <w:widowControl/>
              <w:suppressAutoHyphens/>
              <w:rPr>
                <w:sz w:val="22"/>
                <w:szCs w:val="22"/>
                <w:lang w:val="de-DE" w:eastAsia="en-US"/>
              </w:rPr>
            </w:pPr>
            <w:r>
              <w:rPr>
                <w:sz w:val="22"/>
                <w:szCs w:val="22"/>
                <w:lang w:val="de-DE" w:eastAsia="en-US"/>
              </w:rPr>
              <w:t>Sarkoidose</w:t>
            </w:r>
            <w:r>
              <w:rPr>
                <w:sz w:val="22"/>
                <w:szCs w:val="22"/>
                <w:vertAlign w:val="superscript"/>
                <w:lang w:val="de-DE" w:eastAsia="en-US"/>
              </w:rPr>
              <w:t>1)</w:t>
            </w:r>
            <w:r>
              <w:rPr>
                <w:sz w:val="22"/>
                <w:szCs w:val="22"/>
                <w:lang w:val="de-DE" w:eastAsia="en-US"/>
              </w:rPr>
              <w:t>,</w:t>
            </w:r>
          </w:p>
          <w:p w14:paraId="78A5E1EF" w14:textId="77777777" w:rsidR="00FE291A" w:rsidRDefault="00C8738F">
            <w:pPr>
              <w:widowControl/>
              <w:suppressAutoHyphens/>
              <w:kinsoku w:val="0"/>
              <w:overflowPunct w:val="0"/>
              <w:rPr>
                <w:sz w:val="22"/>
                <w:szCs w:val="22"/>
                <w:lang w:val="de-DE" w:eastAsia="en-US"/>
              </w:rPr>
            </w:pPr>
            <w:r>
              <w:rPr>
                <w:sz w:val="22"/>
                <w:szCs w:val="22"/>
                <w:lang w:val="de-DE" w:eastAsia="en-US"/>
              </w:rPr>
              <w:t>Vaskulitis</w:t>
            </w:r>
          </w:p>
        </w:tc>
      </w:tr>
      <w:tr w:rsidR="00FE291A" w14:paraId="73B6CC64" w14:textId="77777777">
        <w:trPr>
          <w:cantSplit/>
        </w:trPr>
        <w:tc>
          <w:tcPr>
            <w:tcW w:w="2517" w:type="dxa"/>
            <w:vMerge/>
          </w:tcPr>
          <w:p w14:paraId="4872D396" w14:textId="77777777" w:rsidR="00FE291A" w:rsidRDefault="00FE291A">
            <w:pPr>
              <w:widowControl/>
              <w:suppressAutoHyphens/>
              <w:rPr>
                <w:sz w:val="22"/>
                <w:szCs w:val="22"/>
                <w:lang w:val="de-DE" w:eastAsia="en-US"/>
              </w:rPr>
            </w:pPr>
          </w:p>
        </w:tc>
        <w:tc>
          <w:tcPr>
            <w:tcW w:w="1920" w:type="dxa"/>
          </w:tcPr>
          <w:p w14:paraId="782C01B2" w14:textId="77777777" w:rsidR="00FE291A" w:rsidRDefault="00C8738F">
            <w:pPr>
              <w:widowControl/>
              <w:suppressAutoHyphens/>
              <w:kinsoku w:val="0"/>
              <w:overflowPunct w:val="0"/>
              <w:rPr>
                <w:sz w:val="22"/>
                <w:szCs w:val="22"/>
                <w:lang w:val="de-DE" w:eastAsia="en-US"/>
              </w:rPr>
            </w:pPr>
            <w:r>
              <w:rPr>
                <w:sz w:val="22"/>
                <w:szCs w:val="22"/>
                <w:lang w:val="de-DE" w:eastAsia="en-US"/>
              </w:rPr>
              <w:t>Selten</w:t>
            </w:r>
          </w:p>
        </w:tc>
        <w:tc>
          <w:tcPr>
            <w:tcW w:w="4598" w:type="dxa"/>
          </w:tcPr>
          <w:p w14:paraId="4B4A128F" w14:textId="77777777" w:rsidR="00FE291A" w:rsidRDefault="00C8738F">
            <w:pPr>
              <w:widowControl/>
              <w:suppressAutoHyphens/>
              <w:kinsoku w:val="0"/>
              <w:overflowPunct w:val="0"/>
              <w:rPr>
                <w:sz w:val="22"/>
                <w:szCs w:val="22"/>
                <w:vertAlign w:val="superscript"/>
                <w:lang w:val="de-DE" w:eastAsia="en-US"/>
              </w:rPr>
            </w:pPr>
            <w:r>
              <w:rPr>
                <w:sz w:val="22"/>
                <w:szCs w:val="22"/>
                <w:lang w:val="de-DE" w:eastAsia="en-US"/>
              </w:rPr>
              <w:t>Anaphylaxie</w:t>
            </w:r>
            <w:r>
              <w:rPr>
                <w:sz w:val="22"/>
                <w:szCs w:val="22"/>
                <w:vertAlign w:val="superscript"/>
                <w:lang w:val="de-DE" w:eastAsia="en-US"/>
              </w:rPr>
              <w:t>1)</w:t>
            </w:r>
          </w:p>
        </w:tc>
      </w:tr>
      <w:tr w:rsidR="00FE291A" w14:paraId="348E1BD4" w14:textId="77777777">
        <w:trPr>
          <w:cantSplit/>
        </w:trPr>
        <w:tc>
          <w:tcPr>
            <w:tcW w:w="2517" w:type="dxa"/>
            <w:vMerge w:val="restart"/>
          </w:tcPr>
          <w:p w14:paraId="46CC0D5E" w14:textId="77777777" w:rsidR="00FE291A" w:rsidRDefault="00C8738F">
            <w:pPr>
              <w:widowControl/>
              <w:suppressAutoHyphens/>
              <w:rPr>
                <w:sz w:val="22"/>
                <w:szCs w:val="22"/>
                <w:lang w:val="de-DE" w:eastAsia="en-US"/>
              </w:rPr>
            </w:pPr>
            <w:r>
              <w:rPr>
                <w:sz w:val="22"/>
                <w:szCs w:val="22"/>
                <w:lang w:val="de-DE" w:eastAsia="en-US"/>
              </w:rPr>
              <w:t>Stoffwechsel- und Ernährungsstörungen</w:t>
            </w:r>
          </w:p>
        </w:tc>
        <w:tc>
          <w:tcPr>
            <w:tcW w:w="1920" w:type="dxa"/>
          </w:tcPr>
          <w:p w14:paraId="1D299E80" w14:textId="77777777" w:rsidR="00FE291A" w:rsidRDefault="00C8738F">
            <w:pPr>
              <w:widowControl/>
              <w:suppressAutoHyphens/>
              <w:kinsoku w:val="0"/>
              <w:overflowPunct w:val="0"/>
              <w:rPr>
                <w:sz w:val="22"/>
                <w:szCs w:val="22"/>
                <w:lang w:val="de-DE"/>
              </w:rPr>
            </w:pPr>
            <w:r>
              <w:rPr>
                <w:sz w:val="22"/>
                <w:szCs w:val="22"/>
                <w:lang w:val="de-DE" w:eastAsia="en-US"/>
              </w:rPr>
              <w:t>Sehr häufig</w:t>
            </w:r>
          </w:p>
        </w:tc>
        <w:tc>
          <w:tcPr>
            <w:tcW w:w="4598" w:type="dxa"/>
          </w:tcPr>
          <w:p w14:paraId="60B255B0" w14:textId="77777777" w:rsidR="00FE291A" w:rsidRDefault="00C8738F">
            <w:pPr>
              <w:widowControl/>
              <w:suppressAutoHyphens/>
              <w:kinsoku w:val="0"/>
              <w:overflowPunct w:val="0"/>
              <w:rPr>
                <w:sz w:val="22"/>
                <w:szCs w:val="22"/>
                <w:lang w:val="de-DE"/>
              </w:rPr>
            </w:pPr>
            <w:r>
              <w:rPr>
                <w:sz w:val="22"/>
                <w:szCs w:val="22"/>
                <w:lang w:val="de-DE" w:eastAsia="en-US"/>
              </w:rPr>
              <w:t>erhöhte Blutfettwerte</w:t>
            </w:r>
          </w:p>
        </w:tc>
      </w:tr>
      <w:tr w:rsidR="00FE291A" w14:paraId="695523D1" w14:textId="77777777">
        <w:trPr>
          <w:cantSplit/>
        </w:trPr>
        <w:tc>
          <w:tcPr>
            <w:tcW w:w="2517" w:type="dxa"/>
            <w:vMerge/>
          </w:tcPr>
          <w:p w14:paraId="4ACE5427" w14:textId="77777777" w:rsidR="00FE291A" w:rsidRDefault="00FE291A">
            <w:pPr>
              <w:widowControl/>
              <w:suppressAutoHyphens/>
              <w:rPr>
                <w:sz w:val="22"/>
                <w:szCs w:val="22"/>
                <w:lang w:val="de-DE" w:eastAsia="en-US"/>
              </w:rPr>
            </w:pPr>
          </w:p>
        </w:tc>
        <w:tc>
          <w:tcPr>
            <w:tcW w:w="1920" w:type="dxa"/>
          </w:tcPr>
          <w:p w14:paraId="687F4896" w14:textId="77777777" w:rsidR="00FE291A" w:rsidRDefault="00C8738F">
            <w:pPr>
              <w:widowControl/>
              <w:suppressAutoHyphens/>
              <w:kinsoku w:val="0"/>
              <w:overflowPunct w:val="0"/>
              <w:rPr>
                <w:sz w:val="22"/>
                <w:szCs w:val="22"/>
                <w:lang w:val="de-DE" w:eastAsia="en-US"/>
              </w:rPr>
            </w:pPr>
            <w:r>
              <w:rPr>
                <w:sz w:val="22"/>
                <w:szCs w:val="22"/>
                <w:lang w:val="de-DE" w:eastAsia="en-US"/>
              </w:rPr>
              <w:t>Häufig</w:t>
            </w:r>
          </w:p>
        </w:tc>
        <w:tc>
          <w:tcPr>
            <w:tcW w:w="4598" w:type="dxa"/>
          </w:tcPr>
          <w:p w14:paraId="76109C53" w14:textId="77777777" w:rsidR="00FE291A" w:rsidRDefault="00C8738F">
            <w:pPr>
              <w:widowControl/>
              <w:suppressAutoHyphens/>
              <w:rPr>
                <w:sz w:val="22"/>
                <w:szCs w:val="22"/>
                <w:lang w:val="de-DE" w:eastAsia="en-US"/>
              </w:rPr>
            </w:pPr>
            <w:r>
              <w:rPr>
                <w:sz w:val="22"/>
                <w:szCs w:val="22"/>
                <w:lang w:val="de-DE" w:eastAsia="en-US"/>
              </w:rPr>
              <w:t>Hypokaliämie,</w:t>
            </w:r>
          </w:p>
          <w:p w14:paraId="764A0353" w14:textId="77777777" w:rsidR="00FE291A" w:rsidRDefault="00C8738F">
            <w:pPr>
              <w:widowControl/>
              <w:suppressAutoHyphens/>
              <w:rPr>
                <w:sz w:val="22"/>
                <w:szCs w:val="22"/>
                <w:lang w:val="de-DE" w:eastAsia="en-US"/>
              </w:rPr>
            </w:pPr>
            <w:r>
              <w:rPr>
                <w:sz w:val="22"/>
                <w:szCs w:val="22"/>
                <w:lang w:val="de-DE" w:eastAsia="en-US"/>
              </w:rPr>
              <w:t>erhöhte Harnsäurewerte,</w:t>
            </w:r>
          </w:p>
          <w:p w14:paraId="106E8C01" w14:textId="77777777" w:rsidR="00FE291A" w:rsidRDefault="00C8738F">
            <w:pPr>
              <w:widowControl/>
              <w:suppressAutoHyphens/>
              <w:rPr>
                <w:sz w:val="22"/>
                <w:szCs w:val="22"/>
                <w:lang w:val="de-DE" w:eastAsia="en-US"/>
              </w:rPr>
            </w:pPr>
            <w:r>
              <w:rPr>
                <w:sz w:val="22"/>
                <w:szCs w:val="22"/>
                <w:lang w:val="de-DE" w:eastAsia="en-US"/>
              </w:rPr>
              <w:t>abweichende Natriumwerte im Blut,</w:t>
            </w:r>
          </w:p>
          <w:p w14:paraId="7BFDB7C9" w14:textId="77777777" w:rsidR="00FE291A" w:rsidRDefault="00C8738F">
            <w:pPr>
              <w:widowControl/>
              <w:suppressAutoHyphens/>
              <w:rPr>
                <w:sz w:val="22"/>
                <w:szCs w:val="22"/>
                <w:lang w:val="de-DE" w:eastAsia="en-US"/>
              </w:rPr>
            </w:pPr>
            <w:r>
              <w:rPr>
                <w:sz w:val="22"/>
                <w:szCs w:val="22"/>
                <w:lang w:val="de-DE" w:eastAsia="en-US"/>
              </w:rPr>
              <w:t>Hypokalzämie,</w:t>
            </w:r>
          </w:p>
          <w:p w14:paraId="4F80876A" w14:textId="77777777" w:rsidR="00FE291A" w:rsidRDefault="00C8738F">
            <w:pPr>
              <w:widowControl/>
              <w:suppressAutoHyphens/>
              <w:rPr>
                <w:sz w:val="22"/>
                <w:szCs w:val="22"/>
                <w:lang w:val="de-DE" w:eastAsia="en-US"/>
              </w:rPr>
            </w:pPr>
            <w:r>
              <w:rPr>
                <w:sz w:val="22"/>
                <w:szCs w:val="22"/>
                <w:lang w:val="de-DE" w:eastAsia="en-US"/>
              </w:rPr>
              <w:t>Hyperglykämie,</w:t>
            </w:r>
          </w:p>
          <w:p w14:paraId="10D7CED8" w14:textId="77777777" w:rsidR="00FE291A" w:rsidRDefault="00C8738F">
            <w:pPr>
              <w:widowControl/>
              <w:suppressAutoHyphens/>
              <w:rPr>
                <w:sz w:val="22"/>
                <w:szCs w:val="22"/>
                <w:lang w:val="de-DE" w:eastAsia="en-US"/>
              </w:rPr>
            </w:pPr>
            <w:r>
              <w:rPr>
                <w:sz w:val="22"/>
                <w:szCs w:val="22"/>
                <w:lang w:val="de-DE" w:eastAsia="en-US"/>
              </w:rPr>
              <w:t>Hypophosphatämie,</w:t>
            </w:r>
          </w:p>
          <w:p w14:paraId="4226E612" w14:textId="77777777" w:rsidR="00FE291A" w:rsidRDefault="00C8738F">
            <w:pPr>
              <w:widowControl/>
              <w:suppressAutoHyphens/>
              <w:kinsoku w:val="0"/>
              <w:overflowPunct w:val="0"/>
              <w:rPr>
                <w:sz w:val="22"/>
                <w:szCs w:val="22"/>
                <w:lang w:val="de-DE" w:eastAsia="en-US"/>
              </w:rPr>
            </w:pPr>
            <w:r>
              <w:rPr>
                <w:sz w:val="22"/>
                <w:szCs w:val="22"/>
                <w:lang w:val="de-DE" w:eastAsia="en-US"/>
              </w:rPr>
              <w:t>Dehydratation</w:t>
            </w:r>
          </w:p>
        </w:tc>
      </w:tr>
      <w:tr w:rsidR="00FE291A" w:rsidRPr="002E6CD3" w14:paraId="6D9DFB9C" w14:textId="77777777">
        <w:trPr>
          <w:cantSplit/>
        </w:trPr>
        <w:tc>
          <w:tcPr>
            <w:tcW w:w="2517" w:type="dxa"/>
          </w:tcPr>
          <w:p w14:paraId="024BFC9F" w14:textId="77777777" w:rsidR="00FE291A" w:rsidRDefault="00C8738F">
            <w:pPr>
              <w:widowControl/>
              <w:suppressAutoHyphens/>
              <w:rPr>
                <w:sz w:val="22"/>
                <w:szCs w:val="22"/>
                <w:lang w:val="de-DE" w:eastAsia="en-US"/>
              </w:rPr>
            </w:pPr>
            <w:r>
              <w:rPr>
                <w:sz w:val="22"/>
                <w:szCs w:val="22"/>
                <w:lang w:val="de-DE" w:eastAsia="en-US"/>
              </w:rPr>
              <w:t>Psychiatrische Erkrankungen</w:t>
            </w:r>
          </w:p>
        </w:tc>
        <w:tc>
          <w:tcPr>
            <w:tcW w:w="1920" w:type="dxa"/>
          </w:tcPr>
          <w:p w14:paraId="3826FE42" w14:textId="77777777" w:rsidR="00FE291A" w:rsidRDefault="00C8738F">
            <w:pPr>
              <w:widowControl/>
              <w:suppressAutoHyphens/>
              <w:kinsoku w:val="0"/>
              <w:overflowPunct w:val="0"/>
              <w:rPr>
                <w:sz w:val="22"/>
                <w:szCs w:val="22"/>
                <w:lang w:val="de-DE"/>
              </w:rPr>
            </w:pPr>
            <w:r>
              <w:rPr>
                <w:sz w:val="22"/>
                <w:szCs w:val="22"/>
                <w:lang w:val="de-DE" w:eastAsia="en-US"/>
              </w:rPr>
              <w:t>Häufig</w:t>
            </w:r>
          </w:p>
        </w:tc>
        <w:tc>
          <w:tcPr>
            <w:tcW w:w="4598" w:type="dxa"/>
          </w:tcPr>
          <w:p w14:paraId="4AF5010C" w14:textId="77777777" w:rsidR="00FE291A" w:rsidRDefault="00C8738F">
            <w:pPr>
              <w:widowControl/>
              <w:suppressAutoHyphens/>
              <w:rPr>
                <w:sz w:val="22"/>
                <w:szCs w:val="22"/>
                <w:lang w:val="de-DE" w:eastAsia="en-US"/>
              </w:rPr>
            </w:pPr>
            <w:r>
              <w:rPr>
                <w:sz w:val="22"/>
                <w:szCs w:val="22"/>
                <w:lang w:val="de-DE" w:eastAsia="en-US"/>
              </w:rPr>
              <w:t>Stimmungsschwankungen (einschließlich Depression),</w:t>
            </w:r>
          </w:p>
          <w:p w14:paraId="3435F663" w14:textId="77777777" w:rsidR="00FE291A" w:rsidRDefault="00C8738F">
            <w:pPr>
              <w:widowControl/>
              <w:suppressAutoHyphens/>
              <w:rPr>
                <w:sz w:val="22"/>
                <w:szCs w:val="22"/>
                <w:lang w:val="de-DE" w:eastAsia="en-US"/>
              </w:rPr>
            </w:pPr>
            <w:r>
              <w:rPr>
                <w:sz w:val="22"/>
                <w:szCs w:val="22"/>
                <w:lang w:val="de-DE" w:eastAsia="en-US"/>
              </w:rPr>
              <w:t>Ängstlichkeit,</w:t>
            </w:r>
          </w:p>
          <w:p w14:paraId="153A0351" w14:textId="77777777" w:rsidR="00FE291A" w:rsidRDefault="00C8738F">
            <w:pPr>
              <w:widowControl/>
              <w:suppressAutoHyphens/>
              <w:kinsoku w:val="0"/>
              <w:overflowPunct w:val="0"/>
              <w:rPr>
                <w:sz w:val="22"/>
                <w:szCs w:val="22"/>
                <w:lang w:val="de-DE"/>
              </w:rPr>
            </w:pPr>
            <w:r>
              <w:rPr>
                <w:sz w:val="22"/>
                <w:szCs w:val="22"/>
                <w:lang w:val="de-DE" w:eastAsia="en-US"/>
              </w:rPr>
              <w:t>Schlaflosigkeit</w:t>
            </w:r>
          </w:p>
        </w:tc>
      </w:tr>
      <w:tr w:rsidR="00FE291A" w14:paraId="2C9BD7B5" w14:textId="77777777">
        <w:trPr>
          <w:cantSplit/>
        </w:trPr>
        <w:tc>
          <w:tcPr>
            <w:tcW w:w="2517" w:type="dxa"/>
            <w:vMerge w:val="restart"/>
          </w:tcPr>
          <w:p w14:paraId="60CA90EC" w14:textId="77777777" w:rsidR="00FE291A" w:rsidRDefault="00C8738F">
            <w:pPr>
              <w:widowControl/>
              <w:suppressAutoHyphens/>
              <w:rPr>
                <w:sz w:val="22"/>
                <w:szCs w:val="22"/>
                <w:lang w:val="de-DE" w:eastAsia="en-US"/>
              </w:rPr>
            </w:pPr>
            <w:r>
              <w:rPr>
                <w:sz w:val="22"/>
                <w:szCs w:val="22"/>
                <w:lang w:val="de-DE" w:eastAsia="en-US"/>
              </w:rPr>
              <w:t>Erkrankungen des Nervensystems*</w:t>
            </w:r>
          </w:p>
        </w:tc>
        <w:tc>
          <w:tcPr>
            <w:tcW w:w="1920" w:type="dxa"/>
          </w:tcPr>
          <w:p w14:paraId="5626944F" w14:textId="77777777" w:rsidR="00FE291A" w:rsidRDefault="00C8738F">
            <w:pPr>
              <w:widowControl/>
              <w:suppressAutoHyphens/>
              <w:kinsoku w:val="0"/>
              <w:overflowPunct w:val="0"/>
              <w:rPr>
                <w:sz w:val="22"/>
                <w:szCs w:val="22"/>
                <w:lang w:val="de-DE"/>
              </w:rPr>
            </w:pPr>
            <w:r>
              <w:rPr>
                <w:sz w:val="22"/>
                <w:szCs w:val="22"/>
                <w:lang w:val="de-DE" w:eastAsia="en-US"/>
              </w:rPr>
              <w:t>Sehr häufig</w:t>
            </w:r>
          </w:p>
        </w:tc>
        <w:tc>
          <w:tcPr>
            <w:tcW w:w="4598" w:type="dxa"/>
          </w:tcPr>
          <w:p w14:paraId="21148E17" w14:textId="77777777" w:rsidR="00FE291A" w:rsidRDefault="00C8738F">
            <w:pPr>
              <w:widowControl/>
              <w:suppressAutoHyphens/>
              <w:rPr>
                <w:sz w:val="22"/>
                <w:szCs w:val="22"/>
                <w:lang w:val="de-DE"/>
              </w:rPr>
            </w:pPr>
            <w:r>
              <w:rPr>
                <w:sz w:val="22"/>
                <w:szCs w:val="22"/>
                <w:lang w:val="de-DE" w:eastAsia="en-US"/>
              </w:rPr>
              <w:t>Kopfschmerzen</w:t>
            </w:r>
          </w:p>
        </w:tc>
      </w:tr>
      <w:tr w:rsidR="00FE291A" w:rsidRPr="002E6CD3" w14:paraId="3EC1F9B5" w14:textId="77777777">
        <w:trPr>
          <w:cantSplit/>
        </w:trPr>
        <w:tc>
          <w:tcPr>
            <w:tcW w:w="2517" w:type="dxa"/>
            <w:vMerge/>
          </w:tcPr>
          <w:p w14:paraId="71AEFBF0" w14:textId="77777777" w:rsidR="00FE291A" w:rsidRDefault="00FE291A">
            <w:pPr>
              <w:widowControl/>
              <w:suppressAutoHyphens/>
              <w:rPr>
                <w:sz w:val="22"/>
                <w:szCs w:val="22"/>
                <w:lang w:val="de-DE" w:eastAsia="en-US"/>
              </w:rPr>
            </w:pPr>
          </w:p>
        </w:tc>
        <w:tc>
          <w:tcPr>
            <w:tcW w:w="1920" w:type="dxa"/>
          </w:tcPr>
          <w:p w14:paraId="61042770" w14:textId="77777777" w:rsidR="00FE291A" w:rsidRDefault="00C8738F">
            <w:pPr>
              <w:widowControl/>
              <w:suppressAutoHyphens/>
              <w:kinsoku w:val="0"/>
              <w:overflowPunct w:val="0"/>
              <w:rPr>
                <w:sz w:val="22"/>
                <w:szCs w:val="22"/>
                <w:lang w:val="de-DE" w:eastAsia="en-US"/>
              </w:rPr>
            </w:pPr>
            <w:r>
              <w:rPr>
                <w:sz w:val="22"/>
                <w:szCs w:val="22"/>
                <w:lang w:val="de-DE" w:eastAsia="en-US"/>
              </w:rPr>
              <w:t>Häufig</w:t>
            </w:r>
          </w:p>
        </w:tc>
        <w:tc>
          <w:tcPr>
            <w:tcW w:w="4598" w:type="dxa"/>
          </w:tcPr>
          <w:p w14:paraId="7769DA43" w14:textId="77777777" w:rsidR="00FE291A" w:rsidRDefault="00C8738F">
            <w:pPr>
              <w:widowControl/>
              <w:suppressAutoHyphens/>
              <w:rPr>
                <w:sz w:val="22"/>
                <w:szCs w:val="22"/>
                <w:lang w:val="de-DE" w:eastAsia="en-US"/>
              </w:rPr>
            </w:pPr>
            <w:r>
              <w:rPr>
                <w:sz w:val="22"/>
                <w:szCs w:val="22"/>
                <w:lang w:val="de-DE" w:eastAsia="en-US"/>
              </w:rPr>
              <w:t>Parästhesie (einschließlich Hypästhesie),</w:t>
            </w:r>
          </w:p>
          <w:p w14:paraId="32E72FBB" w14:textId="77777777" w:rsidR="00FE291A" w:rsidRDefault="00C8738F">
            <w:pPr>
              <w:widowControl/>
              <w:suppressAutoHyphens/>
              <w:rPr>
                <w:sz w:val="22"/>
                <w:szCs w:val="22"/>
                <w:lang w:val="de-DE" w:eastAsia="en-US"/>
              </w:rPr>
            </w:pPr>
            <w:r>
              <w:rPr>
                <w:sz w:val="22"/>
                <w:szCs w:val="22"/>
                <w:lang w:val="de-DE" w:eastAsia="en-US"/>
              </w:rPr>
              <w:t>Migräne,</w:t>
            </w:r>
          </w:p>
          <w:p w14:paraId="6A1EE848" w14:textId="77777777" w:rsidR="00FE291A" w:rsidRDefault="00C8738F">
            <w:pPr>
              <w:widowControl/>
              <w:suppressAutoHyphens/>
              <w:kinsoku w:val="0"/>
              <w:overflowPunct w:val="0"/>
              <w:rPr>
                <w:sz w:val="22"/>
                <w:szCs w:val="22"/>
                <w:lang w:val="de-DE" w:eastAsia="en-US"/>
              </w:rPr>
            </w:pPr>
            <w:r>
              <w:rPr>
                <w:sz w:val="22"/>
                <w:szCs w:val="22"/>
                <w:lang w:val="de-DE" w:eastAsia="en-US"/>
              </w:rPr>
              <w:t>Nervenwurzelkompression</w:t>
            </w:r>
          </w:p>
        </w:tc>
      </w:tr>
      <w:tr w:rsidR="00FE291A" w14:paraId="27D2A06A" w14:textId="77777777">
        <w:trPr>
          <w:cantSplit/>
        </w:trPr>
        <w:tc>
          <w:tcPr>
            <w:tcW w:w="2517" w:type="dxa"/>
            <w:vMerge/>
          </w:tcPr>
          <w:p w14:paraId="32956FA5" w14:textId="77777777" w:rsidR="00FE291A" w:rsidRDefault="00FE291A">
            <w:pPr>
              <w:widowControl/>
              <w:suppressAutoHyphens/>
              <w:rPr>
                <w:sz w:val="22"/>
                <w:szCs w:val="22"/>
                <w:lang w:val="de-DE" w:eastAsia="en-US"/>
              </w:rPr>
            </w:pPr>
          </w:p>
        </w:tc>
        <w:tc>
          <w:tcPr>
            <w:tcW w:w="1920" w:type="dxa"/>
          </w:tcPr>
          <w:p w14:paraId="29E8CD15" w14:textId="77777777" w:rsidR="00FE291A" w:rsidRDefault="00C8738F">
            <w:pPr>
              <w:widowControl/>
              <w:suppressAutoHyphens/>
              <w:kinsoku w:val="0"/>
              <w:overflowPunct w:val="0"/>
              <w:rPr>
                <w:sz w:val="22"/>
                <w:szCs w:val="22"/>
                <w:lang w:val="de-DE" w:eastAsia="en-US"/>
              </w:rPr>
            </w:pPr>
            <w:r>
              <w:rPr>
                <w:sz w:val="22"/>
                <w:szCs w:val="22"/>
                <w:lang w:val="de-DE" w:eastAsia="en-US"/>
              </w:rPr>
              <w:t>Gelegentlich</w:t>
            </w:r>
          </w:p>
        </w:tc>
        <w:tc>
          <w:tcPr>
            <w:tcW w:w="4598" w:type="dxa"/>
          </w:tcPr>
          <w:p w14:paraId="631064AF" w14:textId="77777777" w:rsidR="00FE291A" w:rsidRDefault="00C8738F">
            <w:pPr>
              <w:widowControl/>
              <w:suppressAutoHyphens/>
              <w:rPr>
                <w:sz w:val="22"/>
                <w:szCs w:val="22"/>
                <w:lang w:val="de-DE" w:eastAsia="en-US"/>
              </w:rPr>
            </w:pPr>
            <w:r>
              <w:rPr>
                <w:sz w:val="22"/>
                <w:szCs w:val="22"/>
                <w:lang w:val="de-DE" w:eastAsia="en-US"/>
              </w:rPr>
              <w:t>zerebrovaskuläre Zwischenfälle</w:t>
            </w:r>
            <w:r>
              <w:rPr>
                <w:sz w:val="22"/>
                <w:szCs w:val="22"/>
                <w:vertAlign w:val="superscript"/>
                <w:lang w:val="de-DE" w:eastAsia="en-US"/>
              </w:rPr>
              <w:t>1)</w:t>
            </w:r>
            <w:r>
              <w:rPr>
                <w:sz w:val="22"/>
                <w:szCs w:val="22"/>
                <w:lang w:val="de-DE" w:eastAsia="en-US"/>
              </w:rPr>
              <w:t>,</w:t>
            </w:r>
          </w:p>
          <w:p w14:paraId="06F38769" w14:textId="77777777" w:rsidR="00FE291A" w:rsidRDefault="00C8738F">
            <w:pPr>
              <w:widowControl/>
              <w:suppressAutoHyphens/>
              <w:rPr>
                <w:sz w:val="22"/>
                <w:szCs w:val="22"/>
                <w:lang w:val="de-DE" w:eastAsia="en-US"/>
              </w:rPr>
            </w:pPr>
            <w:r>
              <w:rPr>
                <w:sz w:val="22"/>
                <w:szCs w:val="22"/>
                <w:lang w:val="de-DE" w:eastAsia="en-US"/>
              </w:rPr>
              <w:t>Tremor,</w:t>
            </w:r>
          </w:p>
          <w:p w14:paraId="479E87F5" w14:textId="77777777" w:rsidR="00FE291A" w:rsidRDefault="00C8738F">
            <w:pPr>
              <w:widowControl/>
              <w:suppressAutoHyphens/>
              <w:kinsoku w:val="0"/>
              <w:overflowPunct w:val="0"/>
              <w:rPr>
                <w:sz w:val="22"/>
                <w:szCs w:val="22"/>
                <w:lang w:val="de-DE" w:eastAsia="en-US"/>
              </w:rPr>
            </w:pPr>
            <w:r>
              <w:rPr>
                <w:sz w:val="22"/>
                <w:szCs w:val="22"/>
                <w:lang w:val="de-DE" w:eastAsia="en-US"/>
              </w:rPr>
              <w:t>Neuropathie</w:t>
            </w:r>
          </w:p>
        </w:tc>
      </w:tr>
      <w:tr w:rsidR="00FE291A" w:rsidRPr="002E6CD3" w14:paraId="6AF6CD44" w14:textId="77777777">
        <w:trPr>
          <w:cantSplit/>
        </w:trPr>
        <w:tc>
          <w:tcPr>
            <w:tcW w:w="2517" w:type="dxa"/>
            <w:vMerge/>
          </w:tcPr>
          <w:p w14:paraId="5660D740" w14:textId="77777777" w:rsidR="00FE291A" w:rsidRDefault="00FE291A">
            <w:pPr>
              <w:widowControl/>
              <w:suppressAutoHyphens/>
              <w:rPr>
                <w:sz w:val="22"/>
                <w:szCs w:val="22"/>
                <w:lang w:val="de-DE" w:eastAsia="en-US"/>
              </w:rPr>
            </w:pPr>
          </w:p>
        </w:tc>
        <w:tc>
          <w:tcPr>
            <w:tcW w:w="1920" w:type="dxa"/>
          </w:tcPr>
          <w:p w14:paraId="5C2E9CCC" w14:textId="77777777" w:rsidR="00FE291A" w:rsidRDefault="00C8738F">
            <w:pPr>
              <w:widowControl/>
              <w:suppressAutoHyphens/>
              <w:kinsoku w:val="0"/>
              <w:overflowPunct w:val="0"/>
              <w:rPr>
                <w:sz w:val="22"/>
                <w:szCs w:val="22"/>
                <w:lang w:val="de-DE" w:eastAsia="en-US"/>
              </w:rPr>
            </w:pPr>
            <w:r>
              <w:rPr>
                <w:sz w:val="22"/>
                <w:szCs w:val="22"/>
                <w:lang w:val="de-DE" w:eastAsia="en-US"/>
              </w:rPr>
              <w:t>Selten</w:t>
            </w:r>
          </w:p>
        </w:tc>
        <w:tc>
          <w:tcPr>
            <w:tcW w:w="4598" w:type="dxa"/>
          </w:tcPr>
          <w:p w14:paraId="03422331" w14:textId="77777777" w:rsidR="00FE291A" w:rsidRDefault="00C8738F">
            <w:pPr>
              <w:widowControl/>
              <w:suppressAutoHyphens/>
              <w:rPr>
                <w:sz w:val="22"/>
                <w:szCs w:val="22"/>
                <w:lang w:val="de-DE" w:eastAsia="en-US"/>
              </w:rPr>
            </w:pPr>
            <w:r>
              <w:rPr>
                <w:sz w:val="22"/>
                <w:szCs w:val="22"/>
                <w:lang w:val="de-DE" w:eastAsia="en-US"/>
              </w:rPr>
              <w:t>multiple Sklerose,</w:t>
            </w:r>
          </w:p>
          <w:p w14:paraId="1B4CC38E" w14:textId="77777777" w:rsidR="00FE291A" w:rsidRDefault="00C8738F">
            <w:pPr>
              <w:widowControl/>
              <w:suppressAutoHyphens/>
              <w:kinsoku w:val="0"/>
              <w:overflowPunct w:val="0"/>
              <w:rPr>
                <w:sz w:val="22"/>
                <w:szCs w:val="22"/>
                <w:lang w:val="de-DE" w:eastAsia="en-US"/>
              </w:rPr>
            </w:pPr>
            <w:r>
              <w:rPr>
                <w:sz w:val="22"/>
                <w:szCs w:val="22"/>
                <w:lang w:val="de-DE" w:eastAsia="en-US"/>
              </w:rPr>
              <w:t>demyelinisierende Erkrankungen (z. B. Optikusneuritis, Guillain-Barré-Syndrom)</w:t>
            </w:r>
            <w:r>
              <w:rPr>
                <w:sz w:val="22"/>
                <w:szCs w:val="22"/>
                <w:vertAlign w:val="superscript"/>
                <w:lang w:val="de-DE" w:eastAsia="en-US"/>
              </w:rPr>
              <w:t>1)</w:t>
            </w:r>
          </w:p>
        </w:tc>
      </w:tr>
      <w:tr w:rsidR="00FE291A" w:rsidRPr="002E6CD3" w14:paraId="015FCFF8" w14:textId="77777777">
        <w:trPr>
          <w:cantSplit/>
        </w:trPr>
        <w:tc>
          <w:tcPr>
            <w:tcW w:w="2517" w:type="dxa"/>
            <w:vMerge w:val="restart"/>
          </w:tcPr>
          <w:p w14:paraId="192DA0C4" w14:textId="77777777" w:rsidR="00FE291A" w:rsidRDefault="00C8738F">
            <w:pPr>
              <w:widowControl/>
              <w:suppressAutoHyphens/>
              <w:kinsoku w:val="0"/>
              <w:overflowPunct w:val="0"/>
              <w:rPr>
                <w:sz w:val="22"/>
                <w:szCs w:val="22"/>
                <w:lang w:val="de-DE"/>
              </w:rPr>
            </w:pPr>
            <w:r>
              <w:rPr>
                <w:sz w:val="22"/>
                <w:szCs w:val="22"/>
                <w:lang w:val="de-DE" w:eastAsia="en-US"/>
              </w:rPr>
              <w:t>Augenerkrankungen</w:t>
            </w:r>
          </w:p>
        </w:tc>
        <w:tc>
          <w:tcPr>
            <w:tcW w:w="1920" w:type="dxa"/>
          </w:tcPr>
          <w:p w14:paraId="067D4ACF" w14:textId="77777777" w:rsidR="00FE291A" w:rsidRDefault="00C8738F">
            <w:pPr>
              <w:widowControl/>
              <w:suppressAutoHyphens/>
              <w:kinsoku w:val="0"/>
              <w:overflowPunct w:val="0"/>
              <w:rPr>
                <w:sz w:val="22"/>
                <w:szCs w:val="22"/>
                <w:lang w:val="de-DE"/>
              </w:rPr>
            </w:pPr>
            <w:r>
              <w:rPr>
                <w:sz w:val="22"/>
                <w:szCs w:val="22"/>
                <w:lang w:val="de-DE" w:eastAsia="en-US"/>
              </w:rPr>
              <w:t>Häufig</w:t>
            </w:r>
          </w:p>
        </w:tc>
        <w:tc>
          <w:tcPr>
            <w:tcW w:w="4598" w:type="dxa"/>
          </w:tcPr>
          <w:p w14:paraId="0FABA53E" w14:textId="77777777" w:rsidR="00FE291A" w:rsidRDefault="00C8738F">
            <w:pPr>
              <w:widowControl/>
              <w:suppressAutoHyphens/>
              <w:rPr>
                <w:sz w:val="22"/>
                <w:szCs w:val="22"/>
                <w:lang w:val="de-DE" w:eastAsia="en-US"/>
              </w:rPr>
            </w:pPr>
            <w:r>
              <w:rPr>
                <w:sz w:val="22"/>
                <w:szCs w:val="22"/>
                <w:lang w:val="de-DE" w:eastAsia="en-US"/>
              </w:rPr>
              <w:t>eingeschränktes Sehvermögen,</w:t>
            </w:r>
          </w:p>
          <w:p w14:paraId="46EEFE49" w14:textId="77777777" w:rsidR="00FE291A" w:rsidRDefault="00C8738F">
            <w:pPr>
              <w:widowControl/>
              <w:suppressAutoHyphens/>
              <w:rPr>
                <w:sz w:val="22"/>
                <w:szCs w:val="22"/>
                <w:lang w:val="de-DE" w:eastAsia="en-US"/>
              </w:rPr>
            </w:pPr>
            <w:r>
              <w:rPr>
                <w:sz w:val="22"/>
                <w:szCs w:val="22"/>
                <w:lang w:val="de-DE" w:eastAsia="en-US"/>
              </w:rPr>
              <w:t>Konjunktivitis,</w:t>
            </w:r>
          </w:p>
          <w:p w14:paraId="599E0A4A" w14:textId="77777777" w:rsidR="00FE291A" w:rsidRDefault="00C8738F">
            <w:pPr>
              <w:widowControl/>
              <w:suppressAutoHyphens/>
              <w:rPr>
                <w:sz w:val="22"/>
                <w:szCs w:val="22"/>
                <w:lang w:val="de-DE" w:eastAsia="en-US"/>
              </w:rPr>
            </w:pPr>
            <w:r>
              <w:rPr>
                <w:sz w:val="22"/>
                <w:szCs w:val="22"/>
                <w:lang w:val="de-DE" w:eastAsia="en-US"/>
              </w:rPr>
              <w:t>Blepharitis,</w:t>
            </w:r>
          </w:p>
          <w:p w14:paraId="1EFD9592" w14:textId="77777777" w:rsidR="00FE291A" w:rsidRDefault="00C8738F">
            <w:pPr>
              <w:widowControl/>
              <w:suppressAutoHyphens/>
              <w:kinsoku w:val="0"/>
              <w:overflowPunct w:val="0"/>
              <w:rPr>
                <w:sz w:val="22"/>
                <w:szCs w:val="22"/>
                <w:lang w:val="de-DE"/>
              </w:rPr>
            </w:pPr>
            <w:r>
              <w:rPr>
                <w:sz w:val="22"/>
                <w:szCs w:val="22"/>
                <w:lang w:val="de-DE" w:eastAsia="en-US"/>
              </w:rPr>
              <w:t>Anschwellen des Auges</w:t>
            </w:r>
          </w:p>
        </w:tc>
      </w:tr>
      <w:tr w:rsidR="00FE291A" w14:paraId="398060EF" w14:textId="77777777">
        <w:trPr>
          <w:cantSplit/>
        </w:trPr>
        <w:tc>
          <w:tcPr>
            <w:tcW w:w="2517" w:type="dxa"/>
            <w:vMerge/>
          </w:tcPr>
          <w:p w14:paraId="53BA0CF9" w14:textId="77777777" w:rsidR="00FE291A" w:rsidRDefault="00FE291A">
            <w:pPr>
              <w:widowControl/>
              <w:suppressAutoHyphens/>
              <w:kinsoku w:val="0"/>
              <w:overflowPunct w:val="0"/>
              <w:rPr>
                <w:sz w:val="22"/>
                <w:szCs w:val="22"/>
                <w:lang w:val="de-DE" w:eastAsia="en-US"/>
              </w:rPr>
            </w:pPr>
          </w:p>
        </w:tc>
        <w:tc>
          <w:tcPr>
            <w:tcW w:w="1920" w:type="dxa"/>
          </w:tcPr>
          <w:p w14:paraId="239088EC" w14:textId="77777777" w:rsidR="00FE291A" w:rsidRDefault="00C8738F">
            <w:pPr>
              <w:widowControl/>
              <w:suppressAutoHyphens/>
              <w:kinsoku w:val="0"/>
              <w:overflowPunct w:val="0"/>
              <w:rPr>
                <w:sz w:val="22"/>
                <w:szCs w:val="22"/>
                <w:lang w:val="de-DE" w:eastAsia="en-US"/>
              </w:rPr>
            </w:pPr>
            <w:r>
              <w:rPr>
                <w:sz w:val="22"/>
                <w:szCs w:val="22"/>
                <w:lang w:val="de-DE" w:eastAsia="en-US"/>
              </w:rPr>
              <w:t>Gelegentlich</w:t>
            </w:r>
          </w:p>
        </w:tc>
        <w:tc>
          <w:tcPr>
            <w:tcW w:w="4598" w:type="dxa"/>
          </w:tcPr>
          <w:p w14:paraId="7AE18A37" w14:textId="77777777" w:rsidR="00FE291A" w:rsidRDefault="00C8738F">
            <w:pPr>
              <w:widowControl/>
              <w:suppressAutoHyphens/>
              <w:rPr>
                <w:sz w:val="22"/>
                <w:szCs w:val="22"/>
                <w:lang w:val="de-DE" w:eastAsia="en-US"/>
              </w:rPr>
            </w:pPr>
            <w:r>
              <w:rPr>
                <w:sz w:val="22"/>
                <w:szCs w:val="22"/>
                <w:lang w:val="de-DE" w:eastAsia="en-US"/>
              </w:rPr>
              <w:t>Doppeltsehen</w:t>
            </w:r>
          </w:p>
        </w:tc>
      </w:tr>
      <w:tr w:rsidR="00FE291A" w14:paraId="03CA77F7" w14:textId="77777777">
        <w:trPr>
          <w:cantSplit/>
        </w:trPr>
        <w:tc>
          <w:tcPr>
            <w:tcW w:w="2517" w:type="dxa"/>
            <w:vMerge w:val="restart"/>
          </w:tcPr>
          <w:p w14:paraId="0D137B88" w14:textId="77777777" w:rsidR="00FE291A" w:rsidRDefault="00C8738F">
            <w:pPr>
              <w:widowControl/>
              <w:suppressAutoHyphens/>
              <w:rPr>
                <w:sz w:val="22"/>
                <w:szCs w:val="22"/>
                <w:lang w:val="de-DE" w:eastAsia="en-US"/>
              </w:rPr>
            </w:pPr>
            <w:r>
              <w:rPr>
                <w:sz w:val="22"/>
                <w:szCs w:val="22"/>
                <w:lang w:val="de-DE" w:eastAsia="en-US"/>
              </w:rPr>
              <w:t>Erkrankungen des Ohres und des Labyrinths</w:t>
            </w:r>
          </w:p>
        </w:tc>
        <w:tc>
          <w:tcPr>
            <w:tcW w:w="1920" w:type="dxa"/>
          </w:tcPr>
          <w:p w14:paraId="3F76C78E" w14:textId="77777777" w:rsidR="00FE291A" w:rsidRDefault="00C8738F">
            <w:pPr>
              <w:widowControl/>
              <w:suppressAutoHyphens/>
              <w:kinsoku w:val="0"/>
              <w:overflowPunct w:val="0"/>
              <w:rPr>
                <w:sz w:val="22"/>
                <w:szCs w:val="22"/>
                <w:lang w:val="de-DE"/>
              </w:rPr>
            </w:pPr>
            <w:r>
              <w:rPr>
                <w:sz w:val="22"/>
                <w:szCs w:val="22"/>
                <w:lang w:val="de-DE" w:eastAsia="en-US"/>
              </w:rPr>
              <w:t>Häufig</w:t>
            </w:r>
          </w:p>
        </w:tc>
        <w:tc>
          <w:tcPr>
            <w:tcW w:w="4598" w:type="dxa"/>
          </w:tcPr>
          <w:p w14:paraId="4AD26070" w14:textId="77777777" w:rsidR="00FE291A" w:rsidRDefault="00C8738F">
            <w:pPr>
              <w:widowControl/>
              <w:suppressAutoHyphens/>
              <w:kinsoku w:val="0"/>
              <w:overflowPunct w:val="0"/>
              <w:rPr>
                <w:sz w:val="22"/>
                <w:szCs w:val="22"/>
                <w:lang w:val="de-DE"/>
              </w:rPr>
            </w:pPr>
            <w:r>
              <w:rPr>
                <w:sz w:val="22"/>
                <w:szCs w:val="22"/>
                <w:lang w:val="de-DE" w:eastAsia="en-US"/>
              </w:rPr>
              <w:t>Schwindel</w:t>
            </w:r>
          </w:p>
        </w:tc>
      </w:tr>
      <w:tr w:rsidR="00FE291A" w14:paraId="3621162E" w14:textId="77777777">
        <w:trPr>
          <w:cantSplit/>
        </w:trPr>
        <w:tc>
          <w:tcPr>
            <w:tcW w:w="2517" w:type="dxa"/>
            <w:vMerge/>
          </w:tcPr>
          <w:p w14:paraId="0968F8F4" w14:textId="77777777" w:rsidR="00FE291A" w:rsidRDefault="00FE291A">
            <w:pPr>
              <w:widowControl/>
              <w:suppressAutoHyphens/>
              <w:rPr>
                <w:sz w:val="22"/>
                <w:szCs w:val="22"/>
                <w:lang w:val="de-DE" w:eastAsia="en-US"/>
              </w:rPr>
            </w:pPr>
          </w:p>
        </w:tc>
        <w:tc>
          <w:tcPr>
            <w:tcW w:w="1920" w:type="dxa"/>
          </w:tcPr>
          <w:p w14:paraId="1B23614A" w14:textId="77777777" w:rsidR="00FE291A" w:rsidRDefault="00C8738F">
            <w:pPr>
              <w:widowControl/>
              <w:suppressAutoHyphens/>
              <w:kinsoku w:val="0"/>
              <w:overflowPunct w:val="0"/>
              <w:rPr>
                <w:sz w:val="22"/>
                <w:szCs w:val="22"/>
                <w:lang w:val="de-DE" w:eastAsia="en-US"/>
              </w:rPr>
            </w:pPr>
            <w:r>
              <w:rPr>
                <w:sz w:val="22"/>
                <w:szCs w:val="22"/>
                <w:lang w:val="de-DE" w:eastAsia="en-US"/>
              </w:rPr>
              <w:t>Gelegentlich</w:t>
            </w:r>
          </w:p>
        </w:tc>
        <w:tc>
          <w:tcPr>
            <w:tcW w:w="4598" w:type="dxa"/>
          </w:tcPr>
          <w:p w14:paraId="375813A6" w14:textId="77777777" w:rsidR="00FE291A" w:rsidRDefault="00C8738F">
            <w:pPr>
              <w:widowControl/>
              <w:suppressAutoHyphens/>
              <w:rPr>
                <w:sz w:val="22"/>
                <w:szCs w:val="22"/>
                <w:lang w:val="de-DE" w:eastAsia="en-US"/>
              </w:rPr>
            </w:pPr>
            <w:r>
              <w:rPr>
                <w:sz w:val="22"/>
                <w:szCs w:val="22"/>
                <w:lang w:val="de-DE" w:eastAsia="en-US"/>
              </w:rPr>
              <w:t>Taubheit,</w:t>
            </w:r>
          </w:p>
          <w:p w14:paraId="48F690E2" w14:textId="77777777" w:rsidR="00FE291A" w:rsidRDefault="00C8738F">
            <w:pPr>
              <w:widowControl/>
              <w:suppressAutoHyphens/>
              <w:kinsoku w:val="0"/>
              <w:overflowPunct w:val="0"/>
              <w:rPr>
                <w:sz w:val="22"/>
                <w:szCs w:val="22"/>
                <w:lang w:val="de-DE" w:eastAsia="en-US"/>
              </w:rPr>
            </w:pPr>
            <w:r>
              <w:rPr>
                <w:sz w:val="22"/>
                <w:szCs w:val="22"/>
                <w:lang w:val="de-DE" w:eastAsia="en-US"/>
              </w:rPr>
              <w:t>Tinnitus</w:t>
            </w:r>
          </w:p>
        </w:tc>
      </w:tr>
      <w:tr w:rsidR="00FE291A" w14:paraId="157D9990" w14:textId="77777777">
        <w:trPr>
          <w:cantSplit/>
        </w:trPr>
        <w:tc>
          <w:tcPr>
            <w:tcW w:w="2517" w:type="dxa"/>
            <w:vMerge w:val="restart"/>
          </w:tcPr>
          <w:p w14:paraId="2E5CA1A7" w14:textId="77777777" w:rsidR="00FE291A" w:rsidRDefault="00C8738F">
            <w:pPr>
              <w:widowControl/>
              <w:suppressAutoHyphens/>
              <w:kinsoku w:val="0"/>
              <w:overflowPunct w:val="0"/>
              <w:rPr>
                <w:sz w:val="22"/>
                <w:szCs w:val="22"/>
                <w:lang w:val="de-DE"/>
              </w:rPr>
            </w:pPr>
            <w:r>
              <w:rPr>
                <w:sz w:val="22"/>
                <w:szCs w:val="22"/>
                <w:lang w:val="de-DE" w:eastAsia="en-US"/>
              </w:rPr>
              <w:t>Herzerkrankungen*</w:t>
            </w:r>
          </w:p>
        </w:tc>
        <w:tc>
          <w:tcPr>
            <w:tcW w:w="1920" w:type="dxa"/>
          </w:tcPr>
          <w:p w14:paraId="32B24D53" w14:textId="77777777" w:rsidR="00FE291A" w:rsidRDefault="00C8738F">
            <w:pPr>
              <w:widowControl/>
              <w:suppressAutoHyphens/>
              <w:kinsoku w:val="0"/>
              <w:overflowPunct w:val="0"/>
              <w:rPr>
                <w:sz w:val="22"/>
                <w:szCs w:val="22"/>
                <w:lang w:val="de-DE"/>
              </w:rPr>
            </w:pPr>
            <w:r>
              <w:rPr>
                <w:sz w:val="22"/>
                <w:szCs w:val="22"/>
                <w:lang w:val="de-DE" w:eastAsia="en-US"/>
              </w:rPr>
              <w:t>Häufig</w:t>
            </w:r>
          </w:p>
        </w:tc>
        <w:tc>
          <w:tcPr>
            <w:tcW w:w="4598" w:type="dxa"/>
          </w:tcPr>
          <w:p w14:paraId="7D4D31D4" w14:textId="77777777" w:rsidR="00FE291A" w:rsidRDefault="00C8738F">
            <w:pPr>
              <w:widowControl/>
              <w:suppressAutoHyphens/>
              <w:kinsoku w:val="0"/>
              <w:overflowPunct w:val="0"/>
              <w:rPr>
                <w:sz w:val="22"/>
                <w:szCs w:val="22"/>
                <w:lang w:val="de-DE"/>
              </w:rPr>
            </w:pPr>
            <w:r>
              <w:rPr>
                <w:sz w:val="22"/>
                <w:szCs w:val="22"/>
                <w:lang w:val="de-DE" w:eastAsia="en-US"/>
              </w:rPr>
              <w:t>Tachykardie</w:t>
            </w:r>
          </w:p>
        </w:tc>
      </w:tr>
      <w:tr w:rsidR="00FE291A" w14:paraId="4953A1C2" w14:textId="77777777">
        <w:trPr>
          <w:cantSplit/>
        </w:trPr>
        <w:tc>
          <w:tcPr>
            <w:tcW w:w="2517" w:type="dxa"/>
            <w:vMerge/>
          </w:tcPr>
          <w:p w14:paraId="0E78F36C" w14:textId="77777777" w:rsidR="00FE291A" w:rsidRDefault="00FE291A">
            <w:pPr>
              <w:widowControl/>
              <w:suppressAutoHyphens/>
              <w:kinsoku w:val="0"/>
              <w:overflowPunct w:val="0"/>
              <w:rPr>
                <w:sz w:val="22"/>
                <w:szCs w:val="22"/>
                <w:lang w:val="de-DE" w:eastAsia="en-US"/>
              </w:rPr>
            </w:pPr>
          </w:p>
        </w:tc>
        <w:tc>
          <w:tcPr>
            <w:tcW w:w="1920" w:type="dxa"/>
          </w:tcPr>
          <w:p w14:paraId="511F1BFF" w14:textId="77777777" w:rsidR="00FE291A" w:rsidRDefault="00C8738F">
            <w:pPr>
              <w:widowControl/>
              <w:suppressAutoHyphens/>
              <w:kinsoku w:val="0"/>
              <w:overflowPunct w:val="0"/>
              <w:rPr>
                <w:sz w:val="22"/>
                <w:szCs w:val="22"/>
                <w:lang w:val="de-DE" w:eastAsia="en-US"/>
              </w:rPr>
            </w:pPr>
            <w:r>
              <w:rPr>
                <w:sz w:val="22"/>
                <w:szCs w:val="22"/>
                <w:lang w:val="de-DE" w:eastAsia="en-US"/>
              </w:rPr>
              <w:t>Gelegentlich</w:t>
            </w:r>
          </w:p>
        </w:tc>
        <w:tc>
          <w:tcPr>
            <w:tcW w:w="4598" w:type="dxa"/>
          </w:tcPr>
          <w:p w14:paraId="3181F475" w14:textId="77777777" w:rsidR="00FE291A" w:rsidRDefault="00C8738F">
            <w:pPr>
              <w:widowControl/>
              <w:suppressAutoHyphens/>
              <w:rPr>
                <w:sz w:val="22"/>
                <w:szCs w:val="22"/>
                <w:lang w:val="de-DE" w:eastAsia="en-US"/>
              </w:rPr>
            </w:pPr>
            <w:r>
              <w:rPr>
                <w:sz w:val="22"/>
                <w:szCs w:val="22"/>
                <w:lang w:val="de-DE" w:eastAsia="en-US"/>
              </w:rPr>
              <w:t>Myokardinfarkt</w:t>
            </w:r>
            <w:r>
              <w:rPr>
                <w:sz w:val="22"/>
                <w:szCs w:val="22"/>
                <w:vertAlign w:val="superscript"/>
                <w:lang w:val="de-DE" w:eastAsia="en-US"/>
              </w:rPr>
              <w:t>1)</w:t>
            </w:r>
            <w:r>
              <w:rPr>
                <w:sz w:val="22"/>
                <w:szCs w:val="22"/>
                <w:lang w:val="de-DE" w:eastAsia="en-US"/>
              </w:rPr>
              <w:t>,</w:t>
            </w:r>
          </w:p>
          <w:p w14:paraId="618BF8C7" w14:textId="77777777" w:rsidR="00FE291A" w:rsidRDefault="00C8738F">
            <w:pPr>
              <w:widowControl/>
              <w:suppressAutoHyphens/>
              <w:rPr>
                <w:sz w:val="22"/>
                <w:szCs w:val="22"/>
                <w:lang w:val="de-DE" w:eastAsia="en-US"/>
              </w:rPr>
            </w:pPr>
            <w:r>
              <w:rPr>
                <w:sz w:val="22"/>
                <w:szCs w:val="22"/>
                <w:lang w:val="de-DE" w:eastAsia="en-US"/>
              </w:rPr>
              <w:t>Arrhythmie,</w:t>
            </w:r>
          </w:p>
          <w:p w14:paraId="51D3E70C" w14:textId="77777777" w:rsidR="00FE291A" w:rsidRDefault="00C8738F">
            <w:pPr>
              <w:widowControl/>
              <w:suppressAutoHyphens/>
              <w:kinsoku w:val="0"/>
              <w:overflowPunct w:val="0"/>
              <w:rPr>
                <w:sz w:val="22"/>
                <w:szCs w:val="22"/>
                <w:lang w:val="de-DE" w:eastAsia="en-US"/>
              </w:rPr>
            </w:pPr>
            <w:r>
              <w:rPr>
                <w:sz w:val="22"/>
                <w:szCs w:val="22"/>
                <w:lang w:val="de-DE" w:eastAsia="en-US"/>
              </w:rPr>
              <w:t>dekompensierte Herzinsuffizienz</w:t>
            </w:r>
          </w:p>
        </w:tc>
      </w:tr>
      <w:tr w:rsidR="00FE291A" w14:paraId="5DB34AE2" w14:textId="77777777">
        <w:trPr>
          <w:cantSplit/>
        </w:trPr>
        <w:tc>
          <w:tcPr>
            <w:tcW w:w="2517" w:type="dxa"/>
            <w:vMerge/>
          </w:tcPr>
          <w:p w14:paraId="2871669F" w14:textId="77777777" w:rsidR="00FE291A" w:rsidRDefault="00FE291A">
            <w:pPr>
              <w:widowControl/>
              <w:suppressAutoHyphens/>
              <w:kinsoku w:val="0"/>
              <w:overflowPunct w:val="0"/>
              <w:rPr>
                <w:sz w:val="22"/>
                <w:szCs w:val="22"/>
                <w:lang w:val="de-DE" w:eastAsia="en-US"/>
              </w:rPr>
            </w:pPr>
          </w:p>
        </w:tc>
        <w:tc>
          <w:tcPr>
            <w:tcW w:w="1920" w:type="dxa"/>
          </w:tcPr>
          <w:p w14:paraId="217A9EC1" w14:textId="77777777" w:rsidR="00FE291A" w:rsidRDefault="00C8738F">
            <w:pPr>
              <w:widowControl/>
              <w:suppressAutoHyphens/>
              <w:kinsoku w:val="0"/>
              <w:overflowPunct w:val="0"/>
              <w:rPr>
                <w:sz w:val="22"/>
                <w:szCs w:val="22"/>
                <w:lang w:val="de-DE" w:eastAsia="en-US"/>
              </w:rPr>
            </w:pPr>
            <w:r>
              <w:rPr>
                <w:sz w:val="22"/>
                <w:szCs w:val="22"/>
                <w:lang w:val="de-DE" w:eastAsia="en-US"/>
              </w:rPr>
              <w:t>Selten</w:t>
            </w:r>
          </w:p>
        </w:tc>
        <w:tc>
          <w:tcPr>
            <w:tcW w:w="4598" w:type="dxa"/>
          </w:tcPr>
          <w:p w14:paraId="78292668" w14:textId="77777777" w:rsidR="00FE291A" w:rsidRDefault="00C8738F">
            <w:pPr>
              <w:widowControl/>
              <w:suppressAutoHyphens/>
              <w:kinsoku w:val="0"/>
              <w:overflowPunct w:val="0"/>
              <w:rPr>
                <w:sz w:val="22"/>
                <w:szCs w:val="22"/>
                <w:lang w:val="de-DE" w:eastAsia="en-US"/>
              </w:rPr>
            </w:pPr>
            <w:r>
              <w:rPr>
                <w:sz w:val="22"/>
                <w:szCs w:val="22"/>
                <w:lang w:val="de-DE" w:eastAsia="en-US"/>
              </w:rPr>
              <w:t>Herzstillstand</w:t>
            </w:r>
          </w:p>
        </w:tc>
      </w:tr>
      <w:tr w:rsidR="00FE291A" w14:paraId="4559181D" w14:textId="77777777">
        <w:trPr>
          <w:cantSplit/>
        </w:trPr>
        <w:tc>
          <w:tcPr>
            <w:tcW w:w="2517" w:type="dxa"/>
            <w:vMerge w:val="restart"/>
          </w:tcPr>
          <w:p w14:paraId="424C978B" w14:textId="77777777" w:rsidR="00FE291A" w:rsidRDefault="00C8738F">
            <w:pPr>
              <w:widowControl/>
              <w:suppressAutoHyphens/>
              <w:kinsoku w:val="0"/>
              <w:overflowPunct w:val="0"/>
              <w:rPr>
                <w:sz w:val="22"/>
                <w:szCs w:val="22"/>
                <w:lang w:val="de-DE"/>
              </w:rPr>
            </w:pPr>
            <w:r>
              <w:rPr>
                <w:sz w:val="22"/>
                <w:szCs w:val="22"/>
                <w:lang w:val="de-DE" w:eastAsia="en-US"/>
              </w:rPr>
              <w:t>Gefäßerkrankungen</w:t>
            </w:r>
          </w:p>
        </w:tc>
        <w:tc>
          <w:tcPr>
            <w:tcW w:w="1920" w:type="dxa"/>
          </w:tcPr>
          <w:p w14:paraId="0F5E885D" w14:textId="77777777" w:rsidR="00FE291A" w:rsidRDefault="00C8738F">
            <w:pPr>
              <w:widowControl/>
              <w:suppressAutoHyphens/>
              <w:kinsoku w:val="0"/>
              <w:overflowPunct w:val="0"/>
              <w:rPr>
                <w:sz w:val="22"/>
                <w:szCs w:val="22"/>
                <w:lang w:val="de-DE"/>
              </w:rPr>
            </w:pPr>
            <w:r>
              <w:rPr>
                <w:sz w:val="22"/>
                <w:szCs w:val="22"/>
                <w:lang w:val="de-DE" w:eastAsia="en-US"/>
              </w:rPr>
              <w:t>Häufig</w:t>
            </w:r>
          </w:p>
        </w:tc>
        <w:tc>
          <w:tcPr>
            <w:tcW w:w="4598" w:type="dxa"/>
          </w:tcPr>
          <w:p w14:paraId="38A21B99" w14:textId="77777777" w:rsidR="00FE291A" w:rsidRDefault="00C8738F">
            <w:pPr>
              <w:widowControl/>
              <w:suppressAutoHyphens/>
              <w:rPr>
                <w:sz w:val="22"/>
                <w:szCs w:val="22"/>
                <w:lang w:val="de-DE" w:eastAsia="en-US"/>
              </w:rPr>
            </w:pPr>
            <w:r>
              <w:rPr>
                <w:sz w:val="22"/>
                <w:szCs w:val="22"/>
                <w:lang w:val="de-DE" w:eastAsia="en-US"/>
              </w:rPr>
              <w:t>Hypertonie,</w:t>
            </w:r>
          </w:p>
          <w:p w14:paraId="3E097ED2" w14:textId="77777777" w:rsidR="00FE291A" w:rsidRDefault="00C8738F">
            <w:pPr>
              <w:widowControl/>
              <w:suppressAutoHyphens/>
              <w:rPr>
                <w:sz w:val="22"/>
                <w:szCs w:val="22"/>
                <w:lang w:val="de-DE" w:eastAsia="en-US"/>
              </w:rPr>
            </w:pPr>
            <w:r>
              <w:rPr>
                <w:sz w:val="22"/>
                <w:szCs w:val="22"/>
                <w:lang w:val="de-DE" w:eastAsia="en-US"/>
              </w:rPr>
              <w:t>Hitzegefühl,</w:t>
            </w:r>
          </w:p>
          <w:p w14:paraId="0D5307A6" w14:textId="77777777" w:rsidR="00FE291A" w:rsidRDefault="00C8738F">
            <w:pPr>
              <w:widowControl/>
              <w:suppressAutoHyphens/>
              <w:kinsoku w:val="0"/>
              <w:overflowPunct w:val="0"/>
              <w:rPr>
                <w:sz w:val="22"/>
                <w:szCs w:val="22"/>
                <w:lang w:val="de-DE"/>
              </w:rPr>
            </w:pPr>
            <w:r>
              <w:rPr>
                <w:sz w:val="22"/>
                <w:szCs w:val="22"/>
                <w:lang w:val="de-DE" w:eastAsia="en-US"/>
              </w:rPr>
              <w:t>Hämatome</w:t>
            </w:r>
          </w:p>
        </w:tc>
      </w:tr>
      <w:tr w:rsidR="00FE291A" w14:paraId="6E3ABC07" w14:textId="77777777">
        <w:trPr>
          <w:cantSplit/>
        </w:trPr>
        <w:tc>
          <w:tcPr>
            <w:tcW w:w="2517" w:type="dxa"/>
            <w:vMerge/>
          </w:tcPr>
          <w:p w14:paraId="05FEDBD8" w14:textId="77777777" w:rsidR="00FE291A" w:rsidRDefault="00FE291A">
            <w:pPr>
              <w:widowControl/>
              <w:suppressAutoHyphens/>
              <w:kinsoku w:val="0"/>
              <w:overflowPunct w:val="0"/>
              <w:rPr>
                <w:sz w:val="22"/>
                <w:szCs w:val="22"/>
                <w:lang w:val="de-DE" w:eastAsia="en-US"/>
              </w:rPr>
            </w:pPr>
          </w:p>
        </w:tc>
        <w:tc>
          <w:tcPr>
            <w:tcW w:w="1920" w:type="dxa"/>
          </w:tcPr>
          <w:p w14:paraId="1D448FA3" w14:textId="77777777" w:rsidR="00FE291A" w:rsidRDefault="00C8738F">
            <w:pPr>
              <w:widowControl/>
              <w:suppressAutoHyphens/>
              <w:kinsoku w:val="0"/>
              <w:overflowPunct w:val="0"/>
              <w:rPr>
                <w:sz w:val="22"/>
                <w:szCs w:val="22"/>
                <w:lang w:val="de-DE" w:eastAsia="en-US"/>
              </w:rPr>
            </w:pPr>
            <w:r>
              <w:rPr>
                <w:sz w:val="22"/>
                <w:szCs w:val="22"/>
                <w:lang w:val="de-DE" w:eastAsia="en-US"/>
              </w:rPr>
              <w:t>Gelegentlich</w:t>
            </w:r>
          </w:p>
        </w:tc>
        <w:tc>
          <w:tcPr>
            <w:tcW w:w="4598" w:type="dxa"/>
          </w:tcPr>
          <w:p w14:paraId="6A473375" w14:textId="77777777" w:rsidR="00FE291A" w:rsidRDefault="00C8738F">
            <w:pPr>
              <w:widowControl/>
              <w:suppressAutoHyphens/>
              <w:rPr>
                <w:sz w:val="22"/>
                <w:szCs w:val="22"/>
                <w:lang w:val="de-DE" w:eastAsia="en-US"/>
              </w:rPr>
            </w:pPr>
            <w:r>
              <w:rPr>
                <w:sz w:val="22"/>
                <w:szCs w:val="22"/>
                <w:lang w:val="de-DE" w:eastAsia="en-US"/>
              </w:rPr>
              <w:t>Aortenaneurysma,</w:t>
            </w:r>
          </w:p>
          <w:p w14:paraId="488E0823" w14:textId="77777777" w:rsidR="00FE291A" w:rsidRDefault="00C8738F">
            <w:pPr>
              <w:widowControl/>
              <w:suppressAutoHyphens/>
              <w:rPr>
                <w:sz w:val="22"/>
                <w:szCs w:val="22"/>
                <w:lang w:val="de-DE" w:eastAsia="en-US"/>
              </w:rPr>
            </w:pPr>
            <w:r>
              <w:rPr>
                <w:sz w:val="22"/>
                <w:szCs w:val="22"/>
                <w:lang w:val="de-DE" w:eastAsia="en-US"/>
              </w:rPr>
              <w:t>arterieller Gefäßverschluss,</w:t>
            </w:r>
          </w:p>
          <w:p w14:paraId="0BDB117E" w14:textId="77777777" w:rsidR="00FE291A" w:rsidRDefault="00C8738F">
            <w:pPr>
              <w:widowControl/>
              <w:suppressAutoHyphens/>
              <w:rPr>
                <w:sz w:val="22"/>
                <w:szCs w:val="22"/>
                <w:lang w:val="de-DE" w:eastAsia="en-US"/>
              </w:rPr>
            </w:pPr>
            <w:r>
              <w:rPr>
                <w:sz w:val="22"/>
                <w:szCs w:val="22"/>
                <w:lang w:val="de-DE" w:eastAsia="en-US"/>
              </w:rPr>
              <w:t>Thrombophlebitis</w:t>
            </w:r>
          </w:p>
        </w:tc>
      </w:tr>
      <w:tr w:rsidR="00FE291A" w14:paraId="378D6AFE" w14:textId="77777777">
        <w:trPr>
          <w:cantSplit/>
        </w:trPr>
        <w:tc>
          <w:tcPr>
            <w:tcW w:w="2517" w:type="dxa"/>
            <w:vMerge w:val="restart"/>
          </w:tcPr>
          <w:p w14:paraId="5E4C4DA8" w14:textId="77777777" w:rsidR="00FE291A" w:rsidRDefault="00C8738F">
            <w:pPr>
              <w:widowControl/>
              <w:suppressAutoHyphens/>
              <w:rPr>
                <w:sz w:val="22"/>
                <w:szCs w:val="22"/>
                <w:lang w:val="de-DE" w:eastAsia="en-US"/>
              </w:rPr>
            </w:pPr>
            <w:r>
              <w:rPr>
                <w:sz w:val="22"/>
                <w:szCs w:val="22"/>
                <w:lang w:val="de-DE" w:eastAsia="en-US"/>
              </w:rPr>
              <w:t>Erkrankungen der Atemwege, des Brustraumes und Mediastinums*</w:t>
            </w:r>
          </w:p>
        </w:tc>
        <w:tc>
          <w:tcPr>
            <w:tcW w:w="1920" w:type="dxa"/>
          </w:tcPr>
          <w:p w14:paraId="304BFC46" w14:textId="77777777" w:rsidR="00FE291A" w:rsidRDefault="00C8738F">
            <w:pPr>
              <w:widowControl/>
              <w:suppressAutoHyphens/>
              <w:kinsoku w:val="0"/>
              <w:overflowPunct w:val="0"/>
              <w:rPr>
                <w:sz w:val="22"/>
                <w:szCs w:val="22"/>
                <w:lang w:val="de-DE"/>
              </w:rPr>
            </w:pPr>
            <w:r>
              <w:rPr>
                <w:sz w:val="22"/>
                <w:szCs w:val="22"/>
                <w:lang w:val="de-DE" w:eastAsia="en-US"/>
              </w:rPr>
              <w:t>Häufig</w:t>
            </w:r>
          </w:p>
        </w:tc>
        <w:tc>
          <w:tcPr>
            <w:tcW w:w="4598" w:type="dxa"/>
          </w:tcPr>
          <w:p w14:paraId="6E19E5E4" w14:textId="77777777" w:rsidR="00FE291A" w:rsidRDefault="00C8738F">
            <w:pPr>
              <w:widowControl/>
              <w:suppressAutoHyphens/>
              <w:rPr>
                <w:sz w:val="22"/>
                <w:szCs w:val="22"/>
                <w:lang w:val="de-DE" w:eastAsia="en-US"/>
              </w:rPr>
            </w:pPr>
            <w:r>
              <w:rPr>
                <w:sz w:val="22"/>
                <w:szCs w:val="22"/>
                <w:lang w:val="de-DE" w:eastAsia="en-US"/>
              </w:rPr>
              <w:t>Asthma,</w:t>
            </w:r>
          </w:p>
          <w:p w14:paraId="72953B36" w14:textId="77777777" w:rsidR="00FE291A" w:rsidRDefault="00C8738F">
            <w:pPr>
              <w:widowControl/>
              <w:suppressAutoHyphens/>
              <w:rPr>
                <w:sz w:val="22"/>
                <w:szCs w:val="22"/>
                <w:lang w:val="de-DE" w:eastAsia="en-US"/>
              </w:rPr>
            </w:pPr>
            <w:r>
              <w:rPr>
                <w:sz w:val="22"/>
                <w:szCs w:val="22"/>
                <w:lang w:val="de-DE" w:eastAsia="en-US"/>
              </w:rPr>
              <w:t>Dyspnoe,</w:t>
            </w:r>
          </w:p>
          <w:p w14:paraId="620D694C" w14:textId="77777777" w:rsidR="00FE291A" w:rsidRDefault="00C8738F">
            <w:pPr>
              <w:widowControl/>
              <w:suppressAutoHyphens/>
              <w:kinsoku w:val="0"/>
              <w:overflowPunct w:val="0"/>
              <w:rPr>
                <w:sz w:val="22"/>
                <w:szCs w:val="22"/>
                <w:lang w:val="de-DE"/>
              </w:rPr>
            </w:pPr>
            <w:r>
              <w:rPr>
                <w:sz w:val="22"/>
                <w:szCs w:val="22"/>
                <w:lang w:val="de-DE" w:eastAsia="en-US"/>
              </w:rPr>
              <w:t>Husten</w:t>
            </w:r>
          </w:p>
        </w:tc>
      </w:tr>
      <w:tr w:rsidR="00FE291A" w14:paraId="52F426EA" w14:textId="77777777">
        <w:trPr>
          <w:cantSplit/>
        </w:trPr>
        <w:tc>
          <w:tcPr>
            <w:tcW w:w="2517" w:type="dxa"/>
            <w:vMerge/>
          </w:tcPr>
          <w:p w14:paraId="474E58B5" w14:textId="77777777" w:rsidR="00FE291A" w:rsidRDefault="00FE291A">
            <w:pPr>
              <w:widowControl/>
              <w:suppressAutoHyphens/>
              <w:rPr>
                <w:sz w:val="22"/>
                <w:szCs w:val="22"/>
                <w:lang w:val="de-DE" w:eastAsia="en-US"/>
              </w:rPr>
            </w:pPr>
          </w:p>
        </w:tc>
        <w:tc>
          <w:tcPr>
            <w:tcW w:w="1920" w:type="dxa"/>
          </w:tcPr>
          <w:p w14:paraId="23ADE7B4" w14:textId="77777777" w:rsidR="00FE291A" w:rsidRDefault="00C8738F">
            <w:pPr>
              <w:widowControl/>
              <w:suppressAutoHyphens/>
              <w:kinsoku w:val="0"/>
              <w:overflowPunct w:val="0"/>
              <w:rPr>
                <w:sz w:val="22"/>
                <w:szCs w:val="22"/>
                <w:lang w:val="de-DE" w:eastAsia="en-US"/>
              </w:rPr>
            </w:pPr>
            <w:r>
              <w:rPr>
                <w:sz w:val="22"/>
                <w:szCs w:val="22"/>
                <w:lang w:val="de-DE" w:eastAsia="en-US"/>
              </w:rPr>
              <w:t>Gelegentlich</w:t>
            </w:r>
          </w:p>
          <w:p w14:paraId="619EB6F6" w14:textId="77777777" w:rsidR="00FE291A" w:rsidRDefault="00FE291A">
            <w:pPr>
              <w:widowControl/>
              <w:suppressAutoHyphens/>
              <w:kinsoku w:val="0"/>
              <w:overflowPunct w:val="0"/>
              <w:rPr>
                <w:sz w:val="22"/>
                <w:szCs w:val="22"/>
                <w:lang w:val="de-DE" w:eastAsia="en-US"/>
              </w:rPr>
            </w:pPr>
          </w:p>
        </w:tc>
        <w:tc>
          <w:tcPr>
            <w:tcW w:w="4598" w:type="dxa"/>
          </w:tcPr>
          <w:p w14:paraId="20DDDBA7" w14:textId="77777777" w:rsidR="00FE291A" w:rsidRDefault="00C8738F">
            <w:pPr>
              <w:widowControl/>
              <w:suppressAutoHyphens/>
              <w:rPr>
                <w:sz w:val="22"/>
                <w:szCs w:val="22"/>
                <w:lang w:val="de-DE" w:eastAsia="en-US"/>
              </w:rPr>
            </w:pPr>
            <w:r>
              <w:rPr>
                <w:sz w:val="22"/>
                <w:szCs w:val="22"/>
                <w:lang w:val="de-DE" w:eastAsia="en-US"/>
              </w:rPr>
              <w:t>Lungenembolie</w:t>
            </w:r>
            <w:r>
              <w:rPr>
                <w:sz w:val="22"/>
                <w:szCs w:val="22"/>
                <w:vertAlign w:val="superscript"/>
                <w:lang w:val="de-DE" w:eastAsia="en-US"/>
              </w:rPr>
              <w:t>1)</w:t>
            </w:r>
            <w:r>
              <w:rPr>
                <w:sz w:val="22"/>
                <w:szCs w:val="22"/>
                <w:lang w:val="de-DE" w:eastAsia="en-US"/>
              </w:rPr>
              <w:t>,</w:t>
            </w:r>
          </w:p>
          <w:p w14:paraId="7A4058CD" w14:textId="77777777" w:rsidR="00FE291A" w:rsidRDefault="00C8738F">
            <w:pPr>
              <w:widowControl/>
              <w:suppressAutoHyphens/>
              <w:rPr>
                <w:sz w:val="22"/>
                <w:szCs w:val="22"/>
                <w:lang w:val="de-DE" w:eastAsia="en-US"/>
              </w:rPr>
            </w:pPr>
            <w:r>
              <w:rPr>
                <w:sz w:val="22"/>
                <w:szCs w:val="22"/>
                <w:lang w:val="de-DE" w:eastAsia="en-US"/>
              </w:rPr>
              <w:t>interstitielle Lungenerkrankung,</w:t>
            </w:r>
          </w:p>
          <w:p w14:paraId="119BA716" w14:textId="77777777" w:rsidR="00FE291A" w:rsidRDefault="00C8738F">
            <w:pPr>
              <w:widowControl/>
              <w:suppressAutoHyphens/>
              <w:rPr>
                <w:sz w:val="22"/>
                <w:szCs w:val="22"/>
                <w:lang w:val="de-DE" w:eastAsia="en-US"/>
              </w:rPr>
            </w:pPr>
            <w:r>
              <w:rPr>
                <w:sz w:val="22"/>
                <w:szCs w:val="22"/>
                <w:lang w:val="de-DE" w:eastAsia="en-US"/>
              </w:rPr>
              <w:t>chronisch-obstruktive Lungenerkrankung,</w:t>
            </w:r>
          </w:p>
          <w:p w14:paraId="1B65BF27" w14:textId="77777777" w:rsidR="00FE291A" w:rsidRDefault="00C8738F">
            <w:pPr>
              <w:widowControl/>
              <w:suppressAutoHyphens/>
              <w:rPr>
                <w:sz w:val="22"/>
                <w:szCs w:val="22"/>
                <w:lang w:val="de-DE" w:eastAsia="en-US"/>
              </w:rPr>
            </w:pPr>
            <w:r>
              <w:rPr>
                <w:sz w:val="22"/>
                <w:szCs w:val="22"/>
                <w:lang w:val="de-DE" w:eastAsia="en-US"/>
              </w:rPr>
              <w:t>Pneumonitis,</w:t>
            </w:r>
          </w:p>
          <w:p w14:paraId="2962EB93" w14:textId="77777777" w:rsidR="00FE291A" w:rsidRDefault="00C8738F">
            <w:pPr>
              <w:widowControl/>
              <w:suppressAutoHyphens/>
              <w:kinsoku w:val="0"/>
              <w:overflowPunct w:val="0"/>
              <w:rPr>
                <w:sz w:val="22"/>
                <w:szCs w:val="22"/>
                <w:lang w:val="de-DE" w:eastAsia="en-US"/>
              </w:rPr>
            </w:pPr>
            <w:r>
              <w:rPr>
                <w:sz w:val="22"/>
                <w:szCs w:val="22"/>
                <w:lang w:val="de-DE" w:eastAsia="en-US"/>
              </w:rPr>
              <w:t>Pleuraerguss</w:t>
            </w:r>
            <w:r>
              <w:rPr>
                <w:sz w:val="22"/>
                <w:szCs w:val="22"/>
                <w:vertAlign w:val="superscript"/>
                <w:lang w:val="de-DE" w:eastAsia="en-US"/>
              </w:rPr>
              <w:t>1)</w:t>
            </w:r>
          </w:p>
        </w:tc>
      </w:tr>
      <w:tr w:rsidR="00FE291A" w14:paraId="55FC3877" w14:textId="77777777">
        <w:trPr>
          <w:cantSplit/>
        </w:trPr>
        <w:tc>
          <w:tcPr>
            <w:tcW w:w="2517" w:type="dxa"/>
            <w:vMerge/>
          </w:tcPr>
          <w:p w14:paraId="7B85C7E7" w14:textId="77777777" w:rsidR="00FE291A" w:rsidRDefault="00FE291A">
            <w:pPr>
              <w:widowControl/>
              <w:suppressAutoHyphens/>
              <w:rPr>
                <w:sz w:val="22"/>
                <w:szCs w:val="22"/>
                <w:lang w:val="de-DE" w:eastAsia="en-US"/>
              </w:rPr>
            </w:pPr>
          </w:p>
        </w:tc>
        <w:tc>
          <w:tcPr>
            <w:tcW w:w="1920" w:type="dxa"/>
          </w:tcPr>
          <w:p w14:paraId="5652F482" w14:textId="77777777" w:rsidR="00FE291A" w:rsidRDefault="00C8738F">
            <w:pPr>
              <w:widowControl/>
              <w:suppressAutoHyphens/>
              <w:kinsoku w:val="0"/>
              <w:overflowPunct w:val="0"/>
              <w:rPr>
                <w:sz w:val="22"/>
                <w:szCs w:val="22"/>
                <w:lang w:val="de-DE" w:eastAsia="en-US"/>
              </w:rPr>
            </w:pPr>
            <w:r>
              <w:rPr>
                <w:sz w:val="22"/>
                <w:szCs w:val="22"/>
                <w:lang w:val="de-DE" w:eastAsia="en-US"/>
              </w:rPr>
              <w:t>Selten</w:t>
            </w:r>
          </w:p>
        </w:tc>
        <w:tc>
          <w:tcPr>
            <w:tcW w:w="4598" w:type="dxa"/>
          </w:tcPr>
          <w:p w14:paraId="477B085A" w14:textId="77777777" w:rsidR="00FE291A" w:rsidRDefault="00C8738F">
            <w:pPr>
              <w:widowControl/>
              <w:suppressAutoHyphens/>
              <w:rPr>
                <w:sz w:val="22"/>
                <w:szCs w:val="22"/>
                <w:lang w:val="de-DE" w:eastAsia="en-US"/>
              </w:rPr>
            </w:pPr>
            <w:r>
              <w:rPr>
                <w:sz w:val="22"/>
                <w:szCs w:val="22"/>
                <w:lang w:val="de-DE" w:eastAsia="en-US"/>
              </w:rPr>
              <w:t>Lungenfibrose</w:t>
            </w:r>
            <w:r>
              <w:rPr>
                <w:sz w:val="22"/>
                <w:szCs w:val="22"/>
                <w:vertAlign w:val="superscript"/>
                <w:lang w:val="de-DE" w:eastAsia="en-US"/>
              </w:rPr>
              <w:t>1)</w:t>
            </w:r>
          </w:p>
        </w:tc>
      </w:tr>
      <w:tr w:rsidR="00FE291A" w14:paraId="17914A6B" w14:textId="77777777">
        <w:trPr>
          <w:cantSplit/>
        </w:trPr>
        <w:tc>
          <w:tcPr>
            <w:tcW w:w="2517" w:type="dxa"/>
            <w:vMerge w:val="restart"/>
          </w:tcPr>
          <w:p w14:paraId="480F09EB" w14:textId="77777777" w:rsidR="00FE291A" w:rsidRDefault="00C8738F">
            <w:pPr>
              <w:widowControl/>
              <w:suppressAutoHyphens/>
              <w:rPr>
                <w:sz w:val="22"/>
                <w:szCs w:val="22"/>
                <w:lang w:val="de-DE" w:eastAsia="en-US"/>
              </w:rPr>
            </w:pPr>
            <w:r>
              <w:rPr>
                <w:sz w:val="22"/>
                <w:szCs w:val="22"/>
                <w:lang w:val="de-DE" w:eastAsia="en-US"/>
              </w:rPr>
              <w:t>Erkrankungen des Gastrointestinaltraktes</w:t>
            </w:r>
          </w:p>
        </w:tc>
        <w:tc>
          <w:tcPr>
            <w:tcW w:w="1920" w:type="dxa"/>
          </w:tcPr>
          <w:p w14:paraId="03FC4A4D" w14:textId="77777777" w:rsidR="00FE291A" w:rsidRDefault="00C8738F">
            <w:pPr>
              <w:widowControl/>
              <w:suppressAutoHyphens/>
              <w:kinsoku w:val="0"/>
              <w:overflowPunct w:val="0"/>
              <w:rPr>
                <w:sz w:val="22"/>
                <w:szCs w:val="22"/>
                <w:lang w:val="de-DE"/>
              </w:rPr>
            </w:pPr>
            <w:r>
              <w:rPr>
                <w:sz w:val="22"/>
                <w:szCs w:val="22"/>
                <w:lang w:val="de-DE" w:eastAsia="en-US"/>
              </w:rPr>
              <w:t>Sehr häufig</w:t>
            </w:r>
          </w:p>
        </w:tc>
        <w:tc>
          <w:tcPr>
            <w:tcW w:w="4598" w:type="dxa"/>
          </w:tcPr>
          <w:p w14:paraId="00BB1BDB" w14:textId="77777777" w:rsidR="00FE291A" w:rsidRDefault="00C8738F">
            <w:pPr>
              <w:widowControl/>
              <w:suppressAutoHyphens/>
              <w:rPr>
                <w:sz w:val="22"/>
                <w:szCs w:val="22"/>
                <w:lang w:val="de-DE" w:eastAsia="en-US"/>
              </w:rPr>
            </w:pPr>
            <w:r>
              <w:rPr>
                <w:sz w:val="22"/>
                <w:szCs w:val="22"/>
                <w:lang w:val="de-DE" w:eastAsia="en-US"/>
              </w:rPr>
              <w:t>Abdominalschmerzen,</w:t>
            </w:r>
          </w:p>
          <w:p w14:paraId="252856A9" w14:textId="77777777" w:rsidR="00FE291A" w:rsidRDefault="00C8738F">
            <w:pPr>
              <w:widowControl/>
              <w:suppressAutoHyphens/>
              <w:kinsoku w:val="0"/>
              <w:overflowPunct w:val="0"/>
              <w:rPr>
                <w:sz w:val="22"/>
                <w:szCs w:val="22"/>
                <w:lang w:val="de-DE"/>
              </w:rPr>
            </w:pPr>
            <w:r>
              <w:rPr>
                <w:sz w:val="22"/>
                <w:szCs w:val="22"/>
                <w:lang w:val="de-DE" w:eastAsia="en-US"/>
              </w:rPr>
              <w:t>Übelkeit und Erbrechen</w:t>
            </w:r>
          </w:p>
        </w:tc>
      </w:tr>
      <w:tr w:rsidR="00FE291A" w14:paraId="46654467" w14:textId="77777777">
        <w:trPr>
          <w:cantSplit/>
        </w:trPr>
        <w:tc>
          <w:tcPr>
            <w:tcW w:w="2517" w:type="dxa"/>
            <w:vMerge/>
          </w:tcPr>
          <w:p w14:paraId="3BE0B29E" w14:textId="77777777" w:rsidR="00FE291A" w:rsidRDefault="00FE291A">
            <w:pPr>
              <w:widowControl/>
              <w:suppressAutoHyphens/>
              <w:rPr>
                <w:sz w:val="22"/>
                <w:szCs w:val="22"/>
                <w:lang w:val="de-DE" w:eastAsia="en-US"/>
              </w:rPr>
            </w:pPr>
          </w:p>
        </w:tc>
        <w:tc>
          <w:tcPr>
            <w:tcW w:w="1920" w:type="dxa"/>
          </w:tcPr>
          <w:p w14:paraId="36311B06" w14:textId="77777777" w:rsidR="00FE291A" w:rsidRDefault="00C8738F">
            <w:pPr>
              <w:widowControl/>
              <w:suppressAutoHyphens/>
              <w:kinsoku w:val="0"/>
              <w:overflowPunct w:val="0"/>
              <w:rPr>
                <w:sz w:val="22"/>
                <w:szCs w:val="22"/>
                <w:lang w:val="de-DE" w:eastAsia="en-US"/>
              </w:rPr>
            </w:pPr>
            <w:r>
              <w:rPr>
                <w:sz w:val="22"/>
                <w:szCs w:val="22"/>
                <w:lang w:val="de-DE" w:eastAsia="en-US"/>
              </w:rPr>
              <w:t>Häufig</w:t>
            </w:r>
          </w:p>
        </w:tc>
        <w:tc>
          <w:tcPr>
            <w:tcW w:w="4598" w:type="dxa"/>
          </w:tcPr>
          <w:p w14:paraId="14E67938" w14:textId="77777777" w:rsidR="00FE291A" w:rsidRDefault="00C8738F">
            <w:pPr>
              <w:widowControl/>
              <w:suppressAutoHyphens/>
              <w:rPr>
                <w:sz w:val="22"/>
                <w:szCs w:val="22"/>
                <w:lang w:val="de-DE" w:eastAsia="en-US"/>
              </w:rPr>
            </w:pPr>
            <w:r>
              <w:rPr>
                <w:sz w:val="22"/>
                <w:szCs w:val="22"/>
                <w:lang w:val="de-DE" w:eastAsia="en-US"/>
              </w:rPr>
              <w:t>Blutungen im Gastrointestinaltrakt,</w:t>
            </w:r>
          </w:p>
          <w:p w14:paraId="68C50A1F" w14:textId="77777777" w:rsidR="00FE291A" w:rsidRDefault="00C8738F">
            <w:pPr>
              <w:widowControl/>
              <w:suppressAutoHyphens/>
              <w:rPr>
                <w:sz w:val="22"/>
                <w:szCs w:val="22"/>
                <w:lang w:val="de-DE" w:eastAsia="en-US"/>
              </w:rPr>
            </w:pPr>
            <w:r>
              <w:rPr>
                <w:sz w:val="22"/>
                <w:szCs w:val="22"/>
                <w:lang w:val="de-DE" w:eastAsia="en-US"/>
              </w:rPr>
              <w:t>Dyspepsie,</w:t>
            </w:r>
          </w:p>
          <w:p w14:paraId="6A222A9D" w14:textId="77777777" w:rsidR="00FE291A" w:rsidRDefault="00C8738F">
            <w:pPr>
              <w:widowControl/>
              <w:suppressAutoHyphens/>
              <w:rPr>
                <w:sz w:val="22"/>
                <w:szCs w:val="22"/>
                <w:lang w:val="de-DE" w:eastAsia="en-US"/>
              </w:rPr>
            </w:pPr>
            <w:r>
              <w:rPr>
                <w:sz w:val="22"/>
                <w:szCs w:val="22"/>
                <w:lang w:val="de-DE" w:eastAsia="en-US"/>
              </w:rPr>
              <w:t>gastroösophageale Refluxkrankheit,</w:t>
            </w:r>
          </w:p>
          <w:p w14:paraId="3BC9C3B1" w14:textId="77777777" w:rsidR="00FE291A" w:rsidRDefault="00C8738F">
            <w:pPr>
              <w:widowControl/>
              <w:suppressAutoHyphens/>
              <w:rPr>
                <w:sz w:val="22"/>
                <w:szCs w:val="22"/>
                <w:lang w:val="de-DE" w:eastAsia="en-US"/>
              </w:rPr>
            </w:pPr>
            <w:r>
              <w:rPr>
                <w:sz w:val="22"/>
                <w:szCs w:val="22"/>
                <w:lang w:val="de-DE" w:eastAsia="en-US"/>
              </w:rPr>
              <w:t>Sicca-Syndrom</w:t>
            </w:r>
          </w:p>
        </w:tc>
      </w:tr>
      <w:tr w:rsidR="00FE291A" w14:paraId="25D5EFFE" w14:textId="77777777">
        <w:trPr>
          <w:cantSplit/>
        </w:trPr>
        <w:tc>
          <w:tcPr>
            <w:tcW w:w="2517" w:type="dxa"/>
            <w:vMerge/>
          </w:tcPr>
          <w:p w14:paraId="35FDFADC" w14:textId="77777777" w:rsidR="00FE291A" w:rsidRDefault="00FE291A">
            <w:pPr>
              <w:widowControl/>
              <w:suppressAutoHyphens/>
              <w:rPr>
                <w:sz w:val="22"/>
                <w:szCs w:val="22"/>
                <w:lang w:val="de-DE" w:eastAsia="en-US"/>
              </w:rPr>
            </w:pPr>
          </w:p>
        </w:tc>
        <w:tc>
          <w:tcPr>
            <w:tcW w:w="1920" w:type="dxa"/>
          </w:tcPr>
          <w:p w14:paraId="6B8DA2C9" w14:textId="77777777" w:rsidR="00FE291A" w:rsidRDefault="00C8738F">
            <w:pPr>
              <w:widowControl/>
              <w:suppressAutoHyphens/>
              <w:kinsoku w:val="0"/>
              <w:overflowPunct w:val="0"/>
              <w:rPr>
                <w:sz w:val="22"/>
                <w:szCs w:val="22"/>
                <w:lang w:val="de-DE" w:eastAsia="en-US"/>
              </w:rPr>
            </w:pPr>
            <w:r>
              <w:rPr>
                <w:sz w:val="22"/>
                <w:szCs w:val="22"/>
                <w:lang w:val="de-DE" w:eastAsia="en-US"/>
              </w:rPr>
              <w:t>Gelegentlich</w:t>
            </w:r>
          </w:p>
        </w:tc>
        <w:tc>
          <w:tcPr>
            <w:tcW w:w="4598" w:type="dxa"/>
          </w:tcPr>
          <w:p w14:paraId="33AAE332" w14:textId="77777777" w:rsidR="00FE291A" w:rsidRDefault="00C8738F">
            <w:pPr>
              <w:widowControl/>
              <w:suppressAutoHyphens/>
              <w:rPr>
                <w:sz w:val="22"/>
                <w:szCs w:val="22"/>
                <w:lang w:val="de-DE" w:eastAsia="en-US"/>
              </w:rPr>
            </w:pPr>
            <w:r>
              <w:rPr>
                <w:sz w:val="22"/>
                <w:szCs w:val="22"/>
                <w:lang w:val="de-DE" w:eastAsia="en-US"/>
              </w:rPr>
              <w:t>Pankreatitis,</w:t>
            </w:r>
          </w:p>
          <w:p w14:paraId="3DDAB77A" w14:textId="77777777" w:rsidR="00FE291A" w:rsidRDefault="00C8738F">
            <w:pPr>
              <w:widowControl/>
              <w:suppressAutoHyphens/>
              <w:rPr>
                <w:sz w:val="22"/>
                <w:szCs w:val="22"/>
                <w:lang w:val="de-DE" w:eastAsia="en-US"/>
              </w:rPr>
            </w:pPr>
            <w:r>
              <w:rPr>
                <w:sz w:val="22"/>
                <w:szCs w:val="22"/>
                <w:lang w:val="de-DE" w:eastAsia="en-US"/>
              </w:rPr>
              <w:t>Dysphagie,</w:t>
            </w:r>
          </w:p>
          <w:p w14:paraId="0ABD93A6" w14:textId="77777777" w:rsidR="00FE291A" w:rsidRDefault="00C8738F">
            <w:pPr>
              <w:widowControl/>
              <w:suppressAutoHyphens/>
              <w:rPr>
                <w:sz w:val="22"/>
                <w:szCs w:val="22"/>
                <w:lang w:val="de-DE" w:eastAsia="en-US"/>
              </w:rPr>
            </w:pPr>
            <w:r>
              <w:rPr>
                <w:sz w:val="22"/>
                <w:szCs w:val="22"/>
                <w:lang w:val="de-DE" w:eastAsia="en-US"/>
              </w:rPr>
              <w:t>Gesichtsödeme</w:t>
            </w:r>
          </w:p>
        </w:tc>
      </w:tr>
      <w:tr w:rsidR="00FE291A" w14:paraId="5E735ED8" w14:textId="77777777">
        <w:trPr>
          <w:cantSplit/>
        </w:trPr>
        <w:tc>
          <w:tcPr>
            <w:tcW w:w="2517" w:type="dxa"/>
            <w:vMerge/>
          </w:tcPr>
          <w:p w14:paraId="1B64AEF4" w14:textId="77777777" w:rsidR="00FE291A" w:rsidRDefault="00FE291A">
            <w:pPr>
              <w:widowControl/>
              <w:suppressAutoHyphens/>
              <w:rPr>
                <w:sz w:val="22"/>
                <w:szCs w:val="22"/>
                <w:lang w:val="de-DE" w:eastAsia="en-US"/>
              </w:rPr>
            </w:pPr>
          </w:p>
        </w:tc>
        <w:tc>
          <w:tcPr>
            <w:tcW w:w="1920" w:type="dxa"/>
          </w:tcPr>
          <w:p w14:paraId="00988BA7" w14:textId="77777777" w:rsidR="00FE291A" w:rsidRDefault="00C8738F">
            <w:pPr>
              <w:widowControl/>
              <w:suppressAutoHyphens/>
              <w:kinsoku w:val="0"/>
              <w:overflowPunct w:val="0"/>
              <w:rPr>
                <w:sz w:val="22"/>
                <w:szCs w:val="22"/>
                <w:lang w:val="de-DE" w:eastAsia="en-US"/>
              </w:rPr>
            </w:pPr>
            <w:r>
              <w:rPr>
                <w:sz w:val="22"/>
                <w:szCs w:val="22"/>
                <w:lang w:val="de-DE" w:eastAsia="en-US"/>
              </w:rPr>
              <w:t>Selten</w:t>
            </w:r>
          </w:p>
        </w:tc>
        <w:tc>
          <w:tcPr>
            <w:tcW w:w="4598" w:type="dxa"/>
          </w:tcPr>
          <w:p w14:paraId="7732444E" w14:textId="77777777" w:rsidR="00FE291A" w:rsidRDefault="00C8738F">
            <w:pPr>
              <w:widowControl/>
              <w:suppressAutoHyphens/>
              <w:rPr>
                <w:sz w:val="22"/>
                <w:szCs w:val="22"/>
                <w:lang w:val="de-DE" w:eastAsia="en-US"/>
              </w:rPr>
            </w:pPr>
            <w:r>
              <w:rPr>
                <w:sz w:val="22"/>
                <w:szCs w:val="22"/>
                <w:lang w:val="de-DE" w:eastAsia="en-US"/>
              </w:rPr>
              <w:t>Darmwandperforation</w:t>
            </w:r>
            <w:r>
              <w:rPr>
                <w:sz w:val="22"/>
                <w:szCs w:val="22"/>
                <w:vertAlign w:val="superscript"/>
                <w:lang w:val="de-DE" w:eastAsia="en-US"/>
              </w:rPr>
              <w:t>1)</w:t>
            </w:r>
          </w:p>
        </w:tc>
      </w:tr>
      <w:tr w:rsidR="00FE291A" w14:paraId="77B188BE" w14:textId="77777777">
        <w:trPr>
          <w:cantSplit/>
        </w:trPr>
        <w:tc>
          <w:tcPr>
            <w:tcW w:w="2517" w:type="dxa"/>
            <w:vMerge w:val="restart"/>
          </w:tcPr>
          <w:p w14:paraId="0B0A6940" w14:textId="77777777" w:rsidR="00FE291A" w:rsidRDefault="00C8738F">
            <w:pPr>
              <w:widowControl/>
              <w:suppressAutoHyphens/>
              <w:rPr>
                <w:sz w:val="22"/>
                <w:szCs w:val="22"/>
                <w:lang w:val="de-DE" w:eastAsia="en-US"/>
              </w:rPr>
            </w:pPr>
            <w:r>
              <w:rPr>
                <w:sz w:val="22"/>
                <w:szCs w:val="22"/>
                <w:lang w:val="de-DE" w:eastAsia="en-US"/>
              </w:rPr>
              <w:t>Leber- und Gallenerkrankungen*</w:t>
            </w:r>
          </w:p>
        </w:tc>
        <w:tc>
          <w:tcPr>
            <w:tcW w:w="1920" w:type="dxa"/>
          </w:tcPr>
          <w:p w14:paraId="29747B7E" w14:textId="77777777" w:rsidR="00FE291A" w:rsidRDefault="00C8738F">
            <w:pPr>
              <w:widowControl/>
              <w:suppressAutoHyphens/>
              <w:kinsoku w:val="0"/>
              <w:overflowPunct w:val="0"/>
              <w:rPr>
                <w:sz w:val="22"/>
                <w:szCs w:val="22"/>
                <w:lang w:val="de-DE"/>
              </w:rPr>
            </w:pPr>
            <w:r>
              <w:rPr>
                <w:sz w:val="22"/>
                <w:szCs w:val="22"/>
                <w:lang w:val="de-DE" w:eastAsia="en-US"/>
              </w:rPr>
              <w:t>Sehr häufig</w:t>
            </w:r>
          </w:p>
        </w:tc>
        <w:tc>
          <w:tcPr>
            <w:tcW w:w="4598" w:type="dxa"/>
          </w:tcPr>
          <w:p w14:paraId="74B24FEF" w14:textId="77777777" w:rsidR="00FE291A" w:rsidRDefault="00C8738F">
            <w:pPr>
              <w:widowControl/>
              <w:suppressAutoHyphens/>
              <w:kinsoku w:val="0"/>
              <w:overflowPunct w:val="0"/>
              <w:rPr>
                <w:sz w:val="22"/>
                <w:szCs w:val="22"/>
                <w:lang w:val="de-DE"/>
              </w:rPr>
            </w:pPr>
            <w:r>
              <w:rPr>
                <w:sz w:val="22"/>
                <w:szCs w:val="22"/>
                <w:lang w:val="de-DE" w:eastAsia="en-US"/>
              </w:rPr>
              <w:t>Erhöhung der Leberenzyme</w:t>
            </w:r>
          </w:p>
        </w:tc>
      </w:tr>
      <w:tr w:rsidR="00FE291A" w:rsidRPr="002E6CD3" w14:paraId="27E6940C" w14:textId="77777777">
        <w:trPr>
          <w:cantSplit/>
        </w:trPr>
        <w:tc>
          <w:tcPr>
            <w:tcW w:w="2517" w:type="dxa"/>
            <w:vMerge/>
          </w:tcPr>
          <w:p w14:paraId="70D7EA37" w14:textId="77777777" w:rsidR="00FE291A" w:rsidRDefault="00FE291A">
            <w:pPr>
              <w:widowControl/>
              <w:suppressAutoHyphens/>
              <w:rPr>
                <w:sz w:val="22"/>
                <w:szCs w:val="22"/>
                <w:lang w:val="de-DE" w:eastAsia="en-US"/>
              </w:rPr>
            </w:pPr>
          </w:p>
        </w:tc>
        <w:tc>
          <w:tcPr>
            <w:tcW w:w="1920" w:type="dxa"/>
          </w:tcPr>
          <w:p w14:paraId="2641304D" w14:textId="77777777" w:rsidR="00FE291A" w:rsidRDefault="00C8738F">
            <w:pPr>
              <w:widowControl/>
              <w:suppressAutoHyphens/>
              <w:kinsoku w:val="0"/>
              <w:overflowPunct w:val="0"/>
              <w:rPr>
                <w:sz w:val="22"/>
                <w:szCs w:val="22"/>
                <w:lang w:val="de-DE" w:eastAsia="en-US"/>
              </w:rPr>
            </w:pPr>
            <w:r>
              <w:rPr>
                <w:sz w:val="22"/>
                <w:szCs w:val="22"/>
                <w:lang w:val="de-DE" w:eastAsia="en-US"/>
              </w:rPr>
              <w:t>Gelegentlich</w:t>
            </w:r>
          </w:p>
        </w:tc>
        <w:tc>
          <w:tcPr>
            <w:tcW w:w="4598" w:type="dxa"/>
          </w:tcPr>
          <w:p w14:paraId="2DE6B83D" w14:textId="77777777" w:rsidR="00FE291A" w:rsidRDefault="00C8738F">
            <w:pPr>
              <w:widowControl/>
              <w:suppressAutoHyphens/>
              <w:rPr>
                <w:sz w:val="22"/>
                <w:szCs w:val="22"/>
                <w:lang w:val="de-DE" w:eastAsia="en-US"/>
              </w:rPr>
            </w:pPr>
            <w:r>
              <w:rPr>
                <w:sz w:val="22"/>
                <w:szCs w:val="22"/>
                <w:lang w:val="de-DE" w:eastAsia="en-US"/>
              </w:rPr>
              <w:t>Cholecystitis und Cholelithiasis,</w:t>
            </w:r>
          </w:p>
          <w:p w14:paraId="0736D3D4" w14:textId="77777777" w:rsidR="00FE291A" w:rsidRDefault="00C8738F">
            <w:pPr>
              <w:widowControl/>
              <w:suppressAutoHyphens/>
              <w:rPr>
                <w:sz w:val="22"/>
                <w:szCs w:val="22"/>
                <w:lang w:val="de-DE" w:eastAsia="en-US"/>
              </w:rPr>
            </w:pPr>
            <w:r>
              <w:rPr>
                <w:sz w:val="22"/>
                <w:szCs w:val="22"/>
                <w:lang w:val="de-DE" w:eastAsia="en-US"/>
              </w:rPr>
              <w:t>Fettleber,</w:t>
            </w:r>
          </w:p>
          <w:p w14:paraId="5D69336C" w14:textId="77777777" w:rsidR="00FE291A" w:rsidRDefault="00C8738F">
            <w:pPr>
              <w:widowControl/>
              <w:suppressAutoHyphens/>
              <w:kinsoku w:val="0"/>
              <w:overflowPunct w:val="0"/>
              <w:rPr>
                <w:sz w:val="22"/>
                <w:szCs w:val="22"/>
                <w:lang w:val="de-DE" w:eastAsia="en-US"/>
              </w:rPr>
            </w:pPr>
            <w:r>
              <w:rPr>
                <w:sz w:val="22"/>
                <w:szCs w:val="22"/>
                <w:lang w:val="de-DE" w:eastAsia="en-US"/>
              </w:rPr>
              <w:t>erhöhte Bilirubinwerte</w:t>
            </w:r>
          </w:p>
        </w:tc>
      </w:tr>
      <w:tr w:rsidR="00FE291A" w:rsidRPr="002E6CD3" w14:paraId="5F915249" w14:textId="77777777">
        <w:trPr>
          <w:cantSplit/>
        </w:trPr>
        <w:tc>
          <w:tcPr>
            <w:tcW w:w="2517" w:type="dxa"/>
            <w:vMerge/>
          </w:tcPr>
          <w:p w14:paraId="53CA53B8" w14:textId="77777777" w:rsidR="00FE291A" w:rsidRDefault="00FE291A">
            <w:pPr>
              <w:widowControl/>
              <w:suppressAutoHyphens/>
              <w:rPr>
                <w:sz w:val="22"/>
                <w:szCs w:val="22"/>
                <w:lang w:val="de-DE" w:eastAsia="en-US"/>
              </w:rPr>
            </w:pPr>
          </w:p>
        </w:tc>
        <w:tc>
          <w:tcPr>
            <w:tcW w:w="1920" w:type="dxa"/>
          </w:tcPr>
          <w:p w14:paraId="13FA9F00" w14:textId="77777777" w:rsidR="00FE291A" w:rsidRDefault="00C8738F">
            <w:pPr>
              <w:widowControl/>
              <w:suppressAutoHyphens/>
              <w:kinsoku w:val="0"/>
              <w:overflowPunct w:val="0"/>
              <w:rPr>
                <w:sz w:val="22"/>
                <w:szCs w:val="22"/>
                <w:lang w:val="de-DE" w:eastAsia="en-US"/>
              </w:rPr>
            </w:pPr>
            <w:r>
              <w:rPr>
                <w:sz w:val="22"/>
                <w:szCs w:val="22"/>
                <w:lang w:val="de-DE" w:eastAsia="en-US"/>
              </w:rPr>
              <w:t>Selten</w:t>
            </w:r>
          </w:p>
        </w:tc>
        <w:tc>
          <w:tcPr>
            <w:tcW w:w="4598" w:type="dxa"/>
          </w:tcPr>
          <w:p w14:paraId="10B27EB9" w14:textId="77777777" w:rsidR="00FE291A" w:rsidRDefault="00C8738F">
            <w:pPr>
              <w:widowControl/>
              <w:suppressAutoHyphens/>
              <w:rPr>
                <w:sz w:val="22"/>
                <w:szCs w:val="22"/>
                <w:lang w:val="de-DE" w:eastAsia="en-US"/>
              </w:rPr>
            </w:pPr>
            <w:r>
              <w:rPr>
                <w:sz w:val="22"/>
                <w:szCs w:val="22"/>
                <w:lang w:val="de-DE" w:eastAsia="en-US"/>
              </w:rPr>
              <w:t>Hepatitis,</w:t>
            </w:r>
          </w:p>
          <w:p w14:paraId="2AB429C5" w14:textId="77777777" w:rsidR="00FE291A" w:rsidRDefault="00C8738F">
            <w:pPr>
              <w:widowControl/>
              <w:suppressAutoHyphens/>
              <w:rPr>
                <w:sz w:val="22"/>
                <w:szCs w:val="22"/>
                <w:lang w:val="de-DE" w:eastAsia="en-US"/>
              </w:rPr>
            </w:pPr>
            <w:r>
              <w:rPr>
                <w:sz w:val="22"/>
                <w:szCs w:val="22"/>
                <w:lang w:val="de-DE" w:eastAsia="en-US"/>
              </w:rPr>
              <w:t>Reaktivierung einer Hepatitis B</w:t>
            </w:r>
            <w:r>
              <w:rPr>
                <w:sz w:val="22"/>
                <w:szCs w:val="22"/>
                <w:vertAlign w:val="superscript"/>
                <w:lang w:val="de-DE" w:eastAsia="en-US"/>
              </w:rPr>
              <w:t>1)</w:t>
            </w:r>
            <w:r>
              <w:rPr>
                <w:sz w:val="22"/>
                <w:szCs w:val="22"/>
                <w:lang w:val="de-DE" w:eastAsia="en-US"/>
              </w:rPr>
              <w:t>,</w:t>
            </w:r>
          </w:p>
          <w:p w14:paraId="5CB324A2" w14:textId="77777777" w:rsidR="00FE291A" w:rsidRDefault="00C8738F">
            <w:pPr>
              <w:widowControl/>
              <w:suppressAutoHyphens/>
              <w:kinsoku w:val="0"/>
              <w:overflowPunct w:val="0"/>
              <w:rPr>
                <w:sz w:val="22"/>
                <w:szCs w:val="22"/>
                <w:lang w:val="de-DE" w:eastAsia="en-US"/>
              </w:rPr>
            </w:pPr>
            <w:r>
              <w:rPr>
                <w:sz w:val="22"/>
                <w:szCs w:val="22"/>
                <w:lang w:val="de-DE" w:eastAsia="en-US"/>
              </w:rPr>
              <w:t>Autoimmunhepatitis</w:t>
            </w:r>
            <w:r>
              <w:rPr>
                <w:sz w:val="22"/>
                <w:szCs w:val="22"/>
                <w:vertAlign w:val="superscript"/>
                <w:lang w:val="de-DE" w:eastAsia="en-US"/>
              </w:rPr>
              <w:t>1)</w:t>
            </w:r>
          </w:p>
        </w:tc>
      </w:tr>
      <w:tr w:rsidR="00FE291A" w14:paraId="52DFD907" w14:textId="77777777">
        <w:trPr>
          <w:cantSplit/>
        </w:trPr>
        <w:tc>
          <w:tcPr>
            <w:tcW w:w="2517" w:type="dxa"/>
            <w:vMerge/>
          </w:tcPr>
          <w:p w14:paraId="650EA8E3" w14:textId="77777777" w:rsidR="00FE291A" w:rsidRDefault="00FE291A">
            <w:pPr>
              <w:widowControl/>
              <w:suppressAutoHyphens/>
              <w:rPr>
                <w:sz w:val="22"/>
                <w:szCs w:val="22"/>
                <w:lang w:val="de-DE" w:eastAsia="en-US"/>
              </w:rPr>
            </w:pPr>
          </w:p>
        </w:tc>
        <w:tc>
          <w:tcPr>
            <w:tcW w:w="1920" w:type="dxa"/>
          </w:tcPr>
          <w:p w14:paraId="7E71FBA8" w14:textId="77777777" w:rsidR="00FE291A" w:rsidRDefault="00C8738F">
            <w:pPr>
              <w:widowControl/>
              <w:suppressAutoHyphens/>
              <w:kinsoku w:val="0"/>
              <w:overflowPunct w:val="0"/>
              <w:rPr>
                <w:sz w:val="22"/>
                <w:szCs w:val="22"/>
                <w:lang w:val="de-DE" w:eastAsia="en-US"/>
              </w:rPr>
            </w:pPr>
            <w:r>
              <w:rPr>
                <w:sz w:val="22"/>
                <w:szCs w:val="22"/>
                <w:lang w:val="de-DE" w:eastAsia="en-US"/>
              </w:rPr>
              <w:t>Nicht bekannt</w:t>
            </w:r>
          </w:p>
        </w:tc>
        <w:tc>
          <w:tcPr>
            <w:tcW w:w="4598" w:type="dxa"/>
          </w:tcPr>
          <w:p w14:paraId="75D04B26" w14:textId="77777777" w:rsidR="00FE291A" w:rsidRDefault="00C8738F">
            <w:pPr>
              <w:widowControl/>
              <w:suppressAutoHyphens/>
              <w:kinsoku w:val="0"/>
              <w:overflowPunct w:val="0"/>
              <w:rPr>
                <w:sz w:val="22"/>
                <w:szCs w:val="22"/>
                <w:lang w:val="de-DE" w:eastAsia="en-US"/>
              </w:rPr>
            </w:pPr>
            <w:r>
              <w:rPr>
                <w:sz w:val="22"/>
                <w:szCs w:val="22"/>
                <w:lang w:val="de-DE" w:eastAsia="en-US"/>
              </w:rPr>
              <w:t>Leberversagen</w:t>
            </w:r>
            <w:r>
              <w:rPr>
                <w:sz w:val="22"/>
                <w:szCs w:val="22"/>
                <w:vertAlign w:val="superscript"/>
                <w:lang w:val="de-DE" w:eastAsia="en-US"/>
              </w:rPr>
              <w:t>1)</w:t>
            </w:r>
          </w:p>
        </w:tc>
      </w:tr>
      <w:tr w:rsidR="00FE291A" w14:paraId="6EA4B932" w14:textId="77777777">
        <w:trPr>
          <w:cantSplit/>
        </w:trPr>
        <w:tc>
          <w:tcPr>
            <w:tcW w:w="2517" w:type="dxa"/>
            <w:vMerge w:val="restart"/>
          </w:tcPr>
          <w:p w14:paraId="7095D4DB" w14:textId="77777777" w:rsidR="00FE291A" w:rsidRDefault="00C8738F">
            <w:pPr>
              <w:widowControl/>
              <w:suppressAutoHyphens/>
              <w:rPr>
                <w:sz w:val="22"/>
                <w:szCs w:val="22"/>
                <w:lang w:val="de-DE" w:eastAsia="en-US"/>
              </w:rPr>
            </w:pPr>
            <w:r>
              <w:rPr>
                <w:sz w:val="22"/>
                <w:szCs w:val="22"/>
                <w:lang w:val="de-DE" w:eastAsia="en-US"/>
              </w:rPr>
              <w:t>Erkrankungen der Haut und des Unterhautzellgewebes</w:t>
            </w:r>
          </w:p>
        </w:tc>
        <w:tc>
          <w:tcPr>
            <w:tcW w:w="1920" w:type="dxa"/>
          </w:tcPr>
          <w:p w14:paraId="3F13C44E" w14:textId="77777777" w:rsidR="00FE291A" w:rsidRDefault="00C8738F">
            <w:pPr>
              <w:widowControl/>
              <w:suppressAutoHyphens/>
              <w:kinsoku w:val="0"/>
              <w:overflowPunct w:val="0"/>
              <w:rPr>
                <w:sz w:val="22"/>
                <w:szCs w:val="22"/>
                <w:lang w:val="de-DE"/>
              </w:rPr>
            </w:pPr>
            <w:r>
              <w:rPr>
                <w:sz w:val="22"/>
                <w:szCs w:val="22"/>
                <w:lang w:val="de-DE" w:eastAsia="en-US"/>
              </w:rPr>
              <w:t>Sehr häufig</w:t>
            </w:r>
          </w:p>
        </w:tc>
        <w:tc>
          <w:tcPr>
            <w:tcW w:w="4598" w:type="dxa"/>
          </w:tcPr>
          <w:p w14:paraId="745EA9CB" w14:textId="77777777" w:rsidR="00FE291A" w:rsidRDefault="00C8738F">
            <w:pPr>
              <w:widowControl/>
              <w:suppressAutoHyphens/>
              <w:kinsoku w:val="0"/>
              <w:overflowPunct w:val="0"/>
              <w:rPr>
                <w:sz w:val="22"/>
                <w:szCs w:val="22"/>
                <w:lang w:val="de-DE"/>
              </w:rPr>
            </w:pPr>
            <w:r>
              <w:rPr>
                <w:sz w:val="22"/>
                <w:szCs w:val="22"/>
                <w:lang w:val="de-DE" w:eastAsia="en-US"/>
              </w:rPr>
              <w:t>Hautausschlag (einschließlich schuppender Hautausschlag)</w:t>
            </w:r>
          </w:p>
        </w:tc>
      </w:tr>
      <w:tr w:rsidR="00FE291A" w14:paraId="1914D9CA" w14:textId="77777777">
        <w:trPr>
          <w:cantSplit/>
        </w:trPr>
        <w:tc>
          <w:tcPr>
            <w:tcW w:w="2517" w:type="dxa"/>
            <w:vMerge/>
          </w:tcPr>
          <w:p w14:paraId="40619518" w14:textId="77777777" w:rsidR="00FE291A" w:rsidRDefault="00FE291A">
            <w:pPr>
              <w:widowControl/>
              <w:suppressAutoHyphens/>
              <w:rPr>
                <w:sz w:val="22"/>
                <w:szCs w:val="22"/>
                <w:lang w:val="de-DE" w:eastAsia="en-US"/>
              </w:rPr>
            </w:pPr>
          </w:p>
        </w:tc>
        <w:tc>
          <w:tcPr>
            <w:tcW w:w="1920" w:type="dxa"/>
          </w:tcPr>
          <w:p w14:paraId="7AA1A324" w14:textId="77777777" w:rsidR="00FE291A" w:rsidRDefault="00C8738F">
            <w:pPr>
              <w:widowControl/>
              <w:suppressAutoHyphens/>
              <w:kinsoku w:val="0"/>
              <w:overflowPunct w:val="0"/>
              <w:rPr>
                <w:sz w:val="22"/>
                <w:szCs w:val="22"/>
                <w:lang w:val="de-DE" w:eastAsia="en-US"/>
              </w:rPr>
            </w:pPr>
            <w:r>
              <w:rPr>
                <w:sz w:val="22"/>
                <w:szCs w:val="22"/>
                <w:lang w:val="de-DE" w:eastAsia="en-US"/>
              </w:rPr>
              <w:t>Häufig</w:t>
            </w:r>
          </w:p>
        </w:tc>
        <w:tc>
          <w:tcPr>
            <w:tcW w:w="4598" w:type="dxa"/>
          </w:tcPr>
          <w:p w14:paraId="25FC8BB9" w14:textId="77777777" w:rsidR="00FE291A" w:rsidRDefault="00C8738F">
            <w:pPr>
              <w:widowControl/>
              <w:suppressAutoHyphens/>
              <w:rPr>
                <w:sz w:val="22"/>
                <w:szCs w:val="22"/>
                <w:lang w:val="de-DE" w:eastAsia="en-US"/>
              </w:rPr>
            </w:pPr>
            <w:r>
              <w:rPr>
                <w:sz w:val="22"/>
                <w:szCs w:val="22"/>
                <w:lang w:val="de-DE" w:eastAsia="en-US"/>
              </w:rPr>
              <w:t>Verschlechterung oder neuer Ausbruch von Psoriasis (einschließlich palmoplantarer pustulöser Psoriasis)</w:t>
            </w:r>
            <w:r>
              <w:rPr>
                <w:sz w:val="22"/>
                <w:szCs w:val="22"/>
                <w:vertAlign w:val="superscript"/>
                <w:lang w:val="de-DE" w:eastAsia="en-US"/>
              </w:rPr>
              <w:t>1)</w:t>
            </w:r>
            <w:r>
              <w:rPr>
                <w:sz w:val="22"/>
                <w:szCs w:val="22"/>
                <w:lang w:val="de-DE" w:eastAsia="en-US"/>
              </w:rPr>
              <w:t>,</w:t>
            </w:r>
          </w:p>
          <w:p w14:paraId="6489048F" w14:textId="77777777" w:rsidR="00FE291A" w:rsidRDefault="00C8738F">
            <w:pPr>
              <w:widowControl/>
              <w:suppressAutoHyphens/>
              <w:rPr>
                <w:sz w:val="22"/>
                <w:szCs w:val="22"/>
                <w:lang w:val="de-DE" w:eastAsia="en-US"/>
              </w:rPr>
            </w:pPr>
            <w:r>
              <w:rPr>
                <w:sz w:val="22"/>
                <w:szCs w:val="22"/>
                <w:lang w:val="de-DE" w:eastAsia="en-US"/>
              </w:rPr>
              <w:t>Urtikaria,</w:t>
            </w:r>
          </w:p>
          <w:p w14:paraId="7780BF4F" w14:textId="77777777" w:rsidR="00FE291A" w:rsidRDefault="00C8738F">
            <w:pPr>
              <w:widowControl/>
              <w:suppressAutoHyphens/>
              <w:rPr>
                <w:sz w:val="22"/>
                <w:szCs w:val="22"/>
                <w:lang w:val="de-DE" w:eastAsia="en-US"/>
              </w:rPr>
            </w:pPr>
            <w:r>
              <w:rPr>
                <w:sz w:val="22"/>
                <w:szCs w:val="22"/>
                <w:lang w:val="de-DE" w:eastAsia="en-US"/>
              </w:rPr>
              <w:t>Blutergüsse (einschließlich Purpura),</w:t>
            </w:r>
          </w:p>
          <w:p w14:paraId="21381FFB" w14:textId="77777777" w:rsidR="00FE291A" w:rsidRDefault="00C8738F">
            <w:pPr>
              <w:widowControl/>
              <w:suppressAutoHyphens/>
              <w:rPr>
                <w:sz w:val="22"/>
                <w:szCs w:val="22"/>
                <w:lang w:val="de-DE" w:eastAsia="en-US"/>
              </w:rPr>
            </w:pPr>
            <w:r>
              <w:rPr>
                <w:sz w:val="22"/>
                <w:szCs w:val="22"/>
                <w:lang w:val="de-DE" w:eastAsia="en-US"/>
              </w:rPr>
              <w:t>Dermatitis (einschließlich Ekzem),</w:t>
            </w:r>
          </w:p>
          <w:p w14:paraId="012F916A" w14:textId="77777777" w:rsidR="00FE291A" w:rsidRDefault="00C8738F">
            <w:pPr>
              <w:widowControl/>
              <w:suppressAutoHyphens/>
              <w:rPr>
                <w:sz w:val="22"/>
                <w:szCs w:val="22"/>
                <w:lang w:val="de-DE" w:eastAsia="en-US"/>
              </w:rPr>
            </w:pPr>
            <w:r>
              <w:rPr>
                <w:sz w:val="22"/>
                <w:szCs w:val="22"/>
                <w:lang w:val="de-DE" w:eastAsia="en-US"/>
              </w:rPr>
              <w:t>Onychoclasis (Brechen der Nägel),</w:t>
            </w:r>
          </w:p>
          <w:p w14:paraId="18EA4FF3" w14:textId="77777777" w:rsidR="00FE291A" w:rsidRDefault="00C8738F">
            <w:pPr>
              <w:widowControl/>
              <w:suppressAutoHyphens/>
              <w:rPr>
                <w:sz w:val="22"/>
                <w:szCs w:val="22"/>
                <w:lang w:val="de-DE" w:eastAsia="en-US"/>
              </w:rPr>
            </w:pPr>
            <w:r>
              <w:rPr>
                <w:sz w:val="22"/>
                <w:szCs w:val="22"/>
                <w:lang w:val="de-DE" w:eastAsia="en-US"/>
              </w:rPr>
              <w:t>Hyperhidrose,</w:t>
            </w:r>
          </w:p>
          <w:p w14:paraId="7009D8D8" w14:textId="77777777" w:rsidR="00FE291A" w:rsidRDefault="00C8738F">
            <w:pPr>
              <w:widowControl/>
              <w:suppressAutoHyphens/>
              <w:rPr>
                <w:sz w:val="22"/>
                <w:szCs w:val="22"/>
                <w:lang w:val="de-DE" w:eastAsia="en-US"/>
              </w:rPr>
            </w:pPr>
            <w:r>
              <w:rPr>
                <w:sz w:val="22"/>
                <w:szCs w:val="22"/>
                <w:lang w:val="de-DE" w:eastAsia="en-US"/>
              </w:rPr>
              <w:t>Alopezie</w:t>
            </w:r>
            <w:r>
              <w:rPr>
                <w:sz w:val="22"/>
                <w:szCs w:val="22"/>
                <w:vertAlign w:val="superscript"/>
                <w:lang w:val="de-DE" w:eastAsia="en-US"/>
              </w:rPr>
              <w:t>1)</w:t>
            </w:r>
            <w:r>
              <w:rPr>
                <w:sz w:val="22"/>
                <w:szCs w:val="22"/>
                <w:lang w:val="de-DE" w:eastAsia="en-US"/>
              </w:rPr>
              <w:t>,</w:t>
            </w:r>
          </w:p>
          <w:p w14:paraId="44D0CB52" w14:textId="77777777" w:rsidR="00FE291A" w:rsidRDefault="00C8738F">
            <w:pPr>
              <w:widowControl/>
              <w:suppressAutoHyphens/>
              <w:kinsoku w:val="0"/>
              <w:overflowPunct w:val="0"/>
              <w:rPr>
                <w:sz w:val="22"/>
                <w:szCs w:val="22"/>
                <w:lang w:val="de-DE" w:eastAsia="en-US"/>
              </w:rPr>
            </w:pPr>
            <w:r>
              <w:rPr>
                <w:sz w:val="22"/>
                <w:szCs w:val="22"/>
                <w:lang w:val="de-DE" w:eastAsia="en-US"/>
              </w:rPr>
              <w:t>Pruritus</w:t>
            </w:r>
          </w:p>
        </w:tc>
      </w:tr>
      <w:tr w:rsidR="00FE291A" w14:paraId="776B292B" w14:textId="77777777">
        <w:trPr>
          <w:cantSplit/>
        </w:trPr>
        <w:tc>
          <w:tcPr>
            <w:tcW w:w="2517" w:type="dxa"/>
            <w:vMerge/>
          </w:tcPr>
          <w:p w14:paraId="4FF3DB6C" w14:textId="77777777" w:rsidR="00FE291A" w:rsidRDefault="00FE291A">
            <w:pPr>
              <w:widowControl/>
              <w:suppressAutoHyphens/>
              <w:rPr>
                <w:sz w:val="22"/>
                <w:szCs w:val="22"/>
                <w:lang w:val="de-DE" w:eastAsia="en-US"/>
              </w:rPr>
            </w:pPr>
          </w:p>
        </w:tc>
        <w:tc>
          <w:tcPr>
            <w:tcW w:w="1920" w:type="dxa"/>
          </w:tcPr>
          <w:p w14:paraId="59358B2F" w14:textId="77777777" w:rsidR="00FE291A" w:rsidRDefault="00C8738F">
            <w:pPr>
              <w:widowControl/>
              <w:suppressAutoHyphens/>
              <w:kinsoku w:val="0"/>
              <w:overflowPunct w:val="0"/>
              <w:rPr>
                <w:sz w:val="22"/>
                <w:szCs w:val="22"/>
                <w:lang w:val="de-DE" w:eastAsia="en-US"/>
              </w:rPr>
            </w:pPr>
            <w:r>
              <w:rPr>
                <w:sz w:val="22"/>
                <w:szCs w:val="22"/>
                <w:lang w:val="de-DE" w:eastAsia="en-US"/>
              </w:rPr>
              <w:t>Gelegentlich</w:t>
            </w:r>
          </w:p>
        </w:tc>
        <w:tc>
          <w:tcPr>
            <w:tcW w:w="4598" w:type="dxa"/>
          </w:tcPr>
          <w:p w14:paraId="762978D1" w14:textId="77777777" w:rsidR="00FE291A" w:rsidRDefault="00C8738F">
            <w:pPr>
              <w:widowControl/>
              <w:suppressAutoHyphens/>
              <w:rPr>
                <w:sz w:val="22"/>
                <w:szCs w:val="22"/>
                <w:lang w:val="de-DE" w:eastAsia="en-US"/>
              </w:rPr>
            </w:pPr>
            <w:r>
              <w:rPr>
                <w:sz w:val="22"/>
                <w:szCs w:val="22"/>
                <w:lang w:val="de-DE" w:eastAsia="en-US"/>
              </w:rPr>
              <w:t>nächtliches Schwitzen,</w:t>
            </w:r>
          </w:p>
          <w:p w14:paraId="300CD599" w14:textId="77777777" w:rsidR="00FE291A" w:rsidRDefault="00C8738F">
            <w:pPr>
              <w:widowControl/>
              <w:suppressAutoHyphens/>
              <w:kinsoku w:val="0"/>
              <w:overflowPunct w:val="0"/>
              <w:rPr>
                <w:sz w:val="22"/>
                <w:szCs w:val="22"/>
                <w:lang w:val="de-DE" w:eastAsia="en-US"/>
              </w:rPr>
            </w:pPr>
            <w:r>
              <w:rPr>
                <w:sz w:val="22"/>
                <w:szCs w:val="22"/>
                <w:lang w:val="de-DE" w:eastAsia="en-US"/>
              </w:rPr>
              <w:t>Narbenbildung</w:t>
            </w:r>
          </w:p>
        </w:tc>
      </w:tr>
      <w:tr w:rsidR="00FE291A" w14:paraId="07B74A54" w14:textId="77777777">
        <w:trPr>
          <w:cantSplit/>
        </w:trPr>
        <w:tc>
          <w:tcPr>
            <w:tcW w:w="2517" w:type="dxa"/>
            <w:vMerge/>
          </w:tcPr>
          <w:p w14:paraId="6517479C" w14:textId="77777777" w:rsidR="00FE291A" w:rsidRDefault="00FE291A">
            <w:pPr>
              <w:widowControl/>
              <w:suppressAutoHyphens/>
              <w:rPr>
                <w:sz w:val="22"/>
                <w:szCs w:val="22"/>
                <w:lang w:val="de-DE" w:eastAsia="en-US"/>
              </w:rPr>
            </w:pPr>
          </w:p>
        </w:tc>
        <w:tc>
          <w:tcPr>
            <w:tcW w:w="1920" w:type="dxa"/>
          </w:tcPr>
          <w:p w14:paraId="49232894" w14:textId="77777777" w:rsidR="00FE291A" w:rsidRDefault="00C8738F">
            <w:pPr>
              <w:widowControl/>
              <w:suppressAutoHyphens/>
              <w:kinsoku w:val="0"/>
              <w:overflowPunct w:val="0"/>
              <w:rPr>
                <w:sz w:val="22"/>
                <w:szCs w:val="22"/>
                <w:lang w:val="de-DE" w:eastAsia="en-US"/>
              </w:rPr>
            </w:pPr>
            <w:r>
              <w:rPr>
                <w:sz w:val="22"/>
                <w:szCs w:val="22"/>
                <w:lang w:val="de-DE" w:eastAsia="en-US"/>
              </w:rPr>
              <w:t>Selten</w:t>
            </w:r>
          </w:p>
        </w:tc>
        <w:tc>
          <w:tcPr>
            <w:tcW w:w="4598" w:type="dxa"/>
          </w:tcPr>
          <w:p w14:paraId="64D887BC" w14:textId="77777777" w:rsidR="00FE291A" w:rsidRDefault="00C8738F">
            <w:pPr>
              <w:widowControl/>
              <w:suppressAutoHyphens/>
              <w:rPr>
                <w:sz w:val="22"/>
                <w:szCs w:val="22"/>
                <w:lang w:val="de-DE" w:eastAsia="en-US"/>
              </w:rPr>
            </w:pPr>
            <w:r>
              <w:rPr>
                <w:sz w:val="22"/>
                <w:szCs w:val="22"/>
                <w:lang w:val="de-DE" w:eastAsia="en-US"/>
              </w:rPr>
              <w:t>Erythema multiforme</w:t>
            </w:r>
            <w:r>
              <w:rPr>
                <w:sz w:val="22"/>
                <w:szCs w:val="22"/>
                <w:vertAlign w:val="superscript"/>
                <w:lang w:val="de-DE" w:eastAsia="en-US"/>
              </w:rPr>
              <w:t>1)</w:t>
            </w:r>
            <w:r>
              <w:rPr>
                <w:sz w:val="22"/>
                <w:szCs w:val="22"/>
                <w:lang w:val="de-DE" w:eastAsia="en-US"/>
              </w:rPr>
              <w:t>,</w:t>
            </w:r>
          </w:p>
          <w:p w14:paraId="61DC2C8F" w14:textId="77777777" w:rsidR="00FE291A" w:rsidRDefault="00C8738F">
            <w:pPr>
              <w:widowControl/>
              <w:suppressAutoHyphens/>
              <w:rPr>
                <w:sz w:val="22"/>
                <w:szCs w:val="22"/>
                <w:lang w:val="de-DE" w:eastAsia="en-US"/>
              </w:rPr>
            </w:pPr>
            <w:r>
              <w:rPr>
                <w:sz w:val="22"/>
                <w:szCs w:val="22"/>
                <w:lang w:val="de-DE" w:eastAsia="en-US"/>
              </w:rPr>
              <w:t>Stevens-Johnson-Syndrom</w:t>
            </w:r>
            <w:r>
              <w:rPr>
                <w:sz w:val="22"/>
                <w:szCs w:val="22"/>
                <w:vertAlign w:val="superscript"/>
                <w:lang w:val="de-DE" w:eastAsia="en-US"/>
              </w:rPr>
              <w:t>1)</w:t>
            </w:r>
            <w:r>
              <w:rPr>
                <w:sz w:val="22"/>
                <w:szCs w:val="22"/>
                <w:lang w:val="de-DE" w:eastAsia="en-US"/>
              </w:rPr>
              <w:t>,</w:t>
            </w:r>
          </w:p>
          <w:p w14:paraId="56A64E0D" w14:textId="77777777" w:rsidR="00FE291A" w:rsidRDefault="00C8738F">
            <w:pPr>
              <w:widowControl/>
              <w:suppressAutoHyphens/>
              <w:rPr>
                <w:sz w:val="22"/>
                <w:szCs w:val="22"/>
                <w:lang w:val="de-DE" w:eastAsia="en-US"/>
              </w:rPr>
            </w:pPr>
            <w:r>
              <w:rPr>
                <w:sz w:val="22"/>
                <w:szCs w:val="22"/>
                <w:lang w:val="de-DE" w:eastAsia="en-US"/>
              </w:rPr>
              <w:t>Angioödem</w:t>
            </w:r>
            <w:r>
              <w:rPr>
                <w:sz w:val="22"/>
                <w:szCs w:val="22"/>
                <w:vertAlign w:val="superscript"/>
                <w:lang w:val="de-DE" w:eastAsia="en-US"/>
              </w:rPr>
              <w:t>1)</w:t>
            </w:r>
            <w:r>
              <w:rPr>
                <w:sz w:val="22"/>
                <w:szCs w:val="22"/>
                <w:lang w:val="de-DE" w:eastAsia="en-US"/>
              </w:rPr>
              <w:t>,</w:t>
            </w:r>
          </w:p>
          <w:p w14:paraId="450D3C56" w14:textId="77777777" w:rsidR="00FE291A" w:rsidRDefault="00C8738F">
            <w:pPr>
              <w:widowControl/>
              <w:suppressAutoHyphens/>
              <w:kinsoku w:val="0"/>
              <w:overflowPunct w:val="0"/>
              <w:rPr>
                <w:sz w:val="22"/>
                <w:szCs w:val="22"/>
                <w:lang w:val="de-DE" w:eastAsia="en-US"/>
              </w:rPr>
            </w:pPr>
            <w:r>
              <w:rPr>
                <w:sz w:val="22"/>
                <w:szCs w:val="22"/>
                <w:lang w:val="de-DE" w:eastAsia="en-US"/>
              </w:rPr>
              <w:t>kutane Vaskulitis</w:t>
            </w:r>
            <w:r>
              <w:rPr>
                <w:sz w:val="22"/>
                <w:szCs w:val="22"/>
                <w:vertAlign w:val="superscript"/>
                <w:lang w:val="de-DE" w:eastAsia="en-US"/>
              </w:rPr>
              <w:t>1)</w:t>
            </w:r>
            <w:r>
              <w:rPr>
                <w:sz w:val="22"/>
                <w:szCs w:val="22"/>
                <w:lang w:val="de-DE" w:eastAsia="en-US"/>
              </w:rPr>
              <w:t>,</w:t>
            </w:r>
          </w:p>
          <w:p w14:paraId="27D0937F" w14:textId="77777777" w:rsidR="00FE291A" w:rsidRDefault="00C8738F">
            <w:pPr>
              <w:widowControl/>
              <w:suppressAutoHyphens/>
              <w:kinsoku w:val="0"/>
              <w:overflowPunct w:val="0"/>
              <w:rPr>
                <w:sz w:val="22"/>
                <w:szCs w:val="22"/>
                <w:lang w:val="de-DE" w:eastAsia="en-US"/>
              </w:rPr>
            </w:pPr>
            <w:r>
              <w:rPr>
                <w:sz w:val="22"/>
                <w:szCs w:val="22"/>
                <w:lang w:val="de-DE"/>
              </w:rPr>
              <w:t>lichenoide Hautreaktion</w:t>
            </w:r>
            <w:r>
              <w:rPr>
                <w:sz w:val="22"/>
                <w:szCs w:val="22"/>
                <w:vertAlign w:val="superscript"/>
                <w:lang w:val="de-DE"/>
              </w:rPr>
              <w:t>1)</w:t>
            </w:r>
          </w:p>
        </w:tc>
      </w:tr>
      <w:tr w:rsidR="00FE291A" w:rsidRPr="002E6CD3" w14:paraId="2EE29D71" w14:textId="77777777">
        <w:trPr>
          <w:cantSplit/>
        </w:trPr>
        <w:tc>
          <w:tcPr>
            <w:tcW w:w="2517" w:type="dxa"/>
            <w:vMerge/>
          </w:tcPr>
          <w:p w14:paraId="1DAB2E2B" w14:textId="77777777" w:rsidR="00FE291A" w:rsidRDefault="00FE291A">
            <w:pPr>
              <w:widowControl/>
              <w:suppressAutoHyphens/>
              <w:rPr>
                <w:sz w:val="22"/>
                <w:szCs w:val="22"/>
                <w:lang w:val="de-DE" w:eastAsia="en-US"/>
              </w:rPr>
            </w:pPr>
          </w:p>
        </w:tc>
        <w:tc>
          <w:tcPr>
            <w:tcW w:w="1920" w:type="dxa"/>
          </w:tcPr>
          <w:p w14:paraId="4B16DD32" w14:textId="77777777" w:rsidR="00FE291A" w:rsidRDefault="00C8738F">
            <w:pPr>
              <w:widowControl/>
              <w:suppressAutoHyphens/>
              <w:kinsoku w:val="0"/>
              <w:overflowPunct w:val="0"/>
              <w:rPr>
                <w:sz w:val="22"/>
                <w:szCs w:val="22"/>
                <w:lang w:val="de-DE" w:eastAsia="en-US"/>
              </w:rPr>
            </w:pPr>
            <w:r>
              <w:rPr>
                <w:sz w:val="22"/>
                <w:szCs w:val="22"/>
                <w:lang w:val="de-DE" w:eastAsia="en-US"/>
              </w:rPr>
              <w:t>Nicht bekannt</w:t>
            </w:r>
          </w:p>
        </w:tc>
        <w:tc>
          <w:tcPr>
            <w:tcW w:w="4598" w:type="dxa"/>
          </w:tcPr>
          <w:p w14:paraId="47309C22" w14:textId="77777777" w:rsidR="00FE291A" w:rsidRDefault="00C8738F">
            <w:pPr>
              <w:widowControl/>
              <w:suppressAutoHyphens/>
              <w:rPr>
                <w:sz w:val="22"/>
                <w:szCs w:val="22"/>
                <w:lang w:val="de-DE" w:eastAsia="en-US"/>
              </w:rPr>
            </w:pPr>
            <w:r>
              <w:rPr>
                <w:sz w:val="22"/>
                <w:szCs w:val="22"/>
                <w:lang w:val="de-DE" w:eastAsia="en-US"/>
              </w:rPr>
              <w:t>Verschlechterung der Symptome einer Dermatomyositis</w:t>
            </w:r>
            <w:r>
              <w:rPr>
                <w:sz w:val="22"/>
                <w:szCs w:val="22"/>
                <w:vertAlign w:val="superscript"/>
                <w:lang w:val="de-DE" w:eastAsia="en-US"/>
              </w:rPr>
              <w:t>1)</w:t>
            </w:r>
          </w:p>
        </w:tc>
      </w:tr>
      <w:tr w:rsidR="00FE291A" w14:paraId="4954C203" w14:textId="77777777">
        <w:trPr>
          <w:cantSplit/>
        </w:trPr>
        <w:tc>
          <w:tcPr>
            <w:tcW w:w="2517" w:type="dxa"/>
            <w:vMerge w:val="restart"/>
          </w:tcPr>
          <w:p w14:paraId="46BED0C4" w14:textId="77777777" w:rsidR="00FE291A" w:rsidRDefault="00C8738F">
            <w:pPr>
              <w:widowControl/>
              <w:suppressAutoHyphens/>
              <w:rPr>
                <w:sz w:val="22"/>
                <w:szCs w:val="22"/>
                <w:lang w:val="de-DE" w:eastAsia="en-US"/>
              </w:rPr>
            </w:pPr>
            <w:r>
              <w:rPr>
                <w:sz w:val="22"/>
                <w:szCs w:val="22"/>
                <w:lang w:val="de-DE" w:eastAsia="en-US"/>
              </w:rPr>
              <w:t>Skelettmuskulatur-, Bindegewebs- und Knochenerkrankungen</w:t>
            </w:r>
          </w:p>
        </w:tc>
        <w:tc>
          <w:tcPr>
            <w:tcW w:w="1920" w:type="dxa"/>
          </w:tcPr>
          <w:p w14:paraId="215BCB71" w14:textId="77777777" w:rsidR="00FE291A" w:rsidRDefault="00C8738F">
            <w:pPr>
              <w:widowControl/>
              <w:suppressAutoHyphens/>
              <w:kinsoku w:val="0"/>
              <w:overflowPunct w:val="0"/>
              <w:rPr>
                <w:sz w:val="22"/>
                <w:szCs w:val="22"/>
                <w:lang w:val="de-DE"/>
              </w:rPr>
            </w:pPr>
            <w:r>
              <w:rPr>
                <w:sz w:val="22"/>
                <w:szCs w:val="22"/>
                <w:lang w:val="de-DE" w:eastAsia="en-US"/>
              </w:rPr>
              <w:t>Sehr häufig</w:t>
            </w:r>
          </w:p>
        </w:tc>
        <w:tc>
          <w:tcPr>
            <w:tcW w:w="4598" w:type="dxa"/>
          </w:tcPr>
          <w:p w14:paraId="59987887" w14:textId="77777777" w:rsidR="00FE291A" w:rsidRDefault="00C8738F">
            <w:pPr>
              <w:widowControl/>
              <w:suppressAutoHyphens/>
              <w:kinsoku w:val="0"/>
              <w:overflowPunct w:val="0"/>
              <w:rPr>
                <w:sz w:val="22"/>
                <w:szCs w:val="22"/>
                <w:lang w:val="de-DE"/>
              </w:rPr>
            </w:pPr>
            <w:r>
              <w:rPr>
                <w:sz w:val="22"/>
                <w:szCs w:val="22"/>
                <w:lang w:val="de-DE" w:eastAsia="en-US"/>
              </w:rPr>
              <w:t>muskuloskelettale Schmerzen</w:t>
            </w:r>
          </w:p>
        </w:tc>
      </w:tr>
      <w:tr w:rsidR="00FE291A" w:rsidRPr="002E6CD3" w14:paraId="1A719F44" w14:textId="77777777">
        <w:trPr>
          <w:cantSplit/>
        </w:trPr>
        <w:tc>
          <w:tcPr>
            <w:tcW w:w="2517" w:type="dxa"/>
            <w:vMerge/>
          </w:tcPr>
          <w:p w14:paraId="53A3C74D" w14:textId="77777777" w:rsidR="00FE291A" w:rsidRDefault="00FE291A">
            <w:pPr>
              <w:widowControl/>
              <w:suppressAutoHyphens/>
              <w:rPr>
                <w:sz w:val="22"/>
                <w:szCs w:val="22"/>
                <w:lang w:val="de-DE" w:eastAsia="en-US"/>
              </w:rPr>
            </w:pPr>
          </w:p>
        </w:tc>
        <w:tc>
          <w:tcPr>
            <w:tcW w:w="1920" w:type="dxa"/>
          </w:tcPr>
          <w:p w14:paraId="4D21C97C" w14:textId="77777777" w:rsidR="00FE291A" w:rsidRDefault="00C8738F">
            <w:pPr>
              <w:widowControl/>
              <w:suppressAutoHyphens/>
              <w:kinsoku w:val="0"/>
              <w:overflowPunct w:val="0"/>
              <w:rPr>
                <w:sz w:val="22"/>
                <w:szCs w:val="22"/>
                <w:lang w:val="de-DE" w:eastAsia="en-US"/>
              </w:rPr>
            </w:pPr>
            <w:r>
              <w:rPr>
                <w:sz w:val="22"/>
                <w:szCs w:val="22"/>
                <w:lang w:val="de-DE" w:eastAsia="en-US"/>
              </w:rPr>
              <w:t>Häufig</w:t>
            </w:r>
          </w:p>
        </w:tc>
        <w:tc>
          <w:tcPr>
            <w:tcW w:w="4598" w:type="dxa"/>
          </w:tcPr>
          <w:p w14:paraId="243B8532" w14:textId="77777777" w:rsidR="00FE291A" w:rsidRDefault="00C8738F">
            <w:pPr>
              <w:widowControl/>
              <w:suppressAutoHyphens/>
              <w:rPr>
                <w:sz w:val="22"/>
                <w:szCs w:val="22"/>
                <w:lang w:val="de-DE" w:eastAsia="en-US"/>
              </w:rPr>
            </w:pPr>
            <w:r>
              <w:rPr>
                <w:sz w:val="22"/>
                <w:szCs w:val="22"/>
                <w:lang w:val="de-DE" w:eastAsia="en-US"/>
              </w:rPr>
              <w:t>Muskelkrämpfe (einschließlich Erhöhung der Blut-Kreatinphosphokinase)</w:t>
            </w:r>
          </w:p>
        </w:tc>
      </w:tr>
      <w:tr w:rsidR="00FE291A" w14:paraId="2C722D18" w14:textId="77777777">
        <w:trPr>
          <w:cantSplit/>
        </w:trPr>
        <w:tc>
          <w:tcPr>
            <w:tcW w:w="2517" w:type="dxa"/>
            <w:vMerge/>
          </w:tcPr>
          <w:p w14:paraId="13F7ADDA" w14:textId="77777777" w:rsidR="00FE291A" w:rsidRDefault="00FE291A">
            <w:pPr>
              <w:widowControl/>
              <w:suppressAutoHyphens/>
              <w:rPr>
                <w:sz w:val="22"/>
                <w:szCs w:val="22"/>
                <w:lang w:val="de-DE" w:eastAsia="en-US"/>
              </w:rPr>
            </w:pPr>
          </w:p>
        </w:tc>
        <w:tc>
          <w:tcPr>
            <w:tcW w:w="1920" w:type="dxa"/>
          </w:tcPr>
          <w:p w14:paraId="1FD535E0" w14:textId="77777777" w:rsidR="00FE291A" w:rsidRDefault="00C8738F">
            <w:pPr>
              <w:widowControl/>
              <w:suppressAutoHyphens/>
              <w:kinsoku w:val="0"/>
              <w:overflowPunct w:val="0"/>
              <w:rPr>
                <w:sz w:val="22"/>
                <w:szCs w:val="22"/>
                <w:lang w:val="de-DE" w:eastAsia="en-US"/>
              </w:rPr>
            </w:pPr>
            <w:r>
              <w:rPr>
                <w:sz w:val="22"/>
                <w:szCs w:val="22"/>
                <w:lang w:val="de-DE" w:eastAsia="en-US"/>
              </w:rPr>
              <w:t>Gelegentlich</w:t>
            </w:r>
          </w:p>
        </w:tc>
        <w:tc>
          <w:tcPr>
            <w:tcW w:w="4598" w:type="dxa"/>
          </w:tcPr>
          <w:p w14:paraId="51809642" w14:textId="77777777" w:rsidR="00FE291A" w:rsidRDefault="00C8738F">
            <w:pPr>
              <w:widowControl/>
              <w:suppressAutoHyphens/>
              <w:rPr>
                <w:sz w:val="22"/>
                <w:szCs w:val="22"/>
                <w:lang w:val="de-DE" w:eastAsia="en-US"/>
              </w:rPr>
            </w:pPr>
            <w:r>
              <w:rPr>
                <w:sz w:val="22"/>
                <w:szCs w:val="22"/>
                <w:lang w:val="de-DE" w:eastAsia="en-US"/>
              </w:rPr>
              <w:t>Rhabdomyolyse,</w:t>
            </w:r>
          </w:p>
          <w:p w14:paraId="4D11518B" w14:textId="77777777" w:rsidR="00FE291A" w:rsidRDefault="00C8738F">
            <w:pPr>
              <w:widowControl/>
              <w:suppressAutoHyphens/>
              <w:kinsoku w:val="0"/>
              <w:overflowPunct w:val="0"/>
              <w:rPr>
                <w:sz w:val="22"/>
                <w:szCs w:val="22"/>
                <w:lang w:val="de-DE" w:eastAsia="en-US"/>
              </w:rPr>
            </w:pPr>
            <w:r>
              <w:rPr>
                <w:sz w:val="22"/>
                <w:szCs w:val="22"/>
                <w:lang w:val="de-DE" w:eastAsia="en-US"/>
              </w:rPr>
              <w:t>systemischer Lupus erythematodes</w:t>
            </w:r>
          </w:p>
        </w:tc>
      </w:tr>
      <w:tr w:rsidR="00FE291A" w14:paraId="1B239C5D" w14:textId="77777777">
        <w:trPr>
          <w:cantSplit/>
        </w:trPr>
        <w:tc>
          <w:tcPr>
            <w:tcW w:w="2517" w:type="dxa"/>
            <w:vMerge/>
          </w:tcPr>
          <w:p w14:paraId="3338C544" w14:textId="77777777" w:rsidR="00FE291A" w:rsidRDefault="00FE291A">
            <w:pPr>
              <w:widowControl/>
              <w:suppressAutoHyphens/>
              <w:rPr>
                <w:sz w:val="22"/>
                <w:szCs w:val="22"/>
                <w:lang w:val="de-DE" w:eastAsia="en-US"/>
              </w:rPr>
            </w:pPr>
          </w:p>
        </w:tc>
        <w:tc>
          <w:tcPr>
            <w:tcW w:w="1920" w:type="dxa"/>
          </w:tcPr>
          <w:p w14:paraId="23F4897D" w14:textId="77777777" w:rsidR="00FE291A" w:rsidRDefault="00C8738F">
            <w:pPr>
              <w:widowControl/>
              <w:suppressAutoHyphens/>
              <w:kinsoku w:val="0"/>
              <w:overflowPunct w:val="0"/>
              <w:rPr>
                <w:sz w:val="22"/>
                <w:szCs w:val="22"/>
                <w:lang w:val="de-DE" w:eastAsia="en-US"/>
              </w:rPr>
            </w:pPr>
            <w:r>
              <w:rPr>
                <w:sz w:val="22"/>
                <w:szCs w:val="22"/>
                <w:lang w:val="de-DE" w:eastAsia="en-US"/>
              </w:rPr>
              <w:t>Selten</w:t>
            </w:r>
          </w:p>
        </w:tc>
        <w:tc>
          <w:tcPr>
            <w:tcW w:w="4598" w:type="dxa"/>
          </w:tcPr>
          <w:p w14:paraId="774B3455" w14:textId="77777777" w:rsidR="00FE291A" w:rsidRDefault="00C8738F">
            <w:pPr>
              <w:widowControl/>
              <w:suppressAutoHyphens/>
              <w:kinsoku w:val="0"/>
              <w:overflowPunct w:val="0"/>
              <w:rPr>
                <w:sz w:val="22"/>
                <w:szCs w:val="22"/>
                <w:lang w:val="de-DE" w:eastAsia="en-US"/>
              </w:rPr>
            </w:pPr>
            <w:r>
              <w:rPr>
                <w:sz w:val="22"/>
                <w:szCs w:val="22"/>
                <w:lang w:val="de-DE" w:eastAsia="en-US"/>
              </w:rPr>
              <w:t>lupusähnliches Syndrom</w:t>
            </w:r>
            <w:r>
              <w:rPr>
                <w:sz w:val="22"/>
                <w:szCs w:val="22"/>
                <w:vertAlign w:val="superscript"/>
                <w:lang w:val="de-DE" w:eastAsia="en-US"/>
              </w:rPr>
              <w:t>1)</w:t>
            </w:r>
          </w:p>
        </w:tc>
      </w:tr>
      <w:tr w:rsidR="00FE291A" w14:paraId="27BF0A58" w14:textId="77777777">
        <w:trPr>
          <w:cantSplit/>
        </w:trPr>
        <w:tc>
          <w:tcPr>
            <w:tcW w:w="2517" w:type="dxa"/>
            <w:vMerge w:val="restart"/>
          </w:tcPr>
          <w:p w14:paraId="40325C73" w14:textId="77777777" w:rsidR="00FE291A" w:rsidRDefault="00C8738F">
            <w:pPr>
              <w:widowControl/>
              <w:suppressAutoHyphens/>
              <w:rPr>
                <w:sz w:val="22"/>
                <w:szCs w:val="22"/>
                <w:lang w:val="de-DE" w:eastAsia="en-US"/>
              </w:rPr>
            </w:pPr>
            <w:r>
              <w:rPr>
                <w:sz w:val="22"/>
                <w:szCs w:val="22"/>
                <w:lang w:val="de-DE" w:eastAsia="en-US"/>
              </w:rPr>
              <w:t>Erkrankungen der Nieren und Harnwege</w:t>
            </w:r>
          </w:p>
        </w:tc>
        <w:tc>
          <w:tcPr>
            <w:tcW w:w="1920" w:type="dxa"/>
          </w:tcPr>
          <w:p w14:paraId="67117840" w14:textId="77777777" w:rsidR="00FE291A" w:rsidRDefault="00C8738F">
            <w:pPr>
              <w:widowControl/>
              <w:suppressAutoHyphens/>
              <w:kinsoku w:val="0"/>
              <w:overflowPunct w:val="0"/>
              <w:rPr>
                <w:b/>
                <w:sz w:val="22"/>
                <w:szCs w:val="22"/>
                <w:lang w:val="de-DE"/>
              </w:rPr>
            </w:pPr>
            <w:r>
              <w:rPr>
                <w:sz w:val="22"/>
                <w:szCs w:val="22"/>
                <w:lang w:val="de-DE" w:eastAsia="en-US"/>
              </w:rPr>
              <w:t>Häufig</w:t>
            </w:r>
          </w:p>
        </w:tc>
        <w:tc>
          <w:tcPr>
            <w:tcW w:w="4598" w:type="dxa"/>
          </w:tcPr>
          <w:p w14:paraId="243F0C3D" w14:textId="77777777" w:rsidR="00FE291A" w:rsidRDefault="00C8738F">
            <w:pPr>
              <w:widowControl/>
              <w:suppressAutoHyphens/>
              <w:rPr>
                <w:sz w:val="22"/>
                <w:szCs w:val="22"/>
                <w:lang w:val="de-DE" w:eastAsia="en-US"/>
              </w:rPr>
            </w:pPr>
            <w:r>
              <w:rPr>
                <w:sz w:val="22"/>
                <w:szCs w:val="22"/>
                <w:lang w:val="de-DE" w:eastAsia="en-US"/>
              </w:rPr>
              <w:t>eingeschränkte Nierenfunktion,</w:t>
            </w:r>
          </w:p>
          <w:p w14:paraId="21C54399" w14:textId="77777777" w:rsidR="00FE291A" w:rsidRDefault="00C8738F">
            <w:pPr>
              <w:widowControl/>
              <w:suppressAutoHyphens/>
              <w:kinsoku w:val="0"/>
              <w:overflowPunct w:val="0"/>
              <w:rPr>
                <w:sz w:val="22"/>
                <w:szCs w:val="22"/>
                <w:lang w:val="de-DE"/>
              </w:rPr>
            </w:pPr>
            <w:r>
              <w:rPr>
                <w:sz w:val="22"/>
                <w:szCs w:val="22"/>
                <w:lang w:val="de-DE" w:eastAsia="en-US"/>
              </w:rPr>
              <w:t>Hämaturie</w:t>
            </w:r>
          </w:p>
        </w:tc>
      </w:tr>
      <w:tr w:rsidR="00FE291A" w14:paraId="2BB821FB" w14:textId="77777777">
        <w:trPr>
          <w:cantSplit/>
        </w:trPr>
        <w:tc>
          <w:tcPr>
            <w:tcW w:w="2517" w:type="dxa"/>
            <w:vMerge/>
          </w:tcPr>
          <w:p w14:paraId="66FC8990" w14:textId="77777777" w:rsidR="00FE291A" w:rsidRDefault="00FE291A">
            <w:pPr>
              <w:widowControl/>
              <w:suppressAutoHyphens/>
              <w:rPr>
                <w:sz w:val="22"/>
                <w:szCs w:val="22"/>
                <w:lang w:val="de-DE" w:eastAsia="en-US"/>
              </w:rPr>
            </w:pPr>
          </w:p>
        </w:tc>
        <w:tc>
          <w:tcPr>
            <w:tcW w:w="1920" w:type="dxa"/>
          </w:tcPr>
          <w:p w14:paraId="013650FA" w14:textId="77777777" w:rsidR="00FE291A" w:rsidRDefault="00C8738F">
            <w:pPr>
              <w:widowControl/>
              <w:suppressAutoHyphens/>
              <w:kinsoku w:val="0"/>
              <w:overflowPunct w:val="0"/>
              <w:rPr>
                <w:sz w:val="22"/>
                <w:szCs w:val="22"/>
                <w:lang w:val="de-DE" w:eastAsia="en-US"/>
              </w:rPr>
            </w:pPr>
            <w:r>
              <w:rPr>
                <w:sz w:val="22"/>
                <w:szCs w:val="22"/>
                <w:lang w:val="de-DE" w:eastAsia="en-US"/>
              </w:rPr>
              <w:t>Gelegentlich</w:t>
            </w:r>
          </w:p>
        </w:tc>
        <w:tc>
          <w:tcPr>
            <w:tcW w:w="4598" w:type="dxa"/>
          </w:tcPr>
          <w:p w14:paraId="1BCD3D5F" w14:textId="77777777" w:rsidR="00FE291A" w:rsidRDefault="00C8738F">
            <w:pPr>
              <w:widowControl/>
              <w:suppressAutoHyphens/>
              <w:kinsoku w:val="0"/>
              <w:overflowPunct w:val="0"/>
              <w:rPr>
                <w:sz w:val="22"/>
                <w:szCs w:val="22"/>
                <w:lang w:val="de-DE" w:eastAsia="en-US"/>
              </w:rPr>
            </w:pPr>
            <w:r>
              <w:rPr>
                <w:sz w:val="22"/>
                <w:szCs w:val="22"/>
                <w:lang w:val="de-DE" w:eastAsia="en-US"/>
              </w:rPr>
              <w:t>Nykturie</w:t>
            </w:r>
          </w:p>
        </w:tc>
      </w:tr>
      <w:tr w:rsidR="00FE291A" w14:paraId="0F76FB97" w14:textId="77777777">
        <w:trPr>
          <w:cantSplit/>
        </w:trPr>
        <w:tc>
          <w:tcPr>
            <w:tcW w:w="2517" w:type="dxa"/>
          </w:tcPr>
          <w:p w14:paraId="51FC6F90" w14:textId="77777777" w:rsidR="00FE291A" w:rsidRDefault="00C8738F">
            <w:pPr>
              <w:widowControl/>
              <w:suppressAutoHyphens/>
              <w:rPr>
                <w:sz w:val="22"/>
                <w:szCs w:val="22"/>
                <w:lang w:val="de-DE" w:eastAsia="en-US"/>
              </w:rPr>
            </w:pPr>
            <w:r>
              <w:rPr>
                <w:sz w:val="22"/>
                <w:szCs w:val="22"/>
                <w:lang w:val="de-DE" w:eastAsia="en-US"/>
              </w:rPr>
              <w:t>Erkrankungen der Geschlechtsorgane und der Brustdrüse</w:t>
            </w:r>
          </w:p>
        </w:tc>
        <w:tc>
          <w:tcPr>
            <w:tcW w:w="1920" w:type="dxa"/>
          </w:tcPr>
          <w:p w14:paraId="5C50D38C" w14:textId="77777777" w:rsidR="00FE291A" w:rsidRDefault="00C8738F">
            <w:pPr>
              <w:widowControl/>
              <w:suppressAutoHyphens/>
              <w:kinsoku w:val="0"/>
              <w:overflowPunct w:val="0"/>
              <w:rPr>
                <w:sz w:val="22"/>
                <w:szCs w:val="22"/>
                <w:lang w:val="de-DE"/>
              </w:rPr>
            </w:pPr>
            <w:r>
              <w:rPr>
                <w:sz w:val="22"/>
                <w:szCs w:val="22"/>
                <w:lang w:val="de-DE" w:eastAsia="en-US"/>
              </w:rPr>
              <w:t>Gelegentlich</w:t>
            </w:r>
          </w:p>
        </w:tc>
        <w:tc>
          <w:tcPr>
            <w:tcW w:w="4598" w:type="dxa"/>
          </w:tcPr>
          <w:p w14:paraId="23D07721" w14:textId="77777777" w:rsidR="00FE291A" w:rsidRDefault="00C8738F">
            <w:pPr>
              <w:widowControl/>
              <w:suppressAutoHyphens/>
              <w:kinsoku w:val="0"/>
              <w:overflowPunct w:val="0"/>
              <w:rPr>
                <w:sz w:val="22"/>
                <w:szCs w:val="22"/>
                <w:lang w:val="de-DE"/>
              </w:rPr>
            </w:pPr>
            <w:r>
              <w:rPr>
                <w:sz w:val="22"/>
                <w:szCs w:val="22"/>
                <w:lang w:val="de-DE" w:eastAsia="en-US"/>
              </w:rPr>
              <w:t>erektile Dysfunktion</w:t>
            </w:r>
          </w:p>
        </w:tc>
      </w:tr>
      <w:tr w:rsidR="00FE291A" w:rsidRPr="002E6CD3" w14:paraId="6681FC93" w14:textId="77777777">
        <w:trPr>
          <w:cantSplit/>
        </w:trPr>
        <w:tc>
          <w:tcPr>
            <w:tcW w:w="2517" w:type="dxa"/>
            <w:vMerge w:val="restart"/>
          </w:tcPr>
          <w:p w14:paraId="629E9816" w14:textId="77777777" w:rsidR="00FE291A" w:rsidRDefault="00C8738F">
            <w:pPr>
              <w:widowControl/>
              <w:suppressAutoHyphens/>
              <w:rPr>
                <w:sz w:val="22"/>
                <w:szCs w:val="22"/>
                <w:lang w:val="de-DE" w:eastAsia="en-US"/>
              </w:rPr>
            </w:pPr>
            <w:r>
              <w:rPr>
                <w:sz w:val="22"/>
                <w:szCs w:val="22"/>
                <w:lang w:val="de-DE" w:eastAsia="en-US"/>
              </w:rPr>
              <w:t>Allgemeine Erkrankungen und Beschwerden am Verabreichungsort*</w:t>
            </w:r>
          </w:p>
        </w:tc>
        <w:tc>
          <w:tcPr>
            <w:tcW w:w="1920" w:type="dxa"/>
          </w:tcPr>
          <w:p w14:paraId="793D61B9" w14:textId="77777777" w:rsidR="00FE291A" w:rsidRDefault="00C8738F">
            <w:pPr>
              <w:widowControl/>
              <w:suppressAutoHyphens/>
              <w:kinsoku w:val="0"/>
              <w:overflowPunct w:val="0"/>
              <w:rPr>
                <w:sz w:val="22"/>
                <w:szCs w:val="22"/>
                <w:lang w:val="de-DE"/>
              </w:rPr>
            </w:pPr>
            <w:r>
              <w:rPr>
                <w:sz w:val="22"/>
                <w:szCs w:val="22"/>
                <w:lang w:val="de-DE" w:eastAsia="en-US"/>
              </w:rPr>
              <w:t>Sehr häufig</w:t>
            </w:r>
          </w:p>
        </w:tc>
        <w:tc>
          <w:tcPr>
            <w:tcW w:w="4598" w:type="dxa"/>
          </w:tcPr>
          <w:p w14:paraId="42DAFF53" w14:textId="77777777" w:rsidR="00FE291A" w:rsidRDefault="00C8738F">
            <w:pPr>
              <w:widowControl/>
              <w:suppressAutoHyphens/>
              <w:kinsoku w:val="0"/>
              <w:overflowPunct w:val="0"/>
              <w:rPr>
                <w:sz w:val="22"/>
                <w:szCs w:val="22"/>
                <w:lang w:val="de-DE"/>
              </w:rPr>
            </w:pPr>
            <w:r>
              <w:rPr>
                <w:sz w:val="22"/>
                <w:szCs w:val="22"/>
                <w:lang w:val="de-DE" w:eastAsia="en-US"/>
              </w:rPr>
              <w:t>Reaktion an der Injektionsstelle (einschließlich Erytheme an der Injektionsstelle)</w:t>
            </w:r>
          </w:p>
        </w:tc>
      </w:tr>
      <w:tr w:rsidR="00FE291A" w14:paraId="47E3AD2D" w14:textId="77777777">
        <w:trPr>
          <w:cantSplit/>
        </w:trPr>
        <w:tc>
          <w:tcPr>
            <w:tcW w:w="2517" w:type="dxa"/>
            <w:vMerge/>
          </w:tcPr>
          <w:p w14:paraId="23C3830C" w14:textId="77777777" w:rsidR="00FE291A" w:rsidRDefault="00FE291A">
            <w:pPr>
              <w:widowControl/>
              <w:suppressAutoHyphens/>
              <w:rPr>
                <w:sz w:val="22"/>
                <w:szCs w:val="22"/>
                <w:lang w:val="de-DE" w:eastAsia="en-US"/>
              </w:rPr>
            </w:pPr>
          </w:p>
        </w:tc>
        <w:tc>
          <w:tcPr>
            <w:tcW w:w="1920" w:type="dxa"/>
          </w:tcPr>
          <w:p w14:paraId="1E872F90" w14:textId="77777777" w:rsidR="00FE291A" w:rsidRDefault="00C8738F">
            <w:pPr>
              <w:widowControl/>
              <w:suppressAutoHyphens/>
              <w:kinsoku w:val="0"/>
              <w:overflowPunct w:val="0"/>
              <w:rPr>
                <w:sz w:val="22"/>
                <w:szCs w:val="22"/>
                <w:lang w:val="de-DE" w:eastAsia="en-US"/>
              </w:rPr>
            </w:pPr>
            <w:r>
              <w:rPr>
                <w:sz w:val="22"/>
                <w:szCs w:val="22"/>
                <w:lang w:val="de-DE" w:eastAsia="en-US"/>
              </w:rPr>
              <w:t>Häufig</w:t>
            </w:r>
          </w:p>
        </w:tc>
        <w:tc>
          <w:tcPr>
            <w:tcW w:w="4598" w:type="dxa"/>
          </w:tcPr>
          <w:p w14:paraId="433876BD" w14:textId="77777777" w:rsidR="00FE291A" w:rsidRDefault="00C8738F">
            <w:pPr>
              <w:widowControl/>
              <w:suppressAutoHyphens/>
              <w:rPr>
                <w:sz w:val="22"/>
                <w:szCs w:val="22"/>
                <w:lang w:val="de-DE" w:eastAsia="en-US"/>
              </w:rPr>
            </w:pPr>
            <w:r>
              <w:rPr>
                <w:sz w:val="22"/>
                <w:szCs w:val="22"/>
                <w:lang w:val="de-DE" w:eastAsia="en-US"/>
              </w:rPr>
              <w:t>Brustschmerzen,</w:t>
            </w:r>
          </w:p>
          <w:p w14:paraId="682FF8D0" w14:textId="77777777" w:rsidR="00FE291A" w:rsidRDefault="00C8738F">
            <w:pPr>
              <w:widowControl/>
              <w:suppressAutoHyphens/>
              <w:rPr>
                <w:sz w:val="22"/>
                <w:szCs w:val="22"/>
                <w:lang w:val="de-DE" w:eastAsia="en-US"/>
              </w:rPr>
            </w:pPr>
            <w:r>
              <w:rPr>
                <w:sz w:val="22"/>
                <w:szCs w:val="22"/>
                <w:lang w:val="de-DE" w:eastAsia="en-US"/>
              </w:rPr>
              <w:t>Ödeme,</w:t>
            </w:r>
          </w:p>
          <w:p w14:paraId="136940B2" w14:textId="77777777" w:rsidR="00FE291A" w:rsidRDefault="00C8738F">
            <w:pPr>
              <w:widowControl/>
              <w:suppressAutoHyphens/>
              <w:kinsoku w:val="0"/>
              <w:overflowPunct w:val="0"/>
              <w:rPr>
                <w:sz w:val="22"/>
                <w:szCs w:val="22"/>
                <w:lang w:val="de-DE" w:eastAsia="en-US"/>
              </w:rPr>
            </w:pPr>
            <w:r>
              <w:rPr>
                <w:sz w:val="22"/>
                <w:szCs w:val="22"/>
                <w:lang w:val="de-DE" w:eastAsia="en-US"/>
              </w:rPr>
              <w:t>Fieber</w:t>
            </w:r>
            <w:r>
              <w:rPr>
                <w:sz w:val="22"/>
                <w:szCs w:val="22"/>
                <w:vertAlign w:val="superscript"/>
                <w:lang w:val="de-DE" w:eastAsia="en-US"/>
              </w:rPr>
              <w:t>1)</w:t>
            </w:r>
          </w:p>
        </w:tc>
      </w:tr>
      <w:tr w:rsidR="00FE291A" w14:paraId="5E6AEA71" w14:textId="77777777">
        <w:trPr>
          <w:cantSplit/>
        </w:trPr>
        <w:tc>
          <w:tcPr>
            <w:tcW w:w="2517" w:type="dxa"/>
            <w:vMerge/>
          </w:tcPr>
          <w:p w14:paraId="04778040" w14:textId="77777777" w:rsidR="00FE291A" w:rsidRDefault="00FE291A">
            <w:pPr>
              <w:widowControl/>
              <w:suppressAutoHyphens/>
              <w:rPr>
                <w:sz w:val="22"/>
                <w:szCs w:val="22"/>
                <w:lang w:val="de-DE" w:eastAsia="en-US"/>
              </w:rPr>
            </w:pPr>
          </w:p>
        </w:tc>
        <w:tc>
          <w:tcPr>
            <w:tcW w:w="1920" w:type="dxa"/>
          </w:tcPr>
          <w:p w14:paraId="777FD61D" w14:textId="77777777" w:rsidR="00FE291A" w:rsidRDefault="00C8738F">
            <w:pPr>
              <w:widowControl/>
              <w:suppressAutoHyphens/>
              <w:kinsoku w:val="0"/>
              <w:overflowPunct w:val="0"/>
              <w:rPr>
                <w:sz w:val="22"/>
                <w:szCs w:val="22"/>
                <w:lang w:val="de-DE" w:eastAsia="en-US"/>
              </w:rPr>
            </w:pPr>
            <w:r>
              <w:rPr>
                <w:sz w:val="22"/>
                <w:szCs w:val="22"/>
                <w:lang w:val="de-DE" w:eastAsia="en-US"/>
              </w:rPr>
              <w:t>Gelegentlich</w:t>
            </w:r>
          </w:p>
        </w:tc>
        <w:tc>
          <w:tcPr>
            <w:tcW w:w="4598" w:type="dxa"/>
          </w:tcPr>
          <w:p w14:paraId="7E45FF95" w14:textId="77777777" w:rsidR="00FE291A" w:rsidRDefault="00C8738F">
            <w:pPr>
              <w:widowControl/>
              <w:suppressAutoHyphens/>
              <w:rPr>
                <w:sz w:val="22"/>
                <w:szCs w:val="22"/>
                <w:lang w:val="de-DE" w:eastAsia="en-US"/>
              </w:rPr>
            </w:pPr>
            <w:r>
              <w:rPr>
                <w:sz w:val="22"/>
                <w:szCs w:val="22"/>
                <w:lang w:val="de-DE" w:eastAsia="en-US"/>
              </w:rPr>
              <w:t>Entzündung</w:t>
            </w:r>
          </w:p>
        </w:tc>
      </w:tr>
      <w:tr w:rsidR="00FE291A" w14:paraId="1ED867E3" w14:textId="77777777">
        <w:trPr>
          <w:cantSplit/>
        </w:trPr>
        <w:tc>
          <w:tcPr>
            <w:tcW w:w="2517" w:type="dxa"/>
            <w:vMerge w:val="restart"/>
          </w:tcPr>
          <w:p w14:paraId="46B0DFDF" w14:textId="77777777" w:rsidR="00FE291A" w:rsidRDefault="00C8738F">
            <w:pPr>
              <w:widowControl/>
              <w:suppressAutoHyphens/>
              <w:kinsoku w:val="0"/>
              <w:overflowPunct w:val="0"/>
              <w:rPr>
                <w:sz w:val="22"/>
                <w:szCs w:val="22"/>
                <w:lang w:val="de-DE"/>
              </w:rPr>
            </w:pPr>
            <w:r>
              <w:rPr>
                <w:sz w:val="22"/>
                <w:szCs w:val="22"/>
                <w:lang w:val="de-DE" w:eastAsia="en-US"/>
              </w:rPr>
              <w:t>Untersuchungen*</w:t>
            </w:r>
          </w:p>
        </w:tc>
        <w:tc>
          <w:tcPr>
            <w:tcW w:w="1920" w:type="dxa"/>
          </w:tcPr>
          <w:p w14:paraId="0A893A4B" w14:textId="77777777" w:rsidR="00FE291A" w:rsidRDefault="00C8738F">
            <w:pPr>
              <w:widowControl/>
              <w:suppressAutoHyphens/>
              <w:kinsoku w:val="0"/>
              <w:overflowPunct w:val="0"/>
              <w:rPr>
                <w:sz w:val="22"/>
                <w:szCs w:val="22"/>
                <w:lang w:val="de-DE"/>
              </w:rPr>
            </w:pPr>
            <w:r>
              <w:rPr>
                <w:sz w:val="22"/>
                <w:szCs w:val="22"/>
                <w:lang w:val="de-DE" w:eastAsia="en-US"/>
              </w:rPr>
              <w:t>Häufig</w:t>
            </w:r>
          </w:p>
        </w:tc>
        <w:tc>
          <w:tcPr>
            <w:tcW w:w="4598" w:type="dxa"/>
          </w:tcPr>
          <w:p w14:paraId="4D8DFF46" w14:textId="77777777" w:rsidR="00FE291A" w:rsidRDefault="00C8738F">
            <w:pPr>
              <w:widowControl/>
              <w:suppressAutoHyphens/>
              <w:rPr>
                <w:sz w:val="22"/>
                <w:szCs w:val="22"/>
                <w:lang w:val="de-DE" w:eastAsia="en-US"/>
              </w:rPr>
            </w:pPr>
            <w:r>
              <w:rPr>
                <w:sz w:val="22"/>
                <w:szCs w:val="22"/>
                <w:lang w:val="de-DE" w:eastAsia="en-US"/>
              </w:rPr>
              <w:t>Koagulations- und Blutungsstörungen (einschließlich Verlängerung der partiellen Thromboplastinzeit),</w:t>
            </w:r>
          </w:p>
          <w:p w14:paraId="5B870AD4" w14:textId="77777777" w:rsidR="00FE291A" w:rsidRDefault="00C8738F">
            <w:pPr>
              <w:widowControl/>
              <w:suppressAutoHyphens/>
              <w:rPr>
                <w:sz w:val="22"/>
                <w:szCs w:val="22"/>
                <w:lang w:val="de-DE" w:eastAsia="en-US"/>
              </w:rPr>
            </w:pPr>
            <w:r>
              <w:rPr>
                <w:sz w:val="22"/>
                <w:szCs w:val="22"/>
                <w:lang w:val="de-DE" w:eastAsia="en-US"/>
              </w:rPr>
              <w:t>positiver Nachweis von Autoantikörpern (einschließlich doppelsträngiger DNA</w:t>
            </w:r>
            <w:r>
              <w:rPr>
                <w:sz w:val="22"/>
                <w:szCs w:val="22"/>
                <w:lang w:val="de-DE" w:eastAsia="en-US"/>
              </w:rPr>
              <w:noBreakHyphen/>
              <w:t>Antikörper),</w:t>
            </w:r>
          </w:p>
          <w:p w14:paraId="66B73E28" w14:textId="77777777" w:rsidR="00FE291A" w:rsidRDefault="00C8738F">
            <w:pPr>
              <w:widowControl/>
              <w:suppressAutoHyphens/>
              <w:kinsoku w:val="0"/>
              <w:overflowPunct w:val="0"/>
              <w:rPr>
                <w:sz w:val="22"/>
                <w:szCs w:val="22"/>
                <w:lang w:val="de-DE"/>
              </w:rPr>
            </w:pPr>
            <w:r>
              <w:rPr>
                <w:sz w:val="22"/>
                <w:szCs w:val="22"/>
                <w:lang w:val="de-DE" w:eastAsia="en-US"/>
              </w:rPr>
              <w:t>erhöhte Blutwerte für Lactatdehydrogenase</w:t>
            </w:r>
          </w:p>
        </w:tc>
      </w:tr>
      <w:tr w:rsidR="00FE291A" w14:paraId="0A1C6B1F" w14:textId="77777777">
        <w:trPr>
          <w:cantSplit/>
        </w:trPr>
        <w:tc>
          <w:tcPr>
            <w:tcW w:w="2517" w:type="dxa"/>
            <w:vMerge/>
          </w:tcPr>
          <w:p w14:paraId="6F1643C2" w14:textId="77777777" w:rsidR="00FE291A" w:rsidRDefault="00FE291A">
            <w:pPr>
              <w:widowControl/>
              <w:suppressAutoHyphens/>
              <w:kinsoku w:val="0"/>
              <w:overflowPunct w:val="0"/>
              <w:rPr>
                <w:sz w:val="22"/>
                <w:szCs w:val="22"/>
                <w:lang w:val="de-DE" w:eastAsia="en-US"/>
              </w:rPr>
            </w:pPr>
          </w:p>
        </w:tc>
        <w:tc>
          <w:tcPr>
            <w:tcW w:w="1920" w:type="dxa"/>
          </w:tcPr>
          <w:p w14:paraId="44325094" w14:textId="77777777" w:rsidR="00FE291A" w:rsidRDefault="00C8738F">
            <w:pPr>
              <w:widowControl/>
              <w:suppressAutoHyphens/>
              <w:kinsoku w:val="0"/>
              <w:overflowPunct w:val="0"/>
              <w:rPr>
                <w:sz w:val="22"/>
                <w:szCs w:val="22"/>
                <w:lang w:val="de-DE" w:eastAsia="en-US"/>
              </w:rPr>
            </w:pPr>
            <w:r>
              <w:rPr>
                <w:sz w:val="22"/>
                <w:szCs w:val="22"/>
                <w:lang w:val="de-DE" w:eastAsia="en-US"/>
              </w:rPr>
              <w:t>Nicht bekannt</w:t>
            </w:r>
          </w:p>
        </w:tc>
        <w:tc>
          <w:tcPr>
            <w:tcW w:w="4598" w:type="dxa"/>
          </w:tcPr>
          <w:p w14:paraId="594A1535" w14:textId="77777777" w:rsidR="00FE291A" w:rsidRDefault="00C8738F">
            <w:pPr>
              <w:widowControl/>
              <w:suppressAutoHyphens/>
              <w:rPr>
                <w:sz w:val="22"/>
                <w:szCs w:val="22"/>
                <w:lang w:val="de-DE" w:eastAsia="en-US"/>
              </w:rPr>
            </w:pPr>
            <w:r>
              <w:rPr>
                <w:sz w:val="22"/>
                <w:szCs w:val="22"/>
                <w:lang w:val="de-DE" w:eastAsia="en-US"/>
              </w:rPr>
              <w:t>Gewichtszunahme</w:t>
            </w:r>
            <w:r>
              <w:rPr>
                <w:color w:val="000000"/>
                <w:sz w:val="22"/>
                <w:szCs w:val="22"/>
                <w:vertAlign w:val="superscript"/>
                <w:lang w:val="de-DE" w:eastAsia="en-GB"/>
              </w:rPr>
              <w:t>2)</w:t>
            </w:r>
          </w:p>
        </w:tc>
      </w:tr>
      <w:tr w:rsidR="00FE291A" w14:paraId="49DB467F" w14:textId="77777777">
        <w:trPr>
          <w:cantSplit/>
        </w:trPr>
        <w:tc>
          <w:tcPr>
            <w:tcW w:w="2517" w:type="dxa"/>
          </w:tcPr>
          <w:p w14:paraId="7F464811" w14:textId="77777777" w:rsidR="00FE291A" w:rsidRDefault="00C8738F">
            <w:pPr>
              <w:widowControl/>
              <w:suppressAutoHyphens/>
              <w:rPr>
                <w:sz w:val="22"/>
                <w:szCs w:val="22"/>
                <w:lang w:val="de-DE" w:eastAsia="en-US"/>
              </w:rPr>
            </w:pPr>
            <w:r>
              <w:rPr>
                <w:sz w:val="22"/>
                <w:szCs w:val="22"/>
                <w:lang w:val="de-DE" w:eastAsia="en-US"/>
              </w:rPr>
              <w:t>Verletzung, Vergiftung und durch Eingriffe bedingte Komplikationen</w:t>
            </w:r>
          </w:p>
        </w:tc>
        <w:tc>
          <w:tcPr>
            <w:tcW w:w="1920" w:type="dxa"/>
          </w:tcPr>
          <w:p w14:paraId="4647C324" w14:textId="77777777" w:rsidR="00FE291A" w:rsidRDefault="00C8738F">
            <w:pPr>
              <w:widowControl/>
              <w:suppressAutoHyphens/>
              <w:kinsoku w:val="0"/>
              <w:overflowPunct w:val="0"/>
              <w:rPr>
                <w:sz w:val="22"/>
                <w:szCs w:val="22"/>
                <w:lang w:val="de-DE"/>
              </w:rPr>
            </w:pPr>
            <w:r>
              <w:rPr>
                <w:sz w:val="22"/>
                <w:szCs w:val="22"/>
                <w:lang w:val="de-DE" w:eastAsia="en-US"/>
              </w:rPr>
              <w:t>Häufig</w:t>
            </w:r>
          </w:p>
        </w:tc>
        <w:tc>
          <w:tcPr>
            <w:tcW w:w="4598" w:type="dxa"/>
          </w:tcPr>
          <w:p w14:paraId="4A16056F" w14:textId="77777777" w:rsidR="00FE291A" w:rsidRDefault="00C8738F">
            <w:pPr>
              <w:widowControl/>
              <w:suppressAutoHyphens/>
              <w:kinsoku w:val="0"/>
              <w:overflowPunct w:val="0"/>
              <w:rPr>
                <w:sz w:val="22"/>
                <w:szCs w:val="22"/>
                <w:lang w:val="de-DE"/>
              </w:rPr>
            </w:pPr>
            <w:r>
              <w:rPr>
                <w:sz w:val="22"/>
                <w:szCs w:val="22"/>
                <w:lang w:val="de-DE" w:eastAsia="en-US"/>
              </w:rPr>
              <w:t>beeinträchtigte Wundheilung</w:t>
            </w:r>
          </w:p>
        </w:tc>
      </w:tr>
    </w:tbl>
    <w:p w14:paraId="7C2C4170" w14:textId="77777777" w:rsidR="00FE291A" w:rsidRDefault="00C8738F">
      <w:pPr>
        <w:pStyle w:val="BodyText"/>
        <w:widowControl/>
        <w:tabs>
          <w:tab w:val="left" w:pos="691"/>
        </w:tabs>
        <w:kinsoku w:val="0"/>
        <w:overflowPunct w:val="0"/>
        <w:ind w:left="0"/>
        <w:rPr>
          <w:sz w:val="20"/>
          <w:szCs w:val="20"/>
          <w:lang w:val="de-DE"/>
        </w:rPr>
      </w:pPr>
      <w:r>
        <w:rPr>
          <w:sz w:val="20"/>
          <w:szCs w:val="20"/>
          <w:lang w:val="de-DE"/>
        </w:rPr>
        <w:t>* Weitere Information findet sich in den Abschnitten 4.3, 4.4 und 4.8.</w:t>
      </w:r>
    </w:p>
    <w:p w14:paraId="48D75495" w14:textId="77777777" w:rsidR="00FE291A" w:rsidRDefault="00C8738F">
      <w:pPr>
        <w:pStyle w:val="BodyText"/>
        <w:widowControl/>
        <w:tabs>
          <w:tab w:val="left" w:pos="691"/>
        </w:tabs>
        <w:kinsoku w:val="0"/>
        <w:overflowPunct w:val="0"/>
        <w:ind w:left="0"/>
        <w:rPr>
          <w:sz w:val="20"/>
          <w:szCs w:val="20"/>
          <w:lang w:val="de-DE"/>
        </w:rPr>
      </w:pPr>
      <w:r>
        <w:rPr>
          <w:sz w:val="20"/>
          <w:szCs w:val="20"/>
          <w:lang w:val="de-DE"/>
        </w:rPr>
        <w:t>** einschließlich offener Fortsetzungsstudien</w:t>
      </w:r>
    </w:p>
    <w:p w14:paraId="07D4AB61" w14:textId="77777777" w:rsidR="00FE291A" w:rsidRDefault="00C8738F">
      <w:pPr>
        <w:pStyle w:val="BodyText"/>
        <w:widowControl/>
        <w:tabs>
          <w:tab w:val="left" w:pos="691"/>
        </w:tabs>
        <w:kinsoku w:val="0"/>
        <w:overflowPunct w:val="0"/>
        <w:ind w:left="0"/>
        <w:rPr>
          <w:sz w:val="20"/>
          <w:szCs w:val="20"/>
          <w:lang w:val="de-DE"/>
        </w:rPr>
      </w:pPr>
      <w:r>
        <w:rPr>
          <w:sz w:val="20"/>
          <w:szCs w:val="20"/>
          <w:vertAlign w:val="superscript"/>
          <w:lang w:val="de-DE"/>
        </w:rPr>
        <w:t>1)</w:t>
      </w:r>
      <w:r>
        <w:rPr>
          <w:sz w:val="20"/>
          <w:szCs w:val="20"/>
          <w:lang w:val="de-DE"/>
        </w:rPr>
        <w:t xml:space="preserve"> einschließlich Daten aus Spontanmeldungen</w:t>
      </w:r>
    </w:p>
    <w:p w14:paraId="04BF5426" w14:textId="77777777" w:rsidR="00FE291A" w:rsidRDefault="00C8738F">
      <w:pPr>
        <w:pStyle w:val="Default"/>
        <w:rPr>
          <w:sz w:val="22"/>
          <w:szCs w:val="22"/>
          <w:lang w:val="de-DE"/>
        </w:rPr>
      </w:pPr>
      <w:r>
        <w:rPr>
          <w:sz w:val="20"/>
          <w:szCs w:val="20"/>
          <w:vertAlign w:val="superscript"/>
          <w:lang w:val="de-DE"/>
        </w:rPr>
        <w:t xml:space="preserve">2) </w:t>
      </w:r>
      <w:r>
        <w:rPr>
          <w:sz w:val="20"/>
          <w:szCs w:val="20"/>
          <w:lang w:val="de-DE"/>
        </w:rPr>
        <w:t xml:space="preserve">Die mittlere Gewichtszunahme ab der </w:t>
      </w:r>
      <w:r>
        <w:rPr>
          <w:i/>
          <w:iCs/>
          <w:sz w:val="20"/>
          <w:szCs w:val="20"/>
          <w:lang w:val="de-DE"/>
        </w:rPr>
        <w:t>Baseline</w:t>
      </w:r>
      <w:r>
        <w:rPr>
          <w:sz w:val="20"/>
          <w:szCs w:val="20"/>
          <w:lang w:val="de-DE"/>
        </w:rPr>
        <w:t xml:space="preserve"> betrug über einen Behandlungszeitraum von 4–6 Monaten bei Adalimumab 0,3 kg bis 1,0 kg bei allen Indikationen für Erwachsene im Vergleich zu (minus) -0,4 kg bis (plus) 0,4 kg bei Placebo. Es wurde in Langzeit-Erweiterungsstudien bei einer mittleren Exposition von etwa 1–2 Jahren ohne Kontrollgruppe auch eine Gewichtszunahme von 5–6 kg beobachtet, insbesondere bei Patienten mit Morbus Crohn und Colitis ulcerosa. Der Mechanismus hinter dieser Wirkung ist unklar, könnte aber mit der antiinflammatorischen Wirkung von Adalimumab zusammenhängen.</w:t>
      </w:r>
    </w:p>
    <w:p w14:paraId="3B0BFA37" w14:textId="77777777" w:rsidR="00FE291A" w:rsidRDefault="00FE291A">
      <w:pPr>
        <w:widowControl/>
        <w:kinsoku w:val="0"/>
        <w:overflowPunct w:val="0"/>
        <w:rPr>
          <w:sz w:val="22"/>
          <w:szCs w:val="22"/>
          <w:lang w:val="de-DE"/>
        </w:rPr>
      </w:pPr>
    </w:p>
    <w:p w14:paraId="558AE399" w14:textId="77777777" w:rsidR="00FE291A" w:rsidRDefault="00C8738F">
      <w:pPr>
        <w:pStyle w:val="BodyText"/>
        <w:keepNext/>
        <w:widowControl/>
        <w:kinsoku w:val="0"/>
        <w:overflowPunct w:val="0"/>
        <w:ind w:left="0"/>
        <w:rPr>
          <w:lang w:val="de-DE"/>
        </w:rPr>
      </w:pPr>
      <w:r>
        <w:rPr>
          <w:u w:val="single"/>
          <w:lang w:val="de-DE"/>
        </w:rPr>
        <w:t>Hidradenitis suppurativa (Acne inversa)</w:t>
      </w:r>
    </w:p>
    <w:p w14:paraId="4C4A59B2" w14:textId="77777777" w:rsidR="00FE291A" w:rsidRDefault="00FE291A">
      <w:pPr>
        <w:keepNext/>
        <w:widowControl/>
        <w:kinsoku w:val="0"/>
        <w:overflowPunct w:val="0"/>
        <w:rPr>
          <w:sz w:val="22"/>
          <w:szCs w:val="22"/>
          <w:lang w:val="de-DE"/>
        </w:rPr>
      </w:pPr>
    </w:p>
    <w:p w14:paraId="5B5FD7D5" w14:textId="77777777" w:rsidR="00FE291A" w:rsidRDefault="00C8738F">
      <w:pPr>
        <w:pStyle w:val="BodyText"/>
        <w:widowControl/>
        <w:kinsoku w:val="0"/>
        <w:overflowPunct w:val="0"/>
        <w:ind w:left="0"/>
        <w:rPr>
          <w:lang w:val="de-DE"/>
        </w:rPr>
      </w:pPr>
      <w:r>
        <w:rPr>
          <w:lang w:val="de-DE"/>
        </w:rPr>
        <w:t>Das Sicherheitsprofil bei Patienten mit HS, die wöchentlich mit Adalimumab behandelt wurden, entsprach dem bekannten Sicherheitsprofil von Adalimumab.</w:t>
      </w:r>
    </w:p>
    <w:p w14:paraId="06E7DBE0" w14:textId="77777777" w:rsidR="00FE291A" w:rsidRDefault="00FE291A">
      <w:pPr>
        <w:widowControl/>
        <w:kinsoku w:val="0"/>
        <w:overflowPunct w:val="0"/>
        <w:rPr>
          <w:sz w:val="22"/>
          <w:szCs w:val="22"/>
          <w:lang w:val="de-DE"/>
        </w:rPr>
      </w:pPr>
    </w:p>
    <w:p w14:paraId="07EADD85" w14:textId="77777777" w:rsidR="00FE291A" w:rsidRDefault="00C8738F">
      <w:pPr>
        <w:pStyle w:val="BodyText"/>
        <w:keepNext/>
        <w:widowControl/>
        <w:kinsoku w:val="0"/>
        <w:overflowPunct w:val="0"/>
        <w:ind w:left="0"/>
        <w:rPr>
          <w:lang w:val="de-DE"/>
        </w:rPr>
      </w:pPr>
      <w:r>
        <w:rPr>
          <w:u w:val="single"/>
          <w:lang w:val="de-DE"/>
        </w:rPr>
        <w:t>Uveitis</w:t>
      </w:r>
    </w:p>
    <w:p w14:paraId="5840F32F" w14:textId="77777777" w:rsidR="00FE291A" w:rsidRDefault="00FE291A">
      <w:pPr>
        <w:keepNext/>
        <w:widowControl/>
        <w:kinsoku w:val="0"/>
        <w:overflowPunct w:val="0"/>
        <w:rPr>
          <w:sz w:val="22"/>
          <w:szCs w:val="22"/>
          <w:lang w:val="de-DE"/>
        </w:rPr>
      </w:pPr>
    </w:p>
    <w:p w14:paraId="4EBE30EF" w14:textId="77777777" w:rsidR="00FE291A" w:rsidRDefault="00C8738F">
      <w:pPr>
        <w:pStyle w:val="BodyText"/>
        <w:widowControl/>
        <w:kinsoku w:val="0"/>
        <w:overflowPunct w:val="0"/>
        <w:ind w:left="0"/>
        <w:rPr>
          <w:lang w:val="de-DE"/>
        </w:rPr>
      </w:pPr>
      <w:r>
        <w:rPr>
          <w:lang w:val="de-DE"/>
        </w:rPr>
        <w:t>Das Sicherheitsprofil bei Patienten mit Uveitis, die alle zwei Wochen mit Adalimumab behandelt wurden, entsprach dem bekannten Sicherheitsprofil von Adalimumab.</w:t>
      </w:r>
    </w:p>
    <w:p w14:paraId="71681903" w14:textId="77777777" w:rsidR="00FE291A" w:rsidRDefault="00FE291A">
      <w:pPr>
        <w:widowControl/>
        <w:kinsoku w:val="0"/>
        <w:overflowPunct w:val="0"/>
        <w:rPr>
          <w:sz w:val="22"/>
          <w:szCs w:val="22"/>
          <w:lang w:val="de-DE"/>
        </w:rPr>
      </w:pPr>
    </w:p>
    <w:p w14:paraId="41948046" w14:textId="77777777" w:rsidR="00FE291A" w:rsidRDefault="00C8738F">
      <w:pPr>
        <w:pStyle w:val="BodyText"/>
        <w:keepNext/>
        <w:keepLines/>
        <w:widowControl/>
        <w:kinsoku w:val="0"/>
        <w:overflowPunct w:val="0"/>
        <w:ind w:left="0"/>
        <w:rPr>
          <w:lang w:val="de-DE"/>
        </w:rPr>
      </w:pPr>
      <w:r>
        <w:rPr>
          <w:u w:val="single"/>
          <w:lang w:val="de-DE"/>
        </w:rPr>
        <w:t>Beschreibung von definierten Nebenwirkungen</w:t>
      </w:r>
    </w:p>
    <w:p w14:paraId="7909E4C1" w14:textId="77777777" w:rsidR="00FE291A" w:rsidRDefault="00FE291A">
      <w:pPr>
        <w:keepNext/>
        <w:keepLines/>
        <w:widowControl/>
        <w:kinsoku w:val="0"/>
        <w:overflowPunct w:val="0"/>
        <w:rPr>
          <w:sz w:val="22"/>
          <w:szCs w:val="22"/>
          <w:lang w:val="de-DE"/>
        </w:rPr>
      </w:pPr>
    </w:p>
    <w:p w14:paraId="0B99AC77" w14:textId="77777777" w:rsidR="00FE291A" w:rsidRDefault="00C8738F">
      <w:pPr>
        <w:keepNext/>
        <w:widowControl/>
        <w:kinsoku w:val="0"/>
        <w:overflowPunct w:val="0"/>
        <w:rPr>
          <w:sz w:val="22"/>
          <w:szCs w:val="22"/>
          <w:lang w:val="de-DE"/>
        </w:rPr>
      </w:pPr>
      <w:r>
        <w:rPr>
          <w:i/>
          <w:iCs/>
          <w:sz w:val="22"/>
          <w:szCs w:val="22"/>
          <w:lang w:val="de-DE"/>
        </w:rPr>
        <w:t>Reaktionen an der Injektionsstelle</w:t>
      </w:r>
    </w:p>
    <w:p w14:paraId="2179F785" w14:textId="77777777" w:rsidR="00FE291A" w:rsidRDefault="00FE291A">
      <w:pPr>
        <w:keepNext/>
        <w:widowControl/>
        <w:kinsoku w:val="0"/>
        <w:overflowPunct w:val="0"/>
        <w:rPr>
          <w:sz w:val="22"/>
          <w:szCs w:val="22"/>
          <w:lang w:val="de-DE"/>
        </w:rPr>
      </w:pPr>
    </w:p>
    <w:p w14:paraId="5F197C2F" w14:textId="77777777" w:rsidR="00FE291A" w:rsidRDefault="00C8738F">
      <w:pPr>
        <w:pStyle w:val="BodyText"/>
        <w:widowControl/>
        <w:kinsoku w:val="0"/>
        <w:overflowPunct w:val="0"/>
        <w:ind w:left="0"/>
        <w:rPr>
          <w:lang w:val="de-DE"/>
        </w:rPr>
      </w:pPr>
      <w:r>
        <w:rPr>
          <w:lang w:val="de-DE"/>
        </w:rPr>
        <w:t>In den pivotalen kontrollierten Studien bei Erwachsenen und Kindern entwickelten 12,9 % der mit Adalimumab behandelten Patienten Reaktionen an der Injektionsstelle (Erytheme und/oder Juckreiz, Hämorrhagien, Schmerzen oder Schwellungen) im Vergleich zu 7,2 % der Patienten unter Placebo oder aktiver Vergleichssubstanz. Die Reaktionen an der Injektionsstelle machten im Allgemeinen kein Absetzen des Arzneimittels erforderlich.</w:t>
      </w:r>
    </w:p>
    <w:p w14:paraId="6FBE133A" w14:textId="77777777" w:rsidR="00FE291A" w:rsidRDefault="00FE291A">
      <w:pPr>
        <w:widowControl/>
        <w:kinsoku w:val="0"/>
        <w:overflowPunct w:val="0"/>
        <w:rPr>
          <w:sz w:val="22"/>
          <w:szCs w:val="22"/>
          <w:lang w:val="de-DE"/>
        </w:rPr>
      </w:pPr>
    </w:p>
    <w:p w14:paraId="69F49772" w14:textId="77777777" w:rsidR="00FE291A" w:rsidRDefault="00C8738F">
      <w:pPr>
        <w:keepNext/>
        <w:widowControl/>
        <w:kinsoku w:val="0"/>
        <w:overflowPunct w:val="0"/>
        <w:rPr>
          <w:sz w:val="22"/>
          <w:szCs w:val="22"/>
          <w:lang w:val="de-DE"/>
        </w:rPr>
      </w:pPr>
      <w:r>
        <w:rPr>
          <w:i/>
          <w:iCs/>
          <w:sz w:val="22"/>
          <w:szCs w:val="22"/>
          <w:lang w:val="de-DE"/>
        </w:rPr>
        <w:t>Infektionen</w:t>
      </w:r>
    </w:p>
    <w:p w14:paraId="6762E886" w14:textId="77777777" w:rsidR="00FE291A" w:rsidRDefault="00FE291A">
      <w:pPr>
        <w:keepNext/>
        <w:widowControl/>
        <w:kinsoku w:val="0"/>
        <w:overflowPunct w:val="0"/>
        <w:rPr>
          <w:sz w:val="22"/>
          <w:szCs w:val="22"/>
          <w:lang w:val="de-DE"/>
        </w:rPr>
      </w:pPr>
    </w:p>
    <w:p w14:paraId="587F3D09" w14:textId="77777777" w:rsidR="00FE291A" w:rsidRDefault="00C8738F">
      <w:pPr>
        <w:pStyle w:val="BodyText"/>
        <w:keepNext/>
        <w:widowControl/>
        <w:kinsoku w:val="0"/>
        <w:overflowPunct w:val="0"/>
        <w:ind w:left="0"/>
        <w:rPr>
          <w:lang w:val="de-DE"/>
        </w:rPr>
      </w:pPr>
      <w:r>
        <w:rPr>
          <w:lang w:val="de-DE"/>
        </w:rPr>
        <w:t>In den pivotalen kontrollierten Studien bei Erwachsenen und Kindern betrug die Infektionsrate bei den mit Adalimumab behandelten Patienten 1,51 pro Patientenjahr und bei den Patienten unter Placebo und aktiver Kontrolle 1,46 pro Patientenjahr. Die Infektionen beinhalteten primär Nasopharyngitis, Infektionen der oberen Atemwege und Sinusitis. Die meisten Patienten setzten die Behandlung mit Adalimumab nach Abheilen der Infektion fort.</w:t>
      </w:r>
    </w:p>
    <w:p w14:paraId="245572BD" w14:textId="77777777" w:rsidR="00FE291A" w:rsidRDefault="00FE291A">
      <w:pPr>
        <w:widowControl/>
        <w:kinsoku w:val="0"/>
        <w:overflowPunct w:val="0"/>
        <w:rPr>
          <w:sz w:val="22"/>
          <w:szCs w:val="22"/>
          <w:lang w:val="de-DE"/>
        </w:rPr>
      </w:pPr>
    </w:p>
    <w:p w14:paraId="7D1F88C9" w14:textId="77777777" w:rsidR="00FE291A" w:rsidRDefault="00C8738F">
      <w:pPr>
        <w:pStyle w:val="BodyText"/>
        <w:widowControl/>
        <w:kinsoku w:val="0"/>
        <w:overflowPunct w:val="0"/>
        <w:ind w:left="0"/>
        <w:rPr>
          <w:lang w:val="de-DE"/>
        </w:rPr>
      </w:pPr>
      <w:r>
        <w:rPr>
          <w:lang w:val="de-DE"/>
        </w:rPr>
        <w:t>Die Inzidenz schwerer Infektionen lag in der Adalimumab-Gruppe bei 0,04 pro Patientenjahr und in der Placebo- und aktiven Kontrollgruppe bei 0,03 pro Patientenjahr.</w:t>
      </w:r>
    </w:p>
    <w:p w14:paraId="3DCF75D7" w14:textId="77777777" w:rsidR="00FE291A" w:rsidRDefault="00FE291A">
      <w:pPr>
        <w:widowControl/>
        <w:kinsoku w:val="0"/>
        <w:overflowPunct w:val="0"/>
        <w:rPr>
          <w:sz w:val="22"/>
          <w:szCs w:val="22"/>
          <w:lang w:val="de-DE"/>
        </w:rPr>
      </w:pPr>
    </w:p>
    <w:p w14:paraId="5AE88575" w14:textId="77777777" w:rsidR="00FE291A" w:rsidRDefault="00C8738F">
      <w:pPr>
        <w:pStyle w:val="BodyText"/>
        <w:widowControl/>
        <w:kinsoku w:val="0"/>
        <w:overflowPunct w:val="0"/>
        <w:ind w:left="0"/>
        <w:rPr>
          <w:lang w:val="de-DE"/>
        </w:rPr>
      </w:pPr>
      <w:r>
        <w:rPr>
          <w:lang w:val="de-DE"/>
        </w:rPr>
        <w:t>In kontrollierten und offenen Studien mit Adalimumab bei Erwachsenen und Kindern wurden schwerwiegende Infektionen (darunter in seltenen Fällen tödlich verlaufende Infektionen), einschließlich Fälle von Tuberkulose (darunter miliare und extrapulmonale Lokalisationen), und invasive opportunistische Infektionen (z. B. disseminierte oder extrapulmonale Histoplasmose, Blastomykose, Kokzidioidomykose, Pneumocystis-Infektion, Candidiasis (Soor), Aspergillose und Listeriose) berichtet. Die meisten Fälle von Tuberkulose traten innerhalb der ersten 8 Monate nach Beginn der Therapie auf und können die Reaktivierung einer latent bestehenden Erkrankung darstellen.</w:t>
      </w:r>
    </w:p>
    <w:p w14:paraId="2554B6DE" w14:textId="77777777" w:rsidR="00FE291A" w:rsidRDefault="00FE291A">
      <w:pPr>
        <w:widowControl/>
        <w:kinsoku w:val="0"/>
        <w:overflowPunct w:val="0"/>
        <w:rPr>
          <w:sz w:val="22"/>
          <w:szCs w:val="22"/>
          <w:lang w:val="de-DE"/>
        </w:rPr>
      </w:pPr>
    </w:p>
    <w:p w14:paraId="3DF82290" w14:textId="77777777" w:rsidR="00FE291A" w:rsidRDefault="00C8738F">
      <w:pPr>
        <w:keepNext/>
        <w:widowControl/>
        <w:kinsoku w:val="0"/>
        <w:overflowPunct w:val="0"/>
        <w:rPr>
          <w:sz w:val="22"/>
          <w:szCs w:val="22"/>
          <w:lang w:val="de-DE"/>
        </w:rPr>
      </w:pPr>
      <w:r>
        <w:rPr>
          <w:i/>
          <w:iCs/>
          <w:sz w:val="22"/>
          <w:szCs w:val="22"/>
          <w:lang w:val="de-DE"/>
        </w:rPr>
        <w:t>Maligne und lymphoproliferative Erkrankungen</w:t>
      </w:r>
    </w:p>
    <w:p w14:paraId="7352C5D3" w14:textId="77777777" w:rsidR="00FE291A" w:rsidRDefault="00FE291A">
      <w:pPr>
        <w:keepNext/>
        <w:widowControl/>
        <w:kinsoku w:val="0"/>
        <w:overflowPunct w:val="0"/>
        <w:rPr>
          <w:sz w:val="22"/>
          <w:szCs w:val="22"/>
          <w:lang w:val="de-DE"/>
        </w:rPr>
      </w:pPr>
    </w:p>
    <w:p w14:paraId="497C35D9" w14:textId="77777777" w:rsidR="00FE291A" w:rsidRDefault="00C8738F">
      <w:pPr>
        <w:pStyle w:val="BodyText"/>
        <w:widowControl/>
        <w:kinsoku w:val="0"/>
        <w:overflowPunct w:val="0"/>
        <w:ind w:left="0"/>
        <w:rPr>
          <w:lang w:val="de-DE"/>
        </w:rPr>
      </w:pPr>
      <w:r>
        <w:rPr>
          <w:lang w:val="de-DE"/>
        </w:rPr>
        <w:t>Während der Studien mit Adalimumab bei Patienten mit juveniler idiopathischer Arthritis (polyartikulärer juveniler idiopathischer Arthritis und Enthesitis-assoziierter Arthritis) wurden bei 249 Kindern und Jugendlichen mit einer Exposition von 655,6 Patientenjahren keine malignen Erkrankungen beobachtet. Außerdem wurden bei 192</w:t>
      </w:r>
      <w:r>
        <w:rPr>
          <w:rStyle w:val="CommentReference"/>
          <w:rFonts w:eastAsia="Times New Roman"/>
          <w:sz w:val="22"/>
          <w:szCs w:val="22"/>
          <w:lang w:val="zh-CN" w:eastAsia="en-US"/>
        </w:rPr>
        <w:t> </w:t>
      </w:r>
      <w:r>
        <w:rPr>
          <w:lang w:val="de-DE"/>
        </w:rPr>
        <w:t xml:space="preserve">Kindern und Jugendlichen mit einer Exposition von 498,1 Patientenjahren während einer klinischen Studie mit Adalimumab bei Kindern und Jugendlichen mit Morbus Crohn keine malignen Erkrankungen beobachtet. In einer Studie mit Adalimumab zu chronischer Plaque-Psoriasis an Kindern und Jugendlichen wurden bei 77 Kindern und Jugendlichen mit einer Exposition von 80,0 Patientenjahren keine malignen Erkrankungen beobachtet. Während einer Studie mit Adalimumab bei Kindern und Jugendlichen mit Colitis ulcerosa wurden bei 93 Kindern und Jugendlichen mit einer Exposition von 65,3 Patientenjahren keine malignen Erkrankungen beobachtet. </w:t>
      </w:r>
      <w:r>
        <w:rPr>
          <w:rFonts w:cs="Calibri"/>
          <w:lang w:val="de-DE"/>
        </w:rPr>
        <w:t>Während einer Studie mit Adalimumab bei Kindern und Jugendlichen mit Uveitis wurden bei 60 Kindern und Jugendlichen mit einer Exposition von 58,4 Patientenjahren keine malignen Erkrankungen beobachtet.</w:t>
      </w:r>
    </w:p>
    <w:p w14:paraId="3D2AABF6" w14:textId="77777777" w:rsidR="00FE291A" w:rsidRDefault="00FE291A">
      <w:pPr>
        <w:widowControl/>
        <w:kinsoku w:val="0"/>
        <w:overflowPunct w:val="0"/>
        <w:rPr>
          <w:sz w:val="22"/>
          <w:szCs w:val="22"/>
          <w:lang w:val="de-DE"/>
        </w:rPr>
      </w:pPr>
    </w:p>
    <w:p w14:paraId="2913C5F3" w14:textId="77777777" w:rsidR="00FE291A" w:rsidRDefault="00C8738F">
      <w:pPr>
        <w:pStyle w:val="BodyText"/>
        <w:widowControl/>
        <w:kinsoku w:val="0"/>
        <w:overflowPunct w:val="0"/>
        <w:ind w:left="0"/>
        <w:rPr>
          <w:lang w:val="de-DE"/>
        </w:rPr>
      </w:pPr>
      <w:r>
        <w:rPr>
          <w:lang w:val="de-DE"/>
        </w:rPr>
        <w:t>Während der kontrollierten Phasen der pivotalen klinischen Studien an Erwachsenen mit Adalimumab, die mindestens zwölf Wochen bei Patienten mit mäßiger bis schwerer aktiver rheumatoider Arthritis, ankylosierender Spondylitis, axialer Spondyloarthritis ohne Röntgennachweis einer AS, Psoriasis- Arthritis, Psoriasis, Hidradenitis suppurativa, Morbus Crohn, Colitis ulcerosa und Uveitis durchgeführt wurden, wurden maligne Erkrankungen, die keine Lymphome oder nicht melanomartige Hauttumoren waren, beobachtet. Die Rate (95 % Konfidenzintervall) betrug 6,8 (4,4; 10,5) pro 1 000 Patientenjahre bei 5 291 mit Adalimumab behandelten Patienten gegenüber einer Rate von 6,3 (3,4; 11,8) pro 1 000 Patientenjahre bei 3 444</w:t>
      </w:r>
      <w:r>
        <w:rPr>
          <w:rStyle w:val="CommentReference"/>
          <w:rFonts w:eastAsia="Times New Roman"/>
          <w:sz w:val="22"/>
          <w:szCs w:val="22"/>
          <w:lang w:val="zh-CN" w:eastAsia="en-US"/>
        </w:rPr>
        <w:t> </w:t>
      </w:r>
      <w:r>
        <w:rPr>
          <w:lang w:val="de-DE"/>
        </w:rPr>
        <w:t>Kontrollpatienten (die mediane Behandlungsdauer betrug 4,0 Monate bei Patienten, die mit Adalimumab behandelt wurden und 3,8 Monate bei Patienten in der Kontrollgruppe). Die Rate (95 % Konfidenzintervall) nicht melanomartiger Hauttumoren betrug 8,8 (6,0; 13,0) pro 1 000 Patientenjahre bei den mit Adalimumab behandelten Patienten und 3,2 (1,3; 7,6) pro 1 000 Patientenjahre bei Kontrollpatienten. Bei diesen Hauttumoren traten Plattenepithelkarzinome mit einer Rate (95 % Konfidenzintervall) von 2,7 (1,4; 5,4) pro 1 000 Patientenjahre bei mit Adalimumab behandelten Patienten auf und 0,6 (0,1; 4,5) pro 1 000 Patientenjahre bei Kontrollpatienten. Die Rate (95 % Konfidenzintervall) für Lymphome betrug 0,7 (0,2; 2,7) pro 1 000 Patientenjahre bei mit Adalimumab behandelten Patienten und 0,6 (0,1; 4,5) pro 1 000 Patientenjahre bei Kontrollpatienten.</w:t>
      </w:r>
    </w:p>
    <w:p w14:paraId="769DBCFD" w14:textId="77777777" w:rsidR="00FE291A" w:rsidRDefault="00FE291A">
      <w:pPr>
        <w:widowControl/>
        <w:kinsoku w:val="0"/>
        <w:overflowPunct w:val="0"/>
        <w:rPr>
          <w:sz w:val="22"/>
          <w:szCs w:val="22"/>
          <w:lang w:val="de-DE"/>
        </w:rPr>
      </w:pPr>
    </w:p>
    <w:p w14:paraId="1C681B37" w14:textId="77777777" w:rsidR="00FE291A" w:rsidRDefault="00C8738F">
      <w:pPr>
        <w:pStyle w:val="BodyText"/>
        <w:widowControl/>
        <w:kinsoku w:val="0"/>
        <w:overflowPunct w:val="0"/>
        <w:ind w:left="0"/>
        <w:rPr>
          <w:lang w:val="de-DE"/>
        </w:rPr>
      </w:pPr>
      <w:r>
        <w:rPr>
          <w:lang w:val="de-DE"/>
        </w:rPr>
        <w:t>Fasst man die kontrollierten Phasen dieser Studien und die noch andauernden und abgeschlossenen offenen Fortsetzungsstudien mit Adalimumab mit einer medianen Therapiedauer von annähernd 3,3 Jahren, 6 427 eingeschlossenen Patienten und über 26 439 Patientenjahren zusammen, beträgt die beobachtete Rate maligner Erkrankungen, die keine Lymphome oder nicht melanomartige Hauttumoren waren, ungefähr 8,5 pro 1 000 Patientenjahre. Die beobachtete Rate nicht melanomartiger Hauttumoren beträgt annähernd 9,6 pro 1 000 Patientenjahre, und die beobachtete Rate für Lymphome beträgt annähernd 1,3 pro 1 000 Patientenjahre.</w:t>
      </w:r>
    </w:p>
    <w:p w14:paraId="60E8D6A2" w14:textId="77777777" w:rsidR="00FE291A" w:rsidRDefault="00FE291A">
      <w:pPr>
        <w:widowControl/>
        <w:kinsoku w:val="0"/>
        <w:overflowPunct w:val="0"/>
        <w:rPr>
          <w:sz w:val="22"/>
          <w:szCs w:val="22"/>
          <w:lang w:val="de-DE"/>
        </w:rPr>
      </w:pPr>
    </w:p>
    <w:p w14:paraId="5F7EF3E5" w14:textId="77777777" w:rsidR="00FE291A" w:rsidRDefault="00C8738F">
      <w:pPr>
        <w:pStyle w:val="BodyText"/>
        <w:widowControl/>
        <w:kinsoku w:val="0"/>
        <w:overflowPunct w:val="0"/>
        <w:ind w:left="0"/>
        <w:rPr>
          <w:lang w:val="de-DE"/>
        </w:rPr>
      </w:pPr>
      <w:r>
        <w:rPr>
          <w:lang w:val="de-DE"/>
        </w:rPr>
        <w:t>In der Zeit nach Markteinführung seit Januar</w:t>
      </w:r>
      <w:r>
        <w:rPr>
          <w:rStyle w:val="CommentReference"/>
          <w:rFonts w:eastAsia="Times New Roman"/>
          <w:sz w:val="22"/>
          <w:szCs w:val="22"/>
          <w:lang w:val="zh-CN" w:eastAsia="en-US"/>
        </w:rPr>
        <w:t> </w:t>
      </w:r>
      <w:r>
        <w:rPr>
          <w:lang w:val="de-DE"/>
        </w:rPr>
        <w:t>2003 bis Dezember 2010, vorwiegend aus Erfahrungen bei Patienten mit rheumatoider Arthritis, beträgt die Rate spontan gemeldeter maligner Erkrankungen annähernd 2,7 pro 1 000 Patientenjahre mit Behandlung. Für nicht melanomartige Hauttumoren und für Lymphome wurden Raten von annähernd 0,2 bzw. 0,3 pro 1 000 Patientenjahre mit Behandlung spontan gemeldet (siehe Abschnitt 4.4).</w:t>
      </w:r>
    </w:p>
    <w:p w14:paraId="245F7960" w14:textId="77777777" w:rsidR="00FE291A" w:rsidRDefault="00FE291A">
      <w:pPr>
        <w:widowControl/>
        <w:kinsoku w:val="0"/>
        <w:overflowPunct w:val="0"/>
        <w:rPr>
          <w:sz w:val="22"/>
          <w:szCs w:val="22"/>
          <w:lang w:val="de-DE"/>
        </w:rPr>
      </w:pPr>
    </w:p>
    <w:p w14:paraId="7DC021E7" w14:textId="77777777" w:rsidR="00FE291A" w:rsidRDefault="00C8738F">
      <w:pPr>
        <w:pStyle w:val="BodyText"/>
        <w:widowControl/>
        <w:kinsoku w:val="0"/>
        <w:overflowPunct w:val="0"/>
        <w:ind w:left="0"/>
        <w:rPr>
          <w:lang w:val="de-DE"/>
        </w:rPr>
      </w:pPr>
      <w:r>
        <w:rPr>
          <w:lang w:val="de-DE"/>
        </w:rPr>
        <w:t>Nach Markteinführung wurden bei Patienten, die mit Adalimumab behandelt wurden, seltene Fälle von hepatosplenalen T-Zell-Lymphomen berichtet (siehe Abschnitt 4.4).</w:t>
      </w:r>
    </w:p>
    <w:p w14:paraId="4EE18671" w14:textId="77777777" w:rsidR="00FE291A" w:rsidRDefault="00FE291A">
      <w:pPr>
        <w:widowControl/>
        <w:kinsoku w:val="0"/>
        <w:overflowPunct w:val="0"/>
        <w:rPr>
          <w:sz w:val="22"/>
          <w:szCs w:val="22"/>
          <w:lang w:val="de-DE"/>
        </w:rPr>
      </w:pPr>
    </w:p>
    <w:p w14:paraId="3CEF69B4" w14:textId="77777777" w:rsidR="00FE291A" w:rsidRDefault="00C8738F">
      <w:pPr>
        <w:keepNext/>
        <w:widowControl/>
        <w:kinsoku w:val="0"/>
        <w:overflowPunct w:val="0"/>
        <w:rPr>
          <w:sz w:val="22"/>
          <w:szCs w:val="22"/>
          <w:lang w:val="de-DE"/>
        </w:rPr>
      </w:pPr>
      <w:r>
        <w:rPr>
          <w:i/>
          <w:iCs/>
          <w:sz w:val="22"/>
          <w:szCs w:val="22"/>
          <w:lang w:val="de-DE"/>
        </w:rPr>
        <w:t>Autoantikörper</w:t>
      </w:r>
    </w:p>
    <w:p w14:paraId="47B6F143" w14:textId="77777777" w:rsidR="00FE291A" w:rsidRDefault="00FE291A">
      <w:pPr>
        <w:widowControl/>
        <w:kinsoku w:val="0"/>
        <w:overflowPunct w:val="0"/>
        <w:rPr>
          <w:sz w:val="22"/>
          <w:szCs w:val="22"/>
          <w:lang w:val="de-DE"/>
        </w:rPr>
      </w:pPr>
    </w:p>
    <w:p w14:paraId="50526D22" w14:textId="77777777" w:rsidR="00FE291A" w:rsidRDefault="00C8738F">
      <w:pPr>
        <w:pStyle w:val="BodyText"/>
        <w:widowControl/>
        <w:kinsoku w:val="0"/>
        <w:overflowPunct w:val="0"/>
        <w:ind w:left="0"/>
        <w:rPr>
          <w:lang w:val="de-DE"/>
        </w:rPr>
      </w:pPr>
      <w:r>
        <w:rPr>
          <w:lang w:val="de-DE"/>
        </w:rPr>
        <w:t>In den Studien I – V bei rheumatoider Arthritis wurden zu mehreren Zeitpunkten Serumproben von Patienten auf Autoantikörper untersucht. Von denjenigen Patienten, die in diesen Studien bei Behandlungsbeginn negative Titer für antinukleäre Antikörper hatten, wiesen 11,9 % der mit Adalimumab behandelten Patienten und 8,1 % der Patienten unter Placebo und aktiver Kontrolle in Woche 24 positive Titer auf. Zwei von 3 441 mit Adalimumab behandelten Patienten in allen Studien bei rheumatoider Arthritis und Psoriasis-Arthritis entwickelten klinische Anzeichen eines erstmalig auftretenden lupusähnlichen Syndroms. Nach Absetzen der Behandlung erholten sich die Patienten. Lupusnephritis oder zentralnervöse Symptome traten bei keinem der Patienten auf.</w:t>
      </w:r>
    </w:p>
    <w:p w14:paraId="05318A5F" w14:textId="77777777" w:rsidR="00FE291A" w:rsidRDefault="00FE291A">
      <w:pPr>
        <w:widowControl/>
        <w:kinsoku w:val="0"/>
        <w:overflowPunct w:val="0"/>
        <w:rPr>
          <w:sz w:val="22"/>
          <w:szCs w:val="22"/>
          <w:lang w:val="de-DE"/>
        </w:rPr>
      </w:pPr>
    </w:p>
    <w:p w14:paraId="589609E5" w14:textId="77777777" w:rsidR="00FE291A" w:rsidRDefault="00C8738F">
      <w:pPr>
        <w:keepNext/>
        <w:widowControl/>
        <w:kinsoku w:val="0"/>
        <w:overflowPunct w:val="0"/>
        <w:rPr>
          <w:sz w:val="22"/>
          <w:szCs w:val="22"/>
          <w:lang w:val="de-DE"/>
        </w:rPr>
      </w:pPr>
      <w:r>
        <w:rPr>
          <w:i/>
          <w:iCs/>
          <w:sz w:val="22"/>
          <w:szCs w:val="22"/>
          <w:lang w:val="de-DE"/>
        </w:rPr>
        <w:t>Hepatobiliäre Ereignisse</w:t>
      </w:r>
    </w:p>
    <w:p w14:paraId="0F06768D" w14:textId="77777777" w:rsidR="00FE291A" w:rsidRDefault="00FE291A">
      <w:pPr>
        <w:keepNext/>
        <w:widowControl/>
        <w:kinsoku w:val="0"/>
        <w:overflowPunct w:val="0"/>
        <w:rPr>
          <w:sz w:val="22"/>
          <w:szCs w:val="22"/>
          <w:lang w:val="de-DE"/>
        </w:rPr>
      </w:pPr>
    </w:p>
    <w:p w14:paraId="05FEC955" w14:textId="77777777" w:rsidR="00FE291A" w:rsidRDefault="00C8738F">
      <w:pPr>
        <w:pStyle w:val="BodyText"/>
        <w:widowControl/>
        <w:kinsoku w:val="0"/>
        <w:overflowPunct w:val="0"/>
        <w:ind w:left="0"/>
        <w:rPr>
          <w:lang w:val="de-DE"/>
        </w:rPr>
      </w:pPr>
      <w:r>
        <w:rPr>
          <w:lang w:val="de-DE"/>
        </w:rPr>
        <w:t xml:space="preserve">In den kontrollierten klinischen Phase-III-Studien zu Adalimumab bei Patienten mit rheumatoider Arthritis bzw. Psoriasis-Arthritis ergaben sich in einem Überwachungszeitraum von 4 bis 104 Wochen Erhöhungen der ALT-Werte um ≥ 3 </w:t>
      </w:r>
      <w:r>
        <w:rPr>
          <w:lang w:val="de-DE" w:eastAsia="en-GB"/>
        </w:rPr>
        <w:t>×</w:t>
      </w:r>
      <w:r>
        <w:rPr>
          <w:lang w:val="de-DE"/>
        </w:rPr>
        <w:t xml:space="preserve"> ULN (oberer Normbereich) bei 3,7 % der mit Adalimumab behandelten Patienten und bei 1,6 % der Patienten der Kontrollgruppe.</w:t>
      </w:r>
    </w:p>
    <w:p w14:paraId="1A7E67A5" w14:textId="77777777" w:rsidR="00FE291A" w:rsidRDefault="00FE291A">
      <w:pPr>
        <w:widowControl/>
        <w:kinsoku w:val="0"/>
        <w:overflowPunct w:val="0"/>
        <w:rPr>
          <w:sz w:val="22"/>
          <w:szCs w:val="22"/>
          <w:lang w:val="de-DE"/>
        </w:rPr>
      </w:pPr>
    </w:p>
    <w:p w14:paraId="7E5AED65" w14:textId="77777777" w:rsidR="00FE291A" w:rsidRDefault="00C8738F">
      <w:pPr>
        <w:pStyle w:val="BodyText"/>
        <w:widowControl/>
        <w:kinsoku w:val="0"/>
        <w:overflowPunct w:val="0"/>
        <w:ind w:left="0"/>
        <w:rPr>
          <w:lang w:val="de-DE"/>
        </w:rPr>
      </w:pPr>
      <w:r>
        <w:rPr>
          <w:lang w:val="de-DE"/>
        </w:rPr>
        <w:t xml:space="preserve">In den kontrollierten klinischen Phase-III-Studien von Adalimumab ergaben sich bei Patienten mit polyartikulärer juveniler idiopathischer Arthritis, die zwischen 4 und 17 Jahre alt waren, und bei Patienten mit Enthesitis-assoziierter Arthritis, die zwischen 6 und 17 Jahre alt waren, Erhöhungen der ALT-Werte um ≥ 3 </w:t>
      </w:r>
      <w:r>
        <w:rPr>
          <w:lang w:val="de-DE" w:eastAsia="en-GB"/>
        </w:rPr>
        <w:t>×</w:t>
      </w:r>
      <w:r>
        <w:rPr>
          <w:lang w:val="de-DE"/>
        </w:rPr>
        <w:t xml:space="preserve"> ULN bei 6,1 % der mit Adalimumab behandelten Patienten und bei 1,3 % der Patienten der Kontrollgruppe. Die meisten ALT-Erhöhungen traten bei gleichzeitiger Anwendung von Methotrexat auf. In der Phase-III-Studie von Adalimumab kamen keine ALT-Erhöhungen ≥ 3 </w:t>
      </w:r>
      <w:r>
        <w:rPr>
          <w:lang w:val="de-DE" w:eastAsia="en-GB"/>
        </w:rPr>
        <w:t>×</w:t>
      </w:r>
      <w:r>
        <w:rPr>
          <w:lang w:val="de-DE"/>
        </w:rPr>
        <w:t xml:space="preserve"> ULN bei Patienten mit polyartikulärer juveniler idiopathischer Arthritis vor, die zwischen 2 und &lt; 4 Jahre alt waren.</w:t>
      </w:r>
    </w:p>
    <w:p w14:paraId="01522E56" w14:textId="77777777" w:rsidR="00FE291A" w:rsidRDefault="00FE291A">
      <w:pPr>
        <w:widowControl/>
        <w:kinsoku w:val="0"/>
        <w:overflowPunct w:val="0"/>
        <w:rPr>
          <w:sz w:val="22"/>
          <w:szCs w:val="22"/>
          <w:lang w:val="de-DE"/>
        </w:rPr>
      </w:pPr>
    </w:p>
    <w:p w14:paraId="48C8496C" w14:textId="77777777" w:rsidR="00FE291A" w:rsidRDefault="00C8738F">
      <w:pPr>
        <w:pStyle w:val="BodyText"/>
        <w:widowControl/>
        <w:kinsoku w:val="0"/>
        <w:overflowPunct w:val="0"/>
        <w:ind w:left="0"/>
        <w:rPr>
          <w:lang w:val="de-DE"/>
        </w:rPr>
      </w:pPr>
      <w:r>
        <w:rPr>
          <w:lang w:val="de-DE"/>
        </w:rPr>
        <w:t xml:space="preserve">In den kontrollierten klinischen Phase-III-Studien zu Adalimumab bei Patienten mit Morbus Crohn bzw. Colitis ulcerosa ergaben sich in einem Überwachungszeitraum von 4 bis 52 Wochen Erhöhungen der ALT-Werte um ≥ 3 </w:t>
      </w:r>
      <w:r>
        <w:rPr>
          <w:lang w:val="de-DE" w:eastAsia="en-GB"/>
        </w:rPr>
        <w:t>×</w:t>
      </w:r>
      <w:r>
        <w:rPr>
          <w:lang w:val="de-DE"/>
        </w:rPr>
        <w:t xml:space="preserve"> ULN bei 0,9 % der mit Adalimumab behandelten Patienten und bei 0,9 % der Patienten der Kontrollgruppe.</w:t>
      </w:r>
    </w:p>
    <w:p w14:paraId="46B58635" w14:textId="77777777" w:rsidR="00FE291A" w:rsidRDefault="00FE291A">
      <w:pPr>
        <w:widowControl/>
        <w:kinsoku w:val="0"/>
        <w:overflowPunct w:val="0"/>
        <w:rPr>
          <w:sz w:val="22"/>
          <w:szCs w:val="22"/>
          <w:lang w:val="de-DE"/>
        </w:rPr>
      </w:pPr>
    </w:p>
    <w:p w14:paraId="3CEA799E" w14:textId="77777777" w:rsidR="00FE291A" w:rsidRDefault="00C8738F">
      <w:pPr>
        <w:pStyle w:val="BodyText"/>
        <w:widowControl/>
        <w:kinsoku w:val="0"/>
        <w:overflowPunct w:val="0"/>
        <w:ind w:left="0"/>
        <w:rPr>
          <w:lang w:val="de-DE"/>
        </w:rPr>
      </w:pPr>
      <w:r>
        <w:rPr>
          <w:lang w:val="de-DE"/>
        </w:rPr>
        <w:t>In der klinischen Phase-III-Studie zu Adalimumab bei Kindern und Jugendlichen mit Morbus Crohn wurden Wirksamkeit und Sicherheit von zwei körpergewichtsadaptierten remissionserhaltenden Therapien nach erfolgter körpergewichtsadaptierter Induktionstherapie über 52</w:t>
      </w:r>
      <w:r>
        <w:rPr>
          <w:rStyle w:val="CommentReference"/>
          <w:rFonts w:eastAsia="Times New Roman"/>
          <w:sz w:val="22"/>
          <w:szCs w:val="22"/>
          <w:lang w:val="zh-CN" w:eastAsia="en-US"/>
        </w:rPr>
        <w:t> </w:t>
      </w:r>
      <w:r>
        <w:rPr>
          <w:lang w:val="de-DE"/>
        </w:rPr>
        <w:t xml:space="preserve">Behandlungswochen untersucht. Es ergaben sich Erhöhungen der ALT-Werte ≥ 3 </w:t>
      </w:r>
      <w:r>
        <w:rPr>
          <w:lang w:val="de-DE" w:eastAsia="en-GB"/>
        </w:rPr>
        <w:t>×</w:t>
      </w:r>
      <w:r>
        <w:rPr>
          <w:lang w:val="de-DE"/>
        </w:rPr>
        <w:t xml:space="preserve"> ULN bei 2,6 % (5 von 192) der Patienten. 4 der Patienten erhielten zu Therapiebeginn begleitend Immunsuppressiva.</w:t>
      </w:r>
    </w:p>
    <w:p w14:paraId="0A487E7D" w14:textId="77777777" w:rsidR="00FE291A" w:rsidRDefault="00FE291A">
      <w:pPr>
        <w:widowControl/>
        <w:kinsoku w:val="0"/>
        <w:overflowPunct w:val="0"/>
        <w:rPr>
          <w:sz w:val="22"/>
          <w:szCs w:val="22"/>
          <w:lang w:val="de-DE"/>
        </w:rPr>
      </w:pPr>
    </w:p>
    <w:p w14:paraId="1A293DF4" w14:textId="77777777" w:rsidR="00FE291A" w:rsidRDefault="00C8738F">
      <w:pPr>
        <w:pStyle w:val="BodyText"/>
        <w:widowControl/>
        <w:kinsoku w:val="0"/>
        <w:overflowPunct w:val="0"/>
        <w:ind w:left="0"/>
        <w:rPr>
          <w:lang w:val="de-DE"/>
        </w:rPr>
      </w:pPr>
      <w:r>
        <w:rPr>
          <w:lang w:val="de-DE"/>
        </w:rPr>
        <w:t xml:space="preserve">In den kontrollierten klinischen Phase-III-Studien zu Adalimumab bei Patienten mit Plaque-Psoriasis ergaben sich in einem Überwachungszeitraum von 12 bis 24 Wochen Erhöhungen der ALT-Werte um ≥ 3 </w:t>
      </w:r>
      <w:r>
        <w:rPr>
          <w:lang w:val="de-DE" w:eastAsia="en-GB"/>
        </w:rPr>
        <w:t>×</w:t>
      </w:r>
      <w:r>
        <w:rPr>
          <w:lang w:val="de-DE"/>
        </w:rPr>
        <w:t xml:space="preserve"> ULN bei 1,8 % der mit Adalimumab behandelten Patienten und bei 1,8 % der Patienten der Kontrollgruppe.</w:t>
      </w:r>
    </w:p>
    <w:p w14:paraId="3B3A8A7D" w14:textId="77777777" w:rsidR="00FE291A" w:rsidRDefault="00FE291A">
      <w:pPr>
        <w:widowControl/>
        <w:kinsoku w:val="0"/>
        <w:overflowPunct w:val="0"/>
        <w:rPr>
          <w:sz w:val="22"/>
          <w:szCs w:val="22"/>
          <w:lang w:val="de-DE"/>
        </w:rPr>
      </w:pPr>
    </w:p>
    <w:p w14:paraId="4FDFB6E0" w14:textId="77777777" w:rsidR="00FE291A" w:rsidRDefault="00C8738F">
      <w:pPr>
        <w:pStyle w:val="BodyText"/>
        <w:widowControl/>
        <w:kinsoku w:val="0"/>
        <w:overflowPunct w:val="0"/>
        <w:ind w:left="0"/>
        <w:rPr>
          <w:lang w:val="de-DE"/>
        </w:rPr>
      </w:pPr>
      <w:r>
        <w:rPr>
          <w:lang w:val="de-DE"/>
        </w:rPr>
        <w:t xml:space="preserve">In der Phase-III-Studie von Adalimumab bei Kindern und Jugendlichen mit Plaque-Psoriasis kam es zu keinen ALT-Erhöhungen ≥ 3 </w:t>
      </w:r>
      <w:r>
        <w:rPr>
          <w:lang w:val="de-DE" w:eastAsia="en-GB"/>
        </w:rPr>
        <w:t>×</w:t>
      </w:r>
      <w:r>
        <w:rPr>
          <w:lang w:val="de-DE"/>
        </w:rPr>
        <w:t xml:space="preserve"> ULN.</w:t>
      </w:r>
    </w:p>
    <w:p w14:paraId="54778491" w14:textId="77777777" w:rsidR="00FE291A" w:rsidRDefault="00FE291A">
      <w:pPr>
        <w:widowControl/>
        <w:kinsoku w:val="0"/>
        <w:overflowPunct w:val="0"/>
        <w:rPr>
          <w:sz w:val="22"/>
          <w:szCs w:val="22"/>
          <w:lang w:val="de-DE"/>
        </w:rPr>
      </w:pPr>
    </w:p>
    <w:p w14:paraId="08259CAD" w14:textId="77777777" w:rsidR="00FE291A" w:rsidRDefault="00C8738F">
      <w:pPr>
        <w:pStyle w:val="BodyText"/>
        <w:widowControl/>
        <w:kinsoku w:val="0"/>
        <w:overflowPunct w:val="0"/>
        <w:ind w:left="0"/>
        <w:rPr>
          <w:lang w:val="de-DE"/>
        </w:rPr>
      </w:pPr>
      <w:r>
        <w:rPr>
          <w:lang w:val="de-DE"/>
        </w:rPr>
        <w:t xml:space="preserve">In kontrollierten Studien zu Adalimumab (Anfangsdosen von 160 mg in Woche 0 und 80 mg in Woche 2, gefolgt von 40 mg wöchentlich ab Woche 4) bei Patienten mit Hidradenitis suppurativa ergaben sich in einem Überwachungszeitraum von 12 bis 16 Wochen ALT-Erhöhungen um ≥ 3 </w:t>
      </w:r>
      <w:r>
        <w:rPr>
          <w:lang w:val="de-DE" w:eastAsia="en-GB"/>
        </w:rPr>
        <w:t>×</w:t>
      </w:r>
      <w:r>
        <w:rPr>
          <w:lang w:val="de-DE"/>
        </w:rPr>
        <w:t xml:space="preserve"> ULN bei 0,3 % der mit Adalimumab behandelten Patienten und bei 0,6 % der Patienten der Kontrollgruppe.</w:t>
      </w:r>
    </w:p>
    <w:p w14:paraId="25F83ED7" w14:textId="77777777" w:rsidR="00FE291A" w:rsidRDefault="00FE291A">
      <w:pPr>
        <w:widowControl/>
        <w:kinsoku w:val="0"/>
        <w:overflowPunct w:val="0"/>
        <w:rPr>
          <w:sz w:val="22"/>
          <w:szCs w:val="22"/>
          <w:lang w:val="de-DE"/>
        </w:rPr>
      </w:pPr>
    </w:p>
    <w:p w14:paraId="3F8F751A" w14:textId="77777777" w:rsidR="00FE291A" w:rsidRDefault="00C8738F">
      <w:pPr>
        <w:pStyle w:val="BodyText"/>
        <w:widowControl/>
        <w:kinsoku w:val="0"/>
        <w:overflowPunct w:val="0"/>
        <w:ind w:left="0"/>
        <w:rPr>
          <w:lang w:val="de-DE"/>
        </w:rPr>
      </w:pPr>
      <w:r>
        <w:rPr>
          <w:lang w:val="de-DE"/>
        </w:rPr>
        <w:t>In kontrollierten Studien zu Adalimumab (Anfangsdosen von 80 mg in Woche 0, gefolgt von 40 mg alle zwei Wochen ab Woche 1) bei erwachsenen Patienten mit Uveitis ergaben sich in einem Überwachungszeitraum von bis zu 80 Wochen mit einer Behandlungszeit im Median von 166,5 Tagen bei den mit Adalimumab behandelten Patienten bzw. 105,0 Tagen bei den Patienten der Kontrollgruppe ALT-Erhöhungen um ≥ 3 </w:t>
      </w:r>
      <w:r>
        <w:rPr>
          <w:lang w:val="de-DE" w:eastAsia="en-GB"/>
        </w:rPr>
        <w:t>×</w:t>
      </w:r>
      <w:r>
        <w:rPr>
          <w:lang w:val="de-DE"/>
        </w:rPr>
        <w:t> ULN bei 2,4 % der mit Adalimumab behandelten Patienten und bei 2,4 % der Kontrollgruppe.</w:t>
      </w:r>
    </w:p>
    <w:p w14:paraId="7D8C4CB8" w14:textId="77777777" w:rsidR="00FE291A" w:rsidRDefault="00FE291A">
      <w:pPr>
        <w:widowControl/>
        <w:kinsoku w:val="0"/>
        <w:overflowPunct w:val="0"/>
        <w:rPr>
          <w:sz w:val="22"/>
          <w:szCs w:val="22"/>
          <w:lang w:val="de-DE"/>
        </w:rPr>
      </w:pPr>
    </w:p>
    <w:p w14:paraId="0A682CBA" w14:textId="77777777" w:rsidR="00FE291A" w:rsidRDefault="00C8738F">
      <w:pPr>
        <w:pStyle w:val="BodyText"/>
        <w:widowControl/>
        <w:kinsoku w:val="0"/>
        <w:overflowPunct w:val="0"/>
        <w:ind w:left="0"/>
        <w:rPr>
          <w:lang w:val="de-DE"/>
        </w:rPr>
      </w:pPr>
      <w:r>
        <w:rPr>
          <w:lang w:val="de-DE"/>
        </w:rPr>
        <w:t>In der kontrollierten Phase-III-Studie zu Adalimumab bei Kindern und Jugendlichen mit Colitis ulcerosa (N = 93) wurden Wirksamkeit und Sicherheit einer Erhaltungsdosis von 0,6 mg/kg (maximal 40 mg) jede zweite Woche (n = 31) und einer Erhaltungsdosis von 0,6 mg/kg (maximal 40 mg) wöchentlich (n = 32) nach Verabreichung einer körpergewichtsadaptierten Induktionsdosis von 2,4 mg/kg (maximal 160 mg) in Woche 0 und Woche 1 und 1,2 mg/kg (maximal 80 mg) in Woche 2 (n = 63) bzw. 2,4 mg/kg (maximal 160 mg) in Woche 0, Placebo in Woche 1 und 1,2 mg/kg (maximal 80 mg) in Woche 2 (n = 30) untersucht. Es ergaben sich Erhöhungen der ALT-Werte um ≥ 3 </w:t>
      </w:r>
      <w:r>
        <w:rPr>
          <w:lang w:val="de-DE" w:eastAsia="en-GB"/>
        </w:rPr>
        <w:t>×</w:t>
      </w:r>
      <w:r>
        <w:rPr>
          <w:lang w:val="de-DE"/>
        </w:rPr>
        <w:t> ULN bei 1,1 % (1 von 93) der Patienten.</w:t>
      </w:r>
    </w:p>
    <w:p w14:paraId="5988950A" w14:textId="77777777" w:rsidR="00FE291A" w:rsidRDefault="00FE291A">
      <w:pPr>
        <w:pStyle w:val="BodyText"/>
        <w:widowControl/>
        <w:kinsoku w:val="0"/>
        <w:overflowPunct w:val="0"/>
        <w:ind w:left="0"/>
        <w:rPr>
          <w:lang w:val="de-DE"/>
        </w:rPr>
      </w:pPr>
    </w:p>
    <w:p w14:paraId="67CA86AF" w14:textId="77777777" w:rsidR="00FE291A" w:rsidRDefault="00C8738F">
      <w:pPr>
        <w:pStyle w:val="BodyText"/>
        <w:widowControl/>
        <w:kinsoku w:val="0"/>
        <w:overflowPunct w:val="0"/>
        <w:ind w:left="0"/>
        <w:rPr>
          <w:lang w:val="de-DE"/>
        </w:rPr>
      </w:pPr>
      <w:r>
        <w:rPr>
          <w:lang w:val="de-DE"/>
        </w:rPr>
        <w:t>In den klinischen Studien aller Indikationen waren Patienten mit erhöhter ALT asymptomatisch, und in den meisten Fällen waren die Erhöhungen vorübergehend und gingen bei fortgesetzter Behandlung zurück. Jedoch gab es nach der Markteinführung auch Berichte über Leberversagen sowie über weniger schwere Leberfunktionsstörungen, die zu Leberversagen führen können, wie z. B. Hepatitis, einschließlich Autoimmunhepatitis, bei Patienten, die Adalimumab erhielten.</w:t>
      </w:r>
    </w:p>
    <w:p w14:paraId="5F9DD08C" w14:textId="77777777" w:rsidR="00FE291A" w:rsidRDefault="00FE291A">
      <w:pPr>
        <w:widowControl/>
        <w:kinsoku w:val="0"/>
        <w:overflowPunct w:val="0"/>
        <w:rPr>
          <w:sz w:val="22"/>
          <w:szCs w:val="22"/>
          <w:lang w:val="de-DE"/>
        </w:rPr>
      </w:pPr>
    </w:p>
    <w:p w14:paraId="4456770E" w14:textId="77777777" w:rsidR="00FE291A" w:rsidRDefault="00C8738F">
      <w:pPr>
        <w:pStyle w:val="BodyText"/>
        <w:keepNext/>
        <w:widowControl/>
        <w:kinsoku w:val="0"/>
        <w:overflowPunct w:val="0"/>
        <w:ind w:left="0"/>
        <w:rPr>
          <w:lang w:val="de-DE"/>
        </w:rPr>
      </w:pPr>
      <w:r>
        <w:rPr>
          <w:u w:val="single"/>
          <w:lang w:val="de-DE"/>
        </w:rPr>
        <w:t>Kombinationstherapie mit Azathioprin/6-Mercaptopurin</w:t>
      </w:r>
    </w:p>
    <w:p w14:paraId="44223904" w14:textId="77777777" w:rsidR="00FE291A" w:rsidRDefault="00FE291A">
      <w:pPr>
        <w:keepNext/>
        <w:widowControl/>
        <w:kinsoku w:val="0"/>
        <w:overflowPunct w:val="0"/>
        <w:rPr>
          <w:sz w:val="22"/>
          <w:szCs w:val="22"/>
          <w:lang w:val="de-DE"/>
        </w:rPr>
      </w:pPr>
    </w:p>
    <w:p w14:paraId="6FF21BA0" w14:textId="77777777" w:rsidR="00FE291A" w:rsidRDefault="00C8738F">
      <w:pPr>
        <w:pStyle w:val="BodyText"/>
        <w:widowControl/>
        <w:kinsoku w:val="0"/>
        <w:overflowPunct w:val="0"/>
        <w:ind w:left="0"/>
        <w:rPr>
          <w:lang w:val="de-DE"/>
        </w:rPr>
      </w:pPr>
      <w:r>
        <w:rPr>
          <w:lang w:val="de-DE"/>
        </w:rPr>
        <w:t>In den Studien mit erwachsenen Morbus-Crohn-Patienten war bei Kombination von Adalimumab mit Azathioprin/6-Mercaptopurin die Inzidenz maligner und schwerwiegender infektiöser Nebenwirkungen im Vergleich zur Adalimumab-Monotherapie höher.</w:t>
      </w:r>
    </w:p>
    <w:p w14:paraId="361ACCC6" w14:textId="77777777" w:rsidR="00FE291A" w:rsidRDefault="00FE291A">
      <w:pPr>
        <w:widowControl/>
        <w:kinsoku w:val="0"/>
        <w:overflowPunct w:val="0"/>
        <w:rPr>
          <w:sz w:val="22"/>
          <w:szCs w:val="22"/>
          <w:lang w:val="de-DE"/>
        </w:rPr>
      </w:pPr>
    </w:p>
    <w:p w14:paraId="3D2EA750" w14:textId="77777777" w:rsidR="00FE291A" w:rsidRDefault="00C8738F">
      <w:pPr>
        <w:pStyle w:val="BodyText"/>
        <w:keepNext/>
        <w:widowControl/>
        <w:kinsoku w:val="0"/>
        <w:overflowPunct w:val="0"/>
        <w:ind w:left="0"/>
        <w:rPr>
          <w:lang w:val="de-DE"/>
        </w:rPr>
      </w:pPr>
      <w:r>
        <w:rPr>
          <w:u w:val="single"/>
          <w:lang w:val="de-DE"/>
        </w:rPr>
        <w:t>Meldung des Verdachts auf Nebenwirkungen</w:t>
      </w:r>
    </w:p>
    <w:p w14:paraId="41D58AAB" w14:textId="77777777" w:rsidR="00FE291A" w:rsidRDefault="00FE291A">
      <w:pPr>
        <w:keepNext/>
        <w:widowControl/>
        <w:kinsoku w:val="0"/>
        <w:overflowPunct w:val="0"/>
        <w:rPr>
          <w:sz w:val="22"/>
          <w:szCs w:val="22"/>
          <w:lang w:val="de-DE"/>
        </w:rPr>
      </w:pPr>
    </w:p>
    <w:p w14:paraId="38359D76" w14:textId="77777777" w:rsidR="00FE291A" w:rsidRDefault="00C8738F">
      <w:pPr>
        <w:pStyle w:val="BodyText"/>
        <w:widowControl/>
        <w:kinsoku w:val="0"/>
        <w:overflowPunct w:val="0"/>
        <w:ind w:left="0"/>
        <w:rPr>
          <w:color w:val="000000"/>
          <w:lang w:val="de-DE"/>
        </w:rPr>
      </w:pPr>
      <w:r>
        <w:rPr>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Pr>
          <w:highlight w:val="lightGray"/>
          <w:lang w:val="de-DE"/>
        </w:rPr>
        <w:t xml:space="preserve">das in </w:t>
      </w:r>
      <w:r>
        <w:fldChar w:fldCharType="begin"/>
      </w:r>
      <w:r w:rsidRPr="00F076DE">
        <w:rPr>
          <w:lang w:val="de-DE"/>
          <w:rPrChange w:id="36" w:author="Author">
            <w:rPr/>
          </w:rPrChange>
        </w:rPr>
        <w:instrText>HYPERLINK "https://www.ema.europa.eu/en/documents/template-form/qrd-appendix-v-adverse-drug-reaction-reporting-details_en.docx" \h</w:instrText>
      </w:r>
      <w:r>
        <w:fldChar w:fldCharType="separate"/>
      </w:r>
      <w:r>
        <w:rPr>
          <w:rStyle w:val="Hyperlink"/>
          <w:rFonts w:eastAsia="Times New Roman"/>
          <w:color w:val="0000FF"/>
          <w:szCs w:val="20"/>
          <w:highlight w:val="lightGray"/>
          <w:lang w:val="de-DE" w:eastAsia="de-DE" w:bidi="de-DE"/>
        </w:rPr>
        <w:t>Anhang V</w:t>
      </w:r>
      <w:r>
        <w:fldChar w:fldCharType="end"/>
      </w:r>
      <w:r>
        <w:rPr>
          <w:rStyle w:val="Hyperlink"/>
          <w:color w:val="auto"/>
          <w:highlight w:val="lightGray"/>
          <w:u w:val="none"/>
          <w:lang w:val="de-DE"/>
        </w:rPr>
        <w:t xml:space="preserve"> </w:t>
      </w:r>
      <w:r>
        <w:rPr>
          <w:color w:val="000000"/>
          <w:highlight w:val="lightGray"/>
          <w:lang w:val="de-DE"/>
        </w:rPr>
        <w:t>aufgeführte nationale Meldesystem</w:t>
      </w:r>
      <w:r>
        <w:rPr>
          <w:color w:val="000000"/>
          <w:lang w:val="de-DE"/>
        </w:rPr>
        <w:t xml:space="preserve"> anzuzeigen.</w:t>
      </w:r>
    </w:p>
    <w:p w14:paraId="7BE67B73" w14:textId="77777777" w:rsidR="00FE291A" w:rsidRDefault="00FE291A">
      <w:pPr>
        <w:widowControl/>
        <w:kinsoku w:val="0"/>
        <w:overflowPunct w:val="0"/>
        <w:rPr>
          <w:sz w:val="22"/>
          <w:szCs w:val="22"/>
          <w:lang w:val="de-DE"/>
        </w:rPr>
      </w:pPr>
    </w:p>
    <w:p w14:paraId="541AE4D6" w14:textId="77777777" w:rsidR="00FE291A" w:rsidRDefault="00C8738F">
      <w:pPr>
        <w:pStyle w:val="Heading1"/>
        <w:keepNext/>
        <w:widowControl/>
        <w:tabs>
          <w:tab w:val="left" w:pos="567"/>
        </w:tabs>
        <w:kinsoku w:val="0"/>
        <w:overflowPunct w:val="0"/>
        <w:ind w:left="0"/>
        <w:rPr>
          <w:b w:val="0"/>
          <w:bCs w:val="0"/>
          <w:lang w:val="de-DE"/>
        </w:rPr>
      </w:pPr>
      <w:r>
        <w:rPr>
          <w:lang w:val="de-DE"/>
        </w:rPr>
        <w:t>4.9</w:t>
      </w:r>
      <w:r>
        <w:rPr>
          <w:lang w:val="de-DE"/>
        </w:rPr>
        <w:tab/>
        <w:t>Überdosierung</w:t>
      </w:r>
    </w:p>
    <w:p w14:paraId="26C9BB89" w14:textId="77777777" w:rsidR="00FE291A" w:rsidRDefault="00FE291A">
      <w:pPr>
        <w:keepNext/>
        <w:widowControl/>
        <w:kinsoku w:val="0"/>
        <w:overflowPunct w:val="0"/>
        <w:rPr>
          <w:sz w:val="22"/>
          <w:szCs w:val="22"/>
          <w:lang w:val="de-DE"/>
        </w:rPr>
      </w:pPr>
    </w:p>
    <w:p w14:paraId="242C4FC9" w14:textId="77777777" w:rsidR="00FE291A" w:rsidRDefault="00C8738F">
      <w:pPr>
        <w:pStyle w:val="BodyText"/>
        <w:widowControl/>
        <w:kinsoku w:val="0"/>
        <w:overflowPunct w:val="0"/>
        <w:ind w:left="0"/>
        <w:rPr>
          <w:lang w:val="de-DE"/>
        </w:rPr>
      </w:pPr>
      <w:r>
        <w:rPr>
          <w:lang w:val="de-DE"/>
        </w:rPr>
        <w:t>Während der klinischen Studien wurde keine dosisbegrenzende Toxizität beobachtet. Die höchste untersuchte Dosierung lag bei intravenösen Mehrfachdosen von 10 mg/kg. Dies ist ungefähr 15-mal höher als die empfohlene Dosis.</w:t>
      </w:r>
    </w:p>
    <w:p w14:paraId="52FDA3C4" w14:textId="77777777" w:rsidR="00FE291A" w:rsidRDefault="00FE291A">
      <w:pPr>
        <w:pStyle w:val="BodyText"/>
        <w:widowControl/>
        <w:kinsoku w:val="0"/>
        <w:overflowPunct w:val="0"/>
        <w:ind w:left="0"/>
        <w:rPr>
          <w:lang w:val="de-DE"/>
        </w:rPr>
      </w:pPr>
    </w:p>
    <w:p w14:paraId="6780768F" w14:textId="77777777" w:rsidR="00FE291A" w:rsidRDefault="00FE291A">
      <w:pPr>
        <w:pStyle w:val="BodyText"/>
        <w:widowControl/>
        <w:kinsoku w:val="0"/>
        <w:overflowPunct w:val="0"/>
        <w:ind w:left="0"/>
        <w:rPr>
          <w:lang w:val="de-DE"/>
        </w:rPr>
      </w:pPr>
    </w:p>
    <w:p w14:paraId="46513C6B" w14:textId="77777777" w:rsidR="00FE291A" w:rsidRDefault="00C8738F">
      <w:pPr>
        <w:pStyle w:val="Heading1"/>
        <w:keepNext/>
        <w:widowControl/>
        <w:numPr>
          <w:ilvl w:val="0"/>
          <w:numId w:val="14"/>
        </w:numPr>
        <w:tabs>
          <w:tab w:val="left" w:pos="567"/>
        </w:tabs>
        <w:kinsoku w:val="0"/>
        <w:overflowPunct w:val="0"/>
        <w:ind w:left="0" w:firstLine="0"/>
        <w:rPr>
          <w:b w:val="0"/>
          <w:bCs w:val="0"/>
          <w:lang w:val="de-DE"/>
        </w:rPr>
      </w:pPr>
      <w:r>
        <w:rPr>
          <w:lang w:val="de-DE"/>
        </w:rPr>
        <w:t>PHARMAKOLOGISCHE EIGENSCHAFTEN</w:t>
      </w:r>
    </w:p>
    <w:p w14:paraId="3587A100" w14:textId="77777777" w:rsidR="00FE291A" w:rsidRDefault="00FE291A">
      <w:pPr>
        <w:keepNext/>
        <w:widowControl/>
        <w:kinsoku w:val="0"/>
        <w:overflowPunct w:val="0"/>
        <w:rPr>
          <w:sz w:val="22"/>
          <w:szCs w:val="26"/>
          <w:lang w:val="de-DE"/>
        </w:rPr>
      </w:pPr>
    </w:p>
    <w:p w14:paraId="2F384575" w14:textId="77777777" w:rsidR="00FE291A" w:rsidRDefault="00C8738F">
      <w:pPr>
        <w:keepNext/>
        <w:widowControl/>
        <w:numPr>
          <w:ilvl w:val="1"/>
          <w:numId w:val="14"/>
        </w:numPr>
        <w:tabs>
          <w:tab w:val="left" w:pos="567"/>
        </w:tabs>
        <w:kinsoku w:val="0"/>
        <w:overflowPunct w:val="0"/>
        <w:ind w:firstLine="0"/>
        <w:rPr>
          <w:sz w:val="22"/>
          <w:szCs w:val="22"/>
          <w:lang w:val="de-DE"/>
        </w:rPr>
      </w:pPr>
      <w:r>
        <w:rPr>
          <w:b/>
          <w:bCs/>
          <w:sz w:val="22"/>
          <w:szCs w:val="22"/>
          <w:lang w:val="de-DE"/>
        </w:rPr>
        <w:t>Pharmakodynamische Eigenschaften</w:t>
      </w:r>
    </w:p>
    <w:p w14:paraId="1CCD65C9" w14:textId="77777777" w:rsidR="00FE291A" w:rsidRDefault="00FE291A">
      <w:pPr>
        <w:keepNext/>
        <w:widowControl/>
        <w:kinsoku w:val="0"/>
        <w:overflowPunct w:val="0"/>
        <w:rPr>
          <w:sz w:val="22"/>
          <w:szCs w:val="22"/>
          <w:lang w:val="de-DE"/>
        </w:rPr>
      </w:pPr>
    </w:p>
    <w:p w14:paraId="0EC6800D" w14:textId="77777777" w:rsidR="00FE291A" w:rsidRDefault="00C8738F">
      <w:pPr>
        <w:pStyle w:val="BodyText"/>
        <w:widowControl/>
        <w:kinsoku w:val="0"/>
        <w:overflowPunct w:val="0"/>
        <w:ind w:left="0"/>
        <w:rPr>
          <w:lang w:val="de-DE"/>
        </w:rPr>
      </w:pPr>
      <w:r>
        <w:rPr>
          <w:lang w:val="de-DE"/>
        </w:rPr>
        <w:t>Pharmakotherapeutische Gruppe: Immunsuppressiva, Tumornekrosefaktor-alpha(TNF-alpha)-Inhibitoren. ATC-Code: L04AB04</w:t>
      </w:r>
    </w:p>
    <w:p w14:paraId="702B36C1" w14:textId="77777777" w:rsidR="00FE291A" w:rsidRDefault="00FE291A">
      <w:pPr>
        <w:pStyle w:val="BodyText"/>
        <w:widowControl/>
        <w:kinsoku w:val="0"/>
        <w:overflowPunct w:val="0"/>
        <w:ind w:left="0"/>
        <w:rPr>
          <w:lang w:val="de-DE"/>
        </w:rPr>
      </w:pPr>
    </w:p>
    <w:p w14:paraId="44E0879E" w14:textId="77777777" w:rsidR="00FE291A" w:rsidRDefault="00C8738F">
      <w:pPr>
        <w:pStyle w:val="BodyText"/>
        <w:widowControl/>
        <w:kinsoku w:val="0"/>
        <w:overflowPunct w:val="0"/>
        <w:ind w:left="0"/>
        <w:rPr>
          <w:lang w:val="de-DE"/>
        </w:rPr>
      </w:pPr>
      <w:r>
        <w:rPr>
          <w:lang w:val="de-DE"/>
        </w:rPr>
        <w:t xml:space="preserve">AMGEVITA ist ein biotechnologisch hergestelltes Arzneimittel, das im Wesentlichen einem bereits zugelassenen Arzneimittel gleicht. Ausführliche Informationen sind auf den Internetseiten der Europäischen Arzneimittel-Agentur </w:t>
      </w:r>
      <w:r>
        <w:fldChar w:fldCharType="begin"/>
      </w:r>
      <w:r w:rsidRPr="00F076DE">
        <w:rPr>
          <w:lang w:val="de-DE"/>
          <w:rPrChange w:id="37" w:author="Author">
            <w:rPr/>
          </w:rPrChange>
        </w:rPr>
        <w:instrText>HYPERLINK "https://www.ema.europa.eu"</w:instrText>
      </w:r>
      <w:r>
        <w:fldChar w:fldCharType="separate"/>
      </w:r>
      <w:r>
        <w:rPr>
          <w:rStyle w:val="Hyperlink"/>
          <w:color w:val="0000FF"/>
          <w:lang w:val="de-DE" w:eastAsia="en-US"/>
        </w:rPr>
        <w:t>https://www.ema.europa.eu</w:t>
      </w:r>
      <w:r>
        <w:fldChar w:fldCharType="end"/>
      </w:r>
      <w:r>
        <w:rPr>
          <w:rStyle w:val="Hyperlink"/>
          <w:color w:val="auto"/>
          <w:u w:val="none"/>
          <w:lang w:val="de-DE"/>
        </w:rPr>
        <w:t xml:space="preserve"> </w:t>
      </w:r>
      <w:r>
        <w:rPr>
          <w:lang w:val="de-DE"/>
        </w:rPr>
        <w:t>verfügbar.</w:t>
      </w:r>
    </w:p>
    <w:p w14:paraId="74BF9BD3" w14:textId="77777777" w:rsidR="00FE291A" w:rsidRDefault="00FE291A">
      <w:pPr>
        <w:widowControl/>
        <w:kinsoku w:val="0"/>
        <w:overflowPunct w:val="0"/>
        <w:rPr>
          <w:sz w:val="22"/>
          <w:szCs w:val="22"/>
          <w:lang w:val="de-DE"/>
        </w:rPr>
      </w:pPr>
    </w:p>
    <w:p w14:paraId="75C9EF46" w14:textId="77777777" w:rsidR="00FE291A" w:rsidRDefault="00C8738F">
      <w:pPr>
        <w:pStyle w:val="BodyText"/>
        <w:keepNext/>
        <w:widowControl/>
        <w:kinsoku w:val="0"/>
        <w:overflowPunct w:val="0"/>
        <w:ind w:left="0"/>
        <w:rPr>
          <w:lang w:val="de-DE"/>
        </w:rPr>
      </w:pPr>
      <w:r>
        <w:rPr>
          <w:u w:val="single"/>
          <w:lang w:val="de-DE"/>
        </w:rPr>
        <w:t>Wirkmechanismus</w:t>
      </w:r>
    </w:p>
    <w:p w14:paraId="5EED59EC" w14:textId="77777777" w:rsidR="00FE291A" w:rsidRDefault="00FE291A">
      <w:pPr>
        <w:keepNext/>
        <w:widowControl/>
        <w:kinsoku w:val="0"/>
        <w:overflowPunct w:val="0"/>
        <w:rPr>
          <w:sz w:val="22"/>
          <w:szCs w:val="22"/>
          <w:lang w:val="de-DE"/>
        </w:rPr>
      </w:pPr>
    </w:p>
    <w:p w14:paraId="529F9890" w14:textId="77777777" w:rsidR="00FE291A" w:rsidRDefault="00C8738F">
      <w:pPr>
        <w:pStyle w:val="BodyText"/>
        <w:widowControl/>
        <w:kinsoku w:val="0"/>
        <w:overflowPunct w:val="0"/>
        <w:ind w:left="0"/>
        <w:rPr>
          <w:lang w:val="de-DE"/>
        </w:rPr>
      </w:pPr>
      <w:r>
        <w:rPr>
          <w:lang w:val="de-DE"/>
        </w:rPr>
        <w:t>Adalimumab bindet spezifisch an TNF und neutralisiert dessen biologische Funktion, indem es die Interaktion mit den zellständigen p55- und p75-TNF-Rezeptoren blockiert.</w:t>
      </w:r>
    </w:p>
    <w:p w14:paraId="4FACA062" w14:textId="77777777" w:rsidR="00FE291A" w:rsidRDefault="00FE291A">
      <w:pPr>
        <w:widowControl/>
        <w:kinsoku w:val="0"/>
        <w:overflowPunct w:val="0"/>
        <w:rPr>
          <w:sz w:val="22"/>
          <w:szCs w:val="22"/>
          <w:lang w:val="de-DE"/>
        </w:rPr>
      </w:pPr>
    </w:p>
    <w:p w14:paraId="2C91A1CD" w14:textId="77777777" w:rsidR="00FE291A" w:rsidRDefault="00C8738F">
      <w:pPr>
        <w:pStyle w:val="BodyText"/>
        <w:widowControl/>
        <w:kinsoku w:val="0"/>
        <w:overflowPunct w:val="0"/>
        <w:ind w:left="0"/>
        <w:rPr>
          <w:lang w:val="de-DE"/>
        </w:rPr>
      </w:pPr>
      <w:r>
        <w:rPr>
          <w:lang w:val="de-DE"/>
        </w:rPr>
        <w:t>Adalimumab beeinflusst weiterhin biologische Reaktionen, die durch TNF ausgelöst oder gesteuert werden, einschließlich der Veränderungen der Konzentrationen von für die Leukozytenmigration verantwortlichen Adhäsionsmolekülen (ELAM-1, VCAM-1 und ICAM-1 mit einem IC</w:t>
      </w:r>
      <w:r>
        <w:rPr>
          <w:vertAlign w:val="subscript"/>
          <w:lang w:val="de-DE"/>
        </w:rPr>
        <w:t>50</w:t>
      </w:r>
      <w:r>
        <w:rPr>
          <w:position w:val="-3"/>
          <w:lang w:val="de-DE"/>
        </w:rPr>
        <w:t xml:space="preserve"> </w:t>
      </w:r>
      <w:r>
        <w:rPr>
          <w:lang w:val="de-DE"/>
        </w:rPr>
        <w:t>von 0,1 </w:t>
      </w:r>
      <w:r>
        <w:rPr>
          <w:lang w:val="de-DE"/>
        </w:rPr>
        <w:noBreakHyphen/>
        <w:t> 0,2 nM).</w:t>
      </w:r>
    </w:p>
    <w:p w14:paraId="69F8F2E9" w14:textId="77777777" w:rsidR="00FE291A" w:rsidRDefault="00FE291A">
      <w:pPr>
        <w:widowControl/>
        <w:kinsoku w:val="0"/>
        <w:overflowPunct w:val="0"/>
        <w:rPr>
          <w:sz w:val="22"/>
          <w:szCs w:val="22"/>
          <w:lang w:val="de-DE"/>
        </w:rPr>
      </w:pPr>
    </w:p>
    <w:p w14:paraId="0E8BD2C1" w14:textId="77777777" w:rsidR="00FE291A" w:rsidRDefault="00C8738F">
      <w:pPr>
        <w:pStyle w:val="BodyText"/>
        <w:keepNext/>
        <w:widowControl/>
        <w:kinsoku w:val="0"/>
        <w:overflowPunct w:val="0"/>
        <w:ind w:left="0"/>
        <w:rPr>
          <w:lang w:val="de-DE"/>
        </w:rPr>
      </w:pPr>
      <w:r>
        <w:rPr>
          <w:u w:val="single"/>
          <w:lang w:val="de-DE"/>
        </w:rPr>
        <w:t>Pharmakodynamische Wirkungen</w:t>
      </w:r>
    </w:p>
    <w:p w14:paraId="2520DE21" w14:textId="77777777" w:rsidR="00FE291A" w:rsidRDefault="00FE291A">
      <w:pPr>
        <w:keepNext/>
        <w:widowControl/>
        <w:kinsoku w:val="0"/>
        <w:overflowPunct w:val="0"/>
        <w:rPr>
          <w:sz w:val="22"/>
          <w:szCs w:val="22"/>
          <w:lang w:val="de-DE"/>
        </w:rPr>
      </w:pPr>
    </w:p>
    <w:p w14:paraId="78F64B50" w14:textId="77777777" w:rsidR="00FE291A" w:rsidRDefault="00C8738F">
      <w:pPr>
        <w:pStyle w:val="BodyText"/>
        <w:widowControl/>
        <w:kinsoku w:val="0"/>
        <w:overflowPunct w:val="0"/>
        <w:ind w:left="0"/>
        <w:rPr>
          <w:lang w:val="de-DE"/>
        </w:rPr>
      </w:pPr>
      <w:r>
        <w:rPr>
          <w:lang w:val="de-DE"/>
        </w:rPr>
        <w:t>Nach Behandlung mit Adalimumab wurde bei Patienten mit rheumatoider Arthritis eine im Vergleich zu den Ausgangswerten rasche Konzentrationsabnahme der Akute-Phase-Entzündungsparameter (C</w:t>
      </w:r>
      <w:r>
        <w:rPr>
          <w:lang w:val="de-DE"/>
        </w:rPr>
        <w:noBreakHyphen/>
        <w:t>reaktives Protein (CRP) und Blutsenkungsgeschwindigkeit (BSG)) und der Serumzytokine (IL-6) beobachtet. Die Serumspiegel von Matrixmetalloproteinasen (MMP-1 und MMP-3), die die für die Knorpelzerstörung verantwortliche Gewebsumwandlung hervorrufen, waren nach der Verabreichung von Adalimumab ebenfalls vermindert. Bei mit Adalimumab behandelten Patienten besserte sich im Allgemeinen die mit einer chronischen Entzündung einhergehende Veränderung der Blutwerte.</w:t>
      </w:r>
    </w:p>
    <w:p w14:paraId="1BB4262A" w14:textId="77777777" w:rsidR="00FE291A" w:rsidRDefault="00FE291A">
      <w:pPr>
        <w:widowControl/>
        <w:kinsoku w:val="0"/>
        <w:overflowPunct w:val="0"/>
        <w:rPr>
          <w:sz w:val="22"/>
          <w:szCs w:val="22"/>
          <w:lang w:val="de-DE"/>
        </w:rPr>
      </w:pPr>
    </w:p>
    <w:p w14:paraId="6928D486" w14:textId="77777777" w:rsidR="00FE291A" w:rsidRDefault="00C8738F">
      <w:pPr>
        <w:pStyle w:val="BodyText"/>
        <w:widowControl/>
        <w:kinsoku w:val="0"/>
        <w:overflowPunct w:val="0"/>
        <w:ind w:left="0"/>
        <w:rPr>
          <w:lang w:val="de-DE"/>
        </w:rPr>
      </w:pPr>
      <w:r>
        <w:rPr>
          <w:lang w:val="de-DE"/>
        </w:rPr>
        <w:t>Ein schneller Rückgang der CRP-Werte wurde auch bei Patienten mit polyartikulärer juveniler idiopathischer Arthritis, Morbus Crohn, Colitis ulcerosa und Hidradenitis suppurativa nach Behandlung mit Adalimumab beobachtet. Bei Morbus-Crohn-Patienten wurde die Zahl der Zellen, die Entzündungsmarker im Kolon exprimieren, reduziert (einschließlich einer signifikanten Reduzierung der TNF-alpha-Expression). Endoskopiestudien an intestinaler Mukosa zeigten, dass die Mukosa bei Patienten, die mit Adalimumab behandelt wurden, abheilte.</w:t>
      </w:r>
    </w:p>
    <w:p w14:paraId="5E6E0C84" w14:textId="77777777" w:rsidR="00FE291A" w:rsidRDefault="00FE291A">
      <w:pPr>
        <w:widowControl/>
        <w:kinsoku w:val="0"/>
        <w:overflowPunct w:val="0"/>
        <w:rPr>
          <w:sz w:val="22"/>
          <w:szCs w:val="22"/>
          <w:lang w:val="de-DE"/>
        </w:rPr>
      </w:pPr>
    </w:p>
    <w:p w14:paraId="3EE31D1D" w14:textId="77777777" w:rsidR="00FE291A" w:rsidRDefault="00C8738F">
      <w:pPr>
        <w:pStyle w:val="BodyText"/>
        <w:keepNext/>
        <w:widowControl/>
        <w:kinsoku w:val="0"/>
        <w:overflowPunct w:val="0"/>
        <w:ind w:left="0"/>
        <w:rPr>
          <w:lang w:val="de-DE"/>
        </w:rPr>
      </w:pPr>
      <w:r>
        <w:rPr>
          <w:u w:val="single"/>
          <w:lang w:val="de-DE"/>
        </w:rPr>
        <w:t>Klinische Wirksamkeit und Sicherheit</w:t>
      </w:r>
    </w:p>
    <w:p w14:paraId="29E0B05D" w14:textId="77777777" w:rsidR="00FE291A" w:rsidRDefault="00FE291A">
      <w:pPr>
        <w:keepNext/>
        <w:widowControl/>
        <w:kinsoku w:val="0"/>
        <w:overflowPunct w:val="0"/>
        <w:rPr>
          <w:sz w:val="22"/>
          <w:szCs w:val="22"/>
          <w:lang w:val="de-DE"/>
        </w:rPr>
      </w:pPr>
    </w:p>
    <w:p w14:paraId="2BDA968F" w14:textId="77777777" w:rsidR="00FE291A" w:rsidRDefault="00C8738F">
      <w:pPr>
        <w:keepNext/>
        <w:widowControl/>
        <w:kinsoku w:val="0"/>
        <w:overflowPunct w:val="0"/>
        <w:rPr>
          <w:sz w:val="22"/>
          <w:szCs w:val="22"/>
          <w:lang w:val="de-DE"/>
        </w:rPr>
      </w:pPr>
      <w:r>
        <w:rPr>
          <w:i/>
          <w:iCs/>
          <w:sz w:val="22"/>
          <w:szCs w:val="22"/>
          <w:lang w:val="de-DE"/>
        </w:rPr>
        <w:t>Rheumatoide Arthritis</w:t>
      </w:r>
    </w:p>
    <w:p w14:paraId="7BCEBD51" w14:textId="77777777" w:rsidR="00FE291A" w:rsidRDefault="00FE291A">
      <w:pPr>
        <w:keepNext/>
        <w:widowControl/>
        <w:kinsoku w:val="0"/>
        <w:overflowPunct w:val="0"/>
        <w:rPr>
          <w:sz w:val="22"/>
          <w:szCs w:val="22"/>
          <w:lang w:val="de-DE"/>
        </w:rPr>
      </w:pPr>
    </w:p>
    <w:p w14:paraId="4541D6AB" w14:textId="77777777" w:rsidR="00FE291A" w:rsidRDefault="00C8738F">
      <w:pPr>
        <w:pStyle w:val="BodyText"/>
        <w:widowControl/>
        <w:kinsoku w:val="0"/>
        <w:overflowPunct w:val="0"/>
        <w:ind w:left="0"/>
        <w:rPr>
          <w:lang w:val="de-DE"/>
        </w:rPr>
      </w:pPr>
      <w:r>
        <w:rPr>
          <w:lang w:val="de-DE"/>
        </w:rPr>
        <w:t>Im Rahmen aller klinischen Studien bei rheumatoider Arthritis wurde Adalimumab bei mehr als 3 000 Patienten untersucht. Die Wirksamkeit und Sicherheit von Adalimumab wurden in fünf randomisierten, doppelblinden und gut kontrollierten Studien untersucht. Einige Patienten wurden über einen Zeitraum von bis zu 120 Monaten behandelt.</w:t>
      </w:r>
    </w:p>
    <w:p w14:paraId="09D53CE9" w14:textId="77777777" w:rsidR="00FE291A" w:rsidRDefault="00FE291A">
      <w:pPr>
        <w:widowControl/>
        <w:kinsoku w:val="0"/>
        <w:overflowPunct w:val="0"/>
        <w:rPr>
          <w:sz w:val="22"/>
          <w:szCs w:val="22"/>
          <w:lang w:val="de-DE"/>
        </w:rPr>
      </w:pPr>
    </w:p>
    <w:p w14:paraId="548E6181" w14:textId="77777777" w:rsidR="00FE291A" w:rsidRDefault="00C8738F">
      <w:pPr>
        <w:pStyle w:val="BodyText"/>
        <w:widowControl/>
        <w:kinsoku w:val="0"/>
        <w:overflowPunct w:val="0"/>
        <w:ind w:left="0"/>
        <w:rPr>
          <w:lang w:val="de-DE"/>
        </w:rPr>
      </w:pPr>
      <w:r>
        <w:rPr>
          <w:lang w:val="de-DE"/>
        </w:rPr>
        <w:t>In der RA-Studie I wurden 271 Patienten mit mäßiger bis schwerer, aktiver rheumatoider Arthritis untersucht. Die Patienten waren ≥ 18 Jahre alt, die Behandlung mit mindestens einem krankheitsmodifizierenden Antirheumatikum war fehlgeschlagen, Methotrexat in Dosen von 12,5 bis 25 mg (10 mg bei Methotrexat-Intoleranz) pro Woche zeigte eine unzureichende Wirkung, und die Methotrexat-Dosis lag gleichbleibend bei 10 bis 25 mg pro Woche. Während eines Zeitraums von 24 Wochen wurden jede zweite Woche Dosen von 20, 40 oder 80 mg Adalimumab oder Placebo verabreicht.</w:t>
      </w:r>
    </w:p>
    <w:p w14:paraId="753F67CE" w14:textId="77777777" w:rsidR="00FE291A" w:rsidRDefault="00FE291A">
      <w:pPr>
        <w:widowControl/>
        <w:kinsoku w:val="0"/>
        <w:overflowPunct w:val="0"/>
        <w:rPr>
          <w:sz w:val="22"/>
          <w:szCs w:val="22"/>
          <w:lang w:val="de-DE"/>
        </w:rPr>
      </w:pPr>
    </w:p>
    <w:p w14:paraId="1C7E30CA" w14:textId="77777777" w:rsidR="00FE291A" w:rsidRDefault="00C8738F">
      <w:pPr>
        <w:pStyle w:val="BodyText"/>
        <w:widowControl/>
        <w:kinsoku w:val="0"/>
        <w:overflowPunct w:val="0"/>
        <w:ind w:left="0"/>
        <w:rPr>
          <w:lang w:val="de-DE"/>
        </w:rPr>
      </w:pPr>
      <w:r>
        <w:rPr>
          <w:lang w:val="de-DE"/>
        </w:rPr>
        <w:t>An der RA-Studie II nahmen 544 Patienten mit mäßiger bis schwerer, aktiver rheumatoider Arthritis teil. Die Patienten waren ≥ 18 Jahre alt, und die Behandlung mit mindestens einem krankheitsmodifizierenden Antirheumatikum war fehlgeschlagen. Adalimumab wurde über 26 Wochen als subkutane Injektion in Dosen von 20 mg oder 40 mg jede zweite Woche mit Placeboinjektion in den dazwischen liegenden Wochen oder in Dosen von 20 mg oder 40 mg wöchentlich verabreicht; Placebo wurde während desselben Zeitraums wöchentlich verabreicht. Andere krankheitsmodifizierende Antirheumatika waren nicht erlaubt.</w:t>
      </w:r>
    </w:p>
    <w:p w14:paraId="30227F0A" w14:textId="77777777" w:rsidR="00FE291A" w:rsidRDefault="00FE291A">
      <w:pPr>
        <w:widowControl/>
        <w:kinsoku w:val="0"/>
        <w:overflowPunct w:val="0"/>
        <w:rPr>
          <w:sz w:val="22"/>
          <w:szCs w:val="22"/>
          <w:lang w:val="de-DE"/>
        </w:rPr>
      </w:pPr>
    </w:p>
    <w:p w14:paraId="36706B50" w14:textId="77777777" w:rsidR="00FE291A" w:rsidRDefault="00C8738F">
      <w:pPr>
        <w:pStyle w:val="BodyText"/>
        <w:widowControl/>
        <w:kinsoku w:val="0"/>
        <w:overflowPunct w:val="0"/>
        <w:ind w:left="0"/>
        <w:rPr>
          <w:lang w:val="de-DE"/>
        </w:rPr>
      </w:pPr>
      <w:r>
        <w:rPr>
          <w:lang w:val="de-DE"/>
        </w:rPr>
        <w:t>Die RA-Studie III wurde bei 619 Patienten mit mäßiger bis schwerer, aktiver rheumatoider Arthritis durchgeführt, die ≥ 18 Jahre alt waren und die ein unzureichendes Ansprechen auf Methotrexat in Dosen von 12,5 bis 25 mg pro Woche oder eine Unverträglichkeit gegenüber 10 mg Methotrexat pro Woche aufwiesen. Es gab in dieser Studie drei Behandlungsgruppen. Die erste Gruppe erhielt über einen Zeitraum von 52 Wochen wöchentlich eine Placebo-Injektion. Die zweite Gruppe wurde 52 Wochen lang mit wöchentlich 20 mg Adalimumab behandelt. Die dritte Gruppe erhielt jede zweite Woche 40 mg Adalimumab mit Placeboinjektionen in den dazwischen liegenden Wochen. Nach Abschluss der ersten 52 Wochen wurden 457 Patienten in eine offene Fortsetzungsphase überführt und erhielten bis zu 10 Jahre lang jede zweite Woche 40 mg Adalimumab/MTX.</w:t>
      </w:r>
    </w:p>
    <w:p w14:paraId="11D1BD3F" w14:textId="77777777" w:rsidR="00FE291A" w:rsidRDefault="00FE291A">
      <w:pPr>
        <w:widowControl/>
        <w:kinsoku w:val="0"/>
        <w:overflowPunct w:val="0"/>
        <w:rPr>
          <w:sz w:val="22"/>
          <w:szCs w:val="22"/>
          <w:lang w:val="de-DE"/>
        </w:rPr>
      </w:pPr>
    </w:p>
    <w:p w14:paraId="3655E3EB" w14:textId="77777777" w:rsidR="00FE291A" w:rsidRDefault="00C8738F">
      <w:pPr>
        <w:pStyle w:val="BodyText"/>
        <w:widowControl/>
        <w:kinsoku w:val="0"/>
        <w:overflowPunct w:val="0"/>
        <w:ind w:left="0"/>
        <w:rPr>
          <w:lang w:val="de-DE"/>
        </w:rPr>
      </w:pPr>
      <w:r>
        <w:rPr>
          <w:lang w:val="de-DE"/>
        </w:rPr>
        <w:t>In der RA-Studie IV wurde die Sicherheit bei 636 Patienten mit mäßiger bis schwerer aktiver rheumatoider Arthritis untersucht. Die Patienten waren ≥ 18 Jahre alt und wiesen keine vorherige Therapie mit krankheitsmodifizierenden Antirheumatika auf oder durften ihre bestehende antirheumatische Therapie beibehalten, vorausgesetzt, die Therapie war seit mindestens 28 Tagen unverändert. Diese Therapien schließen Methotrexat, Leflunomid, Hydroxychloroquin, Sulfasalazin und/oder Goldsalze ein. Nach Randomisierung erhielten die Patienten über einen Zeitraum von 24 Wochen jede zweite Woche 40 mg Adalimumab oder Placebo.</w:t>
      </w:r>
    </w:p>
    <w:p w14:paraId="18157388" w14:textId="77777777" w:rsidR="00FE291A" w:rsidRDefault="00FE291A">
      <w:pPr>
        <w:widowControl/>
        <w:kinsoku w:val="0"/>
        <w:overflowPunct w:val="0"/>
        <w:rPr>
          <w:sz w:val="22"/>
          <w:szCs w:val="22"/>
          <w:lang w:val="de-DE"/>
        </w:rPr>
      </w:pPr>
    </w:p>
    <w:p w14:paraId="09FDF4FD" w14:textId="77777777" w:rsidR="00FE291A" w:rsidRDefault="00C8738F">
      <w:pPr>
        <w:pStyle w:val="BodyText"/>
        <w:widowControl/>
        <w:kinsoku w:val="0"/>
        <w:overflowPunct w:val="0"/>
        <w:ind w:left="0"/>
        <w:rPr>
          <w:lang w:val="de-DE"/>
        </w:rPr>
      </w:pPr>
      <w:r>
        <w:rPr>
          <w:lang w:val="de-DE"/>
        </w:rPr>
        <w:t>In die RA-Studie V wurden 799 erwachsene Methotrexat-naive Patienten mit mäßiger bis schwerer aktiver früher rheumatoider Arthritis (mittlere Erkrankungsdauer weniger als 9 Monate) eingeschlossen. Diese Studie untersuchte die Wirksamkeit von Adalimumab 40 mg jede zweite Woche in Kombination mit Methotrexat, von Adalimumab 40 mg jede zweite Woche als Monotherapie und von Methotrexat als Monotherapie im Hinblick auf die Verringerung der klinischen Anzeichen und Symptome sowie des Fortschreitens der Gelenkschädigung bei rheumatoider Arthritis über einen Zeitraum von 104 Wochen. Nach Abschluss der ersten 104 Wochen wurden 497 Patienten in eine bis zu 10-jährige offene Fortsetzungsphase überführt, in der sie alle zwei Wochen 40 mg Adalimumab erhielten.</w:t>
      </w:r>
    </w:p>
    <w:p w14:paraId="6EAC3372" w14:textId="77777777" w:rsidR="00FE291A" w:rsidRDefault="00FE291A">
      <w:pPr>
        <w:widowControl/>
        <w:kinsoku w:val="0"/>
        <w:overflowPunct w:val="0"/>
        <w:rPr>
          <w:sz w:val="22"/>
          <w:szCs w:val="22"/>
          <w:lang w:val="de-DE"/>
        </w:rPr>
      </w:pPr>
    </w:p>
    <w:p w14:paraId="5F3E9CB1" w14:textId="77777777" w:rsidR="00FE291A" w:rsidRDefault="00C8738F">
      <w:pPr>
        <w:pStyle w:val="BodyText"/>
        <w:widowControl/>
        <w:kinsoku w:val="0"/>
        <w:overflowPunct w:val="0"/>
        <w:ind w:left="0"/>
        <w:rPr>
          <w:lang w:val="de-DE"/>
        </w:rPr>
      </w:pPr>
      <w:r>
        <w:rPr>
          <w:lang w:val="de-DE"/>
        </w:rPr>
        <w:t>Der primäre Endpunkt der RA-Studien I, II und III und der sekundäre Endpunkt der RA-Studie IV war der prozentuale Anteil derjenigen Patienten, die nach 24 bzw. 26 Wochen die ACR-20-Ansprechraten erreichten. Der primäre Endpunkt in der RA-Studie V war der prozentuale Anteil derjenigen Patienten, die nach 52 Wochen ein ACR-50-Ansprechen erreichten. Ein weiterer primärer Endpunkt in Woche 52 in den RA</w:t>
      </w:r>
      <w:r>
        <w:rPr>
          <w:lang w:val="de-DE"/>
        </w:rPr>
        <w:noBreakHyphen/>
        <w:t xml:space="preserve">Studien III und V war die Verzögerung des Fortschreitens der Krankheit (ermittelt durch Röntgenergebnisse). In der RA-Studie III wurde darüber hinaus die Veränderung der Lebensqualität als primärer Endpunkt erfasst. </w:t>
      </w:r>
    </w:p>
    <w:p w14:paraId="000E0AF2" w14:textId="77777777" w:rsidR="00FE291A" w:rsidRDefault="00FE291A">
      <w:pPr>
        <w:widowControl/>
        <w:kinsoku w:val="0"/>
        <w:overflowPunct w:val="0"/>
        <w:rPr>
          <w:sz w:val="22"/>
          <w:szCs w:val="22"/>
          <w:lang w:val="de-DE"/>
        </w:rPr>
      </w:pPr>
    </w:p>
    <w:p w14:paraId="35C694D2" w14:textId="77777777" w:rsidR="00FE291A" w:rsidRDefault="00C8738F">
      <w:pPr>
        <w:keepNext/>
        <w:widowControl/>
        <w:kinsoku w:val="0"/>
        <w:overflowPunct w:val="0"/>
        <w:rPr>
          <w:sz w:val="22"/>
          <w:szCs w:val="22"/>
          <w:u w:val="single"/>
          <w:lang w:val="de-DE"/>
        </w:rPr>
      </w:pPr>
      <w:r>
        <w:rPr>
          <w:i/>
          <w:iCs/>
          <w:sz w:val="22"/>
          <w:szCs w:val="22"/>
          <w:u w:val="single"/>
          <w:lang w:val="de-DE"/>
        </w:rPr>
        <w:t>ACR-Ansprechraten</w:t>
      </w:r>
    </w:p>
    <w:p w14:paraId="1E480AE5" w14:textId="77777777" w:rsidR="00FE291A" w:rsidRDefault="00FE291A">
      <w:pPr>
        <w:keepNext/>
        <w:widowControl/>
        <w:kinsoku w:val="0"/>
        <w:overflowPunct w:val="0"/>
        <w:rPr>
          <w:sz w:val="22"/>
          <w:szCs w:val="22"/>
          <w:lang w:val="de-DE"/>
        </w:rPr>
      </w:pPr>
    </w:p>
    <w:p w14:paraId="4CD6A2B2" w14:textId="77777777" w:rsidR="00FE291A" w:rsidRDefault="00C8738F">
      <w:pPr>
        <w:pStyle w:val="BodyText"/>
        <w:widowControl/>
        <w:kinsoku w:val="0"/>
        <w:overflowPunct w:val="0"/>
        <w:ind w:left="0"/>
        <w:rPr>
          <w:lang w:val="de-DE"/>
        </w:rPr>
      </w:pPr>
      <w:r>
        <w:rPr>
          <w:lang w:val="de-DE"/>
        </w:rPr>
        <w:t>Der prozentuale Anteil der mit Adalimumab behandelten Patienten, die ACR-20-, ACR-50- oder ACR-70-Ansprechraten erreichten, war in den RA-Studien I, II und III vergleichbar. Die Behandlungsergebnisse mit 40 mg jede zweite Woche sind in Tabelle 8 zusammengefasst.</w:t>
      </w:r>
    </w:p>
    <w:p w14:paraId="612C66A5" w14:textId="77777777" w:rsidR="00FE291A" w:rsidRDefault="00FE291A">
      <w:pPr>
        <w:pStyle w:val="BodyText"/>
        <w:widowControl/>
        <w:kinsoku w:val="0"/>
        <w:overflowPunct w:val="0"/>
        <w:ind w:left="0"/>
        <w:rPr>
          <w:lang w:val="de-DE"/>
        </w:rPr>
      </w:pPr>
    </w:p>
    <w:p w14:paraId="7F6ABBED" w14:textId="77777777" w:rsidR="00FE291A" w:rsidRDefault="00C8738F">
      <w:pPr>
        <w:keepNext/>
        <w:widowControl/>
        <w:kinsoku w:val="0"/>
        <w:overflowPunct w:val="0"/>
        <w:rPr>
          <w:sz w:val="22"/>
          <w:szCs w:val="22"/>
          <w:lang w:val="de-DE"/>
        </w:rPr>
      </w:pPr>
      <w:r>
        <w:rPr>
          <w:b/>
          <w:bCs/>
          <w:sz w:val="22"/>
          <w:szCs w:val="22"/>
          <w:lang w:val="de-DE"/>
        </w:rPr>
        <w:t>Tabelle 8: ACR-Ansprechraten in placebokontrollierten Studien (prozentualer Anteil der Patienten)</w:t>
      </w:r>
    </w:p>
    <w:p w14:paraId="3CB87A32" w14:textId="77777777" w:rsidR="00FE291A" w:rsidRDefault="00FE291A">
      <w:pPr>
        <w:keepNext/>
        <w:widowControl/>
        <w:kinsoku w:val="0"/>
        <w:overflowPunct w:val="0"/>
        <w:rPr>
          <w:sz w:val="22"/>
          <w:lang w:val="de-DE"/>
        </w:rPr>
      </w:pPr>
    </w:p>
    <w:tbl>
      <w:tblPr>
        <w:tblW w:w="964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423"/>
        <w:gridCol w:w="1134"/>
        <w:gridCol w:w="1559"/>
        <w:gridCol w:w="1134"/>
        <w:gridCol w:w="1559"/>
        <w:gridCol w:w="1276"/>
        <w:gridCol w:w="1559"/>
      </w:tblGrid>
      <w:tr w:rsidR="00FE291A" w14:paraId="7F82220C" w14:textId="77777777">
        <w:trPr>
          <w:cantSplit/>
          <w:tblHeader/>
        </w:trPr>
        <w:tc>
          <w:tcPr>
            <w:tcW w:w="1423" w:type="dxa"/>
            <w:vMerge w:val="restart"/>
          </w:tcPr>
          <w:p w14:paraId="0C3496D3" w14:textId="77777777" w:rsidR="00FE291A" w:rsidRDefault="00C8738F">
            <w:pPr>
              <w:pStyle w:val="TableParagraph"/>
              <w:keepNext/>
              <w:widowControl/>
              <w:suppressAutoHyphens/>
              <w:kinsoku w:val="0"/>
              <w:overflowPunct w:val="0"/>
              <w:rPr>
                <w:b/>
                <w:sz w:val="22"/>
                <w:lang w:val="de-DE"/>
              </w:rPr>
            </w:pPr>
            <w:r>
              <w:rPr>
                <w:b/>
                <w:sz w:val="22"/>
                <w:szCs w:val="22"/>
                <w:lang w:val="de-DE"/>
              </w:rPr>
              <w:t>Ansprechen</w:t>
            </w:r>
          </w:p>
        </w:tc>
        <w:tc>
          <w:tcPr>
            <w:tcW w:w="2693" w:type="dxa"/>
            <w:gridSpan w:val="2"/>
          </w:tcPr>
          <w:p w14:paraId="588ADB24" w14:textId="77777777" w:rsidR="00FE291A" w:rsidRDefault="00C8738F">
            <w:pPr>
              <w:pStyle w:val="TableParagraph"/>
              <w:keepNext/>
              <w:widowControl/>
              <w:suppressAutoHyphens/>
              <w:kinsoku w:val="0"/>
              <w:overflowPunct w:val="0"/>
              <w:jc w:val="center"/>
              <w:rPr>
                <w:b/>
                <w:sz w:val="22"/>
                <w:lang w:val="de-DE"/>
              </w:rPr>
            </w:pPr>
            <w:r>
              <w:rPr>
                <w:b/>
                <w:sz w:val="22"/>
                <w:szCs w:val="22"/>
                <w:lang w:val="de-DE"/>
              </w:rPr>
              <w:t>RA-Studie I</w:t>
            </w:r>
            <w:r>
              <w:rPr>
                <w:b/>
                <w:sz w:val="22"/>
                <w:szCs w:val="22"/>
                <w:vertAlign w:val="superscript"/>
                <w:lang w:val="de-DE"/>
              </w:rPr>
              <w:t>a</w:t>
            </w:r>
            <w:r>
              <w:rPr>
                <w:b/>
                <w:sz w:val="22"/>
                <w:szCs w:val="22"/>
                <w:lang w:val="de-DE"/>
              </w:rPr>
              <w:t>**</w:t>
            </w:r>
          </w:p>
        </w:tc>
        <w:tc>
          <w:tcPr>
            <w:tcW w:w="2693" w:type="dxa"/>
            <w:gridSpan w:val="2"/>
          </w:tcPr>
          <w:p w14:paraId="6205E0A6" w14:textId="77777777" w:rsidR="00FE291A" w:rsidRDefault="00C8738F">
            <w:pPr>
              <w:pStyle w:val="TableParagraph"/>
              <w:keepNext/>
              <w:widowControl/>
              <w:suppressAutoHyphens/>
              <w:kinsoku w:val="0"/>
              <w:overflowPunct w:val="0"/>
              <w:jc w:val="center"/>
              <w:rPr>
                <w:b/>
                <w:sz w:val="22"/>
                <w:lang w:val="de-DE"/>
              </w:rPr>
            </w:pPr>
            <w:r>
              <w:rPr>
                <w:b/>
                <w:sz w:val="22"/>
                <w:szCs w:val="22"/>
                <w:lang w:val="de-DE"/>
              </w:rPr>
              <w:t>RA-Studie II</w:t>
            </w:r>
            <w:r>
              <w:rPr>
                <w:b/>
                <w:sz w:val="22"/>
                <w:szCs w:val="22"/>
                <w:vertAlign w:val="superscript"/>
                <w:lang w:val="de-DE"/>
              </w:rPr>
              <w:t>a</w:t>
            </w:r>
            <w:r>
              <w:rPr>
                <w:b/>
                <w:sz w:val="22"/>
                <w:szCs w:val="22"/>
                <w:lang w:val="de-DE"/>
              </w:rPr>
              <w:t>**</w:t>
            </w:r>
          </w:p>
        </w:tc>
        <w:tc>
          <w:tcPr>
            <w:tcW w:w="2835" w:type="dxa"/>
            <w:gridSpan w:val="2"/>
          </w:tcPr>
          <w:p w14:paraId="168821B7" w14:textId="77777777" w:rsidR="00FE291A" w:rsidRDefault="00C8738F">
            <w:pPr>
              <w:pStyle w:val="TableParagraph"/>
              <w:keepNext/>
              <w:widowControl/>
              <w:suppressAutoHyphens/>
              <w:kinsoku w:val="0"/>
              <w:overflowPunct w:val="0"/>
              <w:jc w:val="center"/>
              <w:rPr>
                <w:b/>
                <w:sz w:val="22"/>
                <w:lang w:val="de-DE"/>
              </w:rPr>
            </w:pPr>
            <w:r>
              <w:rPr>
                <w:b/>
                <w:sz w:val="22"/>
                <w:szCs w:val="22"/>
                <w:lang w:val="de-DE"/>
              </w:rPr>
              <w:t>RA-Studie III</w:t>
            </w:r>
            <w:r>
              <w:rPr>
                <w:b/>
                <w:sz w:val="22"/>
                <w:szCs w:val="22"/>
                <w:vertAlign w:val="superscript"/>
                <w:lang w:val="de-DE"/>
              </w:rPr>
              <w:t>a</w:t>
            </w:r>
            <w:r>
              <w:rPr>
                <w:b/>
                <w:sz w:val="22"/>
                <w:szCs w:val="22"/>
                <w:lang w:val="de-DE"/>
              </w:rPr>
              <w:t>**</w:t>
            </w:r>
          </w:p>
        </w:tc>
      </w:tr>
      <w:tr w:rsidR="00FE291A" w14:paraId="1A9C7DF9" w14:textId="77777777">
        <w:trPr>
          <w:cantSplit/>
          <w:tblHeader/>
        </w:trPr>
        <w:tc>
          <w:tcPr>
            <w:tcW w:w="1423" w:type="dxa"/>
            <w:vMerge/>
            <w:tcBorders>
              <w:bottom w:val="single" w:sz="4" w:space="0" w:color="auto"/>
            </w:tcBorders>
          </w:tcPr>
          <w:p w14:paraId="3E612BE2" w14:textId="77777777" w:rsidR="00FE291A" w:rsidRDefault="00FE291A">
            <w:pPr>
              <w:pStyle w:val="TableParagraph"/>
              <w:keepNext/>
              <w:widowControl/>
              <w:suppressAutoHyphens/>
              <w:kinsoku w:val="0"/>
              <w:overflowPunct w:val="0"/>
              <w:rPr>
                <w:b/>
                <w:sz w:val="22"/>
                <w:lang w:val="de-DE"/>
              </w:rPr>
            </w:pPr>
          </w:p>
        </w:tc>
        <w:tc>
          <w:tcPr>
            <w:tcW w:w="1134" w:type="dxa"/>
          </w:tcPr>
          <w:p w14:paraId="30DD4AF4" w14:textId="77777777" w:rsidR="00FE291A" w:rsidRDefault="00C8738F">
            <w:pPr>
              <w:pStyle w:val="TableParagraph"/>
              <w:keepNext/>
              <w:widowControl/>
              <w:tabs>
                <w:tab w:val="left" w:pos="1851"/>
              </w:tabs>
              <w:suppressAutoHyphens/>
              <w:kinsoku w:val="0"/>
              <w:overflowPunct w:val="0"/>
              <w:jc w:val="center"/>
              <w:rPr>
                <w:b/>
                <w:sz w:val="22"/>
                <w:szCs w:val="22"/>
                <w:lang w:val="de-DE"/>
              </w:rPr>
            </w:pPr>
            <w:r>
              <w:rPr>
                <w:b/>
                <w:sz w:val="22"/>
                <w:szCs w:val="22"/>
                <w:lang w:val="de-DE"/>
              </w:rPr>
              <w:t>Placebo/</w:t>
            </w:r>
          </w:p>
          <w:p w14:paraId="349141EA" w14:textId="77777777" w:rsidR="00FE291A" w:rsidRDefault="00C8738F">
            <w:pPr>
              <w:pStyle w:val="TableParagraph"/>
              <w:keepNext/>
              <w:widowControl/>
              <w:tabs>
                <w:tab w:val="left" w:pos="1851"/>
              </w:tabs>
              <w:suppressAutoHyphens/>
              <w:kinsoku w:val="0"/>
              <w:overflowPunct w:val="0"/>
              <w:jc w:val="center"/>
              <w:rPr>
                <w:b/>
                <w:sz w:val="22"/>
                <w:szCs w:val="22"/>
                <w:lang w:val="de-DE"/>
              </w:rPr>
            </w:pPr>
            <w:r>
              <w:rPr>
                <w:b/>
                <w:sz w:val="22"/>
                <w:szCs w:val="22"/>
                <w:lang w:val="de-DE"/>
              </w:rPr>
              <w:t>MTX</w:t>
            </w:r>
            <w:r>
              <w:rPr>
                <w:b/>
                <w:sz w:val="22"/>
                <w:szCs w:val="22"/>
                <w:vertAlign w:val="superscript"/>
                <w:lang w:val="de-DE"/>
              </w:rPr>
              <w:t>c</w:t>
            </w:r>
          </w:p>
          <w:p w14:paraId="439A8E97" w14:textId="77777777" w:rsidR="00FE291A" w:rsidRDefault="00C8738F">
            <w:pPr>
              <w:pStyle w:val="TableParagraph"/>
              <w:keepNext/>
              <w:widowControl/>
              <w:tabs>
                <w:tab w:val="left" w:pos="1808"/>
              </w:tabs>
              <w:suppressAutoHyphens/>
              <w:kinsoku w:val="0"/>
              <w:overflowPunct w:val="0"/>
              <w:jc w:val="center"/>
              <w:rPr>
                <w:b/>
                <w:sz w:val="22"/>
                <w:szCs w:val="22"/>
                <w:lang w:val="de-DE"/>
              </w:rPr>
            </w:pPr>
            <w:r>
              <w:rPr>
                <w:b/>
                <w:sz w:val="22"/>
                <w:szCs w:val="22"/>
                <w:lang w:val="de-DE"/>
              </w:rPr>
              <w:t>n = 60</w:t>
            </w:r>
          </w:p>
        </w:tc>
        <w:tc>
          <w:tcPr>
            <w:tcW w:w="1559" w:type="dxa"/>
          </w:tcPr>
          <w:p w14:paraId="1B5D15DE" w14:textId="77777777" w:rsidR="00FE291A" w:rsidRDefault="00C8738F">
            <w:pPr>
              <w:pStyle w:val="TableParagraph"/>
              <w:keepNext/>
              <w:widowControl/>
              <w:tabs>
                <w:tab w:val="left" w:pos="1851"/>
              </w:tabs>
              <w:suppressAutoHyphens/>
              <w:kinsoku w:val="0"/>
              <w:overflowPunct w:val="0"/>
              <w:jc w:val="center"/>
              <w:rPr>
                <w:b/>
                <w:sz w:val="22"/>
                <w:szCs w:val="22"/>
                <w:vertAlign w:val="superscript"/>
                <w:lang w:val="de-DE"/>
              </w:rPr>
            </w:pPr>
            <w:r>
              <w:rPr>
                <w:b/>
                <w:sz w:val="22"/>
                <w:szCs w:val="22"/>
                <w:lang w:val="de-DE"/>
              </w:rPr>
              <w:t>Adalimumab</w:t>
            </w:r>
            <w:r>
              <w:rPr>
                <w:b/>
                <w:sz w:val="22"/>
                <w:szCs w:val="22"/>
                <w:vertAlign w:val="superscript"/>
                <w:lang w:val="de-DE"/>
              </w:rPr>
              <w:t>b</w:t>
            </w:r>
            <w:r>
              <w:rPr>
                <w:b/>
                <w:sz w:val="22"/>
                <w:szCs w:val="22"/>
                <w:lang w:val="de-DE"/>
              </w:rPr>
              <w:t>/MTX</w:t>
            </w:r>
            <w:r>
              <w:rPr>
                <w:b/>
                <w:sz w:val="22"/>
                <w:szCs w:val="22"/>
                <w:vertAlign w:val="superscript"/>
                <w:lang w:val="de-DE"/>
              </w:rPr>
              <w:t>c</w:t>
            </w:r>
          </w:p>
          <w:p w14:paraId="5D1CA569" w14:textId="77777777" w:rsidR="00FE291A" w:rsidRDefault="00C8738F">
            <w:pPr>
              <w:pStyle w:val="TableParagraph"/>
              <w:keepNext/>
              <w:widowControl/>
              <w:tabs>
                <w:tab w:val="left" w:pos="1808"/>
              </w:tabs>
              <w:suppressAutoHyphens/>
              <w:kinsoku w:val="0"/>
              <w:overflowPunct w:val="0"/>
              <w:jc w:val="center"/>
              <w:rPr>
                <w:b/>
                <w:sz w:val="22"/>
                <w:lang w:val="de-DE"/>
              </w:rPr>
            </w:pPr>
            <w:r>
              <w:rPr>
                <w:b/>
                <w:sz w:val="22"/>
                <w:szCs w:val="22"/>
                <w:lang w:val="de-DE"/>
              </w:rPr>
              <w:t>n = 63</w:t>
            </w:r>
          </w:p>
        </w:tc>
        <w:tc>
          <w:tcPr>
            <w:tcW w:w="1134" w:type="dxa"/>
          </w:tcPr>
          <w:p w14:paraId="2F029D17" w14:textId="77777777" w:rsidR="00FE291A" w:rsidRDefault="00C8738F">
            <w:pPr>
              <w:pStyle w:val="TableParagraph"/>
              <w:keepNext/>
              <w:widowControl/>
              <w:suppressAutoHyphens/>
              <w:kinsoku w:val="0"/>
              <w:overflowPunct w:val="0"/>
              <w:jc w:val="center"/>
              <w:rPr>
                <w:b/>
                <w:sz w:val="22"/>
                <w:szCs w:val="22"/>
                <w:lang w:val="de-DE"/>
              </w:rPr>
            </w:pPr>
            <w:r>
              <w:rPr>
                <w:b/>
                <w:sz w:val="22"/>
                <w:szCs w:val="22"/>
                <w:lang w:val="de-DE"/>
              </w:rPr>
              <w:t>Placebo</w:t>
            </w:r>
          </w:p>
          <w:p w14:paraId="12513D12" w14:textId="77777777" w:rsidR="00FE291A" w:rsidRDefault="00C8738F">
            <w:pPr>
              <w:pStyle w:val="TableParagraph"/>
              <w:keepNext/>
              <w:widowControl/>
              <w:suppressAutoHyphens/>
              <w:kinsoku w:val="0"/>
              <w:overflowPunct w:val="0"/>
              <w:jc w:val="center"/>
              <w:rPr>
                <w:b/>
                <w:sz w:val="22"/>
                <w:lang w:val="de-DE"/>
              </w:rPr>
            </w:pPr>
            <w:r>
              <w:rPr>
                <w:b/>
                <w:sz w:val="22"/>
                <w:szCs w:val="22"/>
                <w:lang w:val="de-DE"/>
              </w:rPr>
              <w:t>n = 110</w:t>
            </w:r>
          </w:p>
        </w:tc>
        <w:tc>
          <w:tcPr>
            <w:tcW w:w="1559" w:type="dxa"/>
          </w:tcPr>
          <w:p w14:paraId="51A09A7A" w14:textId="77777777" w:rsidR="00FE291A" w:rsidRDefault="00C8738F">
            <w:pPr>
              <w:pStyle w:val="TableParagraph"/>
              <w:keepNext/>
              <w:widowControl/>
              <w:suppressAutoHyphens/>
              <w:kinsoku w:val="0"/>
              <w:overflowPunct w:val="0"/>
              <w:jc w:val="center"/>
              <w:rPr>
                <w:b/>
                <w:sz w:val="22"/>
                <w:szCs w:val="22"/>
                <w:lang w:val="de-DE"/>
              </w:rPr>
            </w:pPr>
            <w:r>
              <w:rPr>
                <w:b/>
                <w:sz w:val="22"/>
                <w:szCs w:val="22"/>
                <w:lang w:val="de-DE"/>
              </w:rPr>
              <w:t>Adalimumab</w:t>
            </w:r>
            <w:r>
              <w:rPr>
                <w:b/>
                <w:sz w:val="22"/>
                <w:szCs w:val="22"/>
                <w:vertAlign w:val="superscript"/>
                <w:lang w:val="de-DE"/>
              </w:rPr>
              <w:t>b</w:t>
            </w:r>
          </w:p>
          <w:p w14:paraId="19532A57" w14:textId="77777777" w:rsidR="00FE291A" w:rsidRDefault="00C8738F">
            <w:pPr>
              <w:pStyle w:val="TableParagraph"/>
              <w:keepNext/>
              <w:widowControl/>
              <w:suppressAutoHyphens/>
              <w:kinsoku w:val="0"/>
              <w:overflowPunct w:val="0"/>
              <w:jc w:val="center"/>
              <w:rPr>
                <w:b/>
                <w:sz w:val="22"/>
                <w:lang w:val="de-DE"/>
              </w:rPr>
            </w:pPr>
            <w:r>
              <w:rPr>
                <w:b/>
                <w:sz w:val="22"/>
                <w:szCs w:val="22"/>
                <w:lang w:val="de-DE"/>
              </w:rPr>
              <w:t>n = 113</w:t>
            </w:r>
          </w:p>
        </w:tc>
        <w:tc>
          <w:tcPr>
            <w:tcW w:w="1276" w:type="dxa"/>
          </w:tcPr>
          <w:p w14:paraId="268C144A" w14:textId="77777777" w:rsidR="00FE291A" w:rsidRDefault="00C8738F">
            <w:pPr>
              <w:pStyle w:val="TableParagraph"/>
              <w:keepNext/>
              <w:widowControl/>
              <w:tabs>
                <w:tab w:val="left" w:pos="1851"/>
              </w:tabs>
              <w:suppressAutoHyphens/>
              <w:kinsoku w:val="0"/>
              <w:overflowPunct w:val="0"/>
              <w:jc w:val="center"/>
              <w:rPr>
                <w:b/>
                <w:sz w:val="22"/>
                <w:szCs w:val="22"/>
                <w:lang w:val="de-DE"/>
              </w:rPr>
            </w:pPr>
            <w:r>
              <w:rPr>
                <w:b/>
                <w:sz w:val="22"/>
                <w:szCs w:val="22"/>
                <w:lang w:val="de-DE"/>
              </w:rPr>
              <w:t>Placebo/</w:t>
            </w:r>
          </w:p>
          <w:p w14:paraId="66F315B3" w14:textId="77777777" w:rsidR="00FE291A" w:rsidRDefault="00C8738F">
            <w:pPr>
              <w:pStyle w:val="TableParagraph"/>
              <w:keepNext/>
              <w:widowControl/>
              <w:tabs>
                <w:tab w:val="left" w:pos="1851"/>
              </w:tabs>
              <w:suppressAutoHyphens/>
              <w:kinsoku w:val="0"/>
              <w:overflowPunct w:val="0"/>
              <w:jc w:val="center"/>
              <w:rPr>
                <w:b/>
                <w:sz w:val="22"/>
                <w:szCs w:val="22"/>
                <w:lang w:val="de-DE"/>
              </w:rPr>
            </w:pPr>
            <w:r>
              <w:rPr>
                <w:b/>
                <w:sz w:val="22"/>
                <w:szCs w:val="22"/>
                <w:lang w:val="de-DE"/>
              </w:rPr>
              <w:t>MTX</w:t>
            </w:r>
            <w:r>
              <w:rPr>
                <w:b/>
                <w:sz w:val="22"/>
                <w:szCs w:val="22"/>
                <w:vertAlign w:val="superscript"/>
                <w:lang w:val="de-DE"/>
              </w:rPr>
              <w:t>c</w:t>
            </w:r>
          </w:p>
          <w:p w14:paraId="1694646C" w14:textId="77777777" w:rsidR="00FE291A" w:rsidRDefault="00C8738F">
            <w:pPr>
              <w:pStyle w:val="TableParagraph"/>
              <w:keepNext/>
              <w:widowControl/>
              <w:tabs>
                <w:tab w:val="left" w:pos="1851"/>
              </w:tabs>
              <w:suppressAutoHyphens/>
              <w:kinsoku w:val="0"/>
              <w:overflowPunct w:val="0"/>
              <w:jc w:val="center"/>
              <w:rPr>
                <w:b/>
                <w:sz w:val="22"/>
                <w:lang w:val="de-DE"/>
              </w:rPr>
            </w:pPr>
            <w:r>
              <w:rPr>
                <w:b/>
                <w:sz w:val="22"/>
                <w:szCs w:val="22"/>
                <w:lang w:val="de-DE"/>
              </w:rPr>
              <w:t>n = 200</w:t>
            </w:r>
          </w:p>
        </w:tc>
        <w:tc>
          <w:tcPr>
            <w:tcW w:w="1559" w:type="dxa"/>
          </w:tcPr>
          <w:p w14:paraId="55DD4864" w14:textId="77777777" w:rsidR="00FE291A" w:rsidRDefault="00C8738F">
            <w:pPr>
              <w:pStyle w:val="TableParagraph"/>
              <w:keepNext/>
              <w:widowControl/>
              <w:tabs>
                <w:tab w:val="left" w:pos="1851"/>
              </w:tabs>
              <w:suppressAutoHyphens/>
              <w:kinsoku w:val="0"/>
              <w:overflowPunct w:val="0"/>
              <w:jc w:val="center"/>
              <w:rPr>
                <w:b/>
                <w:sz w:val="22"/>
                <w:szCs w:val="22"/>
                <w:vertAlign w:val="superscript"/>
                <w:lang w:val="de-DE"/>
              </w:rPr>
            </w:pPr>
            <w:r>
              <w:rPr>
                <w:b/>
                <w:sz w:val="22"/>
                <w:szCs w:val="22"/>
                <w:lang w:val="de-DE"/>
              </w:rPr>
              <w:t>Adalimumab</w:t>
            </w:r>
            <w:r>
              <w:rPr>
                <w:b/>
                <w:sz w:val="22"/>
                <w:szCs w:val="22"/>
                <w:vertAlign w:val="superscript"/>
                <w:lang w:val="de-DE"/>
              </w:rPr>
              <w:t>b</w:t>
            </w:r>
            <w:r>
              <w:rPr>
                <w:b/>
                <w:sz w:val="22"/>
                <w:szCs w:val="22"/>
                <w:lang w:val="de-DE"/>
              </w:rPr>
              <w:t>/MTX</w:t>
            </w:r>
            <w:r>
              <w:rPr>
                <w:b/>
                <w:sz w:val="22"/>
                <w:szCs w:val="22"/>
                <w:vertAlign w:val="superscript"/>
                <w:lang w:val="de-DE"/>
              </w:rPr>
              <w:t>c</w:t>
            </w:r>
          </w:p>
          <w:p w14:paraId="252F1745" w14:textId="77777777" w:rsidR="00FE291A" w:rsidRDefault="00C8738F">
            <w:pPr>
              <w:pStyle w:val="TableParagraph"/>
              <w:keepNext/>
              <w:widowControl/>
              <w:tabs>
                <w:tab w:val="left" w:pos="1851"/>
              </w:tabs>
              <w:suppressAutoHyphens/>
              <w:kinsoku w:val="0"/>
              <w:overflowPunct w:val="0"/>
              <w:jc w:val="center"/>
              <w:rPr>
                <w:b/>
                <w:sz w:val="22"/>
                <w:lang w:val="de-DE"/>
              </w:rPr>
            </w:pPr>
            <w:r>
              <w:rPr>
                <w:b/>
                <w:sz w:val="22"/>
                <w:szCs w:val="22"/>
                <w:lang w:val="de-DE"/>
              </w:rPr>
              <w:t>n = 207</w:t>
            </w:r>
          </w:p>
        </w:tc>
      </w:tr>
      <w:tr w:rsidR="00FE291A" w14:paraId="734EF16A" w14:textId="77777777">
        <w:trPr>
          <w:cantSplit/>
        </w:trPr>
        <w:tc>
          <w:tcPr>
            <w:tcW w:w="1423" w:type="dxa"/>
            <w:tcBorders>
              <w:right w:val="nil"/>
            </w:tcBorders>
          </w:tcPr>
          <w:p w14:paraId="00996D03" w14:textId="77777777" w:rsidR="00FE291A" w:rsidRDefault="00C8738F">
            <w:pPr>
              <w:pStyle w:val="TableParagraph"/>
              <w:keepNext/>
              <w:widowControl/>
              <w:suppressAutoHyphens/>
              <w:kinsoku w:val="0"/>
              <w:overflowPunct w:val="0"/>
              <w:rPr>
                <w:sz w:val="22"/>
                <w:lang w:val="de-DE"/>
              </w:rPr>
            </w:pPr>
            <w:r>
              <w:rPr>
                <w:sz w:val="22"/>
                <w:szCs w:val="22"/>
                <w:lang w:val="de-DE"/>
              </w:rPr>
              <w:t>ACR-20</w:t>
            </w:r>
          </w:p>
        </w:tc>
        <w:tc>
          <w:tcPr>
            <w:tcW w:w="8221" w:type="dxa"/>
            <w:gridSpan w:val="6"/>
            <w:tcBorders>
              <w:left w:val="nil"/>
            </w:tcBorders>
          </w:tcPr>
          <w:p w14:paraId="18F7BE5F" w14:textId="77777777" w:rsidR="00FE291A" w:rsidRDefault="00FE291A">
            <w:pPr>
              <w:pStyle w:val="TableParagraph"/>
              <w:keepNext/>
              <w:widowControl/>
              <w:suppressAutoHyphens/>
              <w:kinsoku w:val="0"/>
              <w:overflowPunct w:val="0"/>
              <w:jc w:val="center"/>
              <w:rPr>
                <w:sz w:val="22"/>
                <w:szCs w:val="22"/>
                <w:lang w:val="de-DE"/>
              </w:rPr>
            </w:pPr>
          </w:p>
        </w:tc>
      </w:tr>
      <w:tr w:rsidR="00FE291A" w14:paraId="66987ECC" w14:textId="77777777">
        <w:trPr>
          <w:cantSplit/>
        </w:trPr>
        <w:tc>
          <w:tcPr>
            <w:tcW w:w="1423" w:type="dxa"/>
          </w:tcPr>
          <w:p w14:paraId="36906FF9" w14:textId="77777777" w:rsidR="00FE291A" w:rsidRDefault="00C8738F">
            <w:pPr>
              <w:pStyle w:val="TableParagraph"/>
              <w:keepNext/>
              <w:widowControl/>
              <w:suppressAutoHyphens/>
              <w:kinsoku w:val="0"/>
              <w:overflowPunct w:val="0"/>
              <w:ind w:firstLine="142"/>
              <w:rPr>
                <w:sz w:val="22"/>
                <w:lang w:val="de-DE"/>
              </w:rPr>
            </w:pPr>
            <w:r>
              <w:rPr>
                <w:sz w:val="22"/>
                <w:szCs w:val="22"/>
                <w:lang w:val="de-DE"/>
              </w:rPr>
              <w:t>6 Monate</w:t>
            </w:r>
          </w:p>
        </w:tc>
        <w:tc>
          <w:tcPr>
            <w:tcW w:w="1134" w:type="dxa"/>
          </w:tcPr>
          <w:p w14:paraId="5E247A72"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13,3 %</w:t>
            </w:r>
          </w:p>
        </w:tc>
        <w:tc>
          <w:tcPr>
            <w:tcW w:w="1559" w:type="dxa"/>
          </w:tcPr>
          <w:p w14:paraId="387A6332"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65,1 %</w:t>
            </w:r>
          </w:p>
        </w:tc>
        <w:tc>
          <w:tcPr>
            <w:tcW w:w="1134" w:type="dxa"/>
          </w:tcPr>
          <w:p w14:paraId="4A3C51B3"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19,1 %</w:t>
            </w:r>
          </w:p>
        </w:tc>
        <w:tc>
          <w:tcPr>
            <w:tcW w:w="1559" w:type="dxa"/>
          </w:tcPr>
          <w:p w14:paraId="07172662"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46,0 %</w:t>
            </w:r>
          </w:p>
        </w:tc>
        <w:tc>
          <w:tcPr>
            <w:tcW w:w="1276" w:type="dxa"/>
          </w:tcPr>
          <w:p w14:paraId="1E2835BA"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29,5 %</w:t>
            </w:r>
          </w:p>
        </w:tc>
        <w:tc>
          <w:tcPr>
            <w:tcW w:w="1559" w:type="dxa"/>
          </w:tcPr>
          <w:p w14:paraId="07A1D5EC"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63,3 %</w:t>
            </w:r>
          </w:p>
        </w:tc>
      </w:tr>
      <w:tr w:rsidR="00FE291A" w14:paraId="42E73CC7" w14:textId="77777777">
        <w:trPr>
          <w:cantSplit/>
        </w:trPr>
        <w:tc>
          <w:tcPr>
            <w:tcW w:w="1423" w:type="dxa"/>
            <w:tcBorders>
              <w:bottom w:val="single" w:sz="4" w:space="0" w:color="auto"/>
            </w:tcBorders>
          </w:tcPr>
          <w:p w14:paraId="03453D91" w14:textId="77777777" w:rsidR="00FE291A" w:rsidRDefault="00C8738F">
            <w:pPr>
              <w:pStyle w:val="TableParagraph"/>
              <w:widowControl/>
              <w:suppressAutoHyphens/>
              <w:kinsoku w:val="0"/>
              <w:overflowPunct w:val="0"/>
              <w:ind w:firstLine="142"/>
              <w:rPr>
                <w:sz w:val="22"/>
                <w:lang w:val="de-DE"/>
              </w:rPr>
            </w:pPr>
            <w:r>
              <w:rPr>
                <w:sz w:val="22"/>
                <w:szCs w:val="22"/>
                <w:lang w:val="de-DE"/>
              </w:rPr>
              <w:t>12 Monate</w:t>
            </w:r>
          </w:p>
        </w:tc>
        <w:tc>
          <w:tcPr>
            <w:tcW w:w="1134" w:type="dxa"/>
            <w:tcBorders>
              <w:bottom w:val="single" w:sz="4" w:space="0" w:color="auto"/>
            </w:tcBorders>
          </w:tcPr>
          <w:p w14:paraId="125794E8"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entfällt</w:t>
            </w:r>
          </w:p>
        </w:tc>
        <w:tc>
          <w:tcPr>
            <w:tcW w:w="1559" w:type="dxa"/>
            <w:tcBorders>
              <w:bottom w:val="single" w:sz="4" w:space="0" w:color="auto"/>
            </w:tcBorders>
          </w:tcPr>
          <w:p w14:paraId="44F848B9"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entfällt</w:t>
            </w:r>
          </w:p>
        </w:tc>
        <w:tc>
          <w:tcPr>
            <w:tcW w:w="1134" w:type="dxa"/>
            <w:tcBorders>
              <w:bottom w:val="single" w:sz="4" w:space="0" w:color="auto"/>
            </w:tcBorders>
          </w:tcPr>
          <w:p w14:paraId="040AB3C8"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entfällt</w:t>
            </w:r>
          </w:p>
        </w:tc>
        <w:tc>
          <w:tcPr>
            <w:tcW w:w="1559" w:type="dxa"/>
            <w:tcBorders>
              <w:bottom w:val="single" w:sz="4" w:space="0" w:color="auto"/>
            </w:tcBorders>
          </w:tcPr>
          <w:p w14:paraId="299FB994"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entfällt</w:t>
            </w:r>
          </w:p>
        </w:tc>
        <w:tc>
          <w:tcPr>
            <w:tcW w:w="1276" w:type="dxa"/>
            <w:tcBorders>
              <w:bottom w:val="single" w:sz="4" w:space="0" w:color="auto"/>
            </w:tcBorders>
          </w:tcPr>
          <w:p w14:paraId="6F9F25E6"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24,0 %</w:t>
            </w:r>
          </w:p>
        </w:tc>
        <w:tc>
          <w:tcPr>
            <w:tcW w:w="1559" w:type="dxa"/>
            <w:tcBorders>
              <w:bottom w:val="single" w:sz="4" w:space="0" w:color="auto"/>
            </w:tcBorders>
          </w:tcPr>
          <w:p w14:paraId="477DDF2B"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58,9 %</w:t>
            </w:r>
          </w:p>
        </w:tc>
      </w:tr>
      <w:tr w:rsidR="00FE291A" w14:paraId="0589D0DC" w14:textId="77777777">
        <w:trPr>
          <w:cantSplit/>
        </w:trPr>
        <w:tc>
          <w:tcPr>
            <w:tcW w:w="1423" w:type="dxa"/>
            <w:tcBorders>
              <w:top w:val="single" w:sz="4" w:space="0" w:color="auto"/>
              <w:left w:val="single" w:sz="4" w:space="0" w:color="auto"/>
              <w:bottom w:val="single" w:sz="4" w:space="0" w:color="auto"/>
              <w:right w:val="nil"/>
            </w:tcBorders>
          </w:tcPr>
          <w:p w14:paraId="3C13750F" w14:textId="77777777" w:rsidR="00FE291A" w:rsidRDefault="00C8738F">
            <w:pPr>
              <w:pStyle w:val="TableParagraph"/>
              <w:keepNext/>
              <w:widowControl/>
              <w:suppressAutoHyphens/>
              <w:kinsoku w:val="0"/>
              <w:overflowPunct w:val="0"/>
              <w:rPr>
                <w:sz w:val="22"/>
                <w:lang w:val="de-DE"/>
              </w:rPr>
            </w:pPr>
            <w:r>
              <w:rPr>
                <w:sz w:val="22"/>
                <w:szCs w:val="22"/>
                <w:lang w:val="de-DE"/>
              </w:rPr>
              <w:t>ACR-50</w:t>
            </w:r>
          </w:p>
        </w:tc>
        <w:tc>
          <w:tcPr>
            <w:tcW w:w="1134" w:type="dxa"/>
            <w:tcBorders>
              <w:top w:val="single" w:sz="4" w:space="0" w:color="auto"/>
              <w:left w:val="nil"/>
              <w:bottom w:val="single" w:sz="4" w:space="0" w:color="auto"/>
              <w:right w:val="nil"/>
            </w:tcBorders>
          </w:tcPr>
          <w:p w14:paraId="517EA753" w14:textId="77777777" w:rsidR="00FE291A" w:rsidRDefault="00FE291A">
            <w:pPr>
              <w:keepNext/>
              <w:widowControl/>
              <w:suppressAutoHyphens/>
              <w:jc w:val="center"/>
              <w:rPr>
                <w:sz w:val="22"/>
                <w:szCs w:val="22"/>
                <w:lang w:val="de-DE"/>
              </w:rPr>
            </w:pPr>
          </w:p>
        </w:tc>
        <w:tc>
          <w:tcPr>
            <w:tcW w:w="1559" w:type="dxa"/>
            <w:tcBorders>
              <w:top w:val="single" w:sz="4" w:space="0" w:color="auto"/>
              <w:left w:val="nil"/>
              <w:bottom w:val="single" w:sz="4" w:space="0" w:color="auto"/>
              <w:right w:val="nil"/>
            </w:tcBorders>
          </w:tcPr>
          <w:p w14:paraId="02E6040E" w14:textId="77777777" w:rsidR="00FE291A" w:rsidRDefault="00FE291A">
            <w:pPr>
              <w:keepNext/>
              <w:widowControl/>
              <w:suppressAutoHyphens/>
              <w:jc w:val="center"/>
              <w:rPr>
                <w:sz w:val="22"/>
                <w:szCs w:val="22"/>
                <w:lang w:val="de-DE"/>
              </w:rPr>
            </w:pPr>
          </w:p>
        </w:tc>
        <w:tc>
          <w:tcPr>
            <w:tcW w:w="1134" w:type="dxa"/>
            <w:tcBorders>
              <w:top w:val="single" w:sz="4" w:space="0" w:color="auto"/>
              <w:left w:val="nil"/>
              <w:bottom w:val="single" w:sz="4" w:space="0" w:color="auto"/>
              <w:right w:val="nil"/>
            </w:tcBorders>
          </w:tcPr>
          <w:p w14:paraId="4D364BF3" w14:textId="77777777" w:rsidR="00FE291A" w:rsidRDefault="00FE291A">
            <w:pPr>
              <w:keepNext/>
              <w:widowControl/>
              <w:suppressAutoHyphens/>
              <w:jc w:val="center"/>
              <w:rPr>
                <w:sz w:val="22"/>
                <w:szCs w:val="22"/>
                <w:lang w:val="de-DE"/>
              </w:rPr>
            </w:pPr>
          </w:p>
        </w:tc>
        <w:tc>
          <w:tcPr>
            <w:tcW w:w="1559" w:type="dxa"/>
            <w:tcBorders>
              <w:top w:val="single" w:sz="4" w:space="0" w:color="auto"/>
              <w:left w:val="nil"/>
              <w:bottom w:val="single" w:sz="4" w:space="0" w:color="auto"/>
              <w:right w:val="nil"/>
            </w:tcBorders>
          </w:tcPr>
          <w:p w14:paraId="370C9254" w14:textId="77777777" w:rsidR="00FE291A" w:rsidRDefault="00FE291A">
            <w:pPr>
              <w:keepNext/>
              <w:widowControl/>
              <w:suppressAutoHyphens/>
              <w:jc w:val="center"/>
              <w:rPr>
                <w:sz w:val="22"/>
                <w:szCs w:val="22"/>
                <w:lang w:val="de-DE"/>
              </w:rPr>
            </w:pPr>
          </w:p>
        </w:tc>
        <w:tc>
          <w:tcPr>
            <w:tcW w:w="1276" w:type="dxa"/>
            <w:tcBorders>
              <w:top w:val="single" w:sz="4" w:space="0" w:color="auto"/>
              <w:left w:val="nil"/>
              <w:bottom w:val="single" w:sz="4" w:space="0" w:color="auto"/>
              <w:right w:val="nil"/>
            </w:tcBorders>
          </w:tcPr>
          <w:p w14:paraId="78568451" w14:textId="77777777" w:rsidR="00FE291A" w:rsidRDefault="00FE291A">
            <w:pPr>
              <w:keepNext/>
              <w:widowControl/>
              <w:suppressAutoHyphens/>
              <w:jc w:val="center"/>
              <w:rPr>
                <w:sz w:val="22"/>
                <w:szCs w:val="22"/>
                <w:lang w:val="de-DE"/>
              </w:rPr>
            </w:pPr>
          </w:p>
        </w:tc>
        <w:tc>
          <w:tcPr>
            <w:tcW w:w="1559" w:type="dxa"/>
            <w:tcBorders>
              <w:top w:val="single" w:sz="4" w:space="0" w:color="auto"/>
              <w:left w:val="nil"/>
              <w:bottom w:val="single" w:sz="4" w:space="0" w:color="auto"/>
              <w:right w:val="single" w:sz="4" w:space="0" w:color="auto"/>
            </w:tcBorders>
          </w:tcPr>
          <w:p w14:paraId="2A1F1588" w14:textId="77777777" w:rsidR="00FE291A" w:rsidRDefault="00FE291A">
            <w:pPr>
              <w:keepNext/>
              <w:widowControl/>
              <w:suppressAutoHyphens/>
              <w:jc w:val="center"/>
              <w:rPr>
                <w:sz w:val="22"/>
                <w:szCs w:val="22"/>
                <w:lang w:val="de-DE"/>
              </w:rPr>
            </w:pPr>
          </w:p>
        </w:tc>
      </w:tr>
      <w:tr w:rsidR="00FE291A" w14:paraId="7754DEA5" w14:textId="77777777">
        <w:trPr>
          <w:cantSplit/>
        </w:trPr>
        <w:tc>
          <w:tcPr>
            <w:tcW w:w="1423" w:type="dxa"/>
            <w:tcBorders>
              <w:top w:val="single" w:sz="4" w:space="0" w:color="auto"/>
            </w:tcBorders>
          </w:tcPr>
          <w:p w14:paraId="131E4238" w14:textId="77777777" w:rsidR="00FE291A" w:rsidRDefault="00C8738F">
            <w:pPr>
              <w:pStyle w:val="TableParagraph"/>
              <w:keepNext/>
              <w:widowControl/>
              <w:suppressAutoHyphens/>
              <w:kinsoku w:val="0"/>
              <w:overflowPunct w:val="0"/>
              <w:ind w:firstLine="142"/>
              <w:rPr>
                <w:sz w:val="22"/>
                <w:lang w:val="de-DE"/>
              </w:rPr>
            </w:pPr>
            <w:r>
              <w:rPr>
                <w:sz w:val="22"/>
                <w:szCs w:val="22"/>
                <w:lang w:val="de-DE"/>
              </w:rPr>
              <w:t>6 Monate</w:t>
            </w:r>
          </w:p>
        </w:tc>
        <w:tc>
          <w:tcPr>
            <w:tcW w:w="1134" w:type="dxa"/>
            <w:tcBorders>
              <w:top w:val="single" w:sz="4" w:space="0" w:color="auto"/>
            </w:tcBorders>
          </w:tcPr>
          <w:p w14:paraId="0ADF1DF6"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6,7 %</w:t>
            </w:r>
          </w:p>
        </w:tc>
        <w:tc>
          <w:tcPr>
            <w:tcW w:w="1559" w:type="dxa"/>
            <w:tcBorders>
              <w:top w:val="single" w:sz="4" w:space="0" w:color="auto"/>
            </w:tcBorders>
          </w:tcPr>
          <w:p w14:paraId="2C8D2203"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52,4 %</w:t>
            </w:r>
          </w:p>
        </w:tc>
        <w:tc>
          <w:tcPr>
            <w:tcW w:w="1134" w:type="dxa"/>
            <w:tcBorders>
              <w:top w:val="single" w:sz="4" w:space="0" w:color="auto"/>
            </w:tcBorders>
          </w:tcPr>
          <w:p w14:paraId="3D5E970B"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8,2 %</w:t>
            </w:r>
          </w:p>
        </w:tc>
        <w:tc>
          <w:tcPr>
            <w:tcW w:w="1559" w:type="dxa"/>
            <w:tcBorders>
              <w:top w:val="single" w:sz="4" w:space="0" w:color="auto"/>
            </w:tcBorders>
          </w:tcPr>
          <w:p w14:paraId="70D5658C"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22,1 %</w:t>
            </w:r>
          </w:p>
        </w:tc>
        <w:tc>
          <w:tcPr>
            <w:tcW w:w="1276" w:type="dxa"/>
            <w:tcBorders>
              <w:top w:val="single" w:sz="4" w:space="0" w:color="auto"/>
            </w:tcBorders>
          </w:tcPr>
          <w:p w14:paraId="45A5A2EC"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9,5 %</w:t>
            </w:r>
          </w:p>
        </w:tc>
        <w:tc>
          <w:tcPr>
            <w:tcW w:w="1559" w:type="dxa"/>
            <w:tcBorders>
              <w:top w:val="single" w:sz="4" w:space="0" w:color="auto"/>
            </w:tcBorders>
          </w:tcPr>
          <w:p w14:paraId="7E680355"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39,1 %</w:t>
            </w:r>
          </w:p>
        </w:tc>
      </w:tr>
      <w:tr w:rsidR="00FE291A" w14:paraId="39E23AD2" w14:textId="77777777">
        <w:trPr>
          <w:cantSplit/>
        </w:trPr>
        <w:tc>
          <w:tcPr>
            <w:tcW w:w="1423" w:type="dxa"/>
            <w:tcBorders>
              <w:bottom w:val="single" w:sz="4" w:space="0" w:color="auto"/>
            </w:tcBorders>
          </w:tcPr>
          <w:p w14:paraId="0DEE4912" w14:textId="77777777" w:rsidR="00FE291A" w:rsidRDefault="00C8738F">
            <w:pPr>
              <w:pStyle w:val="TableParagraph"/>
              <w:widowControl/>
              <w:suppressAutoHyphens/>
              <w:kinsoku w:val="0"/>
              <w:overflowPunct w:val="0"/>
              <w:ind w:firstLine="142"/>
              <w:rPr>
                <w:sz w:val="22"/>
                <w:lang w:val="de-DE"/>
              </w:rPr>
            </w:pPr>
            <w:r>
              <w:rPr>
                <w:sz w:val="22"/>
                <w:szCs w:val="22"/>
                <w:lang w:val="de-DE"/>
              </w:rPr>
              <w:t>12 Monate</w:t>
            </w:r>
          </w:p>
        </w:tc>
        <w:tc>
          <w:tcPr>
            <w:tcW w:w="1134" w:type="dxa"/>
            <w:tcBorders>
              <w:bottom w:val="single" w:sz="4" w:space="0" w:color="auto"/>
            </w:tcBorders>
          </w:tcPr>
          <w:p w14:paraId="0975E506" w14:textId="77777777" w:rsidR="00FE291A" w:rsidRDefault="00C8738F">
            <w:pPr>
              <w:pStyle w:val="TableParagraph"/>
              <w:widowControl/>
              <w:suppressAutoHyphens/>
              <w:kinsoku w:val="0"/>
              <w:overflowPunct w:val="0"/>
              <w:jc w:val="center"/>
              <w:rPr>
                <w:sz w:val="22"/>
                <w:lang w:val="de-DE"/>
              </w:rPr>
            </w:pPr>
            <w:r>
              <w:rPr>
                <w:sz w:val="22"/>
                <w:szCs w:val="22"/>
                <w:lang w:val="de-DE"/>
              </w:rPr>
              <w:t>entfällt</w:t>
            </w:r>
          </w:p>
        </w:tc>
        <w:tc>
          <w:tcPr>
            <w:tcW w:w="1559" w:type="dxa"/>
            <w:tcBorders>
              <w:bottom w:val="single" w:sz="4" w:space="0" w:color="auto"/>
            </w:tcBorders>
          </w:tcPr>
          <w:p w14:paraId="0ADFD479" w14:textId="77777777" w:rsidR="00FE291A" w:rsidRDefault="00C8738F">
            <w:pPr>
              <w:pStyle w:val="TableParagraph"/>
              <w:widowControl/>
              <w:suppressAutoHyphens/>
              <w:kinsoku w:val="0"/>
              <w:overflowPunct w:val="0"/>
              <w:jc w:val="center"/>
              <w:rPr>
                <w:sz w:val="22"/>
                <w:lang w:val="de-DE"/>
              </w:rPr>
            </w:pPr>
            <w:r>
              <w:rPr>
                <w:sz w:val="22"/>
                <w:szCs w:val="22"/>
                <w:lang w:val="de-DE"/>
              </w:rPr>
              <w:t>entfällt</w:t>
            </w:r>
          </w:p>
        </w:tc>
        <w:tc>
          <w:tcPr>
            <w:tcW w:w="1134" w:type="dxa"/>
            <w:tcBorders>
              <w:bottom w:val="single" w:sz="4" w:space="0" w:color="auto"/>
            </w:tcBorders>
          </w:tcPr>
          <w:p w14:paraId="47E6EFC3" w14:textId="77777777" w:rsidR="00FE291A" w:rsidRDefault="00C8738F">
            <w:pPr>
              <w:pStyle w:val="TableParagraph"/>
              <w:widowControl/>
              <w:suppressAutoHyphens/>
              <w:kinsoku w:val="0"/>
              <w:overflowPunct w:val="0"/>
              <w:jc w:val="center"/>
              <w:rPr>
                <w:sz w:val="22"/>
                <w:lang w:val="de-DE"/>
              </w:rPr>
            </w:pPr>
            <w:r>
              <w:rPr>
                <w:sz w:val="22"/>
                <w:szCs w:val="22"/>
                <w:lang w:val="de-DE"/>
              </w:rPr>
              <w:t>entfällt</w:t>
            </w:r>
          </w:p>
        </w:tc>
        <w:tc>
          <w:tcPr>
            <w:tcW w:w="1559" w:type="dxa"/>
            <w:tcBorders>
              <w:bottom w:val="single" w:sz="4" w:space="0" w:color="auto"/>
            </w:tcBorders>
          </w:tcPr>
          <w:p w14:paraId="0188E276" w14:textId="77777777" w:rsidR="00FE291A" w:rsidRDefault="00C8738F">
            <w:pPr>
              <w:pStyle w:val="TableParagraph"/>
              <w:widowControl/>
              <w:suppressAutoHyphens/>
              <w:kinsoku w:val="0"/>
              <w:overflowPunct w:val="0"/>
              <w:jc w:val="center"/>
              <w:rPr>
                <w:sz w:val="22"/>
                <w:lang w:val="de-DE"/>
              </w:rPr>
            </w:pPr>
            <w:r>
              <w:rPr>
                <w:sz w:val="22"/>
                <w:szCs w:val="22"/>
                <w:lang w:val="de-DE"/>
              </w:rPr>
              <w:t>entfällt</w:t>
            </w:r>
          </w:p>
        </w:tc>
        <w:tc>
          <w:tcPr>
            <w:tcW w:w="1276" w:type="dxa"/>
            <w:tcBorders>
              <w:bottom w:val="single" w:sz="4" w:space="0" w:color="auto"/>
            </w:tcBorders>
          </w:tcPr>
          <w:p w14:paraId="7B647B71" w14:textId="77777777" w:rsidR="00FE291A" w:rsidRDefault="00C8738F">
            <w:pPr>
              <w:pStyle w:val="TableParagraph"/>
              <w:widowControl/>
              <w:suppressAutoHyphens/>
              <w:kinsoku w:val="0"/>
              <w:overflowPunct w:val="0"/>
              <w:jc w:val="center"/>
              <w:rPr>
                <w:sz w:val="22"/>
                <w:lang w:val="de-DE"/>
              </w:rPr>
            </w:pPr>
            <w:r>
              <w:rPr>
                <w:sz w:val="22"/>
                <w:szCs w:val="22"/>
                <w:lang w:val="de-DE"/>
              </w:rPr>
              <w:t>9,5 %</w:t>
            </w:r>
          </w:p>
        </w:tc>
        <w:tc>
          <w:tcPr>
            <w:tcW w:w="1559" w:type="dxa"/>
            <w:tcBorders>
              <w:bottom w:val="single" w:sz="4" w:space="0" w:color="auto"/>
            </w:tcBorders>
          </w:tcPr>
          <w:p w14:paraId="58E08F31" w14:textId="77777777" w:rsidR="00FE291A" w:rsidRDefault="00C8738F">
            <w:pPr>
              <w:pStyle w:val="TableParagraph"/>
              <w:widowControl/>
              <w:suppressAutoHyphens/>
              <w:kinsoku w:val="0"/>
              <w:overflowPunct w:val="0"/>
              <w:jc w:val="center"/>
              <w:rPr>
                <w:sz w:val="22"/>
                <w:lang w:val="de-DE"/>
              </w:rPr>
            </w:pPr>
            <w:r>
              <w:rPr>
                <w:sz w:val="22"/>
                <w:szCs w:val="22"/>
                <w:lang w:val="de-DE"/>
              </w:rPr>
              <w:t>41,5 %</w:t>
            </w:r>
          </w:p>
        </w:tc>
      </w:tr>
      <w:tr w:rsidR="00FE291A" w14:paraId="689BE3B8" w14:textId="77777777">
        <w:trPr>
          <w:cantSplit/>
        </w:trPr>
        <w:tc>
          <w:tcPr>
            <w:tcW w:w="1423" w:type="dxa"/>
            <w:tcBorders>
              <w:top w:val="single" w:sz="4" w:space="0" w:color="auto"/>
              <w:left w:val="single" w:sz="4" w:space="0" w:color="auto"/>
              <w:bottom w:val="single" w:sz="4" w:space="0" w:color="auto"/>
              <w:right w:val="nil"/>
            </w:tcBorders>
          </w:tcPr>
          <w:p w14:paraId="36F752F8" w14:textId="77777777" w:rsidR="00FE291A" w:rsidRDefault="00C8738F">
            <w:pPr>
              <w:pStyle w:val="TableParagraph"/>
              <w:keepNext/>
              <w:widowControl/>
              <w:suppressAutoHyphens/>
              <w:kinsoku w:val="0"/>
              <w:overflowPunct w:val="0"/>
              <w:rPr>
                <w:sz w:val="22"/>
                <w:lang w:val="de-DE"/>
              </w:rPr>
            </w:pPr>
            <w:r>
              <w:rPr>
                <w:sz w:val="22"/>
                <w:szCs w:val="22"/>
                <w:lang w:val="de-DE"/>
              </w:rPr>
              <w:t>ACR-70</w:t>
            </w:r>
          </w:p>
        </w:tc>
        <w:tc>
          <w:tcPr>
            <w:tcW w:w="1134" w:type="dxa"/>
            <w:tcBorders>
              <w:top w:val="single" w:sz="4" w:space="0" w:color="auto"/>
              <w:left w:val="nil"/>
              <w:bottom w:val="single" w:sz="4" w:space="0" w:color="auto"/>
              <w:right w:val="nil"/>
            </w:tcBorders>
          </w:tcPr>
          <w:p w14:paraId="4936D547" w14:textId="77777777" w:rsidR="00FE291A" w:rsidRDefault="00FE291A">
            <w:pPr>
              <w:keepNext/>
              <w:widowControl/>
              <w:suppressAutoHyphens/>
              <w:jc w:val="center"/>
              <w:rPr>
                <w:sz w:val="22"/>
                <w:szCs w:val="22"/>
                <w:lang w:val="de-DE"/>
              </w:rPr>
            </w:pPr>
          </w:p>
        </w:tc>
        <w:tc>
          <w:tcPr>
            <w:tcW w:w="1559" w:type="dxa"/>
            <w:tcBorders>
              <w:top w:val="single" w:sz="4" w:space="0" w:color="auto"/>
              <w:left w:val="nil"/>
              <w:bottom w:val="single" w:sz="4" w:space="0" w:color="auto"/>
              <w:right w:val="nil"/>
            </w:tcBorders>
          </w:tcPr>
          <w:p w14:paraId="57A0CED2" w14:textId="77777777" w:rsidR="00FE291A" w:rsidRDefault="00FE291A">
            <w:pPr>
              <w:keepNext/>
              <w:widowControl/>
              <w:suppressAutoHyphens/>
              <w:jc w:val="center"/>
              <w:rPr>
                <w:sz w:val="22"/>
                <w:lang w:val="de-DE"/>
              </w:rPr>
            </w:pPr>
          </w:p>
        </w:tc>
        <w:tc>
          <w:tcPr>
            <w:tcW w:w="1134" w:type="dxa"/>
            <w:tcBorders>
              <w:top w:val="single" w:sz="4" w:space="0" w:color="auto"/>
              <w:left w:val="nil"/>
              <w:bottom w:val="single" w:sz="4" w:space="0" w:color="auto"/>
              <w:right w:val="nil"/>
            </w:tcBorders>
          </w:tcPr>
          <w:p w14:paraId="4F2B39D0" w14:textId="77777777" w:rsidR="00FE291A" w:rsidRDefault="00FE291A">
            <w:pPr>
              <w:keepNext/>
              <w:widowControl/>
              <w:suppressAutoHyphens/>
              <w:jc w:val="center"/>
              <w:rPr>
                <w:sz w:val="22"/>
                <w:lang w:val="de-DE"/>
              </w:rPr>
            </w:pPr>
          </w:p>
        </w:tc>
        <w:tc>
          <w:tcPr>
            <w:tcW w:w="1559" w:type="dxa"/>
            <w:tcBorders>
              <w:top w:val="single" w:sz="4" w:space="0" w:color="auto"/>
              <w:left w:val="nil"/>
              <w:bottom w:val="single" w:sz="4" w:space="0" w:color="auto"/>
              <w:right w:val="nil"/>
            </w:tcBorders>
          </w:tcPr>
          <w:p w14:paraId="4855AD24" w14:textId="77777777" w:rsidR="00FE291A" w:rsidRDefault="00FE291A">
            <w:pPr>
              <w:keepNext/>
              <w:widowControl/>
              <w:suppressAutoHyphens/>
              <w:jc w:val="center"/>
              <w:rPr>
                <w:sz w:val="22"/>
                <w:lang w:val="de-DE"/>
              </w:rPr>
            </w:pPr>
          </w:p>
        </w:tc>
        <w:tc>
          <w:tcPr>
            <w:tcW w:w="1276" w:type="dxa"/>
            <w:tcBorders>
              <w:top w:val="single" w:sz="4" w:space="0" w:color="auto"/>
              <w:left w:val="nil"/>
              <w:bottom w:val="single" w:sz="4" w:space="0" w:color="auto"/>
              <w:right w:val="nil"/>
            </w:tcBorders>
          </w:tcPr>
          <w:p w14:paraId="19E009FC" w14:textId="77777777" w:rsidR="00FE291A" w:rsidRDefault="00FE291A">
            <w:pPr>
              <w:keepNext/>
              <w:widowControl/>
              <w:suppressAutoHyphens/>
              <w:jc w:val="center"/>
              <w:rPr>
                <w:sz w:val="22"/>
                <w:lang w:val="de-DE"/>
              </w:rPr>
            </w:pPr>
          </w:p>
        </w:tc>
        <w:tc>
          <w:tcPr>
            <w:tcW w:w="1559" w:type="dxa"/>
            <w:tcBorders>
              <w:top w:val="single" w:sz="4" w:space="0" w:color="auto"/>
              <w:left w:val="nil"/>
              <w:bottom w:val="single" w:sz="4" w:space="0" w:color="auto"/>
              <w:right w:val="single" w:sz="4" w:space="0" w:color="auto"/>
            </w:tcBorders>
          </w:tcPr>
          <w:p w14:paraId="42EBBC19" w14:textId="77777777" w:rsidR="00FE291A" w:rsidRDefault="00FE291A">
            <w:pPr>
              <w:keepNext/>
              <w:widowControl/>
              <w:suppressAutoHyphens/>
              <w:jc w:val="center"/>
              <w:rPr>
                <w:sz w:val="22"/>
                <w:lang w:val="de-DE"/>
              </w:rPr>
            </w:pPr>
          </w:p>
        </w:tc>
      </w:tr>
      <w:tr w:rsidR="00FE291A" w14:paraId="657A8014" w14:textId="77777777">
        <w:trPr>
          <w:cantSplit/>
        </w:trPr>
        <w:tc>
          <w:tcPr>
            <w:tcW w:w="1423" w:type="dxa"/>
            <w:tcBorders>
              <w:top w:val="single" w:sz="4" w:space="0" w:color="auto"/>
            </w:tcBorders>
          </w:tcPr>
          <w:p w14:paraId="3F7C057A" w14:textId="77777777" w:rsidR="00FE291A" w:rsidRDefault="00C8738F">
            <w:pPr>
              <w:pStyle w:val="TableParagraph"/>
              <w:keepNext/>
              <w:widowControl/>
              <w:suppressAutoHyphens/>
              <w:kinsoku w:val="0"/>
              <w:overflowPunct w:val="0"/>
              <w:ind w:firstLine="142"/>
              <w:rPr>
                <w:sz w:val="22"/>
                <w:lang w:val="de-DE"/>
              </w:rPr>
            </w:pPr>
            <w:r>
              <w:rPr>
                <w:sz w:val="22"/>
                <w:szCs w:val="22"/>
                <w:lang w:val="de-DE"/>
              </w:rPr>
              <w:t>6 Monate</w:t>
            </w:r>
          </w:p>
        </w:tc>
        <w:tc>
          <w:tcPr>
            <w:tcW w:w="1134" w:type="dxa"/>
            <w:tcBorders>
              <w:top w:val="single" w:sz="4" w:space="0" w:color="auto"/>
            </w:tcBorders>
          </w:tcPr>
          <w:p w14:paraId="13EAE7EC" w14:textId="77777777" w:rsidR="00FE291A" w:rsidRDefault="00C8738F">
            <w:pPr>
              <w:pStyle w:val="TableParagraph"/>
              <w:keepNext/>
              <w:widowControl/>
              <w:suppressAutoHyphens/>
              <w:kinsoku w:val="0"/>
              <w:overflowPunct w:val="0"/>
              <w:jc w:val="center"/>
              <w:rPr>
                <w:sz w:val="22"/>
                <w:lang w:val="de-DE"/>
              </w:rPr>
            </w:pPr>
            <w:r>
              <w:rPr>
                <w:sz w:val="22"/>
                <w:szCs w:val="22"/>
                <w:lang w:val="de-DE"/>
              </w:rPr>
              <w:t>3,3 %</w:t>
            </w:r>
          </w:p>
        </w:tc>
        <w:tc>
          <w:tcPr>
            <w:tcW w:w="1559" w:type="dxa"/>
            <w:tcBorders>
              <w:top w:val="single" w:sz="4" w:space="0" w:color="auto"/>
            </w:tcBorders>
          </w:tcPr>
          <w:p w14:paraId="35D010F7" w14:textId="77777777" w:rsidR="00FE291A" w:rsidRDefault="00C8738F">
            <w:pPr>
              <w:pStyle w:val="TableParagraph"/>
              <w:keepNext/>
              <w:widowControl/>
              <w:suppressAutoHyphens/>
              <w:kinsoku w:val="0"/>
              <w:overflowPunct w:val="0"/>
              <w:jc w:val="center"/>
              <w:rPr>
                <w:sz w:val="22"/>
                <w:lang w:val="de-DE"/>
              </w:rPr>
            </w:pPr>
            <w:r>
              <w:rPr>
                <w:sz w:val="22"/>
                <w:szCs w:val="22"/>
                <w:lang w:val="de-DE"/>
              </w:rPr>
              <w:t>23,8 %</w:t>
            </w:r>
          </w:p>
        </w:tc>
        <w:tc>
          <w:tcPr>
            <w:tcW w:w="1134" w:type="dxa"/>
            <w:tcBorders>
              <w:top w:val="single" w:sz="4" w:space="0" w:color="auto"/>
            </w:tcBorders>
          </w:tcPr>
          <w:p w14:paraId="0A27B178" w14:textId="77777777" w:rsidR="00FE291A" w:rsidRDefault="00C8738F">
            <w:pPr>
              <w:pStyle w:val="TableParagraph"/>
              <w:keepNext/>
              <w:widowControl/>
              <w:suppressAutoHyphens/>
              <w:kinsoku w:val="0"/>
              <w:overflowPunct w:val="0"/>
              <w:jc w:val="center"/>
              <w:rPr>
                <w:sz w:val="22"/>
                <w:lang w:val="de-DE"/>
              </w:rPr>
            </w:pPr>
            <w:r>
              <w:rPr>
                <w:sz w:val="22"/>
                <w:szCs w:val="22"/>
                <w:lang w:val="de-DE"/>
              </w:rPr>
              <w:t>1,8 %</w:t>
            </w:r>
          </w:p>
        </w:tc>
        <w:tc>
          <w:tcPr>
            <w:tcW w:w="1559" w:type="dxa"/>
            <w:tcBorders>
              <w:top w:val="single" w:sz="4" w:space="0" w:color="auto"/>
            </w:tcBorders>
          </w:tcPr>
          <w:p w14:paraId="2FD004FD" w14:textId="77777777" w:rsidR="00FE291A" w:rsidRDefault="00C8738F">
            <w:pPr>
              <w:pStyle w:val="TableParagraph"/>
              <w:keepNext/>
              <w:widowControl/>
              <w:suppressAutoHyphens/>
              <w:kinsoku w:val="0"/>
              <w:overflowPunct w:val="0"/>
              <w:jc w:val="center"/>
              <w:rPr>
                <w:sz w:val="22"/>
                <w:lang w:val="de-DE"/>
              </w:rPr>
            </w:pPr>
            <w:r>
              <w:rPr>
                <w:sz w:val="22"/>
                <w:szCs w:val="22"/>
                <w:lang w:val="de-DE"/>
              </w:rPr>
              <w:t>12,4 %</w:t>
            </w:r>
          </w:p>
        </w:tc>
        <w:tc>
          <w:tcPr>
            <w:tcW w:w="1276" w:type="dxa"/>
            <w:tcBorders>
              <w:top w:val="single" w:sz="4" w:space="0" w:color="auto"/>
            </w:tcBorders>
          </w:tcPr>
          <w:p w14:paraId="5A5C20D2" w14:textId="77777777" w:rsidR="00FE291A" w:rsidRDefault="00C8738F">
            <w:pPr>
              <w:pStyle w:val="TableParagraph"/>
              <w:keepNext/>
              <w:widowControl/>
              <w:suppressAutoHyphens/>
              <w:kinsoku w:val="0"/>
              <w:overflowPunct w:val="0"/>
              <w:jc w:val="center"/>
              <w:rPr>
                <w:sz w:val="22"/>
                <w:lang w:val="de-DE"/>
              </w:rPr>
            </w:pPr>
            <w:r>
              <w:rPr>
                <w:sz w:val="22"/>
                <w:szCs w:val="22"/>
                <w:lang w:val="de-DE"/>
              </w:rPr>
              <w:t>2,5 %</w:t>
            </w:r>
          </w:p>
        </w:tc>
        <w:tc>
          <w:tcPr>
            <w:tcW w:w="1559" w:type="dxa"/>
            <w:tcBorders>
              <w:top w:val="single" w:sz="4" w:space="0" w:color="auto"/>
            </w:tcBorders>
          </w:tcPr>
          <w:p w14:paraId="1B63FA00" w14:textId="77777777" w:rsidR="00FE291A" w:rsidRDefault="00C8738F">
            <w:pPr>
              <w:pStyle w:val="TableParagraph"/>
              <w:keepNext/>
              <w:widowControl/>
              <w:suppressAutoHyphens/>
              <w:kinsoku w:val="0"/>
              <w:overflowPunct w:val="0"/>
              <w:jc w:val="center"/>
              <w:rPr>
                <w:sz w:val="22"/>
                <w:lang w:val="de-DE"/>
              </w:rPr>
            </w:pPr>
            <w:r>
              <w:rPr>
                <w:sz w:val="22"/>
                <w:szCs w:val="22"/>
                <w:lang w:val="de-DE"/>
              </w:rPr>
              <w:t>20,8 %</w:t>
            </w:r>
          </w:p>
        </w:tc>
      </w:tr>
      <w:tr w:rsidR="00FE291A" w14:paraId="740104B4" w14:textId="77777777">
        <w:trPr>
          <w:cantSplit/>
        </w:trPr>
        <w:tc>
          <w:tcPr>
            <w:tcW w:w="1423" w:type="dxa"/>
          </w:tcPr>
          <w:p w14:paraId="2790744E" w14:textId="77777777" w:rsidR="00FE291A" w:rsidRDefault="00C8738F">
            <w:pPr>
              <w:pStyle w:val="TableParagraph"/>
              <w:keepNext/>
              <w:widowControl/>
              <w:suppressAutoHyphens/>
              <w:kinsoku w:val="0"/>
              <w:overflowPunct w:val="0"/>
              <w:ind w:firstLine="142"/>
              <w:rPr>
                <w:sz w:val="22"/>
                <w:lang w:val="de-DE"/>
              </w:rPr>
            </w:pPr>
            <w:r>
              <w:rPr>
                <w:sz w:val="22"/>
                <w:szCs w:val="22"/>
                <w:lang w:val="de-DE"/>
              </w:rPr>
              <w:t>12 Monate</w:t>
            </w:r>
          </w:p>
        </w:tc>
        <w:tc>
          <w:tcPr>
            <w:tcW w:w="1134" w:type="dxa"/>
          </w:tcPr>
          <w:p w14:paraId="6BCAA388" w14:textId="77777777" w:rsidR="00FE291A" w:rsidRDefault="00C8738F">
            <w:pPr>
              <w:pStyle w:val="TableParagraph"/>
              <w:keepNext/>
              <w:widowControl/>
              <w:suppressAutoHyphens/>
              <w:kinsoku w:val="0"/>
              <w:overflowPunct w:val="0"/>
              <w:jc w:val="center"/>
              <w:rPr>
                <w:sz w:val="22"/>
                <w:lang w:val="de-DE"/>
              </w:rPr>
            </w:pPr>
            <w:r>
              <w:rPr>
                <w:sz w:val="22"/>
                <w:szCs w:val="22"/>
                <w:lang w:val="de-DE"/>
              </w:rPr>
              <w:t>entfällt</w:t>
            </w:r>
          </w:p>
        </w:tc>
        <w:tc>
          <w:tcPr>
            <w:tcW w:w="1559" w:type="dxa"/>
          </w:tcPr>
          <w:p w14:paraId="57F09862" w14:textId="77777777" w:rsidR="00FE291A" w:rsidRDefault="00C8738F">
            <w:pPr>
              <w:pStyle w:val="TableParagraph"/>
              <w:keepNext/>
              <w:widowControl/>
              <w:suppressAutoHyphens/>
              <w:kinsoku w:val="0"/>
              <w:overflowPunct w:val="0"/>
              <w:jc w:val="center"/>
              <w:rPr>
                <w:sz w:val="22"/>
                <w:lang w:val="de-DE"/>
              </w:rPr>
            </w:pPr>
            <w:r>
              <w:rPr>
                <w:sz w:val="22"/>
                <w:szCs w:val="22"/>
                <w:lang w:val="de-DE"/>
              </w:rPr>
              <w:t>entfällt</w:t>
            </w:r>
          </w:p>
        </w:tc>
        <w:tc>
          <w:tcPr>
            <w:tcW w:w="1134" w:type="dxa"/>
          </w:tcPr>
          <w:p w14:paraId="4412CABB" w14:textId="77777777" w:rsidR="00FE291A" w:rsidRDefault="00C8738F">
            <w:pPr>
              <w:pStyle w:val="TableParagraph"/>
              <w:keepNext/>
              <w:widowControl/>
              <w:suppressAutoHyphens/>
              <w:kinsoku w:val="0"/>
              <w:overflowPunct w:val="0"/>
              <w:jc w:val="center"/>
              <w:rPr>
                <w:sz w:val="22"/>
                <w:lang w:val="de-DE"/>
              </w:rPr>
            </w:pPr>
            <w:r>
              <w:rPr>
                <w:sz w:val="22"/>
                <w:szCs w:val="22"/>
                <w:lang w:val="de-DE"/>
              </w:rPr>
              <w:t>entfällt</w:t>
            </w:r>
          </w:p>
        </w:tc>
        <w:tc>
          <w:tcPr>
            <w:tcW w:w="1559" w:type="dxa"/>
          </w:tcPr>
          <w:p w14:paraId="1FF84DB0" w14:textId="77777777" w:rsidR="00FE291A" w:rsidRDefault="00C8738F">
            <w:pPr>
              <w:pStyle w:val="TableParagraph"/>
              <w:keepNext/>
              <w:widowControl/>
              <w:suppressAutoHyphens/>
              <w:kinsoku w:val="0"/>
              <w:overflowPunct w:val="0"/>
              <w:jc w:val="center"/>
              <w:rPr>
                <w:sz w:val="22"/>
                <w:lang w:val="de-DE"/>
              </w:rPr>
            </w:pPr>
            <w:r>
              <w:rPr>
                <w:sz w:val="22"/>
                <w:szCs w:val="22"/>
                <w:lang w:val="de-DE"/>
              </w:rPr>
              <w:t>entfällt</w:t>
            </w:r>
          </w:p>
        </w:tc>
        <w:tc>
          <w:tcPr>
            <w:tcW w:w="1276" w:type="dxa"/>
          </w:tcPr>
          <w:p w14:paraId="13C9260B" w14:textId="77777777" w:rsidR="00FE291A" w:rsidRDefault="00C8738F">
            <w:pPr>
              <w:pStyle w:val="TableParagraph"/>
              <w:keepNext/>
              <w:widowControl/>
              <w:suppressAutoHyphens/>
              <w:kinsoku w:val="0"/>
              <w:overflowPunct w:val="0"/>
              <w:jc w:val="center"/>
              <w:rPr>
                <w:sz w:val="22"/>
                <w:lang w:val="de-DE"/>
              </w:rPr>
            </w:pPr>
            <w:r>
              <w:rPr>
                <w:sz w:val="22"/>
                <w:szCs w:val="22"/>
                <w:lang w:val="de-DE"/>
              </w:rPr>
              <w:t>4,5 %</w:t>
            </w:r>
          </w:p>
        </w:tc>
        <w:tc>
          <w:tcPr>
            <w:tcW w:w="1559" w:type="dxa"/>
          </w:tcPr>
          <w:p w14:paraId="26C523F4" w14:textId="77777777" w:rsidR="00FE291A" w:rsidRDefault="00C8738F">
            <w:pPr>
              <w:pStyle w:val="TableParagraph"/>
              <w:keepNext/>
              <w:widowControl/>
              <w:suppressAutoHyphens/>
              <w:kinsoku w:val="0"/>
              <w:overflowPunct w:val="0"/>
              <w:jc w:val="center"/>
              <w:rPr>
                <w:sz w:val="22"/>
                <w:lang w:val="de-DE"/>
              </w:rPr>
            </w:pPr>
            <w:r>
              <w:rPr>
                <w:sz w:val="22"/>
                <w:szCs w:val="22"/>
                <w:lang w:val="de-DE"/>
              </w:rPr>
              <w:t>23,2 %</w:t>
            </w:r>
          </w:p>
        </w:tc>
      </w:tr>
    </w:tbl>
    <w:p w14:paraId="661E6F04" w14:textId="77777777" w:rsidR="00FE291A" w:rsidRDefault="00C8738F">
      <w:pPr>
        <w:pStyle w:val="BodyText"/>
        <w:keepNext/>
        <w:widowControl/>
        <w:tabs>
          <w:tab w:val="left" w:pos="0"/>
        </w:tabs>
        <w:kinsoku w:val="0"/>
        <w:overflowPunct w:val="0"/>
        <w:ind w:left="0"/>
        <w:rPr>
          <w:sz w:val="20"/>
          <w:szCs w:val="20"/>
          <w:lang w:val="de-DE"/>
        </w:rPr>
      </w:pPr>
      <w:r>
        <w:rPr>
          <w:sz w:val="20"/>
          <w:szCs w:val="20"/>
          <w:vertAlign w:val="superscript"/>
          <w:lang w:val="de-DE"/>
        </w:rPr>
        <w:t>a</w:t>
      </w:r>
      <w:r>
        <w:rPr>
          <w:sz w:val="20"/>
          <w:szCs w:val="20"/>
          <w:lang w:val="de-DE"/>
        </w:rPr>
        <w:t xml:space="preserve"> RA-Studie I nach 24 Wochen, RA-Studie II nach 26 Wochen und RA-Studie III nach 24 und 52 Wochen</w:t>
      </w:r>
    </w:p>
    <w:p w14:paraId="3895CF96" w14:textId="77777777" w:rsidR="00FE291A" w:rsidRDefault="00C8738F">
      <w:pPr>
        <w:pStyle w:val="BodyText"/>
        <w:keepNext/>
        <w:widowControl/>
        <w:tabs>
          <w:tab w:val="left" w:pos="0"/>
        </w:tabs>
        <w:kinsoku w:val="0"/>
        <w:overflowPunct w:val="0"/>
        <w:ind w:left="0"/>
        <w:rPr>
          <w:sz w:val="20"/>
          <w:szCs w:val="20"/>
          <w:lang w:val="de-DE"/>
        </w:rPr>
      </w:pPr>
      <w:r>
        <w:rPr>
          <w:sz w:val="20"/>
          <w:szCs w:val="20"/>
          <w:vertAlign w:val="superscript"/>
          <w:lang w:val="de-DE"/>
        </w:rPr>
        <w:t>b</w:t>
      </w:r>
      <w:r>
        <w:rPr>
          <w:sz w:val="20"/>
          <w:szCs w:val="20"/>
          <w:lang w:val="de-DE"/>
        </w:rPr>
        <w:t xml:space="preserve"> 40 mg Adalimumab jede zweite Woche</w:t>
      </w:r>
    </w:p>
    <w:p w14:paraId="66496CE1" w14:textId="77777777" w:rsidR="00FE291A" w:rsidRDefault="00C8738F">
      <w:pPr>
        <w:pStyle w:val="BodyText"/>
        <w:keepNext/>
        <w:widowControl/>
        <w:tabs>
          <w:tab w:val="left" w:pos="0"/>
        </w:tabs>
        <w:kinsoku w:val="0"/>
        <w:overflowPunct w:val="0"/>
        <w:ind w:left="0"/>
        <w:rPr>
          <w:sz w:val="20"/>
          <w:szCs w:val="20"/>
          <w:lang w:val="de-DE"/>
        </w:rPr>
      </w:pPr>
      <w:r>
        <w:rPr>
          <w:sz w:val="20"/>
          <w:szCs w:val="20"/>
          <w:vertAlign w:val="superscript"/>
          <w:lang w:val="de-DE"/>
        </w:rPr>
        <w:t>c</w:t>
      </w:r>
      <w:r>
        <w:rPr>
          <w:sz w:val="20"/>
          <w:szCs w:val="20"/>
          <w:lang w:val="de-DE"/>
        </w:rPr>
        <w:t xml:space="preserve"> MTX = Methotrexat</w:t>
      </w:r>
    </w:p>
    <w:p w14:paraId="29E2E734" w14:textId="77777777" w:rsidR="00FE291A" w:rsidRDefault="00C8738F">
      <w:pPr>
        <w:pStyle w:val="BodyText"/>
        <w:widowControl/>
        <w:tabs>
          <w:tab w:val="left" w:pos="0"/>
        </w:tabs>
        <w:kinsoku w:val="0"/>
        <w:overflowPunct w:val="0"/>
        <w:ind w:left="0"/>
        <w:rPr>
          <w:sz w:val="20"/>
          <w:szCs w:val="20"/>
          <w:lang w:val="de-DE"/>
        </w:rPr>
      </w:pPr>
      <w:r>
        <w:rPr>
          <w:sz w:val="20"/>
          <w:szCs w:val="20"/>
          <w:lang w:val="de-DE"/>
        </w:rPr>
        <w:t>** p &lt; 0,01; Adalimumab gegenüber Placebo</w:t>
      </w:r>
    </w:p>
    <w:p w14:paraId="00CC8C36" w14:textId="77777777" w:rsidR="00FE291A" w:rsidRDefault="00FE291A">
      <w:pPr>
        <w:widowControl/>
        <w:kinsoku w:val="0"/>
        <w:overflowPunct w:val="0"/>
        <w:rPr>
          <w:sz w:val="22"/>
          <w:szCs w:val="19"/>
          <w:lang w:val="de-DE"/>
        </w:rPr>
      </w:pPr>
    </w:p>
    <w:p w14:paraId="422BB0AF" w14:textId="77777777" w:rsidR="00FE291A" w:rsidRDefault="00C8738F">
      <w:pPr>
        <w:pStyle w:val="BodyText"/>
        <w:widowControl/>
        <w:kinsoku w:val="0"/>
        <w:overflowPunct w:val="0"/>
        <w:ind w:left="0"/>
        <w:rPr>
          <w:lang w:val="de-DE"/>
        </w:rPr>
      </w:pPr>
      <w:r>
        <w:rPr>
          <w:lang w:val="de-DE"/>
        </w:rPr>
        <w:t>In den RA-Studien I – IV wurde im Vergleich zu Placebo nach 24 bzw. 26 Wochen eine Verbesserung aller individuellen ACR-Ansprechkriterien festgestellt (Anzahl der druckschmerzempfindlichen und geschwollenen Gelenke, Einstufung der Krankheitsaktivität und des Schmerzes durch Arzt und Patienten, Ausmaß der körperlichen Funktionseinschränkung (</w:t>
      </w:r>
      <w:r>
        <w:rPr>
          <w:i/>
          <w:iCs/>
          <w:lang w:val="de-DE"/>
        </w:rPr>
        <w:t>Health Assessment Questionnaire</w:t>
      </w:r>
      <w:r>
        <w:rPr>
          <w:lang w:val="de-DE"/>
        </w:rPr>
        <w:t>, HAQ) und CRP-Werte (mg/dl)). In der RA-Studie III hielt diese Verbesserung bis zur Woche 52 an.</w:t>
      </w:r>
    </w:p>
    <w:p w14:paraId="212604D7" w14:textId="77777777" w:rsidR="00FE291A" w:rsidRDefault="00FE291A">
      <w:pPr>
        <w:widowControl/>
        <w:kinsoku w:val="0"/>
        <w:overflowPunct w:val="0"/>
        <w:rPr>
          <w:sz w:val="22"/>
          <w:lang w:val="de-DE"/>
        </w:rPr>
      </w:pPr>
    </w:p>
    <w:p w14:paraId="4A947430" w14:textId="77777777" w:rsidR="00FE291A" w:rsidRDefault="00C8738F">
      <w:pPr>
        <w:pStyle w:val="BodyText"/>
        <w:widowControl/>
        <w:kinsoku w:val="0"/>
        <w:overflowPunct w:val="0"/>
        <w:ind w:left="0"/>
        <w:rPr>
          <w:lang w:val="de-DE"/>
        </w:rPr>
      </w:pPr>
      <w:r>
        <w:rPr>
          <w:lang w:val="de-DE"/>
        </w:rPr>
        <w:t>In der offenen Fortsetzungsphase der RA-Studie III blieb bei den meisten Patienten, die ein ACR- Ansprechen zeigten, dieses über eine Nachbeobachtung von bis zu 10 Jahren erhalten. Von 207</w:t>
      </w:r>
      <w:r>
        <w:rPr>
          <w:lang w:val="de-DE" w:eastAsia="zh-TW"/>
        </w:rPr>
        <w:t> </w:t>
      </w:r>
      <w:r>
        <w:rPr>
          <w:lang w:val="de-DE"/>
        </w:rPr>
        <w:t>Patienten, die zu Adalimumab 40 mg alle 2 Wochen randomisiert wurden, erhielten 114 Patienten eine Dauertherapie von Adalimumab 40 mg jede zweite Woche über 5 Jahre. Von diesen hatten 86 Patienten (75,4 %) ein ACR-20-Ansprechen; 72 Patienten (63,2 %) ein ACR-50-Ansprechen und 41 Patienten (36 %) ein ACR-70-Ansprechen. Von 207 Patienten wurden 81 Patienten 10 Jahre lang mit Adalimumab 40 mg jede zweite Woche weiterbehandelt. Von diesen hatten 64 Patienten (79,0 %) ein ACR-20-Ansprechen; 56 Patienten (69,1 %) ein ACR-50-Ansprechen und 43 Patienten (53,1 %) ein ACR-70-Ansprechen.</w:t>
      </w:r>
    </w:p>
    <w:p w14:paraId="3C3A253D" w14:textId="77777777" w:rsidR="00FE291A" w:rsidRDefault="00FE291A">
      <w:pPr>
        <w:widowControl/>
        <w:kinsoku w:val="0"/>
        <w:overflowPunct w:val="0"/>
        <w:rPr>
          <w:sz w:val="22"/>
          <w:lang w:val="de-DE"/>
        </w:rPr>
      </w:pPr>
    </w:p>
    <w:p w14:paraId="1DB359CC" w14:textId="77777777" w:rsidR="00FE291A" w:rsidRDefault="00C8738F">
      <w:pPr>
        <w:pStyle w:val="BodyText"/>
        <w:widowControl/>
        <w:kinsoku w:val="0"/>
        <w:overflowPunct w:val="0"/>
        <w:ind w:left="0"/>
        <w:rPr>
          <w:lang w:val="de-DE"/>
        </w:rPr>
      </w:pPr>
      <w:r>
        <w:rPr>
          <w:lang w:val="de-DE"/>
        </w:rPr>
        <w:t>In der RA-Studie IV war die ACR-20-Ansprechrate bei Patienten, die mit Adalimumab plus Therapiestandard behandelt wurden, statistisch signifikant besser als bei Patienten, die Placebo plus Therapiestandard erhielten (p &lt; 0,001).</w:t>
      </w:r>
    </w:p>
    <w:p w14:paraId="0488A946" w14:textId="77777777" w:rsidR="00FE291A" w:rsidRDefault="00FE291A">
      <w:pPr>
        <w:widowControl/>
        <w:kinsoku w:val="0"/>
        <w:overflowPunct w:val="0"/>
        <w:rPr>
          <w:sz w:val="22"/>
          <w:lang w:val="de-DE"/>
        </w:rPr>
      </w:pPr>
    </w:p>
    <w:p w14:paraId="09D2A4D2" w14:textId="77777777" w:rsidR="00FE291A" w:rsidRDefault="00C8738F">
      <w:pPr>
        <w:pStyle w:val="BodyText"/>
        <w:widowControl/>
        <w:kinsoku w:val="0"/>
        <w:overflowPunct w:val="0"/>
        <w:ind w:left="0"/>
        <w:rPr>
          <w:lang w:val="de-DE"/>
        </w:rPr>
      </w:pPr>
      <w:r>
        <w:rPr>
          <w:lang w:val="de-DE"/>
        </w:rPr>
        <w:t>Im Vergleich zu Placebo erreichten die mit Adalimumab behandelten Patienten in den RA-Studien I </w:t>
      </w:r>
      <w:r>
        <w:rPr>
          <w:lang w:val="de-DE"/>
        </w:rPr>
        <w:noBreakHyphen/>
        <w:t> IV bereits ein bis zwei Wochen nach Behandlungsbeginn statistisch signifikante ACR-20- und ACR-50-Ansprechraten.</w:t>
      </w:r>
    </w:p>
    <w:p w14:paraId="7109BD37" w14:textId="77777777" w:rsidR="00FE291A" w:rsidRDefault="00FE291A">
      <w:pPr>
        <w:widowControl/>
        <w:kinsoku w:val="0"/>
        <w:overflowPunct w:val="0"/>
        <w:rPr>
          <w:sz w:val="22"/>
          <w:lang w:val="de-DE"/>
        </w:rPr>
      </w:pPr>
    </w:p>
    <w:p w14:paraId="1DACD846" w14:textId="77777777" w:rsidR="00FE291A" w:rsidRDefault="00C8738F">
      <w:pPr>
        <w:pStyle w:val="BodyText"/>
        <w:widowControl/>
        <w:kinsoku w:val="0"/>
        <w:overflowPunct w:val="0"/>
        <w:ind w:left="0"/>
        <w:rPr>
          <w:lang w:val="de-DE"/>
        </w:rPr>
      </w:pPr>
      <w:r>
        <w:rPr>
          <w:lang w:val="de-DE"/>
        </w:rPr>
        <w:t>In der RA-Studie V führte die Kombinationstherapie mit Adalimumab und Methotrexat bei Methotrexat-naiven Patienten mit früher rheumatoider Arthritis nach 52 Wochen zu einem schnelleren und signifikant größeren ACR-Ansprechen als unter Methotrexat-Monotherapie und Adalimumab-Monotherapie. Das Ansprechen wurde bis Woche 104 aufrechterhalten (siehe Tabelle 9).</w:t>
      </w:r>
    </w:p>
    <w:p w14:paraId="0AF1C17C" w14:textId="77777777" w:rsidR="00FE291A" w:rsidRDefault="00FE291A">
      <w:pPr>
        <w:pStyle w:val="BodyText"/>
        <w:widowControl/>
        <w:kinsoku w:val="0"/>
        <w:overflowPunct w:val="0"/>
        <w:ind w:left="0"/>
        <w:rPr>
          <w:lang w:val="de-DE"/>
        </w:rPr>
      </w:pPr>
    </w:p>
    <w:p w14:paraId="77987388" w14:textId="77777777" w:rsidR="00FE291A" w:rsidRDefault="00C8738F">
      <w:pPr>
        <w:pStyle w:val="BodyText"/>
        <w:keepNext/>
        <w:widowControl/>
        <w:ind w:left="0"/>
        <w:rPr>
          <w:b/>
          <w:lang w:val="de-DE"/>
        </w:rPr>
      </w:pPr>
      <w:r>
        <w:rPr>
          <w:b/>
          <w:lang w:val="de-DE"/>
        </w:rPr>
        <w:t>Tabelle 9: ACR-Ansprechraten in der RA-Studie V (prozentualer Anteil der Patienten)</w:t>
      </w:r>
    </w:p>
    <w:p w14:paraId="2E951F2B" w14:textId="77777777" w:rsidR="00FE291A" w:rsidRDefault="00FE291A">
      <w:pPr>
        <w:keepNext/>
        <w:widowControl/>
        <w:kinsoku w:val="0"/>
        <w:overflowPunct w:val="0"/>
        <w:rPr>
          <w:sz w:val="22"/>
          <w:lang w:val="de-DE"/>
        </w:rPr>
      </w:pPr>
    </w:p>
    <w:tbl>
      <w:tblPr>
        <w:tblW w:w="9458" w:type="dxa"/>
        <w:tblLayout w:type="fixed"/>
        <w:tblCellMar>
          <w:top w:w="28" w:type="dxa"/>
          <w:bottom w:w="28" w:type="dxa"/>
        </w:tblCellMar>
        <w:tblLook w:val="04A0" w:firstRow="1" w:lastRow="0" w:firstColumn="1" w:lastColumn="0" w:noHBand="0" w:noVBand="1"/>
      </w:tblPr>
      <w:tblGrid>
        <w:gridCol w:w="1958"/>
        <w:gridCol w:w="1158"/>
        <w:gridCol w:w="1311"/>
        <w:gridCol w:w="1566"/>
        <w:gridCol w:w="1091"/>
        <w:gridCol w:w="1165"/>
        <w:gridCol w:w="1209"/>
      </w:tblGrid>
      <w:tr w:rsidR="00FE291A" w14:paraId="19879BD6" w14:textId="77777777">
        <w:trPr>
          <w:cantSplit/>
          <w:tblHeader/>
        </w:trPr>
        <w:tc>
          <w:tcPr>
            <w:tcW w:w="1958" w:type="dxa"/>
            <w:tcBorders>
              <w:top w:val="single" w:sz="4" w:space="0" w:color="000000"/>
              <w:left w:val="single" w:sz="6" w:space="0" w:color="000000"/>
              <w:bottom w:val="single" w:sz="4" w:space="0" w:color="000000"/>
              <w:right w:val="single" w:sz="4" w:space="0" w:color="000000"/>
            </w:tcBorders>
          </w:tcPr>
          <w:p w14:paraId="29D98AB7" w14:textId="77777777" w:rsidR="00FE291A" w:rsidRDefault="00C8738F">
            <w:pPr>
              <w:pStyle w:val="TableParagraph"/>
              <w:keepNext/>
              <w:widowControl/>
              <w:suppressAutoHyphens/>
              <w:kinsoku w:val="0"/>
              <w:overflowPunct w:val="0"/>
              <w:rPr>
                <w:sz w:val="22"/>
                <w:lang w:val="de-DE"/>
              </w:rPr>
            </w:pPr>
            <w:r>
              <w:rPr>
                <w:b/>
                <w:bCs/>
                <w:sz w:val="22"/>
                <w:szCs w:val="22"/>
                <w:lang w:val="de-DE"/>
              </w:rPr>
              <w:t>Ansprechen</w:t>
            </w:r>
          </w:p>
        </w:tc>
        <w:tc>
          <w:tcPr>
            <w:tcW w:w="1158" w:type="dxa"/>
            <w:tcBorders>
              <w:top w:val="single" w:sz="4" w:space="0" w:color="000000"/>
              <w:left w:val="single" w:sz="4" w:space="0" w:color="000000"/>
              <w:bottom w:val="single" w:sz="4" w:space="0" w:color="000000"/>
              <w:right w:val="single" w:sz="4" w:space="0" w:color="000000"/>
            </w:tcBorders>
          </w:tcPr>
          <w:p w14:paraId="19AB5D02" w14:textId="77777777" w:rsidR="00FE291A" w:rsidRDefault="00C8738F">
            <w:pPr>
              <w:pStyle w:val="TableParagraph"/>
              <w:keepNext/>
              <w:widowControl/>
              <w:suppressAutoHyphens/>
              <w:kinsoku w:val="0"/>
              <w:overflowPunct w:val="0"/>
              <w:jc w:val="center"/>
              <w:rPr>
                <w:b/>
                <w:bCs/>
                <w:sz w:val="22"/>
                <w:szCs w:val="22"/>
                <w:lang w:val="de-DE"/>
              </w:rPr>
            </w:pPr>
            <w:r>
              <w:rPr>
                <w:b/>
                <w:bCs/>
                <w:sz w:val="22"/>
                <w:szCs w:val="22"/>
                <w:lang w:val="de-DE"/>
              </w:rPr>
              <w:t>MTX</w:t>
            </w:r>
          </w:p>
          <w:p w14:paraId="5E1BD6FD" w14:textId="77777777" w:rsidR="00FE291A" w:rsidRDefault="00C8738F">
            <w:pPr>
              <w:pStyle w:val="TableParagraph"/>
              <w:keepNext/>
              <w:widowControl/>
              <w:suppressAutoHyphens/>
              <w:kinsoku w:val="0"/>
              <w:overflowPunct w:val="0"/>
              <w:jc w:val="center"/>
              <w:rPr>
                <w:sz w:val="22"/>
                <w:lang w:val="de-DE"/>
              </w:rPr>
            </w:pPr>
            <w:r>
              <w:rPr>
                <w:b/>
                <w:bCs/>
                <w:sz w:val="22"/>
                <w:szCs w:val="22"/>
                <w:lang w:val="de-DE"/>
              </w:rPr>
              <w:t>n = 257</w:t>
            </w:r>
          </w:p>
        </w:tc>
        <w:tc>
          <w:tcPr>
            <w:tcW w:w="1311" w:type="dxa"/>
            <w:tcBorders>
              <w:top w:val="single" w:sz="4" w:space="0" w:color="000000"/>
              <w:left w:val="single" w:sz="4" w:space="0" w:color="000000"/>
              <w:bottom w:val="single" w:sz="4" w:space="0" w:color="000000"/>
              <w:right w:val="single" w:sz="4" w:space="0" w:color="000000"/>
            </w:tcBorders>
          </w:tcPr>
          <w:p w14:paraId="6D1389C4" w14:textId="77777777" w:rsidR="00FE291A" w:rsidRDefault="00C8738F">
            <w:pPr>
              <w:pStyle w:val="TableParagraph"/>
              <w:keepNext/>
              <w:widowControl/>
              <w:suppressAutoHyphens/>
              <w:kinsoku w:val="0"/>
              <w:overflowPunct w:val="0"/>
              <w:jc w:val="center"/>
              <w:rPr>
                <w:sz w:val="22"/>
                <w:lang w:val="de-DE"/>
              </w:rPr>
            </w:pPr>
            <w:r>
              <w:rPr>
                <w:b/>
                <w:bCs/>
                <w:sz w:val="22"/>
                <w:szCs w:val="22"/>
                <w:lang w:val="de-DE"/>
              </w:rPr>
              <w:t>Adalimumab n = 274</w:t>
            </w:r>
          </w:p>
        </w:tc>
        <w:tc>
          <w:tcPr>
            <w:tcW w:w="1566" w:type="dxa"/>
            <w:tcBorders>
              <w:top w:val="single" w:sz="4" w:space="0" w:color="000000"/>
              <w:left w:val="single" w:sz="4" w:space="0" w:color="000000"/>
              <w:bottom w:val="single" w:sz="4" w:space="0" w:color="000000"/>
              <w:right w:val="single" w:sz="4" w:space="0" w:color="000000"/>
            </w:tcBorders>
          </w:tcPr>
          <w:p w14:paraId="21990696" w14:textId="77777777" w:rsidR="00FE291A" w:rsidRDefault="00C8738F">
            <w:pPr>
              <w:pStyle w:val="TableParagraph"/>
              <w:keepNext/>
              <w:widowControl/>
              <w:suppressAutoHyphens/>
              <w:kinsoku w:val="0"/>
              <w:overflowPunct w:val="0"/>
              <w:jc w:val="center"/>
              <w:rPr>
                <w:b/>
                <w:bCs/>
                <w:sz w:val="22"/>
                <w:szCs w:val="22"/>
                <w:lang w:val="de-DE"/>
              </w:rPr>
            </w:pPr>
            <w:r>
              <w:rPr>
                <w:b/>
                <w:bCs/>
                <w:sz w:val="22"/>
                <w:szCs w:val="22"/>
                <w:lang w:val="de-DE"/>
              </w:rPr>
              <w:t>Adalimumab/</w:t>
            </w:r>
          </w:p>
          <w:p w14:paraId="069E6F01" w14:textId="77777777" w:rsidR="00FE291A" w:rsidRDefault="00C8738F">
            <w:pPr>
              <w:pStyle w:val="TableParagraph"/>
              <w:keepNext/>
              <w:widowControl/>
              <w:suppressAutoHyphens/>
              <w:kinsoku w:val="0"/>
              <w:overflowPunct w:val="0"/>
              <w:jc w:val="center"/>
              <w:rPr>
                <w:b/>
                <w:bCs/>
                <w:sz w:val="22"/>
                <w:szCs w:val="22"/>
                <w:lang w:val="de-DE"/>
              </w:rPr>
            </w:pPr>
            <w:r>
              <w:rPr>
                <w:b/>
                <w:bCs/>
                <w:sz w:val="22"/>
                <w:szCs w:val="22"/>
                <w:lang w:val="de-DE"/>
              </w:rPr>
              <w:t>MTX</w:t>
            </w:r>
          </w:p>
          <w:p w14:paraId="071529EC" w14:textId="77777777" w:rsidR="00FE291A" w:rsidRDefault="00C8738F">
            <w:pPr>
              <w:pStyle w:val="TableParagraph"/>
              <w:keepNext/>
              <w:widowControl/>
              <w:suppressAutoHyphens/>
              <w:kinsoku w:val="0"/>
              <w:overflowPunct w:val="0"/>
              <w:jc w:val="center"/>
              <w:rPr>
                <w:sz w:val="22"/>
                <w:lang w:val="de-DE"/>
              </w:rPr>
            </w:pPr>
            <w:r>
              <w:rPr>
                <w:b/>
                <w:bCs/>
                <w:sz w:val="22"/>
                <w:szCs w:val="22"/>
                <w:lang w:val="de-DE"/>
              </w:rPr>
              <w:t>n = 268</w:t>
            </w:r>
          </w:p>
        </w:tc>
        <w:tc>
          <w:tcPr>
            <w:tcW w:w="1091" w:type="dxa"/>
            <w:tcBorders>
              <w:top w:val="single" w:sz="4" w:space="0" w:color="000000"/>
              <w:left w:val="single" w:sz="4" w:space="0" w:color="000000"/>
              <w:bottom w:val="single" w:sz="4" w:space="0" w:color="000000"/>
              <w:right w:val="single" w:sz="4" w:space="0" w:color="000000"/>
            </w:tcBorders>
          </w:tcPr>
          <w:p w14:paraId="51F5EAD2" w14:textId="77777777" w:rsidR="00FE291A" w:rsidRDefault="00C8738F">
            <w:pPr>
              <w:pStyle w:val="TableParagraph"/>
              <w:keepNext/>
              <w:widowControl/>
              <w:suppressAutoHyphens/>
              <w:kinsoku w:val="0"/>
              <w:overflowPunct w:val="0"/>
              <w:jc w:val="center"/>
              <w:rPr>
                <w:sz w:val="22"/>
                <w:lang w:val="de-DE"/>
              </w:rPr>
            </w:pPr>
            <w:r>
              <w:rPr>
                <w:b/>
                <w:bCs/>
                <w:sz w:val="22"/>
                <w:szCs w:val="22"/>
                <w:lang w:val="de-DE"/>
              </w:rPr>
              <w:t>p-Wert</w:t>
            </w:r>
            <w:r>
              <w:rPr>
                <w:b/>
                <w:bCs/>
                <w:sz w:val="22"/>
                <w:szCs w:val="22"/>
                <w:vertAlign w:val="superscript"/>
                <w:lang w:val="de-DE"/>
              </w:rPr>
              <w:t>a</w:t>
            </w:r>
          </w:p>
        </w:tc>
        <w:tc>
          <w:tcPr>
            <w:tcW w:w="1165" w:type="dxa"/>
            <w:tcBorders>
              <w:top w:val="single" w:sz="4" w:space="0" w:color="000000"/>
              <w:left w:val="single" w:sz="4" w:space="0" w:color="000000"/>
              <w:bottom w:val="single" w:sz="4" w:space="0" w:color="000000"/>
              <w:right w:val="single" w:sz="4" w:space="0" w:color="000000"/>
            </w:tcBorders>
          </w:tcPr>
          <w:p w14:paraId="623E5AF2" w14:textId="77777777" w:rsidR="00FE291A" w:rsidRDefault="00C8738F">
            <w:pPr>
              <w:pStyle w:val="TableParagraph"/>
              <w:keepNext/>
              <w:widowControl/>
              <w:suppressAutoHyphens/>
              <w:kinsoku w:val="0"/>
              <w:overflowPunct w:val="0"/>
              <w:jc w:val="center"/>
              <w:rPr>
                <w:sz w:val="22"/>
                <w:lang w:val="de-DE"/>
              </w:rPr>
            </w:pPr>
            <w:r>
              <w:rPr>
                <w:b/>
                <w:bCs/>
                <w:sz w:val="22"/>
                <w:szCs w:val="22"/>
                <w:lang w:val="de-DE"/>
              </w:rPr>
              <w:t>p-Wert</w:t>
            </w:r>
            <w:r>
              <w:rPr>
                <w:b/>
                <w:bCs/>
                <w:sz w:val="22"/>
                <w:szCs w:val="22"/>
                <w:vertAlign w:val="superscript"/>
                <w:lang w:val="de-DE"/>
              </w:rPr>
              <w:t>b</w:t>
            </w:r>
          </w:p>
        </w:tc>
        <w:tc>
          <w:tcPr>
            <w:tcW w:w="1209" w:type="dxa"/>
            <w:tcBorders>
              <w:top w:val="single" w:sz="4" w:space="0" w:color="000000"/>
              <w:left w:val="single" w:sz="4" w:space="0" w:color="000000"/>
              <w:bottom w:val="single" w:sz="4" w:space="0" w:color="000000"/>
              <w:right w:val="single" w:sz="4" w:space="0" w:color="000000"/>
            </w:tcBorders>
          </w:tcPr>
          <w:p w14:paraId="0D33DBE5" w14:textId="77777777" w:rsidR="00FE291A" w:rsidRDefault="00C8738F">
            <w:pPr>
              <w:pStyle w:val="TableParagraph"/>
              <w:keepNext/>
              <w:widowControl/>
              <w:suppressAutoHyphens/>
              <w:kinsoku w:val="0"/>
              <w:overflowPunct w:val="0"/>
              <w:jc w:val="center"/>
              <w:rPr>
                <w:sz w:val="22"/>
                <w:lang w:val="de-DE"/>
              </w:rPr>
            </w:pPr>
            <w:r>
              <w:rPr>
                <w:b/>
                <w:bCs/>
                <w:sz w:val="22"/>
                <w:szCs w:val="22"/>
                <w:lang w:val="de-DE"/>
              </w:rPr>
              <w:t>p-Wert</w:t>
            </w:r>
            <w:r>
              <w:rPr>
                <w:b/>
                <w:bCs/>
                <w:sz w:val="22"/>
                <w:szCs w:val="22"/>
                <w:vertAlign w:val="superscript"/>
                <w:lang w:val="de-DE"/>
              </w:rPr>
              <w:t>c</w:t>
            </w:r>
          </w:p>
        </w:tc>
      </w:tr>
      <w:tr w:rsidR="00FE291A" w14:paraId="70DCD337" w14:textId="77777777">
        <w:trPr>
          <w:cantSplit/>
        </w:trPr>
        <w:tc>
          <w:tcPr>
            <w:tcW w:w="9458" w:type="dxa"/>
            <w:gridSpan w:val="7"/>
            <w:tcBorders>
              <w:top w:val="single" w:sz="4" w:space="0" w:color="000000"/>
              <w:left w:val="single" w:sz="6" w:space="0" w:color="000000"/>
              <w:bottom w:val="single" w:sz="4" w:space="0" w:color="000000"/>
              <w:right w:val="single" w:sz="4" w:space="0" w:color="000000"/>
            </w:tcBorders>
          </w:tcPr>
          <w:p w14:paraId="02722AB3" w14:textId="77777777" w:rsidR="00FE291A" w:rsidRDefault="00C8738F">
            <w:pPr>
              <w:keepNext/>
              <w:widowControl/>
              <w:suppressAutoHyphens/>
              <w:rPr>
                <w:sz w:val="22"/>
                <w:lang w:val="de-DE"/>
              </w:rPr>
            </w:pPr>
            <w:r>
              <w:rPr>
                <w:sz w:val="22"/>
                <w:szCs w:val="22"/>
                <w:lang w:val="de-DE"/>
              </w:rPr>
              <w:t>ACR-20</w:t>
            </w:r>
          </w:p>
        </w:tc>
      </w:tr>
      <w:tr w:rsidR="00FE291A" w14:paraId="3BB461EF" w14:textId="77777777">
        <w:trPr>
          <w:cantSplit/>
        </w:trPr>
        <w:tc>
          <w:tcPr>
            <w:tcW w:w="1958" w:type="dxa"/>
            <w:tcBorders>
              <w:top w:val="single" w:sz="4" w:space="0" w:color="000000"/>
              <w:left w:val="single" w:sz="6" w:space="0" w:color="000000"/>
              <w:bottom w:val="single" w:sz="4" w:space="0" w:color="000000"/>
              <w:right w:val="single" w:sz="4" w:space="0" w:color="000000"/>
            </w:tcBorders>
          </w:tcPr>
          <w:p w14:paraId="629FDC0B" w14:textId="77777777" w:rsidR="00FE291A" w:rsidRDefault="00C8738F">
            <w:pPr>
              <w:pStyle w:val="TableParagraph"/>
              <w:keepNext/>
              <w:widowControl/>
              <w:suppressAutoHyphens/>
              <w:kinsoku w:val="0"/>
              <w:overflowPunct w:val="0"/>
              <w:ind w:firstLine="284"/>
              <w:rPr>
                <w:sz w:val="22"/>
                <w:lang w:val="de-DE"/>
              </w:rPr>
            </w:pPr>
            <w:r>
              <w:rPr>
                <w:sz w:val="22"/>
                <w:szCs w:val="22"/>
                <w:lang w:val="de-DE"/>
              </w:rPr>
              <w:t>Woche 52</w:t>
            </w:r>
          </w:p>
        </w:tc>
        <w:tc>
          <w:tcPr>
            <w:tcW w:w="1158" w:type="dxa"/>
            <w:tcBorders>
              <w:top w:val="single" w:sz="4" w:space="0" w:color="000000"/>
              <w:left w:val="single" w:sz="4" w:space="0" w:color="000000"/>
              <w:bottom w:val="single" w:sz="4" w:space="0" w:color="000000"/>
              <w:right w:val="single" w:sz="4" w:space="0" w:color="000000"/>
            </w:tcBorders>
          </w:tcPr>
          <w:p w14:paraId="29C97487" w14:textId="77777777" w:rsidR="00FE291A" w:rsidRDefault="00C8738F">
            <w:pPr>
              <w:pStyle w:val="TableParagraph"/>
              <w:keepNext/>
              <w:widowControl/>
              <w:suppressAutoHyphens/>
              <w:kinsoku w:val="0"/>
              <w:overflowPunct w:val="0"/>
              <w:jc w:val="center"/>
              <w:rPr>
                <w:sz w:val="22"/>
                <w:lang w:val="de-DE"/>
              </w:rPr>
            </w:pPr>
            <w:r>
              <w:rPr>
                <w:sz w:val="22"/>
                <w:szCs w:val="22"/>
                <w:lang w:val="de-DE"/>
              </w:rPr>
              <w:t>62,6 %</w:t>
            </w:r>
          </w:p>
        </w:tc>
        <w:tc>
          <w:tcPr>
            <w:tcW w:w="1311" w:type="dxa"/>
            <w:tcBorders>
              <w:top w:val="single" w:sz="4" w:space="0" w:color="000000"/>
              <w:left w:val="single" w:sz="4" w:space="0" w:color="000000"/>
              <w:bottom w:val="single" w:sz="4" w:space="0" w:color="000000"/>
              <w:right w:val="single" w:sz="4" w:space="0" w:color="000000"/>
            </w:tcBorders>
          </w:tcPr>
          <w:p w14:paraId="3088336A" w14:textId="77777777" w:rsidR="00FE291A" w:rsidRDefault="00C8738F">
            <w:pPr>
              <w:pStyle w:val="TableParagraph"/>
              <w:keepNext/>
              <w:widowControl/>
              <w:suppressAutoHyphens/>
              <w:kinsoku w:val="0"/>
              <w:overflowPunct w:val="0"/>
              <w:jc w:val="center"/>
              <w:rPr>
                <w:sz w:val="22"/>
                <w:lang w:val="de-DE"/>
              </w:rPr>
            </w:pPr>
            <w:r>
              <w:rPr>
                <w:sz w:val="22"/>
                <w:szCs w:val="22"/>
                <w:lang w:val="de-DE"/>
              </w:rPr>
              <w:t>54,4 %</w:t>
            </w:r>
          </w:p>
        </w:tc>
        <w:tc>
          <w:tcPr>
            <w:tcW w:w="1566" w:type="dxa"/>
            <w:tcBorders>
              <w:top w:val="single" w:sz="4" w:space="0" w:color="000000"/>
              <w:left w:val="single" w:sz="4" w:space="0" w:color="000000"/>
              <w:bottom w:val="single" w:sz="4" w:space="0" w:color="000000"/>
              <w:right w:val="single" w:sz="4" w:space="0" w:color="000000"/>
            </w:tcBorders>
          </w:tcPr>
          <w:p w14:paraId="74293136" w14:textId="77777777" w:rsidR="00FE291A" w:rsidRDefault="00C8738F">
            <w:pPr>
              <w:pStyle w:val="TableParagraph"/>
              <w:keepNext/>
              <w:widowControl/>
              <w:suppressAutoHyphens/>
              <w:kinsoku w:val="0"/>
              <w:overflowPunct w:val="0"/>
              <w:jc w:val="center"/>
              <w:rPr>
                <w:sz w:val="22"/>
                <w:lang w:val="de-DE"/>
              </w:rPr>
            </w:pPr>
            <w:r>
              <w:rPr>
                <w:sz w:val="22"/>
                <w:szCs w:val="22"/>
                <w:lang w:val="de-DE"/>
              </w:rPr>
              <w:t>72,8 %</w:t>
            </w:r>
          </w:p>
        </w:tc>
        <w:tc>
          <w:tcPr>
            <w:tcW w:w="1091" w:type="dxa"/>
            <w:tcBorders>
              <w:top w:val="single" w:sz="4" w:space="0" w:color="000000"/>
              <w:left w:val="single" w:sz="4" w:space="0" w:color="000000"/>
              <w:bottom w:val="single" w:sz="4" w:space="0" w:color="000000"/>
              <w:right w:val="single" w:sz="4" w:space="0" w:color="000000"/>
            </w:tcBorders>
          </w:tcPr>
          <w:p w14:paraId="6B51DE4C" w14:textId="77777777" w:rsidR="00FE291A" w:rsidRDefault="00C8738F">
            <w:pPr>
              <w:pStyle w:val="TableParagraph"/>
              <w:keepNext/>
              <w:widowControl/>
              <w:suppressAutoHyphens/>
              <w:kinsoku w:val="0"/>
              <w:overflowPunct w:val="0"/>
              <w:jc w:val="center"/>
              <w:rPr>
                <w:sz w:val="22"/>
                <w:lang w:val="de-DE"/>
              </w:rPr>
            </w:pPr>
            <w:r>
              <w:rPr>
                <w:sz w:val="22"/>
                <w:szCs w:val="22"/>
                <w:lang w:val="de-DE"/>
              </w:rPr>
              <w:t>0,013</w:t>
            </w:r>
          </w:p>
        </w:tc>
        <w:tc>
          <w:tcPr>
            <w:tcW w:w="1165" w:type="dxa"/>
            <w:tcBorders>
              <w:top w:val="single" w:sz="4" w:space="0" w:color="000000"/>
              <w:left w:val="single" w:sz="4" w:space="0" w:color="000000"/>
              <w:bottom w:val="single" w:sz="4" w:space="0" w:color="000000"/>
              <w:right w:val="single" w:sz="4" w:space="0" w:color="000000"/>
            </w:tcBorders>
          </w:tcPr>
          <w:p w14:paraId="3ECA0936" w14:textId="77777777" w:rsidR="00FE291A" w:rsidRDefault="00C8738F">
            <w:pPr>
              <w:pStyle w:val="TableParagraph"/>
              <w:keepNext/>
              <w:widowControl/>
              <w:suppressAutoHyphens/>
              <w:kinsoku w:val="0"/>
              <w:overflowPunct w:val="0"/>
              <w:jc w:val="center"/>
              <w:rPr>
                <w:sz w:val="22"/>
                <w:lang w:val="de-DE"/>
              </w:rPr>
            </w:pPr>
            <w:r>
              <w:rPr>
                <w:sz w:val="22"/>
                <w:szCs w:val="22"/>
                <w:lang w:val="de-DE"/>
              </w:rPr>
              <w:t>&lt; 0,001</w:t>
            </w:r>
          </w:p>
        </w:tc>
        <w:tc>
          <w:tcPr>
            <w:tcW w:w="1209" w:type="dxa"/>
            <w:tcBorders>
              <w:top w:val="single" w:sz="4" w:space="0" w:color="000000"/>
              <w:left w:val="single" w:sz="4" w:space="0" w:color="000000"/>
              <w:bottom w:val="single" w:sz="4" w:space="0" w:color="000000"/>
              <w:right w:val="single" w:sz="4" w:space="0" w:color="000000"/>
            </w:tcBorders>
          </w:tcPr>
          <w:p w14:paraId="67D04357" w14:textId="77777777" w:rsidR="00FE291A" w:rsidRDefault="00C8738F">
            <w:pPr>
              <w:pStyle w:val="TableParagraph"/>
              <w:keepNext/>
              <w:widowControl/>
              <w:suppressAutoHyphens/>
              <w:kinsoku w:val="0"/>
              <w:overflowPunct w:val="0"/>
              <w:jc w:val="center"/>
              <w:rPr>
                <w:sz w:val="22"/>
                <w:lang w:val="de-DE"/>
              </w:rPr>
            </w:pPr>
            <w:r>
              <w:rPr>
                <w:sz w:val="22"/>
                <w:szCs w:val="22"/>
                <w:lang w:val="de-DE"/>
              </w:rPr>
              <w:t>0,043</w:t>
            </w:r>
          </w:p>
        </w:tc>
      </w:tr>
      <w:tr w:rsidR="00FE291A" w14:paraId="5292C593" w14:textId="77777777">
        <w:trPr>
          <w:cantSplit/>
        </w:trPr>
        <w:tc>
          <w:tcPr>
            <w:tcW w:w="1958" w:type="dxa"/>
            <w:tcBorders>
              <w:top w:val="single" w:sz="4" w:space="0" w:color="000000"/>
              <w:left w:val="single" w:sz="6" w:space="0" w:color="000000"/>
              <w:bottom w:val="single" w:sz="4" w:space="0" w:color="000000"/>
              <w:right w:val="single" w:sz="4" w:space="0" w:color="000000"/>
            </w:tcBorders>
          </w:tcPr>
          <w:p w14:paraId="121DD4EF" w14:textId="77777777" w:rsidR="00FE291A" w:rsidRDefault="00C8738F">
            <w:pPr>
              <w:pStyle w:val="TableParagraph"/>
              <w:widowControl/>
              <w:suppressAutoHyphens/>
              <w:kinsoku w:val="0"/>
              <w:overflowPunct w:val="0"/>
              <w:ind w:firstLine="284"/>
              <w:rPr>
                <w:sz w:val="22"/>
                <w:lang w:val="de-DE"/>
              </w:rPr>
            </w:pPr>
            <w:r>
              <w:rPr>
                <w:sz w:val="22"/>
                <w:szCs w:val="22"/>
                <w:lang w:val="de-DE"/>
              </w:rPr>
              <w:t>Woche 104</w:t>
            </w:r>
          </w:p>
        </w:tc>
        <w:tc>
          <w:tcPr>
            <w:tcW w:w="1158" w:type="dxa"/>
            <w:tcBorders>
              <w:top w:val="single" w:sz="4" w:space="0" w:color="000000"/>
              <w:left w:val="single" w:sz="4" w:space="0" w:color="000000"/>
              <w:bottom w:val="single" w:sz="4" w:space="0" w:color="000000"/>
              <w:right w:val="single" w:sz="4" w:space="0" w:color="000000"/>
            </w:tcBorders>
          </w:tcPr>
          <w:p w14:paraId="1D7E96C3" w14:textId="77777777" w:rsidR="00FE291A" w:rsidRDefault="00C8738F">
            <w:pPr>
              <w:pStyle w:val="TableParagraph"/>
              <w:widowControl/>
              <w:suppressAutoHyphens/>
              <w:kinsoku w:val="0"/>
              <w:overflowPunct w:val="0"/>
              <w:jc w:val="center"/>
              <w:rPr>
                <w:sz w:val="22"/>
                <w:lang w:val="de-DE"/>
              </w:rPr>
            </w:pPr>
            <w:r>
              <w:rPr>
                <w:sz w:val="22"/>
                <w:szCs w:val="22"/>
                <w:lang w:val="de-DE"/>
              </w:rPr>
              <w:t>56,0 %</w:t>
            </w:r>
          </w:p>
        </w:tc>
        <w:tc>
          <w:tcPr>
            <w:tcW w:w="1311" w:type="dxa"/>
            <w:tcBorders>
              <w:top w:val="single" w:sz="4" w:space="0" w:color="000000"/>
              <w:left w:val="single" w:sz="4" w:space="0" w:color="000000"/>
              <w:bottom w:val="single" w:sz="4" w:space="0" w:color="000000"/>
              <w:right w:val="single" w:sz="4" w:space="0" w:color="000000"/>
            </w:tcBorders>
          </w:tcPr>
          <w:p w14:paraId="1C6A8AB0" w14:textId="77777777" w:rsidR="00FE291A" w:rsidRDefault="00C8738F">
            <w:pPr>
              <w:pStyle w:val="TableParagraph"/>
              <w:widowControl/>
              <w:suppressAutoHyphens/>
              <w:kinsoku w:val="0"/>
              <w:overflowPunct w:val="0"/>
              <w:jc w:val="center"/>
              <w:rPr>
                <w:sz w:val="22"/>
                <w:lang w:val="de-DE"/>
              </w:rPr>
            </w:pPr>
            <w:r>
              <w:rPr>
                <w:sz w:val="22"/>
                <w:szCs w:val="22"/>
                <w:lang w:val="de-DE"/>
              </w:rPr>
              <w:t>49,3 %</w:t>
            </w:r>
          </w:p>
        </w:tc>
        <w:tc>
          <w:tcPr>
            <w:tcW w:w="1566" w:type="dxa"/>
            <w:tcBorders>
              <w:top w:val="single" w:sz="4" w:space="0" w:color="000000"/>
              <w:left w:val="single" w:sz="4" w:space="0" w:color="000000"/>
              <w:bottom w:val="single" w:sz="4" w:space="0" w:color="000000"/>
              <w:right w:val="single" w:sz="4" w:space="0" w:color="000000"/>
            </w:tcBorders>
          </w:tcPr>
          <w:p w14:paraId="3E573F3B" w14:textId="77777777" w:rsidR="00FE291A" w:rsidRDefault="00C8738F">
            <w:pPr>
              <w:pStyle w:val="TableParagraph"/>
              <w:widowControl/>
              <w:suppressAutoHyphens/>
              <w:kinsoku w:val="0"/>
              <w:overflowPunct w:val="0"/>
              <w:jc w:val="center"/>
              <w:rPr>
                <w:sz w:val="22"/>
                <w:lang w:val="de-DE"/>
              </w:rPr>
            </w:pPr>
            <w:r>
              <w:rPr>
                <w:sz w:val="22"/>
                <w:szCs w:val="22"/>
                <w:lang w:val="de-DE"/>
              </w:rPr>
              <w:t>69,4 %</w:t>
            </w:r>
          </w:p>
        </w:tc>
        <w:tc>
          <w:tcPr>
            <w:tcW w:w="1091" w:type="dxa"/>
            <w:tcBorders>
              <w:top w:val="single" w:sz="4" w:space="0" w:color="000000"/>
              <w:left w:val="single" w:sz="4" w:space="0" w:color="000000"/>
              <w:bottom w:val="single" w:sz="4" w:space="0" w:color="000000"/>
              <w:right w:val="single" w:sz="4" w:space="0" w:color="000000"/>
            </w:tcBorders>
          </w:tcPr>
          <w:p w14:paraId="3421843D" w14:textId="77777777" w:rsidR="00FE291A" w:rsidRDefault="00C8738F">
            <w:pPr>
              <w:pStyle w:val="TableParagraph"/>
              <w:widowControl/>
              <w:suppressAutoHyphens/>
              <w:kinsoku w:val="0"/>
              <w:overflowPunct w:val="0"/>
              <w:jc w:val="center"/>
              <w:rPr>
                <w:sz w:val="22"/>
                <w:lang w:val="de-DE"/>
              </w:rPr>
            </w:pPr>
            <w:r>
              <w:rPr>
                <w:sz w:val="22"/>
                <w:szCs w:val="22"/>
                <w:lang w:val="de-DE"/>
              </w:rPr>
              <w:t>0,002</w:t>
            </w:r>
          </w:p>
        </w:tc>
        <w:tc>
          <w:tcPr>
            <w:tcW w:w="1165" w:type="dxa"/>
            <w:tcBorders>
              <w:top w:val="single" w:sz="4" w:space="0" w:color="000000"/>
              <w:left w:val="single" w:sz="4" w:space="0" w:color="000000"/>
              <w:bottom w:val="single" w:sz="4" w:space="0" w:color="000000"/>
              <w:right w:val="single" w:sz="4" w:space="0" w:color="000000"/>
            </w:tcBorders>
          </w:tcPr>
          <w:p w14:paraId="04DAEEC8" w14:textId="77777777" w:rsidR="00FE291A" w:rsidRDefault="00C8738F">
            <w:pPr>
              <w:pStyle w:val="TableParagraph"/>
              <w:widowControl/>
              <w:suppressAutoHyphens/>
              <w:kinsoku w:val="0"/>
              <w:overflowPunct w:val="0"/>
              <w:jc w:val="center"/>
              <w:rPr>
                <w:sz w:val="22"/>
                <w:lang w:val="de-DE"/>
              </w:rPr>
            </w:pPr>
            <w:r>
              <w:rPr>
                <w:sz w:val="22"/>
                <w:szCs w:val="22"/>
                <w:lang w:val="de-DE"/>
              </w:rPr>
              <w:t>&lt; 0,001</w:t>
            </w:r>
          </w:p>
        </w:tc>
        <w:tc>
          <w:tcPr>
            <w:tcW w:w="1209" w:type="dxa"/>
            <w:tcBorders>
              <w:top w:val="single" w:sz="4" w:space="0" w:color="000000"/>
              <w:left w:val="single" w:sz="4" w:space="0" w:color="000000"/>
              <w:bottom w:val="single" w:sz="4" w:space="0" w:color="000000"/>
              <w:right w:val="single" w:sz="4" w:space="0" w:color="000000"/>
            </w:tcBorders>
          </w:tcPr>
          <w:p w14:paraId="5E07213B" w14:textId="77777777" w:rsidR="00FE291A" w:rsidRDefault="00C8738F">
            <w:pPr>
              <w:pStyle w:val="TableParagraph"/>
              <w:widowControl/>
              <w:suppressAutoHyphens/>
              <w:kinsoku w:val="0"/>
              <w:overflowPunct w:val="0"/>
              <w:jc w:val="center"/>
              <w:rPr>
                <w:sz w:val="22"/>
                <w:lang w:val="de-DE"/>
              </w:rPr>
            </w:pPr>
            <w:r>
              <w:rPr>
                <w:sz w:val="22"/>
                <w:szCs w:val="22"/>
                <w:lang w:val="de-DE"/>
              </w:rPr>
              <w:t>0,140</w:t>
            </w:r>
          </w:p>
        </w:tc>
      </w:tr>
      <w:tr w:rsidR="00FE291A" w14:paraId="516DB3D5" w14:textId="77777777">
        <w:trPr>
          <w:cantSplit/>
        </w:trPr>
        <w:tc>
          <w:tcPr>
            <w:tcW w:w="9458" w:type="dxa"/>
            <w:gridSpan w:val="7"/>
            <w:tcBorders>
              <w:top w:val="single" w:sz="4" w:space="0" w:color="000000"/>
              <w:left w:val="single" w:sz="6" w:space="0" w:color="000000"/>
              <w:bottom w:val="single" w:sz="4" w:space="0" w:color="000000"/>
              <w:right w:val="single" w:sz="4" w:space="0" w:color="000000"/>
            </w:tcBorders>
          </w:tcPr>
          <w:p w14:paraId="63B27CE1" w14:textId="77777777" w:rsidR="00FE291A" w:rsidRDefault="00C8738F">
            <w:pPr>
              <w:keepNext/>
              <w:widowControl/>
              <w:suppressAutoHyphens/>
              <w:rPr>
                <w:sz w:val="22"/>
                <w:lang w:val="de-DE"/>
              </w:rPr>
            </w:pPr>
            <w:r>
              <w:rPr>
                <w:sz w:val="22"/>
                <w:szCs w:val="22"/>
                <w:lang w:val="de-DE"/>
              </w:rPr>
              <w:t>ACR-50</w:t>
            </w:r>
          </w:p>
        </w:tc>
      </w:tr>
      <w:tr w:rsidR="00FE291A" w14:paraId="29F6DE46" w14:textId="77777777">
        <w:trPr>
          <w:cantSplit/>
        </w:trPr>
        <w:tc>
          <w:tcPr>
            <w:tcW w:w="1958" w:type="dxa"/>
            <w:tcBorders>
              <w:top w:val="single" w:sz="4" w:space="0" w:color="000000"/>
              <w:left w:val="single" w:sz="6" w:space="0" w:color="000000"/>
              <w:bottom w:val="single" w:sz="4" w:space="0" w:color="000000"/>
              <w:right w:val="single" w:sz="4" w:space="0" w:color="000000"/>
            </w:tcBorders>
          </w:tcPr>
          <w:p w14:paraId="7898C206" w14:textId="77777777" w:rsidR="00FE291A" w:rsidRDefault="00C8738F">
            <w:pPr>
              <w:pStyle w:val="TableParagraph"/>
              <w:keepNext/>
              <w:widowControl/>
              <w:suppressAutoHyphens/>
              <w:kinsoku w:val="0"/>
              <w:overflowPunct w:val="0"/>
              <w:ind w:firstLine="284"/>
              <w:rPr>
                <w:sz w:val="22"/>
                <w:lang w:val="de-DE"/>
              </w:rPr>
            </w:pPr>
            <w:r>
              <w:rPr>
                <w:sz w:val="22"/>
                <w:szCs w:val="22"/>
                <w:lang w:val="de-DE"/>
              </w:rPr>
              <w:t>Woche 52</w:t>
            </w:r>
          </w:p>
        </w:tc>
        <w:tc>
          <w:tcPr>
            <w:tcW w:w="1158" w:type="dxa"/>
            <w:tcBorders>
              <w:top w:val="single" w:sz="4" w:space="0" w:color="000000"/>
              <w:left w:val="single" w:sz="4" w:space="0" w:color="000000"/>
              <w:bottom w:val="single" w:sz="4" w:space="0" w:color="000000"/>
              <w:right w:val="single" w:sz="4" w:space="0" w:color="000000"/>
            </w:tcBorders>
          </w:tcPr>
          <w:p w14:paraId="1758639B" w14:textId="77777777" w:rsidR="00FE291A" w:rsidRDefault="00C8738F">
            <w:pPr>
              <w:pStyle w:val="TableParagraph"/>
              <w:keepNext/>
              <w:widowControl/>
              <w:suppressAutoHyphens/>
              <w:kinsoku w:val="0"/>
              <w:overflowPunct w:val="0"/>
              <w:jc w:val="center"/>
              <w:rPr>
                <w:sz w:val="22"/>
                <w:lang w:val="de-DE"/>
              </w:rPr>
            </w:pPr>
            <w:r>
              <w:rPr>
                <w:sz w:val="22"/>
                <w:szCs w:val="22"/>
                <w:lang w:val="de-DE"/>
              </w:rPr>
              <w:t>45,9 %</w:t>
            </w:r>
          </w:p>
        </w:tc>
        <w:tc>
          <w:tcPr>
            <w:tcW w:w="1311" w:type="dxa"/>
            <w:tcBorders>
              <w:top w:val="single" w:sz="4" w:space="0" w:color="000000"/>
              <w:left w:val="single" w:sz="4" w:space="0" w:color="000000"/>
              <w:bottom w:val="single" w:sz="4" w:space="0" w:color="000000"/>
              <w:right w:val="single" w:sz="4" w:space="0" w:color="000000"/>
            </w:tcBorders>
          </w:tcPr>
          <w:p w14:paraId="34F1FBDD" w14:textId="77777777" w:rsidR="00FE291A" w:rsidRDefault="00C8738F">
            <w:pPr>
              <w:pStyle w:val="TableParagraph"/>
              <w:keepNext/>
              <w:widowControl/>
              <w:suppressAutoHyphens/>
              <w:kinsoku w:val="0"/>
              <w:overflowPunct w:val="0"/>
              <w:jc w:val="center"/>
              <w:rPr>
                <w:sz w:val="22"/>
                <w:lang w:val="de-DE"/>
              </w:rPr>
            </w:pPr>
            <w:r>
              <w:rPr>
                <w:sz w:val="22"/>
                <w:szCs w:val="22"/>
                <w:lang w:val="de-DE"/>
              </w:rPr>
              <w:t>41,2 %</w:t>
            </w:r>
          </w:p>
        </w:tc>
        <w:tc>
          <w:tcPr>
            <w:tcW w:w="1566" w:type="dxa"/>
            <w:tcBorders>
              <w:top w:val="single" w:sz="4" w:space="0" w:color="000000"/>
              <w:left w:val="single" w:sz="4" w:space="0" w:color="000000"/>
              <w:bottom w:val="single" w:sz="4" w:space="0" w:color="000000"/>
              <w:right w:val="single" w:sz="4" w:space="0" w:color="000000"/>
            </w:tcBorders>
          </w:tcPr>
          <w:p w14:paraId="42581CDC" w14:textId="77777777" w:rsidR="00FE291A" w:rsidRDefault="00C8738F">
            <w:pPr>
              <w:pStyle w:val="TableParagraph"/>
              <w:keepNext/>
              <w:widowControl/>
              <w:suppressAutoHyphens/>
              <w:kinsoku w:val="0"/>
              <w:overflowPunct w:val="0"/>
              <w:jc w:val="center"/>
              <w:rPr>
                <w:sz w:val="22"/>
                <w:lang w:val="de-DE"/>
              </w:rPr>
            </w:pPr>
            <w:r>
              <w:rPr>
                <w:sz w:val="22"/>
                <w:szCs w:val="22"/>
                <w:lang w:val="de-DE"/>
              </w:rPr>
              <w:t>61,6 %</w:t>
            </w:r>
          </w:p>
        </w:tc>
        <w:tc>
          <w:tcPr>
            <w:tcW w:w="1091" w:type="dxa"/>
            <w:tcBorders>
              <w:top w:val="single" w:sz="4" w:space="0" w:color="000000"/>
              <w:left w:val="single" w:sz="4" w:space="0" w:color="000000"/>
              <w:bottom w:val="single" w:sz="4" w:space="0" w:color="000000"/>
              <w:right w:val="single" w:sz="4" w:space="0" w:color="000000"/>
            </w:tcBorders>
          </w:tcPr>
          <w:p w14:paraId="4957FA04" w14:textId="77777777" w:rsidR="00FE291A" w:rsidRDefault="00C8738F">
            <w:pPr>
              <w:pStyle w:val="TableParagraph"/>
              <w:keepNext/>
              <w:widowControl/>
              <w:suppressAutoHyphens/>
              <w:kinsoku w:val="0"/>
              <w:overflowPunct w:val="0"/>
              <w:jc w:val="center"/>
              <w:rPr>
                <w:sz w:val="22"/>
                <w:lang w:val="de-DE"/>
              </w:rPr>
            </w:pPr>
            <w:r>
              <w:rPr>
                <w:sz w:val="22"/>
                <w:szCs w:val="22"/>
                <w:lang w:val="de-DE"/>
              </w:rPr>
              <w:t>&lt; 0,001</w:t>
            </w:r>
          </w:p>
        </w:tc>
        <w:tc>
          <w:tcPr>
            <w:tcW w:w="1165" w:type="dxa"/>
            <w:tcBorders>
              <w:top w:val="single" w:sz="4" w:space="0" w:color="000000"/>
              <w:left w:val="single" w:sz="4" w:space="0" w:color="000000"/>
              <w:bottom w:val="single" w:sz="4" w:space="0" w:color="000000"/>
              <w:right w:val="single" w:sz="4" w:space="0" w:color="000000"/>
            </w:tcBorders>
          </w:tcPr>
          <w:p w14:paraId="4F1F39FA" w14:textId="77777777" w:rsidR="00FE291A" w:rsidRDefault="00C8738F">
            <w:pPr>
              <w:pStyle w:val="TableParagraph"/>
              <w:keepNext/>
              <w:widowControl/>
              <w:suppressAutoHyphens/>
              <w:kinsoku w:val="0"/>
              <w:overflowPunct w:val="0"/>
              <w:jc w:val="center"/>
              <w:rPr>
                <w:sz w:val="22"/>
                <w:lang w:val="de-DE"/>
              </w:rPr>
            </w:pPr>
            <w:r>
              <w:rPr>
                <w:sz w:val="22"/>
                <w:szCs w:val="22"/>
                <w:lang w:val="de-DE"/>
              </w:rPr>
              <w:t>&lt; 0,001</w:t>
            </w:r>
          </w:p>
        </w:tc>
        <w:tc>
          <w:tcPr>
            <w:tcW w:w="1209" w:type="dxa"/>
            <w:tcBorders>
              <w:top w:val="single" w:sz="4" w:space="0" w:color="000000"/>
              <w:left w:val="single" w:sz="4" w:space="0" w:color="000000"/>
              <w:bottom w:val="single" w:sz="4" w:space="0" w:color="000000"/>
              <w:right w:val="single" w:sz="4" w:space="0" w:color="000000"/>
            </w:tcBorders>
          </w:tcPr>
          <w:p w14:paraId="7C001371" w14:textId="77777777" w:rsidR="00FE291A" w:rsidRDefault="00C8738F">
            <w:pPr>
              <w:pStyle w:val="TableParagraph"/>
              <w:keepNext/>
              <w:widowControl/>
              <w:suppressAutoHyphens/>
              <w:kinsoku w:val="0"/>
              <w:overflowPunct w:val="0"/>
              <w:jc w:val="center"/>
              <w:rPr>
                <w:sz w:val="22"/>
                <w:lang w:val="de-DE"/>
              </w:rPr>
            </w:pPr>
            <w:r>
              <w:rPr>
                <w:sz w:val="22"/>
                <w:szCs w:val="22"/>
                <w:lang w:val="de-DE"/>
              </w:rPr>
              <w:t>0,317</w:t>
            </w:r>
          </w:p>
        </w:tc>
      </w:tr>
      <w:tr w:rsidR="00FE291A" w14:paraId="36ADB139" w14:textId="77777777">
        <w:trPr>
          <w:cantSplit/>
        </w:trPr>
        <w:tc>
          <w:tcPr>
            <w:tcW w:w="1958" w:type="dxa"/>
            <w:tcBorders>
              <w:top w:val="single" w:sz="4" w:space="0" w:color="000000"/>
              <w:left w:val="single" w:sz="6" w:space="0" w:color="000000"/>
              <w:bottom w:val="single" w:sz="4" w:space="0" w:color="000000"/>
              <w:right w:val="single" w:sz="4" w:space="0" w:color="000000"/>
            </w:tcBorders>
          </w:tcPr>
          <w:p w14:paraId="7EB9DF98" w14:textId="77777777" w:rsidR="00FE291A" w:rsidRDefault="00C8738F">
            <w:pPr>
              <w:pStyle w:val="TableParagraph"/>
              <w:widowControl/>
              <w:suppressAutoHyphens/>
              <w:kinsoku w:val="0"/>
              <w:overflowPunct w:val="0"/>
              <w:ind w:firstLine="284"/>
              <w:rPr>
                <w:sz w:val="22"/>
                <w:lang w:val="de-DE"/>
              </w:rPr>
            </w:pPr>
            <w:r>
              <w:rPr>
                <w:sz w:val="22"/>
                <w:szCs w:val="22"/>
                <w:lang w:val="de-DE"/>
              </w:rPr>
              <w:t>Woche 104</w:t>
            </w:r>
          </w:p>
        </w:tc>
        <w:tc>
          <w:tcPr>
            <w:tcW w:w="1158" w:type="dxa"/>
            <w:tcBorders>
              <w:top w:val="single" w:sz="4" w:space="0" w:color="000000"/>
              <w:left w:val="single" w:sz="4" w:space="0" w:color="000000"/>
              <w:bottom w:val="single" w:sz="4" w:space="0" w:color="000000"/>
              <w:right w:val="single" w:sz="4" w:space="0" w:color="000000"/>
            </w:tcBorders>
          </w:tcPr>
          <w:p w14:paraId="3BC3C4F4" w14:textId="77777777" w:rsidR="00FE291A" w:rsidRDefault="00C8738F">
            <w:pPr>
              <w:pStyle w:val="TableParagraph"/>
              <w:widowControl/>
              <w:suppressAutoHyphens/>
              <w:kinsoku w:val="0"/>
              <w:overflowPunct w:val="0"/>
              <w:jc w:val="center"/>
              <w:rPr>
                <w:sz w:val="22"/>
                <w:lang w:val="de-DE"/>
              </w:rPr>
            </w:pPr>
            <w:r>
              <w:rPr>
                <w:sz w:val="22"/>
                <w:szCs w:val="22"/>
                <w:lang w:val="de-DE"/>
              </w:rPr>
              <w:t>42,8 %</w:t>
            </w:r>
          </w:p>
        </w:tc>
        <w:tc>
          <w:tcPr>
            <w:tcW w:w="1311" w:type="dxa"/>
            <w:tcBorders>
              <w:top w:val="single" w:sz="4" w:space="0" w:color="000000"/>
              <w:left w:val="single" w:sz="4" w:space="0" w:color="000000"/>
              <w:bottom w:val="single" w:sz="4" w:space="0" w:color="000000"/>
              <w:right w:val="single" w:sz="4" w:space="0" w:color="000000"/>
            </w:tcBorders>
          </w:tcPr>
          <w:p w14:paraId="60678C7F" w14:textId="77777777" w:rsidR="00FE291A" w:rsidRDefault="00C8738F">
            <w:pPr>
              <w:pStyle w:val="TableParagraph"/>
              <w:widowControl/>
              <w:suppressAutoHyphens/>
              <w:kinsoku w:val="0"/>
              <w:overflowPunct w:val="0"/>
              <w:jc w:val="center"/>
              <w:rPr>
                <w:sz w:val="22"/>
                <w:lang w:val="de-DE"/>
              </w:rPr>
            </w:pPr>
            <w:r>
              <w:rPr>
                <w:sz w:val="22"/>
                <w:szCs w:val="22"/>
                <w:lang w:val="de-DE"/>
              </w:rPr>
              <w:t>36,9 %</w:t>
            </w:r>
          </w:p>
        </w:tc>
        <w:tc>
          <w:tcPr>
            <w:tcW w:w="1566" w:type="dxa"/>
            <w:tcBorders>
              <w:top w:val="single" w:sz="4" w:space="0" w:color="000000"/>
              <w:left w:val="single" w:sz="4" w:space="0" w:color="000000"/>
              <w:bottom w:val="single" w:sz="4" w:space="0" w:color="000000"/>
              <w:right w:val="single" w:sz="4" w:space="0" w:color="000000"/>
            </w:tcBorders>
          </w:tcPr>
          <w:p w14:paraId="7F85C564" w14:textId="77777777" w:rsidR="00FE291A" w:rsidRDefault="00C8738F">
            <w:pPr>
              <w:pStyle w:val="TableParagraph"/>
              <w:widowControl/>
              <w:suppressAutoHyphens/>
              <w:kinsoku w:val="0"/>
              <w:overflowPunct w:val="0"/>
              <w:jc w:val="center"/>
              <w:rPr>
                <w:sz w:val="22"/>
                <w:lang w:val="de-DE"/>
              </w:rPr>
            </w:pPr>
            <w:r>
              <w:rPr>
                <w:sz w:val="22"/>
                <w:szCs w:val="22"/>
                <w:lang w:val="de-DE"/>
              </w:rPr>
              <w:t>59,0 %</w:t>
            </w:r>
          </w:p>
        </w:tc>
        <w:tc>
          <w:tcPr>
            <w:tcW w:w="1091" w:type="dxa"/>
            <w:tcBorders>
              <w:top w:val="single" w:sz="4" w:space="0" w:color="000000"/>
              <w:left w:val="single" w:sz="4" w:space="0" w:color="000000"/>
              <w:bottom w:val="single" w:sz="4" w:space="0" w:color="000000"/>
              <w:right w:val="single" w:sz="4" w:space="0" w:color="000000"/>
            </w:tcBorders>
          </w:tcPr>
          <w:p w14:paraId="49F284B0" w14:textId="77777777" w:rsidR="00FE291A" w:rsidRDefault="00C8738F">
            <w:pPr>
              <w:pStyle w:val="TableParagraph"/>
              <w:widowControl/>
              <w:suppressAutoHyphens/>
              <w:kinsoku w:val="0"/>
              <w:overflowPunct w:val="0"/>
              <w:jc w:val="center"/>
              <w:rPr>
                <w:sz w:val="22"/>
                <w:lang w:val="de-DE"/>
              </w:rPr>
            </w:pPr>
            <w:r>
              <w:rPr>
                <w:sz w:val="22"/>
                <w:szCs w:val="22"/>
                <w:lang w:val="de-DE"/>
              </w:rPr>
              <w:t>&lt; 0,001</w:t>
            </w:r>
          </w:p>
        </w:tc>
        <w:tc>
          <w:tcPr>
            <w:tcW w:w="1165" w:type="dxa"/>
            <w:tcBorders>
              <w:top w:val="single" w:sz="4" w:space="0" w:color="000000"/>
              <w:left w:val="single" w:sz="4" w:space="0" w:color="000000"/>
              <w:bottom w:val="single" w:sz="4" w:space="0" w:color="000000"/>
              <w:right w:val="single" w:sz="4" w:space="0" w:color="000000"/>
            </w:tcBorders>
          </w:tcPr>
          <w:p w14:paraId="77D93B69" w14:textId="77777777" w:rsidR="00FE291A" w:rsidRDefault="00C8738F">
            <w:pPr>
              <w:pStyle w:val="TableParagraph"/>
              <w:widowControl/>
              <w:suppressAutoHyphens/>
              <w:kinsoku w:val="0"/>
              <w:overflowPunct w:val="0"/>
              <w:jc w:val="center"/>
              <w:rPr>
                <w:sz w:val="22"/>
                <w:lang w:val="de-DE"/>
              </w:rPr>
            </w:pPr>
            <w:r>
              <w:rPr>
                <w:sz w:val="22"/>
                <w:szCs w:val="22"/>
                <w:lang w:val="de-DE"/>
              </w:rPr>
              <w:t>&lt; 0,001</w:t>
            </w:r>
          </w:p>
        </w:tc>
        <w:tc>
          <w:tcPr>
            <w:tcW w:w="1209" w:type="dxa"/>
            <w:tcBorders>
              <w:top w:val="single" w:sz="4" w:space="0" w:color="000000"/>
              <w:left w:val="single" w:sz="4" w:space="0" w:color="000000"/>
              <w:bottom w:val="single" w:sz="4" w:space="0" w:color="000000"/>
              <w:right w:val="single" w:sz="4" w:space="0" w:color="000000"/>
            </w:tcBorders>
          </w:tcPr>
          <w:p w14:paraId="63C9256D" w14:textId="77777777" w:rsidR="00FE291A" w:rsidRDefault="00C8738F">
            <w:pPr>
              <w:pStyle w:val="TableParagraph"/>
              <w:widowControl/>
              <w:suppressAutoHyphens/>
              <w:kinsoku w:val="0"/>
              <w:overflowPunct w:val="0"/>
              <w:jc w:val="center"/>
              <w:rPr>
                <w:sz w:val="22"/>
                <w:lang w:val="de-DE"/>
              </w:rPr>
            </w:pPr>
            <w:r>
              <w:rPr>
                <w:sz w:val="22"/>
                <w:szCs w:val="22"/>
                <w:lang w:val="de-DE"/>
              </w:rPr>
              <w:t>0,162</w:t>
            </w:r>
          </w:p>
        </w:tc>
      </w:tr>
      <w:tr w:rsidR="00FE291A" w14:paraId="54C6DC52" w14:textId="77777777">
        <w:trPr>
          <w:cantSplit/>
        </w:trPr>
        <w:tc>
          <w:tcPr>
            <w:tcW w:w="9458" w:type="dxa"/>
            <w:gridSpan w:val="7"/>
            <w:tcBorders>
              <w:top w:val="single" w:sz="4" w:space="0" w:color="000000"/>
              <w:left w:val="single" w:sz="6" w:space="0" w:color="000000"/>
              <w:bottom w:val="single" w:sz="4" w:space="0" w:color="000000"/>
              <w:right w:val="single" w:sz="4" w:space="0" w:color="000000"/>
            </w:tcBorders>
          </w:tcPr>
          <w:p w14:paraId="40749D64" w14:textId="77777777" w:rsidR="00FE291A" w:rsidRDefault="00C8738F">
            <w:pPr>
              <w:keepNext/>
              <w:widowControl/>
              <w:suppressAutoHyphens/>
              <w:rPr>
                <w:sz w:val="22"/>
                <w:lang w:val="de-DE"/>
              </w:rPr>
            </w:pPr>
            <w:r>
              <w:rPr>
                <w:sz w:val="22"/>
                <w:szCs w:val="22"/>
                <w:lang w:val="de-DE"/>
              </w:rPr>
              <w:t>ACR-70</w:t>
            </w:r>
          </w:p>
        </w:tc>
      </w:tr>
      <w:tr w:rsidR="00FE291A" w14:paraId="00F88D23" w14:textId="77777777">
        <w:trPr>
          <w:cantSplit/>
        </w:trPr>
        <w:tc>
          <w:tcPr>
            <w:tcW w:w="1958" w:type="dxa"/>
            <w:tcBorders>
              <w:top w:val="single" w:sz="4" w:space="0" w:color="000000"/>
              <w:left w:val="single" w:sz="6" w:space="0" w:color="000000"/>
              <w:bottom w:val="single" w:sz="4" w:space="0" w:color="000000"/>
              <w:right w:val="single" w:sz="4" w:space="0" w:color="000000"/>
            </w:tcBorders>
          </w:tcPr>
          <w:p w14:paraId="6BFF0B34" w14:textId="77777777" w:rsidR="00FE291A" w:rsidRDefault="00C8738F">
            <w:pPr>
              <w:pStyle w:val="TableParagraph"/>
              <w:keepNext/>
              <w:widowControl/>
              <w:suppressAutoHyphens/>
              <w:kinsoku w:val="0"/>
              <w:overflowPunct w:val="0"/>
              <w:ind w:firstLine="284"/>
              <w:rPr>
                <w:sz w:val="22"/>
                <w:lang w:val="de-DE"/>
              </w:rPr>
            </w:pPr>
            <w:r>
              <w:rPr>
                <w:sz w:val="22"/>
                <w:szCs w:val="22"/>
                <w:lang w:val="de-DE"/>
              </w:rPr>
              <w:t>Woche 52</w:t>
            </w:r>
          </w:p>
        </w:tc>
        <w:tc>
          <w:tcPr>
            <w:tcW w:w="1158" w:type="dxa"/>
            <w:tcBorders>
              <w:top w:val="single" w:sz="4" w:space="0" w:color="000000"/>
              <w:left w:val="single" w:sz="4" w:space="0" w:color="000000"/>
              <w:bottom w:val="single" w:sz="4" w:space="0" w:color="000000"/>
              <w:right w:val="single" w:sz="4" w:space="0" w:color="000000"/>
            </w:tcBorders>
          </w:tcPr>
          <w:p w14:paraId="325DCCCB" w14:textId="77777777" w:rsidR="00FE291A" w:rsidRDefault="00C8738F">
            <w:pPr>
              <w:pStyle w:val="TableParagraph"/>
              <w:keepNext/>
              <w:widowControl/>
              <w:suppressAutoHyphens/>
              <w:kinsoku w:val="0"/>
              <w:overflowPunct w:val="0"/>
              <w:jc w:val="center"/>
              <w:rPr>
                <w:sz w:val="22"/>
                <w:lang w:val="de-DE"/>
              </w:rPr>
            </w:pPr>
            <w:r>
              <w:rPr>
                <w:sz w:val="22"/>
                <w:szCs w:val="22"/>
                <w:lang w:val="de-DE"/>
              </w:rPr>
              <w:t>27,2 %</w:t>
            </w:r>
          </w:p>
        </w:tc>
        <w:tc>
          <w:tcPr>
            <w:tcW w:w="1311" w:type="dxa"/>
            <w:tcBorders>
              <w:top w:val="single" w:sz="4" w:space="0" w:color="000000"/>
              <w:left w:val="single" w:sz="4" w:space="0" w:color="000000"/>
              <w:bottom w:val="single" w:sz="4" w:space="0" w:color="000000"/>
              <w:right w:val="single" w:sz="4" w:space="0" w:color="000000"/>
            </w:tcBorders>
          </w:tcPr>
          <w:p w14:paraId="538647CF" w14:textId="77777777" w:rsidR="00FE291A" w:rsidRDefault="00C8738F">
            <w:pPr>
              <w:pStyle w:val="TableParagraph"/>
              <w:keepNext/>
              <w:widowControl/>
              <w:suppressAutoHyphens/>
              <w:kinsoku w:val="0"/>
              <w:overflowPunct w:val="0"/>
              <w:jc w:val="center"/>
              <w:rPr>
                <w:sz w:val="22"/>
                <w:lang w:val="de-DE"/>
              </w:rPr>
            </w:pPr>
            <w:r>
              <w:rPr>
                <w:sz w:val="22"/>
                <w:szCs w:val="22"/>
                <w:lang w:val="de-DE"/>
              </w:rPr>
              <w:t>25,9 %</w:t>
            </w:r>
          </w:p>
        </w:tc>
        <w:tc>
          <w:tcPr>
            <w:tcW w:w="1566" w:type="dxa"/>
            <w:tcBorders>
              <w:top w:val="single" w:sz="4" w:space="0" w:color="000000"/>
              <w:left w:val="single" w:sz="4" w:space="0" w:color="000000"/>
              <w:bottom w:val="single" w:sz="4" w:space="0" w:color="000000"/>
              <w:right w:val="single" w:sz="4" w:space="0" w:color="000000"/>
            </w:tcBorders>
          </w:tcPr>
          <w:p w14:paraId="617DB5A7" w14:textId="77777777" w:rsidR="00FE291A" w:rsidRDefault="00C8738F">
            <w:pPr>
              <w:pStyle w:val="TableParagraph"/>
              <w:keepNext/>
              <w:widowControl/>
              <w:suppressAutoHyphens/>
              <w:kinsoku w:val="0"/>
              <w:overflowPunct w:val="0"/>
              <w:jc w:val="center"/>
              <w:rPr>
                <w:sz w:val="22"/>
                <w:lang w:val="de-DE"/>
              </w:rPr>
            </w:pPr>
            <w:r>
              <w:rPr>
                <w:sz w:val="22"/>
                <w:szCs w:val="22"/>
                <w:lang w:val="de-DE"/>
              </w:rPr>
              <w:t>45,5 %</w:t>
            </w:r>
          </w:p>
        </w:tc>
        <w:tc>
          <w:tcPr>
            <w:tcW w:w="1091" w:type="dxa"/>
            <w:tcBorders>
              <w:top w:val="single" w:sz="4" w:space="0" w:color="000000"/>
              <w:left w:val="single" w:sz="4" w:space="0" w:color="000000"/>
              <w:bottom w:val="single" w:sz="4" w:space="0" w:color="000000"/>
              <w:right w:val="single" w:sz="4" w:space="0" w:color="000000"/>
            </w:tcBorders>
          </w:tcPr>
          <w:p w14:paraId="2EAE9F43" w14:textId="77777777" w:rsidR="00FE291A" w:rsidRDefault="00C8738F">
            <w:pPr>
              <w:pStyle w:val="TableParagraph"/>
              <w:keepNext/>
              <w:widowControl/>
              <w:suppressAutoHyphens/>
              <w:kinsoku w:val="0"/>
              <w:overflowPunct w:val="0"/>
              <w:jc w:val="center"/>
              <w:rPr>
                <w:sz w:val="22"/>
                <w:lang w:val="de-DE"/>
              </w:rPr>
            </w:pPr>
            <w:r>
              <w:rPr>
                <w:sz w:val="22"/>
                <w:szCs w:val="22"/>
                <w:lang w:val="de-DE"/>
              </w:rPr>
              <w:t>&lt; 0,001</w:t>
            </w:r>
          </w:p>
        </w:tc>
        <w:tc>
          <w:tcPr>
            <w:tcW w:w="1165" w:type="dxa"/>
            <w:tcBorders>
              <w:top w:val="single" w:sz="4" w:space="0" w:color="000000"/>
              <w:left w:val="single" w:sz="4" w:space="0" w:color="000000"/>
              <w:bottom w:val="single" w:sz="4" w:space="0" w:color="000000"/>
              <w:right w:val="single" w:sz="4" w:space="0" w:color="000000"/>
            </w:tcBorders>
          </w:tcPr>
          <w:p w14:paraId="7C208DC6" w14:textId="77777777" w:rsidR="00FE291A" w:rsidRDefault="00C8738F">
            <w:pPr>
              <w:pStyle w:val="TableParagraph"/>
              <w:keepNext/>
              <w:widowControl/>
              <w:suppressAutoHyphens/>
              <w:kinsoku w:val="0"/>
              <w:overflowPunct w:val="0"/>
              <w:jc w:val="center"/>
              <w:rPr>
                <w:sz w:val="22"/>
                <w:lang w:val="de-DE"/>
              </w:rPr>
            </w:pPr>
            <w:r>
              <w:rPr>
                <w:sz w:val="22"/>
                <w:szCs w:val="22"/>
                <w:lang w:val="de-DE"/>
              </w:rPr>
              <w:t>&lt; 0,001</w:t>
            </w:r>
          </w:p>
        </w:tc>
        <w:tc>
          <w:tcPr>
            <w:tcW w:w="1209" w:type="dxa"/>
            <w:tcBorders>
              <w:top w:val="single" w:sz="4" w:space="0" w:color="000000"/>
              <w:left w:val="single" w:sz="4" w:space="0" w:color="000000"/>
              <w:bottom w:val="single" w:sz="4" w:space="0" w:color="000000"/>
              <w:right w:val="single" w:sz="4" w:space="0" w:color="000000"/>
            </w:tcBorders>
          </w:tcPr>
          <w:p w14:paraId="07EBED3A" w14:textId="77777777" w:rsidR="00FE291A" w:rsidRDefault="00C8738F">
            <w:pPr>
              <w:pStyle w:val="TableParagraph"/>
              <w:keepNext/>
              <w:widowControl/>
              <w:suppressAutoHyphens/>
              <w:kinsoku w:val="0"/>
              <w:overflowPunct w:val="0"/>
              <w:jc w:val="center"/>
              <w:rPr>
                <w:sz w:val="22"/>
                <w:lang w:val="de-DE"/>
              </w:rPr>
            </w:pPr>
            <w:r>
              <w:rPr>
                <w:sz w:val="22"/>
                <w:szCs w:val="22"/>
                <w:lang w:val="de-DE"/>
              </w:rPr>
              <w:t>0,656</w:t>
            </w:r>
          </w:p>
        </w:tc>
      </w:tr>
      <w:tr w:rsidR="00FE291A" w14:paraId="5E848C2E" w14:textId="77777777">
        <w:trPr>
          <w:cantSplit/>
        </w:trPr>
        <w:tc>
          <w:tcPr>
            <w:tcW w:w="1958" w:type="dxa"/>
            <w:tcBorders>
              <w:top w:val="single" w:sz="4" w:space="0" w:color="000000"/>
              <w:left w:val="single" w:sz="6" w:space="0" w:color="000000"/>
              <w:bottom w:val="single" w:sz="4" w:space="0" w:color="000000"/>
              <w:right w:val="single" w:sz="4" w:space="0" w:color="000000"/>
            </w:tcBorders>
          </w:tcPr>
          <w:p w14:paraId="5A4B1AA1" w14:textId="77777777" w:rsidR="00FE291A" w:rsidRDefault="00C8738F">
            <w:pPr>
              <w:pStyle w:val="TableParagraph"/>
              <w:keepNext/>
              <w:widowControl/>
              <w:suppressAutoHyphens/>
              <w:kinsoku w:val="0"/>
              <w:overflowPunct w:val="0"/>
              <w:ind w:firstLine="284"/>
              <w:rPr>
                <w:sz w:val="22"/>
                <w:lang w:val="de-DE"/>
              </w:rPr>
            </w:pPr>
            <w:r>
              <w:rPr>
                <w:sz w:val="22"/>
                <w:szCs w:val="22"/>
                <w:lang w:val="de-DE"/>
              </w:rPr>
              <w:t>Woche 104</w:t>
            </w:r>
          </w:p>
        </w:tc>
        <w:tc>
          <w:tcPr>
            <w:tcW w:w="1158" w:type="dxa"/>
            <w:tcBorders>
              <w:top w:val="single" w:sz="4" w:space="0" w:color="000000"/>
              <w:left w:val="single" w:sz="4" w:space="0" w:color="000000"/>
              <w:bottom w:val="single" w:sz="4" w:space="0" w:color="000000"/>
              <w:right w:val="single" w:sz="4" w:space="0" w:color="000000"/>
            </w:tcBorders>
          </w:tcPr>
          <w:p w14:paraId="0E49850F" w14:textId="77777777" w:rsidR="00FE291A" w:rsidRDefault="00C8738F">
            <w:pPr>
              <w:pStyle w:val="TableParagraph"/>
              <w:keepNext/>
              <w:widowControl/>
              <w:suppressAutoHyphens/>
              <w:kinsoku w:val="0"/>
              <w:overflowPunct w:val="0"/>
              <w:jc w:val="center"/>
              <w:rPr>
                <w:sz w:val="22"/>
                <w:lang w:val="de-DE"/>
              </w:rPr>
            </w:pPr>
            <w:r>
              <w:rPr>
                <w:sz w:val="22"/>
                <w:szCs w:val="22"/>
                <w:lang w:val="de-DE"/>
              </w:rPr>
              <w:t>28,4 %</w:t>
            </w:r>
          </w:p>
        </w:tc>
        <w:tc>
          <w:tcPr>
            <w:tcW w:w="1311" w:type="dxa"/>
            <w:tcBorders>
              <w:top w:val="single" w:sz="4" w:space="0" w:color="000000"/>
              <w:left w:val="single" w:sz="4" w:space="0" w:color="000000"/>
              <w:bottom w:val="single" w:sz="4" w:space="0" w:color="000000"/>
              <w:right w:val="single" w:sz="4" w:space="0" w:color="000000"/>
            </w:tcBorders>
          </w:tcPr>
          <w:p w14:paraId="358244FA" w14:textId="77777777" w:rsidR="00FE291A" w:rsidRDefault="00C8738F">
            <w:pPr>
              <w:pStyle w:val="TableParagraph"/>
              <w:keepNext/>
              <w:widowControl/>
              <w:suppressAutoHyphens/>
              <w:kinsoku w:val="0"/>
              <w:overflowPunct w:val="0"/>
              <w:jc w:val="center"/>
              <w:rPr>
                <w:sz w:val="22"/>
                <w:lang w:val="de-DE"/>
              </w:rPr>
            </w:pPr>
            <w:r>
              <w:rPr>
                <w:sz w:val="22"/>
                <w:szCs w:val="22"/>
                <w:lang w:val="de-DE"/>
              </w:rPr>
              <w:t>28,1 %</w:t>
            </w:r>
          </w:p>
        </w:tc>
        <w:tc>
          <w:tcPr>
            <w:tcW w:w="1566" w:type="dxa"/>
            <w:tcBorders>
              <w:top w:val="single" w:sz="4" w:space="0" w:color="000000"/>
              <w:left w:val="single" w:sz="4" w:space="0" w:color="000000"/>
              <w:bottom w:val="single" w:sz="4" w:space="0" w:color="000000"/>
              <w:right w:val="single" w:sz="4" w:space="0" w:color="000000"/>
            </w:tcBorders>
          </w:tcPr>
          <w:p w14:paraId="619CEAF5" w14:textId="77777777" w:rsidR="00FE291A" w:rsidRDefault="00C8738F">
            <w:pPr>
              <w:pStyle w:val="TableParagraph"/>
              <w:keepNext/>
              <w:widowControl/>
              <w:suppressAutoHyphens/>
              <w:kinsoku w:val="0"/>
              <w:overflowPunct w:val="0"/>
              <w:jc w:val="center"/>
              <w:rPr>
                <w:sz w:val="22"/>
                <w:lang w:val="de-DE"/>
              </w:rPr>
            </w:pPr>
            <w:r>
              <w:rPr>
                <w:sz w:val="22"/>
                <w:szCs w:val="22"/>
                <w:lang w:val="de-DE"/>
              </w:rPr>
              <w:t>46,6 %</w:t>
            </w:r>
          </w:p>
        </w:tc>
        <w:tc>
          <w:tcPr>
            <w:tcW w:w="1091" w:type="dxa"/>
            <w:tcBorders>
              <w:top w:val="single" w:sz="4" w:space="0" w:color="000000"/>
              <w:left w:val="single" w:sz="4" w:space="0" w:color="000000"/>
              <w:bottom w:val="single" w:sz="4" w:space="0" w:color="000000"/>
              <w:right w:val="single" w:sz="4" w:space="0" w:color="000000"/>
            </w:tcBorders>
          </w:tcPr>
          <w:p w14:paraId="5BEEA56C" w14:textId="77777777" w:rsidR="00FE291A" w:rsidRDefault="00C8738F">
            <w:pPr>
              <w:pStyle w:val="TableParagraph"/>
              <w:keepNext/>
              <w:widowControl/>
              <w:suppressAutoHyphens/>
              <w:kinsoku w:val="0"/>
              <w:overflowPunct w:val="0"/>
              <w:jc w:val="center"/>
              <w:rPr>
                <w:sz w:val="22"/>
                <w:lang w:val="de-DE"/>
              </w:rPr>
            </w:pPr>
            <w:r>
              <w:rPr>
                <w:sz w:val="22"/>
                <w:szCs w:val="22"/>
                <w:lang w:val="de-DE"/>
              </w:rPr>
              <w:t>&lt; 0,001</w:t>
            </w:r>
          </w:p>
        </w:tc>
        <w:tc>
          <w:tcPr>
            <w:tcW w:w="1165" w:type="dxa"/>
            <w:tcBorders>
              <w:top w:val="single" w:sz="4" w:space="0" w:color="000000"/>
              <w:left w:val="single" w:sz="4" w:space="0" w:color="000000"/>
              <w:bottom w:val="single" w:sz="4" w:space="0" w:color="000000"/>
              <w:right w:val="single" w:sz="4" w:space="0" w:color="000000"/>
            </w:tcBorders>
          </w:tcPr>
          <w:p w14:paraId="6D4D1A11" w14:textId="77777777" w:rsidR="00FE291A" w:rsidRDefault="00C8738F">
            <w:pPr>
              <w:pStyle w:val="TableParagraph"/>
              <w:keepNext/>
              <w:widowControl/>
              <w:suppressAutoHyphens/>
              <w:kinsoku w:val="0"/>
              <w:overflowPunct w:val="0"/>
              <w:jc w:val="center"/>
              <w:rPr>
                <w:sz w:val="22"/>
                <w:lang w:val="de-DE"/>
              </w:rPr>
            </w:pPr>
            <w:r>
              <w:rPr>
                <w:sz w:val="22"/>
                <w:szCs w:val="22"/>
                <w:lang w:val="de-DE"/>
              </w:rPr>
              <w:t>&lt; 0,001</w:t>
            </w:r>
          </w:p>
        </w:tc>
        <w:tc>
          <w:tcPr>
            <w:tcW w:w="1209" w:type="dxa"/>
            <w:tcBorders>
              <w:top w:val="single" w:sz="4" w:space="0" w:color="000000"/>
              <w:left w:val="single" w:sz="4" w:space="0" w:color="000000"/>
              <w:bottom w:val="single" w:sz="4" w:space="0" w:color="000000"/>
              <w:right w:val="single" w:sz="4" w:space="0" w:color="000000"/>
            </w:tcBorders>
          </w:tcPr>
          <w:p w14:paraId="41EDE55A" w14:textId="77777777" w:rsidR="00FE291A" w:rsidRDefault="00C8738F">
            <w:pPr>
              <w:pStyle w:val="TableParagraph"/>
              <w:keepNext/>
              <w:widowControl/>
              <w:suppressAutoHyphens/>
              <w:kinsoku w:val="0"/>
              <w:overflowPunct w:val="0"/>
              <w:jc w:val="center"/>
              <w:rPr>
                <w:sz w:val="22"/>
                <w:lang w:val="de-DE"/>
              </w:rPr>
            </w:pPr>
            <w:r>
              <w:rPr>
                <w:sz w:val="22"/>
                <w:szCs w:val="22"/>
                <w:lang w:val="de-DE"/>
              </w:rPr>
              <w:t>0,864</w:t>
            </w:r>
          </w:p>
        </w:tc>
      </w:tr>
      <w:tr w:rsidR="00FE291A" w:rsidRPr="002E6CD3" w14:paraId="45A33D6C" w14:textId="77777777">
        <w:trPr>
          <w:cantSplit/>
        </w:trPr>
        <w:tc>
          <w:tcPr>
            <w:tcW w:w="9458" w:type="dxa"/>
            <w:gridSpan w:val="7"/>
            <w:tcBorders>
              <w:top w:val="single" w:sz="4" w:space="0" w:color="000000"/>
            </w:tcBorders>
          </w:tcPr>
          <w:p w14:paraId="1E029C6D" w14:textId="77777777" w:rsidR="00FE291A" w:rsidRDefault="00C8738F">
            <w:pPr>
              <w:pStyle w:val="ListParagraph"/>
              <w:widowControl/>
              <w:tabs>
                <w:tab w:val="left" w:pos="428"/>
              </w:tabs>
              <w:suppressAutoHyphens/>
              <w:kinsoku w:val="0"/>
              <w:overflowPunct w:val="0"/>
              <w:rPr>
                <w:color w:val="000000"/>
                <w:sz w:val="20"/>
                <w:szCs w:val="20"/>
                <w:lang w:val="de-DE"/>
              </w:rPr>
            </w:pPr>
            <w:r>
              <w:rPr>
                <w:color w:val="000000"/>
                <w:sz w:val="20"/>
                <w:szCs w:val="20"/>
                <w:vertAlign w:val="superscript"/>
                <w:lang w:val="de-DE"/>
              </w:rPr>
              <w:t>a</w:t>
            </w:r>
            <w:r>
              <w:rPr>
                <w:color w:val="000000"/>
                <w:sz w:val="20"/>
                <w:szCs w:val="20"/>
                <w:lang w:val="de-DE"/>
              </w:rPr>
              <w:t xml:space="preserve"> Der p-Wert resultiert aus dem paarweisen Vergleich der Methotrexat-Monotherapie und der Adalimumab/Methotrexat-Kombinationstherapie unter Anwendung des Mann-Whitney-U-Tests.</w:t>
            </w:r>
          </w:p>
          <w:p w14:paraId="6537C1A9" w14:textId="77777777" w:rsidR="00FE291A" w:rsidRDefault="00C8738F">
            <w:pPr>
              <w:pStyle w:val="ListParagraph"/>
              <w:keepNext/>
              <w:widowControl/>
              <w:tabs>
                <w:tab w:val="left" w:pos="428"/>
              </w:tabs>
              <w:suppressAutoHyphens/>
              <w:kinsoku w:val="0"/>
              <w:overflowPunct w:val="0"/>
              <w:rPr>
                <w:color w:val="000000"/>
                <w:sz w:val="20"/>
                <w:szCs w:val="20"/>
                <w:lang w:val="de-DE"/>
              </w:rPr>
            </w:pPr>
            <w:r>
              <w:rPr>
                <w:color w:val="000000"/>
                <w:sz w:val="20"/>
                <w:szCs w:val="20"/>
                <w:vertAlign w:val="superscript"/>
                <w:lang w:val="de-DE"/>
              </w:rPr>
              <w:t>b</w:t>
            </w:r>
            <w:r>
              <w:rPr>
                <w:color w:val="000000"/>
                <w:sz w:val="20"/>
                <w:szCs w:val="20"/>
                <w:lang w:val="de-DE"/>
              </w:rPr>
              <w:t xml:space="preserve"> Der p-Wert resultiert aus dem paarweisen Vergleich der Adalimumab-Monotherapie und der Adalimumab/Methotrexat-Kombinationstherapie unter Anwendung des Mann-Whitney-U-Tests.</w:t>
            </w:r>
          </w:p>
          <w:p w14:paraId="270D55D9" w14:textId="77777777" w:rsidR="00FE291A" w:rsidRDefault="00C8738F">
            <w:pPr>
              <w:pStyle w:val="ListParagraph"/>
              <w:widowControl/>
              <w:tabs>
                <w:tab w:val="left" w:pos="428"/>
              </w:tabs>
              <w:suppressAutoHyphens/>
              <w:kinsoku w:val="0"/>
              <w:overflowPunct w:val="0"/>
              <w:rPr>
                <w:color w:val="000000"/>
                <w:sz w:val="20"/>
                <w:szCs w:val="20"/>
                <w:lang w:val="de-DE"/>
              </w:rPr>
            </w:pPr>
            <w:r>
              <w:rPr>
                <w:color w:val="000000"/>
                <w:sz w:val="20"/>
                <w:szCs w:val="20"/>
                <w:vertAlign w:val="superscript"/>
                <w:lang w:val="de-DE"/>
              </w:rPr>
              <w:t>c</w:t>
            </w:r>
            <w:r>
              <w:rPr>
                <w:color w:val="000000"/>
                <w:sz w:val="20"/>
                <w:szCs w:val="20"/>
                <w:lang w:val="de-DE"/>
              </w:rPr>
              <w:t xml:space="preserve"> Der p-Wert resultiert aus dem paarweisen Vergleich der Adalimumab-Monotherapie und der Methotrexat-Monotherapie unter Anwendung des Mann-Whitney-U-Tests.</w:t>
            </w:r>
          </w:p>
        </w:tc>
      </w:tr>
    </w:tbl>
    <w:p w14:paraId="22783F0A" w14:textId="77777777" w:rsidR="00FE291A" w:rsidRDefault="00FE291A">
      <w:pPr>
        <w:widowControl/>
        <w:kinsoku w:val="0"/>
        <w:overflowPunct w:val="0"/>
        <w:rPr>
          <w:sz w:val="22"/>
          <w:szCs w:val="18"/>
          <w:lang w:val="de-DE"/>
        </w:rPr>
      </w:pPr>
    </w:p>
    <w:p w14:paraId="7A171E33" w14:textId="77777777" w:rsidR="00FE291A" w:rsidRDefault="00C8738F">
      <w:pPr>
        <w:pStyle w:val="BodyText"/>
        <w:widowControl/>
        <w:kinsoku w:val="0"/>
        <w:overflowPunct w:val="0"/>
        <w:ind w:left="0"/>
        <w:rPr>
          <w:lang w:val="de-DE"/>
        </w:rPr>
      </w:pPr>
      <w:r>
        <w:rPr>
          <w:lang w:val="de-DE"/>
        </w:rPr>
        <w:t>In der offenen Fortsetzungsphase der RA-Studie V wurden die ACR-Ansprechraten über einen Nachbeobachtungszeitraum von bis zu 10 Jahren aufrechterhalten. Von den 542 Patienten, die in die Adalimumab-40 mg-Gruppe alle zwei Wochen randomisiert worden waren, wendeten 170 Patienten dieses Behandlungsschema über einen Zeitraum von 10 Jahren an. Davon erreichten 154 Patienten (90,6 %) ein ACR-20-Ansprechen, 127 Patienten (74,7 %) ein ACR-50-Ansprechen und 102 Patienten (60,0 %) ein ACR-70-Ansprechen.</w:t>
      </w:r>
    </w:p>
    <w:p w14:paraId="63EE73E0" w14:textId="77777777" w:rsidR="00FE291A" w:rsidRDefault="00FE291A">
      <w:pPr>
        <w:widowControl/>
        <w:kinsoku w:val="0"/>
        <w:overflowPunct w:val="0"/>
        <w:rPr>
          <w:sz w:val="22"/>
          <w:szCs w:val="22"/>
          <w:lang w:val="de-DE"/>
        </w:rPr>
      </w:pPr>
    </w:p>
    <w:p w14:paraId="4DE04133" w14:textId="77777777" w:rsidR="00FE291A" w:rsidRDefault="00C8738F">
      <w:pPr>
        <w:pStyle w:val="BodyText"/>
        <w:widowControl/>
        <w:kinsoku w:val="0"/>
        <w:overflowPunct w:val="0"/>
        <w:ind w:left="0"/>
        <w:rPr>
          <w:lang w:val="de-DE"/>
        </w:rPr>
      </w:pPr>
      <w:r>
        <w:rPr>
          <w:lang w:val="de-DE"/>
        </w:rPr>
        <w:t>In Woche 52 erreichten 42,9 % der Patienten, die eine Kombinationstherapie aus Adalimumab und Methotrexat erhielten, eine klinische Remission (DAS28 [CRP] &lt; 2,6). Im Vergleich dazu erreichten 20,6 % der Patienten unter Methotrexat und 23,4 % der Patienten unter Adalimumab-Monotherapie eine klinische Remission. Die Kombinationstherapie aus Adalimumab und Methotrexat war in klinischer und statistischer Hinsicht beim Erreichen einer geringen Krankheitsaktivität bei Patienten mit kürzlich diagnostizierter mittelschwerer bis schwerer rheumatoider Arthritis gegenüber einer Monotherapie mit entweder Methotrexat (p &lt; 0,001) oder Adalimumab (p &lt; 0,001) überlegen. Die Ansprechraten in den beiden Behandlungsarmen unter Monotherapie waren vergleichbar (p = 0,447). Von den 342 Patienten, die ursprünglich in die Gruppe unter Adalimumab-Monotherapie oder unter Kombinationstherapie aus Adalimumab und Methotrexat randomisiert worden waren und die in die offene Fortsetzungsphase eingeschlossen wurden, setzten 171 die Adalimumab-Behandlung über einen Zeitraum von 10 Jahren fort. Von diesen 171 Patienten waren 109 (63,7 %) nach 10</w:t>
      </w:r>
      <w:r>
        <w:rPr>
          <w:lang w:val="de-DE"/>
        </w:rPr>
        <w:noBreakHyphen/>
        <w:t>jähriger Therapie in Remission.</w:t>
      </w:r>
    </w:p>
    <w:p w14:paraId="2F321FCA" w14:textId="77777777" w:rsidR="00FE291A" w:rsidRDefault="00FE291A">
      <w:pPr>
        <w:widowControl/>
        <w:kinsoku w:val="0"/>
        <w:overflowPunct w:val="0"/>
        <w:rPr>
          <w:sz w:val="22"/>
          <w:szCs w:val="22"/>
          <w:lang w:val="de-DE"/>
        </w:rPr>
      </w:pPr>
    </w:p>
    <w:p w14:paraId="30FA4F31" w14:textId="77777777" w:rsidR="00FE291A" w:rsidRDefault="00C8738F">
      <w:pPr>
        <w:keepNext/>
        <w:widowControl/>
        <w:kinsoku w:val="0"/>
        <w:overflowPunct w:val="0"/>
        <w:rPr>
          <w:sz w:val="22"/>
          <w:szCs w:val="22"/>
          <w:lang w:val="de-DE"/>
        </w:rPr>
      </w:pPr>
      <w:r>
        <w:rPr>
          <w:i/>
          <w:iCs/>
          <w:sz w:val="22"/>
          <w:szCs w:val="22"/>
          <w:u w:val="single"/>
          <w:lang w:val="de-DE"/>
        </w:rPr>
        <w:t>Radiologisches Ansprechen</w:t>
      </w:r>
    </w:p>
    <w:p w14:paraId="0DBCD73B" w14:textId="77777777" w:rsidR="00FE291A" w:rsidRDefault="00FE291A">
      <w:pPr>
        <w:keepNext/>
        <w:widowControl/>
        <w:kinsoku w:val="0"/>
        <w:overflowPunct w:val="0"/>
        <w:rPr>
          <w:sz w:val="22"/>
          <w:szCs w:val="22"/>
          <w:lang w:val="de-DE"/>
        </w:rPr>
      </w:pPr>
    </w:p>
    <w:p w14:paraId="2099B067" w14:textId="77777777" w:rsidR="00FE291A" w:rsidRDefault="00C8738F">
      <w:pPr>
        <w:pStyle w:val="BodyText"/>
        <w:widowControl/>
        <w:kinsoku w:val="0"/>
        <w:overflowPunct w:val="0"/>
        <w:ind w:left="0"/>
        <w:rPr>
          <w:lang w:val="de-DE"/>
        </w:rPr>
      </w:pPr>
      <w:r>
        <w:rPr>
          <w:lang w:val="de-DE"/>
        </w:rPr>
        <w:t>Die in der RA-Studie III mit Adalimumab behandelten Patienten waren im Durchschnitt ca. 11 Jahre an rheumatoider Arthritis erkrankt. Die strukturelle Gelenkschädigung wurde radiologisch erfasst und als Veränderung des modifizierten Gesamt-</w:t>
      </w:r>
      <w:r>
        <w:rPr>
          <w:i/>
          <w:iCs/>
          <w:lang w:val="de-DE"/>
        </w:rPr>
        <w:t xml:space="preserve">Sharp-Scores </w:t>
      </w:r>
      <w:r>
        <w:rPr>
          <w:lang w:val="de-DE"/>
        </w:rPr>
        <w:t>(TSS) und seiner Komponenten, dem Ausmaß der Erosionen und der Gelenkspaltverengung (</w:t>
      </w:r>
      <w:r>
        <w:rPr>
          <w:i/>
          <w:iCs/>
          <w:lang w:val="de-DE"/>
        </w:rPr>
        <w:t>Joint Space Narrowing</w:t>
      </w:r>
      <w:r>
        <w:rPr>
          <w:lang w:val="de-DE"/>
        </w:rPr>
        <w:t>, JSN) ausgedrückt. Die mit Adalimumab und Methotrexat behandelten Patienten zeigten nach 6 und 12 Monaten radiologisch eine signifikant geringere Progression als Patienten, die nur Methotrexat erhielten (siehe Tabelle 10).</w:t>
      </w:r>
    </w:p>
    <w:p w14:paraId="43111B36" w14:textId="77777777" w:rsidR="00FE291A" w:rsidRDefault="00FE291A">
      <w:pPr>
        <w:widowControl/>
        <w:kinsoku w:val="0"/>
        <w:overflowPunct w:val="0"/>
        <w:rPr>
          <w:sz w:val="22"/>
          <w:szCs w:val="22"/>
          <w:lang w:val="de-DE"/>
        </w:rPr>
      </w:pPr>
    </w:p>
    <w:p w14:paraId="024DBE83" w14:textId="77777777" w:rsidR="00FE291A" w:rsidRDefault="00C8738F">
      <w:pPr>
        <w:pStyle w:val="BodyText"/>
        <w:widowControl/>
        <w:kinsoku w:val="0"/>
        <w:overflowPunct w:val="0"/>
        <w:ind w:left="0"/>
        <w:rPr>
          <w:lang w:val="de-DE"/>
        </w:rPr>
      </w:pPr>
      <w:r>
        <w:rPr>
          <w:lang w:val="de-DE"/>
        </w:rPr>
        <w:t>In der offenen Fortsetzungsphase der RA-Studie III ist die Hemmung des Fortschreitens der strukturellen Schädigung in einer Untergruppe von Patienten 8 und 10 Jahre lang aufrechterhalten worden. Nach 8 Jahren wurden 81 von 207 Patienten, die ursprünglich jede zweite Woche mit 40 mg Adalimumab behandelt wurden, radiologisch beurteilt. Von diesen Patienten zeigten 48 kein Fortschreiten der strukturellen Schädigung, definiert als mTSS-Änderung im Vergleich zu Studienbeginn von 0,5 oder weniger. Nach 10 Jahren wurden 79 von 207 Patienten, die ursprünglich jede zweite Woche mit 40 mg Adalimumab behandelt wurden, radiologisch beurteilt. Von diesen Patienten zeigten 40 kein Fortschreiten der strukturellen Schädigung, definiert als mTSS-Änderung im Vergleich zu Studienbeginn von 0,5 oder weniger.</w:t>
      </w:r>
    </w:p>
    <w:p w14:paraId="7B925D89" w14:textId="77777777" w:rsidR="00FE291A" w:rsidRDefault="00FE291A">
      <w:pPr>
        <w:widowControl/>
        <w:kinsoku w:val="0"/>
        <w:overflowPunct w:val="0"/>
        <w:rPr>
          <w:sz w:val="22"/>
          <w:szCs w:val="22"/>
          <w:lang w:val="de-DE"/>
        </w:rPr>
      </w:pPr>
    </w:p>
    <w:p w14:paraId="391B4895" w14:textId="77777777" w:rsidR="00FE291A" w:rsidRDefault="00C8738F">
      <w:pPr>
        <w:pStyle w:val="Heading1"/>
        <w:keepNext/>
        <w:keepLines/>
        <w:widowControl/>
        <w:kinsoku w:val="0"/>
        <w:overflowPunct w:val="0"/>
        <w:ind w:left="0"/>
        <w:rPr>
          <w:lang w:val="de-DE"/>
        </w:rPr>
      </w:pPr>
      <w:r>
        <w:rPr>
          <w:lang w:val="de-DE"/>
        </w:rPr>
        <w:t>Tabelle 10: Mittlere radiologische Veränderungen über 12 Monate in der RA-Studie III</w:t>
      </w:r>
    </w:p>
    <w:p w14:paraId="66BC579D" w14:textId="77777777" w:rsidR="00FE291A" w:rsidRDefault="00FE291A">
      <w:pPr>
        <w:keepNext/>
        <w:keepLines/>
        <w:widowControl/>
        <w:kinsoku w:val="0"/>
        <w:overflowPunct w:val="0"/>
        <w:rPr>
          <w:sz w:val="22"/>
          <w:lang w:val="de-DE"/>
        </w:rPr>
      </w:pPr>
    </w:p>
    <w:tbl>
      <w:tblPr>
        <w:tblW w:w="0" w:type="auto"/>
        <w:tblInd w:w="103" w:type="dxa"/>
        <w:tblLayout w:type="fixed"/>
        <w:tblCellMar>
          <w:top w:w="28" w:type="dxa"/>
          <w:bottom w:w="28" w:type="dxa"/>
        </w:tblCellMar>
        <w:tblLook w:val="04A0" w:firstRow="1" w:lastRow="0" w:firstColumn="1" w:lastColumn="0" w:noHBand="0" w:noVBand="1"/>
      </w:tblPr>
      <w:tblGrid>
        <w:gridCol w:w="2088"/>
        <w:gridCol w:w="1603"/>
        <w:gridCol w:w="1617"/>
        <w:gridCol w:w="2068"/>
        <w:gridCol w:w="1480"/>
      </w:tblGrid>
      <w:tr w:rsidR="00FE291A" w14:paraId="19CBD8D6" w14:textId="77777777">
        <w:trPr>
          <w:cantSplit/>
          <w:tblHeader/>
        </w:trPr>
        <w:tc>
          <w:tcPr>
            <w:tcW w:w="2088" w:type="dxa"/>
            <w:tcBorders>
              <w:top w:val="single" w:sz="4" w:space="0" w:color="000000"/>
              <w:left w:val="single" w:sz="4" w:space="0" w:color="000000"/>
              <w:bottom w:val="single" w:sz="4" w:space="0" w:color="000000"/>
              <w:right w:val="single" w:sz="4" w:space="0" w:color="000000"/>
            </w:tcBorders>
          </w:tcPr>
          <w:p w14:paraId="627A19EB" w14:textId="77777777" w:rsidR="00FE291A" w:rsidRDefault="00FE291A">
            <w:pPr>
              <w:keepNext/>
              <w:widowControl/>
              <w:suppressAutoHyphens/>
              <w:rPr>
                <w:sz w:val="22"/>
                <w:szCs w:val="22"/>
                <w:lang w:val="de-DE"/>
              </w:rPr>
            </w:pPr>
          </w:p>
        </w:tc>
        <w:tc>
          <w:tcPr>
            <w:tcW w:w="1603" w:type="dxa"/>
            <w:tcBorders>
              <w:top w:val="single" w:sz="4" w:space="0" w:color="000000"/>
              <w:left w:val="single" w:sz="4" w:space="0" w:color="000000"/>
              <w:bottom w:val="single" w:sz="4" w:space="0" w:color="000000"/>
              <w:right w:val="single" w:sz="4" w:space="0" w:color="000000"/>
            </w:tcBorders>
          </w:tcPr>
          <w:p w14:paraId="01413E31" w14:textId="77777777" w:rsidR="00FE291A" w:rsidRDefault="00C8738F">
            <w:pPr>
              <w:pStyle w:val="TableParagraph"/>
              <w:keepNext/>
              <w:widowControl/>
              <w:suppressAutoHyphens/>
              <w:kinsoku w:val="0"/>
              <w:overflowPunct w:val="0"/>
              <w:jc w:val="center"/>
              <w:rPr>
                <w:b/>
                <w:sz w:val="22"/>
                <w:szCs w:val="22"/>
                <w:lang w:val="de-DE"/>
              </w:rPr>
            </w:pPr>
            <w:r>
              <w:rPr>
                <w:b/>
                <w:sz w:val="22"/>
                <w:szCs w:val="22"/>
                <w:lang w:val="de-DE"/>
              </w:rPr>
              <w:t>Placebo/MTX</w:t>
            </w:r>
            <w:r>
              <w:rPr>
                <w:b/>
                <w:sz w:val="22"/>
                <w:szCs w:val="22"/>
                <w:vertAlign w:val="superscript"/>
                <w:lang w:val="de-DE"/>
              </w:rPr>
              <w:t>a</w:t>
            </w:r>
          </w:p>
        </w:tc>
        <w:tc>
          <w:tcPr>
            <w:tcW w:w="1617" w:type="dxa"/>
            <w:tcBorders>
              <w:top w:val="single" w:sz="4" w:space="0" w:color="000000"/>
              <w:left w:val="single" w:sz="4" w:space="0" w:color="000000"/>
              <w:bottom w:val="single" w:sz="4" w:space="0" w:color="000000"/>
              <w:right w:val="single" w:sz="4" w:space="0" w:color="000000"/>
            </w:tcBorders>
          </w:tcPr>
          <w:p w14:paraId="3EFB8DE8" w14:textId="77777777" w:rsidR="00FE291A" w:rsidRDefault="00C8738F">
            <w:pPr>
              <w:pStyle w:val="TableParagraph"/>
              <w:keepNext/>
              <w:widowControl/>
              <w:suppressAutoHyphens/>
              <w:kinsoku w:val="0"/>
              <w:overflowPunct w:val="0"/>
              <w:jc w:val="center"/>
              <w:rPr>
                <w:b/>
                <w:sz w:val="22"/>
                <w:szCs w:val="22"/>
                <w:lang w:val="de-DE"/>
              </w:rPr>
            </w:pPr>
            <w:r>
              <w:rPr>
                <w:b/>
                <w:sz w:val="22"/>
                <w:szCs w:val="22"/>
                <w:lang w:val="de-DE"/>
              </w:rPr>
              <w:t>Adalimumab/</w:t>
            </w:r>
          </w:p>
          <w:p w14:paraId="537FC849" w14:textId="77777777" w:rsidR="00FE291A" w:rsidRDefault="00C8738F">
            <w:pPr>
              <w:pStyle w:val="TableParagraph"/>
              <w:keepNext/>
              <w:widowControl/>
              <w:suppressAutoHyphens/>
              <w:kinsoku w:val="0"/>
              <w:overflowPunct w:val="0"/>
              <w:jc w:val="center"/>
              <w:rPr>
                <w:b/>
                <w:sz w:val="22"/>
                <w:szCs w:val="22"/>
                <w:lang w:val="de-DE"/>
              </w:rPr>
            </w:pPr>
            <w:r>
              <w:rPr>
                <w:b/>
                <w:sz w:val="22"/>
                <w:szCs w:val="22"/>
                <w:lang w:val="de-DE"/>
              </w:rPr>
              <w:t>MTX</w:t>
            </w:r>
          </w:p>
          <w:p w14:paraId="68337701" w14:textId="77777777" w:rsidR="00FE291A" w:rsidRDefault="00C8738F">
            <w:pPr>
              <w:pStyle w:val="TableParagraph"/>
              <w:keepNext/>
              <w:widowControl/>
              <w:suppressAutoHyphens/>
              <w:kinsoku w:val="0"/>
              <w:overflowPunct w:val="0"/>
              <w:jc w:val="center"/>
              <w:rPr>
                <w:b/>
                <w:sz w:val="22"/>
                <w:szCs w:val="22"/>
                <w:lang w:val="de-DE"/>
              </w:rPr>
            </w:pPr>
            <w:r>
              <w:rPr>
                <w:b/>
                <w:sz w:val="22"/>
                <w:szCs w:val="22"/>
                <w:lang w:val="de-DE"/>
              </w:rPr>
              <w:t>40 mg alle zwei Wochen</w:t>
            </w:r>
          </w:p>
        </w:tc>
        <w:tc>
          <w:tcPr>
            <w:tcW w:w="2068" w:type="dxa"/>
            <w:tcBorders>
              <w:top w:val="single" w:sz="4" w:space="0" w:color="000000"/>
              <w:left w:val="single" w:sz="4" w:space="0" w:color="000000"/>
              <w:bottom w:val="single" w:sz="4" w:space="0" w:color="000000"/>
              <w:right w:val="single" w:sz="4" w:space="0" w:color="000000"/>
            </w:tcBorders>
          </w:tcPr>
          <w:p w14:paraId="19693D14" w14:textId="77777777" w:rsidR="00FE291A" w:rsidRDefault="00C8738F">
            <w:pPr>
              <w:pStyle w:val="TableParagraph"/>
              <w:keepNext/>
              <w:widowControl/>
              <w:suppressAutoHyphens/>
              <w:kinsoku w:val="0"/>
              <w:overflowPunct w:val="0"/>
              <w:jc w:val="center"/>
              <w:rPr>
                <w:b/>
                <w:sz w:val="22"/>
                <w:szCs w:val="22"/>
                <w:lang w:val="de-DE"/>
              </w:rPr>
            </w:pPr>
            <w:r>
              <w:rPr>
                <w:b/>
                <w:sz w:val="22"/>
                <w:szCs w:val="22"/>
                <w:lang w:val="de-DE"/>
              </w:rPr>
              <w:t>Placebo/MTX-Adalimumab/MTX</w:t>
            </w:r>
          </w:p>
          <w:p w14:paraId="7558E854" w14:textId="77777777" w:rsidR="00FE291A" w:rsidRDefault="00C8738F">
            <w:pPr>
              <w:pStyle w:val="TableParagraph"/>
              <w:keepNext/>
              <w:widowControl/>
              <w:suppressAutoHyphens/>
              <w:kinsoku w:val="0"/>
              <w:overflowPunct w:val="0"/>
              <w:jc w:val="center"/>
              <w:rPr>
                <w:b/>
                <w:sz w:val="22"/>
                <w:szCs w:val="22"/>
                <w:lang w:val="de-DE"/>
              </w:rPr>
            </w:pPr>
            <w:r>
              <w:rPr>
                <w:b/>
                <w:sz w:val="22"/>
                <w:szCs w:val="22"/>
                <w:lang w:val="de-DE"/>
              </w:rPr>
              <w:t>(95 % Konfidenz- intervall</w:t>
            </w:r>
            <w:r>
              <w:rPr>
                <w:b/>
                <w:sz w:val="22"/>
                <w:szCs w:val="22"/>
                <w:vertAlign w:val="superscript"/>
                <w:lang w:val="de-DE"/>
              </w:rPr>
              <w:t>b</w:t>
            </w:r>
            <w:r>
              <w:rPr>
                <w:b/>
                <w:sz w:val="22"/>
                <w:szCs w:val="22"/>
                <w:lang w:val="de-DE"/>
              </w:rPr>
              <w:t>)</w:t>
            </w:r>
          </w:p>
        </w:tc>
        <w:tc>
          <w:tcPr>
            <w:tcW w:w="1480" w:type="dxa"/>
            <w:tcBorders>
              <w:top w:val="single" w:sz="4" w:space="0" w:color="000000"/>
              <w:left w:val="single" w:sz="4" w:space="0" w:color="000000"/>
              <w:bottom w:val="single" w:sz="4" w:space="0" w:color="000000"/>
              <w:right w:val="single" w:sz="4" w:space="0" w:color="000000"/>
            </w:tcBorders>
          </w:tcPr>
          <w:p w14:paraId="6ED5C3F7" w14:textId="77777777" w:rsidR="00FE291A" w:rsidRDefault="00C8738F">
            <w:pPr>
              <w:pStyle w:val="TableParagraph"/>
              <w:keepNext/>
              <w:widowControl/>
              <w:suppressAutoHyphens/>
              <w:kinsoku w:val="0"/>
              <w:overflowPunct w:val="0"/>
              <w:jc w:val="center"/>
              <w:rPr>
                <w:b/>
                <w:sz w:val="22"/>
                <w:szCs w:val="22"/>
                <w:lang w:val="de-DE"/>
              </w:rPr>
            </w:pPr>
            <w:r>
              <w:rPr>
                <w:b/>
                <w:sz w:val="22"/>
                <w:szCs w:val="22"/>
                <w:lang w:val="de-DE"/>
              </w:rPr>
              <w:t>p-Wert</w:t>
            </w:r>
          </w:p>
        </w:tc>
      </w:tr>
      <w:tr w:rsidR="00FE291A" w14:paraId="56E9D82A" w14:textId="77777777">
        <w:trPr>
          <w:cantSplit/>
        </w:trPr>
        <w:tc>
          <w:tcPr>
            <w:tcW w:w="2088" w:type="dxa"/>
            <w:tcBorders>
              <w:top w:val="single" w:sz="4" w:space="0" w:color="000000"/>
              <w:left w:val="single" w:sz="4" w:space="0" w:color="000000"/>
              <w:bottom w:val="single" w:sz="4" w:space="0" w:color="000000"/>
              <w:right w:val="single" w:sz="4" w:space="0" w:color="000000"/>
            </w:tcBorders>
          </w:tcPr>
          <w:p w14:paraId="3C4A5831" w14:textId="77777777" w:rsidR="00FE291A" w:rsidRDefault="00C8738F">
            <w:pPr>
              <w:pStyle w:val="TableParagraph"/>
              <w:widowControl/>
              <w:suppressAutoHyphens/>
              <w:kinsoku w:val="0"/>
              <w:overflowPunct w:val="0"/>
              <w:rPr>
                <w:i/>
                <w:sz w:val="22"/>
                <w:szCs w:val="22"/>
                <w:lang w:val="de-DE"/>
              </w:rPr>
            </w:pPr>
            <w:r>
              <w:rPr>
                <w:sz w:val="22"/>
                <w:szCs w:val="22"/>
                <w:lang w:val="de-DE"/>
              </w:rPr>
              <w:t>Gesamt-</w:t>
            </w:r>
            <w:r>
              <w:rPr>
                <w:i/>
                <w:iCs/>
                <w:sz w:val="22"/>
                <w:szCs w:val="22"/>
                <w:lang w:val="de-DE"/>
              </w:rPr>
              <w:t>Sharp-Score</w:t>
            </w:r>
          </w:p>
        </w:tc>
        <w:tc>
          <w:tcPr>
            <w:tcW w:w="1603" w:type="dxa"/>
            <w:tcBorders>
              <w:top w:val="single" w:sz="4" w:space="0" w:color="000000"/>
              <w:left w:val="single" w:sz="4" w:space="0" w:color="000000"/>
              <w:bottom w:val="single" w:sz="4" w:space="0" w:color="000000"/>
              <w:right w:val="single" w:sz="4" w:space="0" w:color="000000"/>
            </w:tcBorders>
          </w:tcPr>
          <w:p w14:paraId="0B263076"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2,7</w:t>
            </w:r>
          </w:p>
        </w:tc>
        <w:tc>
          <w:tcPr>
            <w:tcW w:w="1617" w:type="dxa"/>
            <w:tcBorders>
              <w:top w:val="single" w:sz="4" w:space="0" w:color="000000"/>
              <w:left w:val="single" w:sz="4" w:space="0" w:color="000000"/>
              <w:bottom w:val="single" w:sz="4" w:space="0" w:color="000000"/>
              <w:right w:val="single" w:sz="4" w:space="0" w:color="000000"/>
            </w:tcBorders>
          </w:tcPr>
          <w:p w14:paraId="531DDE7B"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0,1</w:t>
            </w:r>
          </w:p>
        </w:tc>
        <w:tc>
          <w:tcPr>
            <w:tcW w:w="2068" w:type="dxa"/>
            <w:tcBorders>
              <w:top w:val="single" w:sz="4" w:space="0" w:color="000000"/>
              <w:left w:val="single" w:sz="4" w:space="0" w:color="000000"/>
              <w:bottom w:val="single" w:sz="4" w:space="0" w:color="000000"/>
              <w:right w:val="single" w:sz="4" w:space="0" w:color="000000"/>
            </w:tcBorders>
          </w:tcPr>
          <w:p w14:paraId="3BECF6B1"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2,6 (1,4; 3,8)</w:t>
            </w:r>
          </w:p>
        </w:tc>
        <w:tc>
          <w:tcPr>
            <w:tcW w:w="1480" w:type="dxa"/>
            <w:tcBorders>
              <w:top w:val="single" w:sz="4" w:space="0" w:color="000000"/>
              <w:left w:val="single" w:sz="4" w:space="0" w:color="000000"/>
              <w:bottom w:val="single" w:sz="4" w:space="0" w:color="000000"/>
              <w:right w:val="single" w:sz="4" w:space="0" w:color="000000"/>
            </w:tcBorders>
          </w:tcPr>
          <w:p w14:paraId="0CC0AE42"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&lt; 0,001</w:t>
            </w:r>
            <w:r>
              <w:rPr>
                <w:sz w:val="22"/>
                <w:szCs w:val="22"/>
                <w:vertAlign w:val="superscript"/>
                <w:lang w:val="de-DE"/>
              </w:rPr>
              <w:t>c</w:t>
            </w:r>
          </w:p>
        </w:tc>
      </w:tr>
      <w:tr w:rsidR="00FE291A" w14:paraId="0D71AEAA" w14:textId="77777777">
        <w:trPr>
          <w:cantSplit/>
        </w:trPr>
        <w:tc>
          <w:tcPr>
            <w:tcW w:w="2088" w:type="dxa"/>
            <w:tcBorders>
              <w:top w:val="single" w:sz="4" w:space="0" w:color="000000"/>
              <w:left w:val="single" w:sz="4" w:space="0" w:color="000000"/>
              <w:bottom w:val="single" w:sz="4" w:space="0" w:color="000000"/>
              <w:right w:val="single" w:sz="4" w:space="0" w:color="000000"/>
            </w:tcBorders>
          </w:tcPr>
          <w:p w14:paraId="6416BA51" w14:textId="77777777" w:rsidR="00FE291A" w:rsidRDefault="00C8738F">
            <w:pPr>
              <w:pStyle w:val="TableParagraph"/>
              <w:widowControl/>
              <w:suppressAutoHyphens/>
              <w:kinsoku w:val="0"/>
              <w:overflowPunct w:val="0"/>
              <w:rPr>
                <w:i/>
                <w:sz w:val="22"/>
                <w:szCs w:val="22"/>
                <w:lang w:val="de-DE"/>
              </w:rPr>
            </w:pPr>
            <w:r>
              <w:rPr>
                <w:i/>
                <w:iCs/>
                <w:sz w:val="22"/>
                <w:szCs w:val="22"/>
                <w:lang w:val="de-DE"/>
              </w:rPr>
              <w:t>Erosion Score</w:t>
            </w:r>
          </w:p>
        </w:tc>
        <w:tc>
          <w:tcPr>
            <w:tcW w:w="1603" w:type="dxa"/>
            <w:tcBorders>
              <w:top w:val="single" w:sz="4" w:space="0" w:color="000000"/>
              <w:left w:val="single" w:sz="4" w:space="0" w:color="000000"/>
              <w:bottom w:val="single" w:sz="4" w:space="0" w:color="000000"/>
              <w:right w:val="single" w:sz="4" w:space="0" w:color="000000"/>
            </w:tcBorders>
          </w:tcPr>
          <w:p w14:paraId="56F6A751"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1,6</w:t>
            </w:r>
          </w:p>
        </w:tc>
        <w:tc>
          <w:tcPr>
            <w:tcW w:w="1617" w:type="dxa"/>
            <w:tcBorders>
              <w:top w:val="single" w:sz="4" w:space="0" w:color="000000"/>
              <w:left w:val="single" w:sz="4" w:space="0" w:color="000000"/>
              <w:bottom w:val="single" w:sz="4" w:space="0" w:color="000000"/>
              <w:right w:val="single" w:sz="4" w:space="0" w:color="000000"/>
            </w:tcBorders>
          </w:tcPr>
          <w:p w14:paraId="4F7DABDC"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0,0</w:t>
            </w:r>
          </w:p>
        </w:tc>
        <w:tc>
          <w:tcPr>
            <w:tcW w:w="2068" w:type="dxa"/>
            <w:tcBorders>
              <w:top w:val="single" w:sz="4" w:space="0" w:color="000000"/>
              <w:left w:val="single" w:sz="4" w:space="0" w:color="000000"/>
              <w:bottom w:val="single" w:sz="4" w:space="0" w:color="000000"/>
              <w:right w:val="single" w:sz="4" w:space="0" w:color="000000"/>
            </w:tcBorders>
          </w:tcPr>
          <w:p w14:paraId="2337042B"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1,6 (0,9; 2,2)</w:t>
            </w:r>
          </w:p>
        </w:tc>
        <w:tc>
          <w:tcPr>
            <w:tcW w:w="1480" w:type="dxa"/>
            <w:tcBorders>
              <w:top w:val="single" w:sz="4" w:space="0" w:color="000000"/>
              <w:left w:val="single" w:sz="4" w:space="0" w:color="000000"/>
              <w:bottom w:val="single" w:sz="4" w:space="0" w:color="000000"/>
              <w:right w:val="single" w:sz="4" w:space="0" w:color="000000"/>
            </w:tcBorders>
          </w:tcPr>
          <w:p w14:paraId="10A7B905"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&lt; 0,001</w:t>
            </w:r>
          </w:p>
        </w:tc>
      </w:tr>
      <w:tr w:rsidR="00FE291A" w14:paraId="53CA9E97" w14:textId="77777777">
        <w:trPr>
          <w:cantSplit/>
        </w:trPr>
        <w:tc>
          <w:tcPr>
            <w:tcW w:w="2088" w:type="dxa"/>
            <w:tcBorders>
              <w:top w:val="single" w:sz="4" w:space="0" w:color="000000"/>
              <w:left w:val="single" w:sz="4" w:space="0" w:color="000000"/>
              <w:bottom w:val="single" w:sz="4" w:space="0" w:color="000000"/>
              <w:right w:val="single" w:sz="4" w:space="0" w:color="000000"/>
            </w:tcBorders>
          </w:tcPr>
          <w:p w14:paraId="5D466BEC" w14:textId="77777777" w:rsidR="00FE291A" w:rsidRDefault="00C8738F">
            <w:pPr>
              <w:pStyle w:val="BodyText"/>
              <w:keepNext/>
              <w:widowControl/>
              <w:tabs>
                <w:tab w:val="left" w:pos="567"/>
              </w:tabs>
              <w:suppressAutoHyphens/>
              <w:kinsoku w:val="0"/>
              <w:overflowPunct w:val="0"/>
              <w:ind w:left="0"/>
              <w:rPr>
                <w:i/>
                <w:lang w:val="de-DE"/>
              </w:rPr>
            </w:pPr>
            <w:r>
              <w:rPr>
                <w:i/>
                <w:lang w:val="de-DE"/>
              </w:rPr>
              <w:t>JSN</w:t>
            </w:r>
            <w:r>
              <w:rPr>
                <w:vertAlign w:val="superscript"/>
                <w:lang w:val="de-DE"/>
              </w:rPr>
              <w:t>d</w:t>
            </w:r>
            <w:r>
              <w:rPr>
                <w:lang w:val="de-DE"/>
              </w:rPr>
              <w:t xml:space="preserve"> </w:t>
            </w:r>
            <w:r>
              <w:rPr>
                <w:i/>
                <w:lang w:val="de-DE"/>
              </w:rPr>
              <w:t>Score</w:t>
            </w:r>
          </w:p>
        </w:tc>
        <w:tc>
          <w:tcPr>
            <w:tcW w:w="1603" w:type="dxa"/>
            <w:tcBorders>
              <w:top w:val="single" w:sz="4" w:space="0" w:color="000000"/>
              <w:left w:val="single" w:sz="4" w:space="0" w:color="000000"/>
              <w:bottom w:val="single" w:sz="4" w:space="0" w:color="000000"/>
              <w:right w:val="single" w:sz="4" w:space="0" w:color="000000"/>
            </w:tcBorders>
          </w:tcPr>
          <w:p w14:paraId="71A73777"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1,0</w:t>
            </w:r>
          </w:p>
        </w:tc>
        <w:tc>
          <w:tcPr>
            <w:tcW w:w="1617" w:type="dxa"/>
            <w:tcBorders>
              <w:top w:val="single" w:sz="4" w:space="0" w:color="000000"/>
              <w:left w:val="single" w:sz="4" w:space="0" w:color="000000"/>
              <w:bottom w:val="single" w:sz="4" w:space="0" w:color="000000"/>
              <w:right w:val="single" w:sz="4" w:space="0" w:color="000000"/>
            </w:tcBorders>
          </w:tcPr>
          <w:p w14:paraId="3707BE4D"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0,1</w:t>
            </w:r>
          </w:p>
        </w:tc>
        <w:tc>
          <w:tcPr>
            <w:tcW w:w="2068" w:type="dxa"/>
            <w:tcBorders>
              <w:top w:val="single" w:sz="4" w:space="0" w:color="000000"/>
              <w:left w:val="single" w:sz="4" w:space="0" w:color="000000"/>
              <w:bottom w:val="single" w:sz="4" w:space="0" w:color="000000"/>
              <w:right w:val="single" w:sz="4" w:space="0" w:color="000000"/>
            </w:tcBorders>
          </w:tcPr>
          <w:p w14:paraId="3F1C635E"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0,9 (0,3; 1,4)</w:t>
            </w:r>
          </w:p>
        </w:tc>
        <w:tc>
          <w:tcPr>
            <w:tcW w:w="1480" w:type="dxa"/>
            <w:tcBorders>
              <w:top w:val="single" w:sz="4" w:space="0" w:color="000000"/>
              <w:left w:val="single" w:sz="4" w:space="0" w:color="000000"/>
              <w:bottom w:val="single" w:sz="4" w:space="0" w:color="000000"/>
              <w:right w:val="single" w:sz="4" w:space="0" w:color="000000"/>
            </w:tcBorders>
          </w:tcPr>
          <w:p w14:paraId="3F1CED5B"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0,002</w:t>
            </w:r>
          </w:p>
        </w:tc>
      </w:tr>
    </w:tbl>
    <w:p w14:paraId="1F32DB3A" w14:textId="77777777" w:rsidR="00FE291A" w:rsidRDefault="00C8738F">
      <w:pPr>
        <w:pStyle w:val="BodyText"/>
        <w:widowControl/>
        <w:tabs>
          <w:tab w:val="left" w:pos="567"/>
        </w:tabs>
        <w:kinsoku w:val="0"/>
        <w:overflowPunct w:val="0"/>
        <w:ind w:left="0"/>
        <w:rPr>
          <w:sz w:val="20"/>
          <w:szCs w:val="20"/>
          <w:lang w:val="de-DE"/>
        </w:rPr>
      </w:pPr>
      <w:r>
        <w:rPr>
          <w:sz w:val="20"/>
          <w:szCs w:val="20"/>
          <w:vertAlign w:val="superscript"/>
          <w:lang w:val="de-DE"/>
        </w:rPr>
        <w:t>a</w:t>
      </w:r>
      <w:r>
        <w:rPr>
          <w:sz w:val="20"/>
          <w:szCs w:val="20"/>
          <w:lang w:val="de-DE"/>
        </w:rPr>
        <w:t xml:space="preserve"> Methotrexat</w:t>
      </w:r>
    </w:p>
    <w:p w14:paraId="7D1107C6" w14:textId="77777777" w:rsidR="00FE291A" w:rsidRDefault="00C8738F">
      <w:pPr>
        <w:pStyle w:val="BodyText"/>
        <w:widowControl/>
        <w:tabs>
          <w:tab w:val="left" w:pos="567"/>
        </w:tabs>
        <w:kinsoku w:val="0"/>
        <w:overflowPunct w:val="0"/>
        <w:ind w:left="0"/>
        <w:rPr>
          <w:sz w:val="20"/>
          <w:szCs w:val="20"/>
          <w:lang w:val="de-DE"/>
        </w:rPr>
      </w:pPr>
      <w:r>
        <w:rPr>
          <w:sz w:val="20"/>
          <w:szCs w:val="20"/>
          <w:vertAlign w:val="superscript"/>
          <w:lang w:val="de-DE"/>
        </w:rPr>
        <w:t>b</w:t>
      </w:r>
      <w:r>
        <w:rPr>
          <w:sz w:val="20"/>
          <w:szCs w:val="20"/>
          <w:lang w:val="de-DE"/>
        </w:rPr>
        <w:t xml:space="preserve"> 95 % Konfidenzintervalle für die Unterschiede der Veränderungen der </w:t>
      </w:r>
      <w:r>
        <w:rPr>
          <w:i/>
          <w:iCs/>
          <w:sz w:val="20"/>
          <w:szCs w:val="20"/>
          <w:lang w:val="de-DE"/>
        </w:rPr>
        <w:t xml:space="preserve">Scores </w:t>
      </w:r>
      <w:r>
        <w:rPr>
          <w:sz w:val="20"/>
          <w:szCs w:val="20"/>
          <w:lang w:val="de-DE"/>
        </w:rPr>
        <w:t>zwischen Methotrexat und Adalimumab</w:t>
      </w:r>
    </w:p>
    <w:p w14:paraId="1164309E" w14:textId="77777777" w:rsidR="00FE291A" w:rsidRDefault="00C8738F">
      <w:pPr>
        <w:pStyle w:val="BodyText"/>
        <w:keepNext/>
        <w:widowControl/>
        <w:tabs>
          <w:tab w:val="left" w:pos="567"/>
        </w:tabs>
        <w:kinsoku w:val="0"/>
        <w:overflowPunct w:val="0"/>
        <w:ind w:left="0"/>
        <w:rPr>
          <w:sz w:val="20"/>
          <w:szCs w:val="20"/>
          <w:lang w:val="de-DE"/>
        </w:rPr>
      </w:pPr>
      <w:r>
        <w:rPr>
          <w:sz w:val="20"/>
          <w:szCs w:val="20"/>
          <w:vertAlign w:val="superscript"/>
          <w:lang w:val="de-DE"/>
        </w:rPr>
        <w:t>c</w:t>
      </w:r>
      <w:r>
        <w:rPr>
          <w:sz w:val="20"/>
          <w:szCs w:val="20"/>
          <w:lang w:val="de-DE"/>
        </w:rPr>
        <w:t xml:space="preserve"> basierend auf Rangsummentest</w:t>
      </w:r>
    </w:p>
    <w:p w14:paraId="4BA9D046" w14:textId="77777777" w:rsidR="00FE291A" w:rsidRDefault="00C8738F">
      <w:pPr>
        <w:widowControl/>
        <w:tabs>
          <w:tab w:val="left" w:pos="567"/>
        </w:tabs>
        <w:kinsoku w:val="0"/>
        <w:overflowPunct w:val="0"/>
        <w:rPr>
          <w:sz w:val="20"/>
          <w:szCs w:val="20"/>
          <w:lang w:val="de-DE"/>
        </w:rPr>
      </w:pPr>
      <w:r>
        <w:rPr>
          <w:sz w:val="20"/>
          <w:szCs w:val="20"/>
          <w:vertAlign w:val="superscript"/>
          <w:lang w:val="de-DE"/>
        </w:rPr>
        <w:t>d</w:t>
      </w:r>
      <w:r>
        <w:rPr>
          <w:sz w:val="20"/>
          <w:szCs w:val="20"/>
          <w:lang w:val="de-DE"/>
        </w:rPr>
        <w:t xml:space="preserve"> JSN (</w:t>
      </w:r>
      <w:r>
        <w:rPr>
          <w:i/>
          <w:iCs/>
          <w:sz w:val="20"/>
          <w:szCs w:val="20"/>
          <w:lang w:val="de-DE"/>
        </w:rPr>
        <w:t>Joint Space Narrowing</w:t>
      </w:r>
      <w:r>
        <w:rPr>
          <w:sz w:val="20"/>
          <w:szCs w:val="20"/>
          <w:lang w:val="de-DE"/>
        </w:rPr>
        <w:t>): Gelenkspaltverengung</w:t>
      </w:r>
    </w:p>
    <w:p w14:paraId="4CA7F415" w14:textId="77777777" w:rsidR="00FE291A" w:rsidRDefault="00FE291A">
      <w:pPr>
        <w:widowControl/>
        <w:kinsoku w:val="0"/>
        <w:overflowPunct w:val="0"/>
        <w:rPr>
          <w:sz w:val="22"/>
          <w:szCs w:val="26"/>
          <w:lang w:val="de-DE"/>
        </w:rPr>
      </w:pPr>
    </w:p>
    <w:p w14:paraId="624B9D9F" w14:textId="77777777" w:rsidR="00FE291A" w:rsidRDefault="00C8738F">
      <w:pPr>
        <w:pStyle w:val="BodyText"/>
        <w:widowControl/>
        <w:kinsoku w:val="0"/>
        <w:overflowPunct w:val="0"/>
        <w:ind w:left="0"/>
        <w:rPr>
          <w:lang w:val="de-DE"/>
        </w:rPr>
      </w:pPr>
      <w:r>
        <w:rPr>
          <w:lang w:val="de-DE"/>
        </w:rPr>
        <w:t>In der RA-Studie V wurde die strukturelle Gelenkschädigung radiologisch untersucht und als Veränderung des modifizierten Gesamt-</w:t>
      </w:r>
      <w:r>
        <w:rPr>
          <w:i/>
          <w:iCs/>
          <w:lang w:val="de-DE"/>
        </w:rPr>
        <w:t xml:space="preserve">Sharp-Scores </w:t>
      </w:r>
      <w:r>
        <w:rPr>
          <w:lang w:val="de-DE"/>
        </w:rPr>
        <w:t>ausgedrückt (siehe Tabelle 11).</w:t>
      </w:r>
    </w:p>
    <w:p w14:paraId="09EACE5B" w14:textId="77777777" w:rsidR="00FE291A" w:rsidRDefault="00FE291A">
      <w:pPr>
        <w:widowControl/>
        <w:kinsoku w:val="0"/>
        <w:overflowPunct w:val="0"/>
        <w:rPr>
          <w:sz w:val="22"/>
          <w:szCs w:val="26"/>
          <w:lang w:val="de-DE"/>
        </w:rPr>
      </w:pPr>
    </w:p>
    <w:p w14:paraId="0FFB3AA0" w14:textId="77777777" w:rsidR="00FE291A" w:rsidRDefault="00C8738F">
      <w:pPr>
        <w:pStyle w:val="Heading1"/>
        <w:keepNext/>
        <w:widowControl/>
        <w:kinsoku w:val="0"/>
        <w:overflowPunct w:val="0"/>
        <w:ind w:left="0"/>
        <w:rPr>
          <w:lang w:val="de-DE"/>
        </w:rPr>
      </w:pPr>
      <w:r>
        <w:rPr>
          <w:lang w:val="de-DE"/>
        </w:rPr>
        <w:t>Tabelle 11: Mittlere radiologische Veränderungen nach 52 Wochen in der RA-Studie V</w:t>
      </w:r>
    </w:p>
    <w:p w14:paraId="3404BD21" w14:textId="77777777" w:rsidR="00FE291A" w:rsidRDefault="00FE291A">
      <w:pPr>
        <w:keepNext/>
        <w:widowControl/>
        <w:kinsoku w:val="0"/>
        <w:overflowPunct w:val="0"/>
        <w:rPr>
          <w:sz w:val="22"/>
          <w:lang w:val="de-DE"/>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276"/>
        <w:gridCol w:w="1418"/>
        <w:gridCol w:w="1559"/>
        <w:gridCol w:w="1559"/>
        <w:gridCol w:w="1134"/>
        <w:gridCol w:w="1134"/>
        <w:gridCol w:w="1134"/>
      </w:tblGrid>
      <w:tr w:rsidR="00FE291A" w14:paraId="7DAC09CE" w14:textId="77777777">
        <w:trPr>
          <w:cantSplit/>
          <w:tblHeader/>
        </w:trPr>
        <w:tc>
          <w:tcPr>
            <w:tcW w:w="1276" w:type="dxa"/>
          </w:tcPr>
          <w:p w14:paraId="34D86CE3" w14:textId="77777777" w:rsidR="00FE291A" w:rsidRDefault="00FE291A">
            <w:pPr>
              <w:keepNext/>
              <w:widowControl/>
              <w:suppressAutoHyphens/>
              <w:jc w:val="center"/>
              <w:rPr>
                <w:sz w:val="22"/>
                <w:szCs w:val="22"/>
                <w:lang w:val="de-DE"/>
              </w:rPr>
            </w:pPr>
          </w:p>
        </w:tc>
        <w:tc>
          <w:tcPr>
            <w:tcW w:w="1418" w:type="dxa"/>
          </w:tcPr>
          <w:p w14:paraId="6DD60865" w14:textId="77777777" w:rsidR="00FE291A" w:rsidRDefault="00C8738F">
            <w:pPr>
              <w:keepNext/>
              <w:widowControl/>
              <w:suppressAutoHyphens/>
              <w:jc w:val="center"/>
              <w:rPr>
                <w:b/>
                <w:sz w:val="22"/>
                <w:szCs w:val="22"/>
                <w:lang w:val="de-DE"/>
              </w:rPr>
            </w:pPr>
            <w:r>
              <w:rPr>
                <w:b/>
                <w:sz w:val="22"/>
                <w:szCs w:val="22"/>
                <w:lang w:val="de-DE"/>
              </w:rPr>
              <w:t>MTX</w:t>
            </w:r>
          </w:p>
          <w:p w14:paraId="470CF2EB" w14:textId="77777777" w:rsidR="00FE291A" w:rsidRDefault="00C8738F">
            <w:pPr>
              <w:keepNext/>
              <w:widowControl/>
              <w:suppressAutoHyphens/>
              <w:jc w:val="center"/>
              <w:rPr>
                <w:b/>
                <w:sz w:val="22"/>
                <w:szCs w:val="22"/>
                <w:lang w:val="de-DE"/>
              </w:rPr>
            </w:pPr>
            <w:r>
              <w:rPr>
                <w:b/>
                <w:sz w:val="22"/>
                <w:szCs w:val="22"/>
                <w:lang w:val="de-DE"/>
              </w:rPr>
              <w:t>n </w:t>
            </w:r>
            <w:r>
              <w:rPr>
                <w:b/>
                <w:sz w:val="22"/>
                <w:szCs w:val="22"/>
                <w:lang w:val="de-DE" w:eastAsia="en-GB"/>
              </w:rPr>
              <w:t>=</w:t>
            </w:r>
            <w:r>
              <w:rPr>
                <w:b/>
                <w:sz w:val="22"/>
                <w:szCs w:val="22"/>
                <w:lang w:val="de-DE"/>
              </w:rPr>
              <w:t> 257</w:t>
            </w:r>
            <w:r>
              <w:rPr>
                <w:b/>
                <w:sz w:val="22"/>
                <w:szCs w:val="22"/>
                <w:lang w:val="de-DE" w:eastAsia="en-GB"/>
              </w:rPr>
              <w:t xml:space="preserve"> </w:t>
            </w:r>
            <w:r>
              <w:rPr>
                <w:b/>
                <w:sz w:val="22"/>
                <w:szCs w:val="22"/>
                <w:lang w:val="de-DE"/>
              </w:rPr>
              <w:t>(95 %</w:t>
            </w:r>
            <w:r>
              <w:rPr>
                <w:b/>
                <w:sz w:val="22"/>
                <w:szCs w:val="22"/>
                <w:lang w:val="de-DE" w:eastAsia="en-GB"/>
              </w:rPr>
              <w:t xml:space="preserve"> </w:t>
            </w:r>
            <w:r>
              <w:rPr>
                <w:b/>
                <w:sz w:val="22"/>
                <w:szCs w:val="22"/>
                <w:lang w:val="de-DE"/>
              </w:rPr>
              <w:t>Konfidenz-intervall)</w:t>
            </w:r>
          </w:p>
        </w:tc>
        <w:tc>
          <w:tcPr>
            <w:tcW w:w="1559" w:type="dxa"/>
          </w:tcPr>
          <w:p w14:paraId="56CFEE52" w14:textId="77777777" w:rsidR="00FE291A" w:rsidRDefault="00C8738F">
            <w:pPr>
              <w:keepNext/>
              <w:widowControl/>
              <w:suppressAutoHyphens/>
              <w:jc w:val="center"/>
              <w:rPr>
                <w:b/>
                <w:sz w:val="22"/>
                <w:szCs w:val="22"/>
                <w:lang w:val="de-DE"/>
              </w:rPr>
            </w:pPr>
            <w:r>
              <w:rPr>
                <w:b/>
                <w:color w:val="000000"/>
                <w:sz w:val="22"/>
                <w:szCs w:val="22"/>
                <w:lang w:val="de-DE"/>
              </w:rPr>
              <w:t>Adalimumab</w:t>
            </w:r>
            <w:r>
              <w:rPr>
                <w:sz w:val="22"/>
                <w:szCs w:val="22"/>
                <w:lang w:val="de-DE" w:eastAsia="en-GB"/>
              </w:rPr>
              <w:t xml:space="preserve"> </w:t>
            </w:r>
            <w:r>
              <w:rPr>
                <w:b/>
                <w:sz w:val="22"/>
                <w:szCs w:val="22"/>
                <w:lang w:val="de-DE"/>
              </w:rPr>
              <w:t>n </w:t>
            </w:r>
            <w:r>
              <w:rPr>
                <w:b/>
                <w:sz w:val="22"/>
                <w:szCs w:val="22"/>
                <w:lang w:val="de-DE" w:eastAsia="en-GB"/>
              </w:rPr>
              <w:t>=</w:t>
            </w:r>
            <w:r>
              <w:rPr>
                <w:b/>
                <w:sz w:val="22"/>
                <w:szCs w:val="22"/>
                <w:lang w:val="de-DE"/>
              </w:rPr>
              <w:t> 274</w:t>
            </w:r>
          </w:p>
          <w:p w14:paraId="01F6AE8A" w14:textId="77777777" w:rsidR="00FE291A" w:rsidRDefault="00C8738F">
            <w:pPr>
              <w:keepNext/>
              <w:widowControl/>
              <w:suppressAutoHyphens/>
              <w:jc w:val="center"/>
              <w:rPr>
                <w:b/>
                <w:sz w:val="22"/>
                <w:szCs w:val="22"/>
                <w:lang w:val="de-DE"/>
              </w:rPr>
            </w:pPr>
            <w:r>
              <w:rPr>
                <w:b/>
                <w:sz w:val="22"/>
                <w:szCs w:val="22"/>
                <w:lang w:val="de-DE"/>
              </w:rPr>
              <w:t>(95 %</w:t>
            </w:r>
            <w:r>
              <w:rPr>
                <w:b/>
                <w:sz w:val="22"/>
                <w:szCs w:val="22"/>
                <w:lang w:val="de-DE" w:eastAsia="en-GB"/>
              </w:rPr>
              <w:t xml:space="preserve"> </w:t>
            </w:r>
            <w:r>
              <w:rPr>
                <w:b/>
                <w:sz w:val="22"/>
                <w:szCs w:val="22"/>
                <w:lang w:val="de-DE"/>
              </w:rPr>
              <w:t>Konfidenz-intervall)</w:t>
            </w:r>
          </w:p>
        </w:tc>
        <w:tc>
          <w:tcPr>
            <w:tcW w:w="1559" w:type="dxa"/>
          </w:tcPr>
          <w:p w14:paraId="6F928313" w14:textId="77777777" w:rsidR="00FE291A" w:rsidRDefault="00C8738F">
            <w:pPr>
              <w:keepNext/>
              <w:widowControl/>
              <w:suppressAutoHyphens/>
              <w:jc w:val="center"/>
              <w:rPr>
                <w:b/>
                <w:sz w:val="22"/>
                <w:szCs w:val="22"/>
                <w:lang w:val="de-DE"/>
              </w:rPr>
            </w:pPr>
            <w:r>
              <w:rPr>
                <w:b/>
                <w:color w:val="000000"/>
                <w:sz w:val="22"/>
                <w:szCs w:val="22"/>
                <w:lang w:val="de-DE"/>
              </w:rPr>
              <w:t>Adalimumab</w:t>
            </w:r>
            <w:r>
              <w:rPr>
                <w:b/>
                <w:sz w:val="22"/>
                <w:szCs w:val="22"/>
                <w:lang w:val="de-DE"/>
              </w:rPr>
              <w:t>/MTX</w:t>
            </w:r>
          </w:p>
          <w:p w14:paraId="62BB70C8" w14:textId="77777777" w:rsidR="00FE291A" w:rsidRDefault="00C8738F">
            <w:pPr>
              <w:keepNext/>
              <w:widowControl/>
              <w:suppressAutoHyphens/>
              <w:jc w:val="center"/>
              <w:rPr>
                <w:b/>
                <w:sz w:val="22"/>
                <w:szCs w:val="22"/>
                <w:lang w:val="de-DE"/>
              </w:rPr>
            </w:pPr>
            <w:r>
              <w:rPr>
                <w:b/>
                <w:sz w:val="22"/>
                <w:szCs w:val="22"/>
                <w:lang w:val="de-DE"/>
              </w:rPr>
              <w:t>n </w:t>
            </w:r>
            <w:r>
              <w:rPr>
                <w:b/>
                <w:sz w:val="22"/>
                <w:szCs w:val="22"/>
                <w:lang w:val="de-DE" w:eastAsia="en-GB"/>
              </w:rPr>
              <w:t>=</w:t>
            </w:r>
            <w:r>
              <w:rPr>
                <w:b/>
                <w:sz w:val="22"/>
                <w:szCs w:val="22"/>
                <w:lang w:val="de-DE"/>
              </w:rPr>
              <w:t> 268</w:t>
            </w:r>
          </w:p>
          <w:p w14:paraId="4BE28365" w14:textId="77777777" w:rsidR="00FE291A" w:rsidRDefault="00C8738F">
            <w:pPr>
              <w:keepNext/>
              <w:widowControl/>
              <w:suppressAutoHyphens/>
              <w:jc w:val="center"/>
              <w:rPr>
                <w:b/>
                <w:sz w:val="22"/>
                <w:szCs w:val="22"/>
                <w:lang w:val="de-DE"/>
              </w:rPr>
            </w:pPr>
            <w:r>
              <w:rPr>
                <w:b/>
                <w:sz w:val="22"/>
                <w:szCs w:val="22"/>
                <w:lang w:val="de-DE"/>
              </w:rPr>
              <w:t>(95 %</w:t>
            </w:r>
            <w:r>
              <w:rPr>
                <w:b/>
                <w:sz w:val="22"/>
                <w:szCs w:val="22"/>
                <w:lang w:val="de-DE" w:eastAsia="en-GB"/>
              </w:rPr>
              <w:t xml:space="preserve"> </w:t>
            </w:r>
            <w:r>
              <w:rPr>
                <w:b/>
                <w:sz w:val="22"/>
                <w:szCs w:val="22"/>
                <w:lang w:val="de-DE"/>
              </w:rPr>
              <w:t>Konfidenz-intervall)</w:t>
            </w:r>
          </w:p>
        </w:tc>
        <w:tc>
          <w:tcPr>
            <w:tcW w:w="1134" w:type="dxa"/>
          </w:tcPr>
          <w:p w14:paraId="4BD79242" w14:textId="77777777" w:rsidR="00FE291A" w:rsidRDefault="00C8738F">
            <w:pPr>
              <w:keepNext/>
              <w:widowControl/>
              <w:suppressAutoHyphens/>
              <w:jc w:val="center"/>
              <w:rPr>
                <w:b/>
                <w:sz w:val="22"/>
                <w:szCs w:val="22"/>
                <w:lang w:val="de-DE"/>
              </w:rPr>
            </w:pPr>
            <w:r>
              <w:rPr>
                <w:b/>
                <w:sz w:val="22"/>
                <w:szCs w:val="22"/>
                <w:lang w:val="de-DE"/>
              </w:rPr>
              <w:t>p-Wert</w:t>
            </w:r>
            <w:r>
              <w:rPr>
                <w:b/>
                <w:sz w:val="22"/>
                <w:szCs w:val="22"/>
                <w:vertAlign w:val="superscript"/>
                <w:lang w:val="de-DE"/>
              </w:rPr>
              <w:t>a</w:t>
            </w:r>
          </w:p>
        </w:tc>
        <w:tc>
          <w:tcPr>
            <w:tcW w:w="1134" w:type="dxa"/>
          </w:tcPr>
          <w:p w14:paraId="2812BC47" w14:textId="77777777" w:rsidR="00FE291A" w:rsidRDefault="00C8738F">
            <w:pPr>
              <w:keepNext/>
              <w:widowControl/>
              <w:suppressAutoHyphens/>
              <w:jc w:val="center"/>
              <w:rPr>
                <w:b/>
                <w:sz w:val="22"/>
                <w:szCs w:val="22"/>
                <w:lang w:val="de-DE"/>
              </w:rPr>
            </w:pPr>
            <w:r>
              <w:rPr>
                <w:b/>
                <w:sz w:val="22"/>
                <w:szCs w:val="22"/>
                <w:lang w:val="de-DE"/>
              </w:rPr>
              <w:t>p-Wert</w:t>
            </w:r>
            <w:r>
              <w:rPr>
                <w:b/>
                <w:sz w:val="22"/>
                <w:szCs w:val="22"/>
                <w:vertAlign w:val="superscript"/>
                <w:lang w:val="de-DE"/>
              </w:rPr>
              <w:t>b</w:t>
            </w:r>
          </w:p>
        </w:tc>
        <w:tc>
          <w:tcPr>
            <w:tcW w:w="1134" w:type="dxa"/>
          </w:tcPr>
          <w:p w14:paraId="71CDC283" w14:textId="77777777" w:rsidR="00FE291A" w:rsidRDefault="00C8738F">
            <w:pPr>
              <w:keepNext/>
              <w:widowControl/>
              <w:suppressAutoHyphens/>
              <w:jc w:val="center"/>
              <w:rPr>
                <w:b/>
                <w:sz w:val="22"/>
                <w:szCs w:val="22"/>
                <w:lang w:val="de-DE"/>
              </w:rPr>
            </w:pPr>
            <w:r>
              <w:rPr>
                <w:b/>
                <w:sz w:val="22"/>
                <w:szCs w:val="22"/>
                <w:lang w:val="de-DE"/>
              </w:rPr>
              <w:t>p-Wert</w:t>
            </w:r>
            <w:r>
              <w:rPr>
                <w:b/>
                <w:sz w:val="22"/>
                <w:szCs w:val="22"/>
                <w:vertAlign w:val="superscript"/>
                <w:lang w:val="de-DE"/>
              </w:rPr>
              <w:t>c</w:t>
            </w:r>
          </w:p>
        </w:tc>
      </w:tr>
      <w:tr w:rsidR="00FE291A" w14:paraId="1ACC8121" w14:textId="77777777">
        <w:trPr>
          <w:cantSplit/>
        </w:trPr>
        <w:tc>
          <w:tcPr>
            <w:tcW w:w="1276" w:type="dxa"/>
            <w:tcBorders>
              <w:bottom w:val="single" w:sz="4" w:space="0" w:color="auto"/>
            </w:tcBorders>
          </w:tcPr>
          <w:p w14:paraId="4C012B88" w14:textId="77777777" w:rsidR="00FE291A" w:rsidRDefault="00C8738F">
            <w:pPr>
              <w:widowControl/>
              <w:suppressAutoHyphens/>
              <w:rPr>
                <w:i/>
                <w:color w:val="000000"/>
                <w:sz w:val="22"/>
                <w:szCs w:val="22"/>
                <w:lang w:val="de-DE"/>
              </w:rPr>
            </w:pPr>
            <w:r>
              <w:rPr>
                <w:color w:val="000000"/>
                <w:sz w:val="22"/>
                <w:szCs w:val="22"/>
                <w:lang w:val="de-DE"/>
              </w:rPr>
              <w:t>Gesamt-</w:t>
            </w:r>
            <w:r>
              <w:rPr>
                <w:i/>
                <w:color w:val="000000"/>
                <w:sz w:val="22"/>
                <w:szCs w:val="22"/>
                <w:lang w:val="de-DE"/>
              </w:rPr>
              <w:t>Sharp-Score</w:t>
            </w:r>
          </w:p>
        </w:tc>
        <w:tc>
          <w:tcPr>
            <w:tcW w:w="1418" w:type="dxa"/>
            <w:tcBorders>
              <w:bottom w:val="single" w:sz="4" w:space="0" w:color="auto"/>
            </w:tcBorders>
          </w:tcPr>
          <w:p w14:paraId="63EFD872" w14:textId="77777777" w:rsidR="00FE291A" w:rsidRDefault="00C8738F">
            <w:pPr>
              <w:widowControl/>
              <w:suppressAutoHyphens/>
              <w:jc w:val="center"/>
              <w:rPr>
                <w:color w:val="000000"/>
                <w:sz w:val="22"/>
                <w:szCs w:val="22"/>
                <w:lang w:val="de-DE"/>
              </w:rPr>
            </w:pPr>
            <w:r>
              <w:rPr>
                <w:color w:val="000000"/>
                <w:sz w:val="22"/>
                <w:szCs w:val="22"/>
                <w:lang w:val="de-DE"/>
              </w:rPr>
              <w:t>5,7 (4,2-7,3)</w:t>
            </w:r>
          </w:p>
        </w:tc>
        <w:tc>
          <w:tcPr>
            <w:tcW w:w="1559" w:type="dxa"/>
            <w:tcBorders>
              <w:bottom w:val="single" w:sz="4" w:space="0" w:color="auto"/>
            </w:tcBorders>
          </w:tcPr>
          <w:p w14:paraId="034F77AB" w14:textId="77777777" w:rsidR="00FE291A" w:rsidRDefault="00C8738F">
            <w:pPr>
              <w:widowControl/>
              <w:suppressAutoHyphens/>
              <w:jc w:val="center"/>
              <w:rPr>
                <w:color w:val="000000"/>
                <w:sz w:val="22"/>
                <w:szCs w:val="22"/>
                <w:lang w:val="de-DE"/>
              </w:rPr>
            </w:pPr>
            <w:r>
              <w:rPr>
                <w:color w:val="000000"/>
                <w:sz w:val="22"/>
                <w:szCs w:val="22"/>
                <w:lang w:val="de-DE"/>
              </w:rPr>
              <w:t>3,0 (1,7-4,3)</w:t>
            </w:r>
          </w:p>
        </w:tc>
        <w:tc>
          <w:tcPr>
            <w:tcW w:w="1559" w:type="dxa"/>
            <w:tcBorders>
              <w:bottom w:val="single" w:sz="4" w:space="0" w:color="auto"/>
            </w:tcBorders>
          </w:tcPr>
          <w:p w14:paraId="1AAE7DF7" w14:textId="77777777" w:rsidR="00FE291A" w:rsidRDefault="00C8738F">
            <w:pPr>
              <w:widowControl/>
              <w:suppressAutoHyphens/>
              <w:jc w:val="center"/>
              <w:rPr>
                <w:color w:val="000000"/>
                <w:sz w:val="22"/>
                <w:szCs w:val="22"/>
                <w:lang w:val="de-DE"/>
              </w:rPr>
            </w:pPr>
            <w:r>
              <w:rPr>
                <w:color w:val="000000"/>
                <w:sz w:val="22"/>
                <w:szCs w:val="22"/>
                <w:lang w:val="de-DE"/>
              </w:rPr>
              <w:t>1,3 (0,5-2,1)</w:t>
            </w:r>
          </w:p>
        </w:tc>
        <w:tc>
          <w:tcPr>
            <w:tcW w:w="1134" w:type="dxa"/>
            <w:tcBorders>
              <w:bottom w:val="single" w:sz="4" w:space="0" w:color="auto"/>
            </w:tcBorders>
          </w:tcPr>
          <w:p w14:paraId="332331F8" w14:textId="77777777" w:rsidR="00FE291A" w:rsidRDefault="00C8738F">
            <w:pPr>
              <w:widowControl/>
              <w:suppressAutoHyphens/>
              <w:jc w:val="center"/>
              <w:rPr>
                <w:color w:val="000000"/>
                <w:sz w:val="22"/>
                <w:szCs w:val="22"/>
                <w:lang w:val="de-DE"/>
              </w:rPr>
            </w:pPr>
            <w:r>
              <w:rPr>
                <w:color w:val="000000"/>
                <w:sz w:val="22"/>
                <w:szCs w:val="22"/>
                <w:lang w:val="de-DE"/>
              </w:rPr>
              <w:t>&lt;</w:t>
            </w:r>
            <w:r>
              <w:rPr>
                <w:sz w:val="22"/>
                <w:szCs w:val="22"/>
                <w:lang w:val="de-DE"/>
              </w:rPr>
              <w:t> </w:t>
            </w:r>
            <w:r>
              <w:rPr>
                <w:color w:val="000000"/>
                <w:sz w:val="22"/>
                <w:szCs w:val="22"/>
                <w:lang w:val="de-DE"/>
              </w:rPr>
              <w:t>0,001</w:t>
            </w:r>
          </w:p>
        </w:tc>
        <w:tc>
          <w:tcPr>
            <w:tcW w:w="1134" w:type="dxa"/>
            <w:tcBorders>
              <w:bottom w:val="single" w:sz="4" w:space="0" w:color="auto"/>
            </w:tcBorders>
          </w:tcPr>
          <w:p w14:paraId="6840BB47" w14:textId="77777777" w:rsidR="00FE291A" w:rsidRDefault="00C8738F">
            <w:pPr>
              <w:widowControl/>
              <w:suppressAutoHyphens/>
              <w:jc w:val="center"/>
              <w:rPr>
                <w:color w:val="000000"/>
                <w:sz w:val="22"/>
                <w:szCs w:val="22"/>
                <w:lang w:val="de-DE"/>
              </w:rPr>
            </w:pPr>
            <w:r>
              <w:rPr>
                <w:color w:val="000000"/>
                <w:sz w:val="22"/>
                <w:szCs w:val="22"/>
                <w:lang w:val="de-DE"/>
              </w:rPr>
              <w:t>0,0020</w:t>
            </w:r>
          </w:p>
        </w:tc>
        <w:tc>
          <w:tcPr>
            <w:tcW w:w="1134" w:type="dxa"/>
            <w:tcBorders>
              <w:bottom w:val="single" w:sz="4" w:space="0" w:color="auto"/>
            </w:tcBorders>
          </w:tcPr>
          <w:p w14:paraId="165D77E0" w14:textId="77777777" w:rsidR="00FE291A" w:rsidRDefault="00C8738F">
            <w:pPr>
              <w:widowControl/>
              <w:suppressAutoHyphens/>
              <w:jc w:val="center"/>
              <w:rPr>
                <w:color w:val="000000"/>
                <w:sz w:val="22"/>
                <w:szCs w:val="22"/>
                <w:lang w:val="de-DE"/>
              </w:rPr>
            </w:pPr>
            <w:r>
              <w:rPr>
                <w:color w:val="000000"/>
                <w:sz w:val="22"/>
                <w:szCs w:val="22"/>
                <w:lang w:val="de-DE"/>
              </w:rPr>
              <w:t>&lt;</w:t>
            </w:r>
            <w:r>
              <w:rPr>
                <w:sz w:val="22"/>
                <w:szCs w:val="22"/>
                <w:lang w:val="de-DE"/>
              </w:rPr>
              <w:t> </w:t>
            </w:r>
            <w:r>
              <w:rPr>
                <w:color w:val="000000"/>
                <w:sz w:val="22"/>
                <w:szCs w:val="22"/>
                <w:lang w:val="de-DE"/>
              </w:rPr>
              <w:t>0,001</w:t>
            </w:r>
          </w:p>
        </w:tc>
      </w:tr>
      <w:tr w:rsidR="00FE291A" w14:paraId="4B7C5F17" w14:textId="77777777">
        <w:trPr>
          <w:cantSplit/>
        </w:trPr>
        <w:tc>
          <w:tcPr>
            <w:tcW w:w="1276" w:type="dxa"/>
            <w:tcBorders>
              <w:bottom w:val="single" w:sz="4" w:space="0" w:color="auto"/>
            </w:tcBorders>
          </w:tcPr>
          <w:p w14:paraId="32827DAB" w14:textId="77777777" w:rsidR="00FE291A" w:rsidRDefault="00C8738F">
            <w:pPr>
              <w:widowControl/>
              <w:suppressAutoHyphens/>
              <w:rPr>
                <w:i/>
                <w:color w:val="000000"/>
                <w:sz w:val="22"/>
                <w:szCs w:val="22"/>
                <w:lang w:val="de-DE"/>
              </w:rPr>
            </w:pPr>
            <w:r>
              <w:rPr>
                <w:i/>
                <w:color w:val="000000"/>
                <w:sz w:val="22"/>
                <w:szCs w:val="22"/>
                <w:lang w:val="de-DE"/>
              </w:rPr>
              <w:t>Erosion Score</w:t>
            </w:r>
          </w:p>
        </w:tc>
        <w:tc>
          <w:tcPr>
            <w:tcW w:w="1418" w:type="dxa"/>
            <w:tcBorders>
              <w:bottom w:val="single" w:sz="4" w:space="0" w:color="auto"/>
            </w:tcBorders>
          </w:tcPr>
          <w:p w14:paraId="531BE92E" w14:textId="77777777" w:rsidR="00FE291A" w:rsidRDefault="00C8738F">
            <w:pPr>
              <w:widowControl/>
              <w:suppressAutoHyphens/>
              <w:jc w:val="center"/>
              <w:rPr>
                <w:color w:val="000000"/>
                <w:sz w:val="22"/>
                <w:szCs w:val="22"/>
                <w:lang w:val="de-DE"/>
              </w:rPr>
            </w:pPr>
            <w:r>
              <w:rPr>
                <w:color w:val="000000"/>
                <w:sz w:val="22"/>
                <w:szCs w:val="22"/>
                <w:lang w:val="de-DE"/>
              </w:rPr>
              <w:t>3,7 (2,7-4,7)</w:t>
            </w:r>
          </w:p>
        </w:tc>
        <w:tc>
          <w:tcPr>
            <w:tcW w:w="1559" w:type="dxa"/>
            <w:tcBorders>
              <w:bottom w:val="single" w:sz="4" w:space="0" w:color="auto"/>
            </w:tcBorders>
          </w:tcPr>
          <w:p w14:paraId="70CD5E4D" w14:textId="77777777" w:rsidR="00FE291A" w:rsidRDefault="00C8738F">
            <w:pPr>
              <w:widowControl/>
              <w:suppressAutoHyphens/>
              <w:jc w:val="center"/>
              <w:rPr>
                <w:color w:val="000000"/>
                <w:sz w:val="22"/>
                <w:szCs w:val="22"/>
                <w:lang w:val="de-DE"/>
              </w:rPr>
            </w:pPr>
            <w:r>
              <w:rPr>
                <w:color w:val="000000"/>
                <w:sz w:val="22"/>
                <w:szCs w:val="22"/>
                <w:lang w:val="de-DE"/>
              </w:rPr>
              <w:t>1,7 (1,0-2,4)</w:t>
            </w:r>
          </w:p>
        </w:tc>
        <w:tc>
          <w:tcPr>
            <w:tcW w:w="1559" w:type="dxa"/>
            <w:tcBorders>
              <w:bottom w:val="single" w:sz="4" w:space="0" w:color="auto"/>
            </w:tcBorders>
          </w:tcPr>
          <w:p w14:paraId="11A7B2F3" w14:textId="77777777" w:rsidR="00FE291A" w:rsidRDefault="00C8738F">
            <w:pPr>
              <w:widowControl/>
              <w:suppressAutoHyphens/>
              <w:jc w:val="center"/>
              <w:rPr>
                <w:color w:val="000000"/>
                <w:sz w:val="22"/>
                <w:szCs w:val="22"/>
                <w:lang w:val="de-DE"/>
              </w:rPr>
            </w:pPr>
            <w:r>
              <w:rPr>
                <w:color w:val="000000"/>
                <w:sz w:val="22"/>
                <w:szCs w:val="22"/>
                <w:lang w:val="de-DE"/>
              </w:rPr>
              <w:t>0,8 (0,4-1,2)</w:t>
            </w:r>
          </w:p>
        </w:tc>
        <w:tc>
          <w:tcPr>
            <w:tcW w:w="1134" w:type="dxa"/>
            <w:tcBorders>
              <w:bottom w:val="single" w:sz="4" w:space="0" w:color="auto"/>
            </w:tcBorders>
          </w:tcPr>
          <w:p w14:paraId="6988DB3B" w14:textId="77777777" w:rsidR="00FE291A" w:rsidRDefault="00C8738F">
            <w:pPr>
              <w:widowControl/>
              <w:suppressAutoHyphens/>
              <w:jc w:val="center"/>
              <w:rPr>
                <w:color w:val="000000"/>
                <w:sz w:val="22"/>
                <w:szCs w:val="22"/>
                <w:lang w:val="de-DE"/>
              </w:rPr>
            </w:pPr>
            <w:r>
              <w:rPr>
                <w:color w:val="000000"/>
                <w:sz w:val="22"/>
                <w:szCs w:val="22"/>
                <w:lang w:val="de-DE"/>
              </w:rPr>
              <w:t>&lt;</w:t>
            </w:r>
            <w:r>
              <w:rPr>
                <w:sz w:val="22"/>
                <w:szCs w:val="22"/>
                <w:lang w:val="de-DE"/>
              </w:rPr>
              <w:t> </w:t>
            </w:r>
            <w:r>
              <w:rPr>
                <w:color w:val="000000"/>
                <w:sz w:val="22"/>
                <w:szCs w:val="22"/>
                <w:lang w:val="de-DE"/>
              </w:rPr>
              <w:t>0,001</w:t>
            </w:r>
          </w:p>
        </w:tc>
        <w:tc>
          <w:tcPr>
            <w:tcW w:w="1134" w:type="dxa"/>
            <w:tcBorders>
              <w:bottom w:val="single" w:sz="4" w:space="0" w:color="auto"/>
            </w:tcBorders>
          </w:tcPr>
          <w:p w14:paraId="424F6729" w14:textId="77777777" w:rsidR="00FE291A" w:rsidRDefault="00C8738F">
            <w:pPr>
              <w:widowControl/>
              <w:suppressAutoHyphens/>
              <w:jc w:val="center"/>
              <w:rPr>
                <w:color w:val="000000"/>
                <w:sz w:val="22"/>
                <w:szCs w:val="22"/>
                <w:lang w:val="de-DE"/>
              </w:rPr>
            </w:pPr>
            <w:r>
              <w:rPr>
                <w:color w:val="000000"/>
                <w:sz w:val="22"/>
                <w:szCs w:val="22"/>
                <w:lang w:val="de-DE"/>
              </w:rPr>
              <w:t>0,0082</w:t>
            </w:r>
          </w:p>
        </w:tc>
        <w:tc>
          <w:tcPr>
            <w:tcW w:w="1134" w:type="dxa"/>
            <w:tcBorders>
              <w:bottom w:val="single" w:sz="4" w:space="0" w:color="auto"/>
            </w:tcBorders>
          </w:tcPr>
          <w:p w14:paraId="7B356BFA" w14:textId="77777777" w:rsidR="00FE291A" w:rsidRDefault="00C8738F">
            <w:pPr>
              <w:widowControl/>
              <w:suppressAutoHyphens/>
              <w:jc w:val="center"/>
              <w:rPr>
                <w:color w:val="000000"/>
                <w:sz w:val="22"/>
                <w:szCs w:val="22"/>
                <w:lang w:val="de-DE"/>
              </w:rPr>
            </w:pPr>
            <w:r>
              <w:rPr>
                <w:color w:val="000000"/>
                <w:sz w:val="22"/>
                <w:szCs w:val="22"/>
                <w:lang w:val="de-DE"/>
              </w:rPr>
              <w:t>&lt;</w:t>
            </w:r>
            <w:r>
              <w:rPr>
                <w:sz w:val="22"/>
                <w:szCs w:val="22"/>
                <w:lang w:val="de-DE"/>
              </w:rPr>
              <w:t> </w:t>
            </w:r>
            <w:r>
              <w:rPr>
                <w:color w:val="000000"/>
                <w:sz w:val="22"/>
                <w:szCs w:val="22"/>
                <w:lang w:val="de-DE"/>
              </w:rPr>
              <w:t>0,001</w:t>
            </w:r>
          </w:p>
        </w:tc>
      </w:tr>
      <w:tr w:rsidR="00FE291A" w14:paraId="069D118D" w14:textId="77777777">
        <w:trPr>
          <w:cantSplit/>
        </w:trPr>
        <w:tc>
          <w:tcPr>
            <w:tcW w:w="1276" w:type="dxa"/>
            <w:tcBorders>
              <w:top w:val="single" w:sz="4" w:space="0" w:color="auto"/>
              <w:left w:val="single" w:sz="4" w:space="0" w:color="auto"/>
              <w:bottom w:val="single" w:sz="4" w:space="0" w:color="auto"/>
              <w:right w:val="single" w:sz="4" w:space="0" w:color="auto"/>
            </w:tcBorders>
          </w:tcPr>
          <w:p w14:paraId="7D58C633" w14:textId="77777777" w:rsidR="00FE291A" w:rsidRDefault="00C8738F">
            <w:pPr>
              <w:keepNext/>
              <w:widowControl/>
              <w:suppressAutoHyphens/>
              <w:rPr>
                <w:i/>
                <w:color w:val="000000"/>
                <w:sz w:val="22"/>
                <w:szCs w:val="22"/>
                <w:lang w:val="de-DE"/>
              </w:rPr>
            </w:pPr>
            <w:r>
              <w:rPr>
                <w:i/>
                <w:color w:val="000000"/>
                <w:sz w:val="22"/>
                <w:szCs w:val="22"/>
                <w:lang w:val="de-DE"/>
              </w:rPr>
              <w:t>JSN Score</w:t>
            </w:r>
          </w:p>
        </w:tc>
        <w:tc>
          <w:tcPr>
            <w:tcW w:w="1418" w:type="dxa"/>
            <w:tcBorders>
              <w:top w:val="single" w:sz="4" w:space="0" w:color="auto"/>
              <w:left w:val="single" w:sz="4" w:space="0" w:color="auto"/>
              <w:bottom w:val="single" w:sz="4" w:space="0" w:color="auto"/>
              <w:right w:val="single" w:sz="4" w:space="0" w:color="auto"/>
            </w:tcBorders>
          </w:tcPr>
          <w:p w14:paraId="51B8925B" w14:textId="77777777" w:rsidR="00FE291A" w:rsidRDefault="00C8738F">
            <w:pPr>
              <w:keepNext/>
              <w:widowControl/>
              <w:suppressAutoHyphens/>
              <w:jc w:val="center"/>
              <w:rPr>
                <w:color w:val="000000"/>
                <w:sz w:val="22"/>
                <w:szCs w:val="22"/>
                <w:lang w:val="de-DE"/>
              </w:rPr>
            </w:pPr>
            <w:r>
              <w:rPr>
                <w:color w:val="000000"/>
                <w:sz w:val="22"/>
                <w:szCs w:val="22"/>
                <w:lang w:val="de-DE"/>
              </w:rPr>
              <w:t>2,0 (1,2-2,8)</w:t>
            </w:r>
          </w:p>
        </w:tc>
        <w:tc>
          <w:tcPr>
            <w:tcW w:w="1559" w:type="dxa"/>
            <w:tcBorders>
              <w:top w:val="single" w:sz="4" w:space="0" w:color="auto"/>
              <w:left w:val="single" w:sz="4" w:space="0" w:color="auto"/>
              <w:bottom w:val="single" w:sz="4" w:space="0" w:color="auto"/>
              <w:right w:val="single" w:sz="4" w:space="0" w:color="auto"/>
            </w:tcBorders>
          </w:tcPr>
          <w:p w14:paraId="30D38267" w14:textId="77777777" w:rsidR="00FE291A" w:rsidRDefault="00C8738F">
            <w:pPr>
              <w:keepNext/>
              <w:widowControl/>
              <w:suppressAutoHyphens/>
              <w:jc w:val="center"/>
              <w:rPr>
                <w:color w:val="000000"/>
                <w:sz w:val="22"/>
                <w:szCs w:val="22"/>
                <w:lang w:val="de-DE"/>
              </w:rPr>
            </w:pPr>
            <w:r>
              <w:rPr>
                <w:color w:val="000000"/>
                <w:sz w:val="22"/>
                <w:szCs w:val="22"/>
                <w:lang w:val="de-DE"/>
              </w:rPr>
              <w:t>1,3 (0,5-2,1)</w:t>
            </w:r>
          </w:p>
        </w:tc>
        <w:tc>
          <w:tcPr>
            <w:tcW w:w="1559" w:type="dxa"/>
            <w:tcBorders>
              <w:top w:val="single" w:sz="4" w:space="0" w:color="auto"/>
              <w:left w:val="single" w:sz="4" w:space="0" w:color="auto"/>
              <w:bottom w:val="single" w:sz="4" w:space="0" w:color="auto"/>
              <w:right w:val="single" w:sz="4" w:space="0" w:color="auto"/>
            </w:tcBorders>
          </w:tcPr>
          <w:p w14:paraId="3D3E7EFD" w14:textId="77777777" w:rsidR="00FE291A" w:rsidRDefault="00C8738F">
            <w:pPr>
              <w:keepNext/>
              <w:widowControl/>
              <w:suppressAutoHyphens/>
              <w:jc w:val="center"/>
              <w:rPr>
                <w:color w:val="000000"/>
                <w:sz w:val="22"/>
                <w:szCs w:val="22"/>
                <w:lang w:val="de-DE"/>
              </w:rPr>
            </w:pPr>
            <w:r>
              <w:rPr>
                <w:color w:val="000000"/>
                <w:sz w:val="22"/>
                <w:szCs w:val="22"/>
                <w:lang w:val="de-DE"/>
              </w:rPr>
              <w:t>0,5 (0-1,0)</w:t>
            </w:r>
          </w:p>
        </w:tc>
        <w:tc>
          <w:tcPr>
            <w:tcW w:w="1134" w:type="dxa"/>
            <w:tcBorders>
              <w:top w:val="single" w:sz="4" w:space="0" w:color="auto"/>
              <w:left w:val="single" w:sz="4" w:space="0" w:color="auto"/>
              <w:bottom w:val="single" w:sz="4" w:space="0" w:color="auto"/>
              <w:right w:val="single" w:sz="4" w:space="0" w:color="auto"/>
            </w:tcBorders>
          </w:tcPr>
          <w:p w14:paraId="219A7406" w14:textId="77777777" w:rsidR="00FE291A" w:rsidRDefault="00C8738F">
            <w:pPr>
              <w:keepNext/>
              <w:widowControl/>
              <w:suppressAutoHyphens/>
              <w:jc w:val="center"/>
              <w:rPr>
                <w:color w:val="000000"/>
                <w:sz w:val="22"/>
                <w:szCs w:val="22"/>
                <w:lang w:val="de-DE"/>
              </w:rPr>
            </w:pPr>
            <w:r>
              <w:rPr>
                <w:color w:val="000000"/>
                <w:sz w:val="22"/>
                <w:szCs w:val="22"/>
                <w:lang w:val="de-DE"/>
              </w:rPr>
              <w:t>&lt;</w:t>
            </w:r>
            <w:r>
              <w:rPr>
                <w:sz w:val="22"/>
                <w:szCs w:val="22"/>
                <w:lang w:val="de-DE"/>
              </w:rPr>
              <w:t> </w:t>
            </w:r>
            <w:r>
              <w:rPr>
                <w:color w:val="000000"/>
                <w:sz w:val="22"/>
                <w:szCs w:val="22"/>
                <w:lang w:val="de-DE"/>
              </w:rPr>
              <w:t>0,001</w:t>
            </w:r>
          </w:p>
        </w:tc>
        <w:tc>
          <w:tcPr>
            <w:tcW w:w="1134" w:type="dxa"/>
            <w:tcBorders>
              <w:top w:val="single" w:sz="4" w:space="0" w:color="auto"/>
              <w:left w:val="single" w:sz="4" w:space="0" w:color="auto"/>
              <w:bottom w:val="single" w:sz="4" w:space="0" w:color="auto"/>
              <w:right w:val="single" w:sz="4" w:space="0" w:color="auto"/>
            </w:tcBorders>
          </w:tcPr>
          <w:p w14:paraId="3D61C1ED" w14:textId="77777777" w:rsidR="00FE291A" w:rsidRDefault="00C8738F">
            <w:pPr>
              <w:keepNext/>
              <w:widowControl/>
              <w:suppressAutoHyphens/>
              <w:jc w:val="center"/>
              <w:rPr>
                <w:color w:val="000000"/>
                <w:sz w:val="22"/>
                <w:szCs w:val="22"/>
                <w:lang w:val="de-DE"/>
              </w:rPr>
            </w:pPr>
            <w:r>
              <w:rPr>
                <w:color w:val="000000"/>
                <w:sz w:val="22"/>
                <w:szCs w:val="22"/>
                <w:lang w:val="de-DE"/>
              </w:rPr>
              <w:t>0,0037</w:t>
            </w:r>
          </w:p>
        </w:tc>
        <w:tc>
          <w:tcPr>
            <w:tcW w:w="1134" w:type="dxa"/>
            <w:tcBorders>
              <w:top w:val="single" w:sz="4" w:space="0" w:color="auto"/>
              <w:left w:val="single" w:sz="4" w:space="0" w:color="auto"/>
              <w:bottom w:val="single" w:sz="4" w:space="0" w:color="auto"/>
              <w:right w:val="single" w:sz="4" w:space="0" w:color="auto"/>
            </w:tcBorders>
          </w:tcPr>
          <w:p w14:paraId="6A598054" w14:textId="77777777" w:rsidR="00FE291A" w:rsidRDefault="00C8738F">
            <w:pPr>
              <w:keepNext/>
              <w:widowControl/>
              <w:suppressAutoHyphens/>
              <w:jc w:val="center"/>
              <w:rPr>
                <w:color w:val="000000"/>
                <w:sz w:val="22"/>
                <w:szCs w:val="22"/>
                <w:lang w:val="de-DE"/>
              </w:rPr>
            </w:pPr>
            <w:r>
              <w:rPr>
                <w:color w:val="000000"/>
                <w:sz w:val="22"/>
                <w:szCs w:val="22"/>
                <w:lang w:val="de-DE"/>
              </w:rPr>
              <w:t>0,151</w:t>
            </w:r>
          </w:p>
        </w:tc>
      </w:tr>
      <w:tr w:rsidR="00FE291A" w:rsidRPr="002E6CD3" w14:paraId="645DD674" w14:textId="77777777">
        <w:trPr>
          <w:cantSplit/>
        </w:trPr>
        <w:tc>
          <w:tcPr>
            <w:tcW w:w="9214" w:type="dxa"/>
            <w:gridSpan w:val="7"/>
            <w:tcBorders>
              <w:top w:val="nil"/>
              <w:left w:val="nil"/>
              <w:bottom w:val="nil"/>
              <w:right w:val="nil"/>
            </w:tcBorders>
          </w:tcPr>
          <w:p w14:paraId="52B70B70" w14:textId="77777777" w:rsidR="00FE291A" w:rsidRDefault="00C8738F">
            <w:pPr>
              <w:widowControl/>
              <w:suppressAutoHyphens/>
              <w:rPr>
                <w:sz w:val="20"/>
                <w:szCs w:val="22"/>
                <w:lang w:val="de-DE" w:eastAsia="en-GB"/>
              </w:rPr>
            </w:pPr>
            <w:r>
              <w:rPr>
                <w:sz w:val="20"/>
                <w:szCs w:val="22"/>
                <w:vertAlign w:val="superscript"/>
                <w:lang w:val="de-DE" w:eastAsia="en-GB"/>
              </w:rPr>
              <w:t>a</w:t>
            </w:r>
            <w:r>
              <w:rPr>
                <w:sz w:val="20"/>
                <w:szCs w:val="22"/>
                <w:lang w:val="de-DE" w:eastAsia="en-GB"/>
              </w:rPr>
              <w:t xml:space="preserve"> Der p-Wert resultiert aus dem paarweisen Vergleich der Methotrexat-Monotherapie und der Adalimumab/Methotrexat-Kombinationstherapie unter Anwendung des Mann-Whitney-U-Tests.</w:t>
            </w:r>
          </w:p>
          <w:p w14:paraId="533EB0E3" w14:textId="77777777" w:rsidR="00FE291A" w:rsidRDefault="00C8738F">
            <w:pPr>
              <w:keepNext/>
              <w:widowControl/>
              <w:suppressAutoHyphens/>
              <w:rPr>
                <w:sz w:val="20"/>
                <w:szCs w:val="22"/>
                <w:lang w:val="de-DE" w:eastAsia="en-GB"/>
              </w:rPr>
            </w:pPr>
            <w:r>
              <w:rPr>
                <w:sz w:val="20"/>
                <w:szCs w:val="22"/>
                <w:vertAlign w:val="superscript"/>
                <w:lang w:val="de-DE" w:eastAsia="en-GB"/>
              </w:rPr>
              <w:t>b</w:t>
            </w:r>
            <w:r>
              <w:rPr>
                <w:sz w:val="20"/>
                <w:szCs w:val="22"/>
                <w:lang w:val="de-DE" w:eastAsia="en-GB"/>
              </w:rPr>
              <w:t xml:space="preserve"> Der p-Wert resultiert aus dem paarweisen Vergleich der Adalimumab-Monotherapie und der Adalimumab/Methotrexat-Kombinationstherapie unter Anwendung des Mann-Whitney-U-Tests.</w:t>
            </w:r>
          </w:p>
          <w:p w14:paraId="2714CF34" w14:textId="77777777" w:rsidR="00FE291A" w:rsidRDefault="00C8738F">
            <w:pPr>
              <w:widowControl/>
              <w:suppressAutoHyphens/>
              <w:rPr>
                <w:sz w:val="22"/>
                <w:szCs w:val="22"/>
                <w:lang w:val="de-DE" w:eastAsia="en-GB"/>
              </w:rPr>
            </w:pPr>
            <w:r>
              <w:rPr>
                <w:sz w:val="20"/>
                <w:szCs w:val="22"/>
                <w:vertAlign w:val="superscript"/>
                <w:lang w:val="de-DE" w:eastAsia="en-GB"/>
              </w:rPr>
              <w:t>c</w:t>
            </w:r>
            <w:r>
              <w:rPr>
                <w:sz w:val="20"/>
                <w:szCs w:val="22"/>
                <w:lang w:val="de-DE" w:eastAsia="en-GB"/>
              </w:rPr>
              <w:t xml:space="preserve"> Der p-Wert resultiert aus dem paarweisen Vergleich der Adalimumab-Monotherapie und der Methotrexat-Monotherapie unter Anwendung des Mann-Whitney-U-Tests.</w:t>
            </w:r>
          </w:p>
        </w:tc>
      </w:tr>
    </w:tbl>
    <w:p w14:paraId="7EF914CD" w14:textId="77777777" w:rsidR="00FE291A" w:rsidRDefault="00FE291A">
      <w:pPr>
        <w:pStyle w:val="BodyText"/>
        <w:widowControl/>
        <w:tabs>
          <w:tab w:val="left" w:pos="657"/>
        </w:tabs>
        <w:kinsoku w:val="0"/>
        <w:overflowPunct w:val="0"/>
        <w:ind w:left="0"/>
        <w:rPr>
          <w:lang w:val="de-DE"/>
        </w:rPr>
      </w:pPr>
    </w:p>
    <w:p w14:paraId="349FF58F" w14:textId="77777777" w:rsidR="00FE291A" w:rsidRDefault="00C8738F">
      <w:pPr>
        <w:pStyle w:val="BodyText"/>
        <w:widowControl/>
        <w:kinsoku w:val="0"/>
        <w:overflowPunct w:val="0"/>
        <w:ind w:left="0"/>
        <w:rPr>
          <w:lang w:val="de-DE"/>
        </w:rPr>
      </w:pPr>
      <w:r>
        <w:rPr>
          <w:lang w:val="de-DE"/>
        </w:rPr>
        <w:t>Der prozentuale Anteil der Patienten ohne radiologische Progression (Veränderung des modifizierten Gesamt-</w:t>
      </w:r>
      <w:r>
        <w:rPr>
          <w:i/>
          <w:iCs/>
          <w:lang w:val="de-DE"/>
        </w:rPr>
        <w:t xml:space="preserve">Sharp-Scores </w:t>
      </w:r>
      <w:r>
        <w:rPr>
          <w:lang w:val="de-DE"/>
        </w:rPr>
        <w:t>gegenüber dem Ausgangswert ≤ 0,5) war nach 52 bzw. 104 Behandlungswochen unter der Kombinationstherapie mit Adalimumab und Methotrexat (63,8 % bzw. 61,2 %) signifikant höher als unter der Methotrexat-Monotherapie (37,4 % bzw. 33,5 %; p &lt; 0,001) und der Adalimumab-Monotherapie (50,7 %; p &lt; 0,002 bzw. 44,5 %; p &lt; 0,001).</w:t>
      </w:r>
    </w:p>
    <w:p w14:paraId="779C36CD" w14:textId="77777777" w:rsidR="00FE291A" w:rsidRDefault="00FE291A">
      <w:pPr>
        <w:widowControl/>
        <w:kinsoku w:val="0"/>
        <w:overflowPunct w:val="0"/>
        <w:rPr>
          <w:sz w:val="22"/>
          <w:szCs w:val="22"/>
          <w:lang w:val="de-DE"/>
        </w:rPr>
      </w:pPr>
    </w:p>
    <w:p w14:paraId="3EEF5E18" w14:textId="77777777" w:rsidR="00FE291A" w:rsidRDefault="00C8738F">
      <w:pPr>
        <w:pStyle w:val="BodyText"/>
        <w:widowControl/>
        <w:kinsoku w:val="0"/>
        <w:overflowPunct w:val="0"/>
        <w:ind w:left="0"/>
        <w:rPr>
          <w:lang w:val="de-DE"/>
        </w:rPr>
      </w:pPr>
      <w:r>
        <w:rPr>
          <w:lang w:val="de-DE"/>
        </w:rPr>
        <w:t xml:space="preserve">In der offenen Fortsetzungsphase der RA-Studie V betrug die mittlere Veränderung gegenüber </w:t>
      </w:r>
      <w:r>
        <w:rPr>
          <w:i/>
          <w:iCs/>
          <w:lang w:val="de-DE"/>
        </w:rPr>
        <w:t>Baseline</w:t>
      </w:r>
      <w:r>
        <w:rPr>
          <w:lang w:val="de-DE"/>
        </w:rPr>
        <w:t xml:space="preserve"> nach 10 Jahren beim modifizierten </w:t>
      </w:r>
      <w:r>
        <w:rPr>
          <w:iCs/>
          <w:lang w:val="de-DE"/>
        </w:rPr>
        <w:t>Gesamt-</w:t>
      </w:r>
      <w:r>
        <w:rPr>
          <w:i/>
          <w:lang w:val="de-DE"/>
        </w:rPr>
        <w:t>Sharp-Score</w:t>
      </w:r>
      <w:r>
        <w:rPr>
          <w:lang w:val="de-DE"/>
        </w:rPr>
        <w:t xml:space="preserve"> 10,8 bei Patienten, die ursprünglich in die Gruppe unter Methotrexat-Monotherapie randomisiert worden waren, 9,2 bei Patienten unter Adalimumab-Monotherapie und 3,9 bei Patienten unter Kombinationstherapie aus Adalimumab und Methotrexat. Die entsprechenden Anteile der Patienten ohne röntgenologisch nachweisbare Progression waren 31,3 %, 23,7 % und 36,7 %.</w:t>
      </w:r>
    </w:p>
    <w:p w14:paraId="7FF98FDD" w14:textId="77777777" w:rsidR="00FE291A" w:rsidRDefault="00FE291A">
      <w:pPr>
        <w:widowControl/>
        <w:kinsoku w:val="0"/>
        <w:overflowPunct w:val="0"/>
        <w:rPr>
          <w:sz w:val="22"/>
          <w:szCs w:val="22"/>
          <w:lang w:val="de-DE"/>
        </w:rPr>
      </w:pPr>
    </w:p>
    <w:p w14:paraId="241106A0" w14:textId="77777777" w:rsidR="00FE291A" w:rsidRDefault="00C8738F">
      <w:pPr>
        <w:keepNext/>
        <w:widowControl/>
        <w:kinsoku w:val="0"/>
        <w:overflowPunct w:val="0"/>
        <w:rPr>
          <w:sz w:val="22"/>
          <w:szCs w:val="22"/>
          <w:lang w:val="de-DE"/>
        </w:rPr>
      </w:pPr>
      <w:r>
        <w:rPr>
          <w:i/>
          <w:iCs/>
          <w:sz w:val="22"/>
          <w:szCs w:val="22"/>
          <w:u w:val="single"/>
          <w:lang w:val="de-DE"/>
        </w:rPr>
        <w:t>Lebensqualität und körperliche Funktionsfähigkeit</w:t>
      </w:r>
    </w:p>
    <w:p w14:paraId="3C37ECFC" w14:textId="77777777" w:rsidR="00FE291A" w:rsidRDefault="00FE291A">
      <w:pPr>
        <w:keepNext/>
        <w:widowControl/>
        <w:kinsoku w:val="0"/>
        <w:overflowPunct w:val="0"/>
        <w:rPr>
          <w:sz w:val="22"/>
          <w:szCs w:val="22"/>
          <w:lang w:val="de-DE"/>
        </w:rPr>
      </w:pPr>
    </w:p>
    <w:p w14:paraId="488B569D" w14:textId="77777777" w:rsidR="00FE291A" w:rsidRDefault="00C8738F">
      <w:pPr>
        <w:pStyle w:val="BodyText"/>
        <w:widowControl/>
        <w:kinsoku w:val="0"/>
        <w:overflowPunct w:val="0"/>
        <w:ind w:left="0"/>
        <w:rPr>
          <w:lang w:val="de-DE"/>
        </w:rPr>
      </w:pPr>
      <w:r>
        <w:rPr>
          <w:lang w:val="de-DE"/>
        </w:rPr>
        <w:t>In den vier ursprünglichen, gut kontrollierten Studien wurden die gesundheitsbezogene Lebensqualität und die körperliche Funktionsfähigkeit anhand des Index zur körperlichen Funktionseinschränkung (</w:t>
      </w:r>
      <w:r>
        <w:rPr>
          <w:i/>
          <w:iCs/>
          <w:lang w:val="de-DE"/>
        </w:rPr>
        <w:t>Health Assessment Questionnaire</w:t>
      </w:r>
      <w:r>
        <w:rPr>
          <w:lang w:val="de-DE"/>
        </w:rPr>
        <w:t xml:space="preserve">, HAQ) bewertet. In der RA-Studie III bildete die gesundheitsbezogene Lebensqualität nach 52 Wochen einen vor Studienbeginn festgelegten, primären Endpunkt. Vom Studienbeginn bis Monat 6 zeigte sich in allen vier Studien und bei allen Dosen/Behandlungsschemen von Adalimumab eine im Vergleich zu Placebo statistisch signifikant größere Verbesserung der körperlichen Funktionseinschränkung (HAQ). In der RA-Studie III wurde nach 52 Wochen dasselbe beobachtet. Die in den vier Studien für alle Dosen/Behandlungsschemen von Adalimumab gefundenen Ergebnisse des Gesundheitsfragebogens </w:t>
      </w:r>
      <w:r>
        <w:rPr>
          <w:i/>
          <w:iCs/>
          <w:lang w:val="de-DE"/>
        </w:rPr>
        <w:t xml:space="preserve">Short Form Health Survey </w:t>
      </w:r>
      <w:r>
        <w:rPr>
          <w:lang w:val="de-DE"/>
        </w:rPr>
        <w:t>(SF 36) unterstützen diese Befunde. Statistisch signifikante Werte wurden unter Behandlung mit 40 mg jede zweite Woche für die körperliche Funktionsfähigkeit (</w:t>
      </w:r>
      <w:r>
        <w:rPr>
          <w:i/>
          <w:iCs/>
          <w:lang w:val="de-DE"/>
        </w:rPr>
        <w:t>Physical Component Summary</w:t>
      </w:r>
      <w:r>
        <w:rPr>
          <w:lang w:val="de-DE"/>
        </w:rPr>
        <w:t>, PCS) sowie für den Bereich Schmerz und Vitalität (</w:t>
      </w:r>
      <w:r>
        <w:rPr>
          <w:i/>
          <w:iCs/>
          <w:lang w:val="de-DE"/>
        </w:rPr>
        <w:t>Pain and Vitality Scores</w:t>
      </w:r>
      <w:r>
        <w:rPr>
          <w:lang w:val="de-DE"/>
        </w:rPr>
        <w:t xml:space="preserve">) gefunden. Eine statistisch signifikante Verringerung der Abgeschlagenheit, gemessen anhand des </w:t>
      </w:r>
      <w:r>
        <w:rPr>
          <w:i/>
          <w:iCs/>
          <w:lang w:val="de-DE"/>
        </w:rPr>
        <w:t xml:space="preserve">Functional-Assessment-of-Chronic-Illness-Therapy </w:t>
      </w:r>
      <w:r>
        <w:rPr>
          <w:lang w:val="de-DE"/>
        </w:rPr>
        <w:t>(FACIT)-</w:t>
      </w:r>
      <w:r>
        <w:rPr>
          <w:i/>
          <w:iCs/>
          <w:lang w:val="de-DE"/>
        </w:rPr>
        <w:t>Score</w:t>
      </w:r>
      <w:r>
        <w:rPr>
          <w:lang w:val="de-DE"/>
        </w:rPr>
        <w:t>, wurde in allen drei Studien beobachtet, in denen dieser Punkt bewertet wurde (RA-Studien I, III, IV).</w:t>
      </w:r>
    </w:p>
    <w:p w14:paraId="2486A16C" w14:textId="77777777" w:rsidR="00FE291A" w:rsidRDefault="00FE291A">
      <w:pPr>
        <w:widowControl/>
        <w:kinsoku w:val="0"/>
        <w:overflowPunct w:val="0"/>
        <w:rPr>
          <w:sz w:val="22"/>
          <w:szCs w:val="22"/>
          <w:lang w:val="de-DE"/>
        </w:rPr>
      </w:pPr>
    </w:p>
    <w:p w14:paraId="5BEB84A6" w14:textId="77777777" w:rsidR="00FE291A" w:rsidRDefault="00C8738F">
      <w:pPr>
        <w:pStyle w:val="BodyText"/>
        <w:widowControl/>
        <w:kinsoku w:val="0"/>
        <w:overflowPunct w:val="0"/>
        <w:ind w:left="0"/>
        <w:rPr>
          <w:lang w:val="de-DE"/>
        </w:rPr>
      </w:pPr>
      <w:r>
        <w:rPr>
          <w:lang w:val="de-DE"/>
        </w:rPr>
        <w:t>In der RA-Studie III wurde bei den meisten Patienten, bei denen sich die körperliche Funktionsfähigkeit verbesserte und die die Therapie fortsetzten, im Rahmen der offenen Fortsetzungsphase die Verbesserung über den Behandlungszeitraum von 520 Wochen (120 Monate) aufrechterhalten. Die Verbesserung der Lebensqualität wurde bis zu 156 Wochen (36 Monate) bestimmt, und die Verbesserung hielt über diesen Zeitraum an.</w:t>
      </w:r>
    </w:p>
    <w:p w14:paraId="754CBB07" w14:textId="77777777" w:rsidR="00FE291A" w:rsidRDefault="00FE291A">
      <w:pPr>
        <w:widowControl/>
        <w:kinsoku w:val="0"/>
        <w:overflowPunct w:val="0"/>
        <w:rPr>
          <w:sz w:val="22"/>
          <w:szCs w:val="22"/>
          <w:lang w:val="de-DE"/>
        </w:rPr>
      </w:pPr>
    </w:p>
    <w:p w14:paraId="1BAFFCDF" w14:textId="77777777" w:rsidR="00FE291A" w:rsidRDefault="00C8738F">
      <w:pPr>
        <w:pStyle w:val="BodyText"/>
        <w:widowControl/>
        <w:kinsoku w:val="0"/>
        <w:overflowPunct w:val="0"/>
        <w:ind w:left="0"/>
        <w:rPr>
          <w:lang w:val="de-DE"/>
        </w:rPr>
      </w:pPr>
      <w:r>
        <w:rPr>
          <w:lang w:val="de-DE"/>
        </w:rPr>
        <w:t>In der RA-Studie V zeigten die Patienten unter der Kombinationstherapie mit Adalimumab und Methotrexat nach 52 Wochen eine im Vergleich zur Methotrexat- und Adalimumab-Monotherapie stärkere Verbesserung (p &lt; 0,001) des Index zur körperlichen Funktionseinschränkung (HAQ) und der physischen Komponente des SF 36, die über 104 Wochen anhielt. Bei den 250 Patienten, die die offene Fortsetzungsphase abschlossen, konnten die Verbesserungen hinsichtlich der körperlichen Funktionsfähigkeit über den 10-jährigen Behandlungszeitraum aufrechterhalten werden.</w:t>
      </w:r>
    </w:p>
    <w:p w14:paraId="4984BE45" w14:textId="77777777" w:rsidR="00FE291A" w:rsidRDefault="00FE291A">
      <w:pPr>
        <w:widowControl/>
        <w:kinsoku w:val="0"/>
        <w:overflowPunct w:val="0"/>
        <w:rPr>
          <w:sz w:val="22"/>
          <w:szCs w:val="22"/>
          <w:lang w:val="de-DE"/>
        </w:rPr>
      </w:pPr>
    </w:p>
    <w:p w14:paraId="04842CF2" w14:textId="77777777" w:rsidR="00FE291A" w:rsidRDefault="00C8738F">
      <w:pPr>
        <w:keepNext/>
        <w:widowControl/>
        <w:kinsoku w:val="0"/>
        <w:overflowPunct w:val="0"/>
        <w:rPr>
          <w:i/>
          <w:iCs/>
          <w:sz w:val="22"/>
          <w:szCs w:val="22"/>
          <w:lang w:val="de-DE"/>
        </w:rPr>
      </w:pPr>
      <w:r>
        <w:rPr>
          <w:i/>
          <w:iCs/>
          <w:sz w:val="22"/>
          <w:szCs w:val="22"/>
          <w:lang w:val="de-DE"/>
        </w:rPr>
        <w:t xml:space="preserve">Axiale Spondyloarthritis </w:t>
      </w:r>
    </w:p>
    <w:p w14:paraId="5DBCE527" w14:textId="77777777" w:rsidR="00FE291A" w:rsidRDefault="00FE291A">
      <w:pPr>
        <w:keepNext/>
        <w:widowControl/>
        <w:kinsoku w:val="0"/>
        <w:overflowPunct w:val="0"/>
        <w:rPr>
          <w:iCs/>
          <w:sz w:val="22"/>
          <w:szCs w:val="22"/>
          <w:lang w:val="de-DE"/>
        </w:rPr>
      </w:pPr>
    </w:p>
    <w:p w14:paraId="32AFED93" w14:textId="77777777" w:rsidR="00FE291A" w:rsidRDefault="00C8738F">
      <w:pPr>
        <w:keepNext/>
        <w:widowControl/>
        <w:kinsoku w:val="0"/>
        <w:overflowPunct w:val="0"/>
        <w:rPr>
          <w:sz w:val="22"/>
          <w:szCs w:val="22"/>
          <w:lang w:val="de-DE"/>
        </w:rPr>
      </w:pPr>
      <w:r>
        <w:rPr>
          <w:i/>
          <w:iCs/>
          <w:sz w:val="22"/>
          <w:szCs w:val="22"/>
          <w:u w:val="single"/>
          <w:lang w:val="de-DE"/>
        </w:rPr>
        <w:t>Ankylosierende Spondylitis (AS)</w:t>
      </w:r>
    </w:p>
    <w:p w14:paraId="2239E32A" w14:textId="77777777" w:rsidR="00FE291A" w:rsidRDefault="00FE291A">
      <w:pPr>
        <w:keepNext/>
        <w:widowControl/>
        <w:kinsoku w:val="0"/>
        <w:overflowPunct w:val="0"/>
        <w:rPr>
          <w:sz w:val="22"/>
          <w:szCs w:val="22"/>
          <w:lang w:val="de-DE"/>
        </w:rPr>
      </w:pPr>
    </w:p>
    <w:p w14:paraId="21CC9608" w14:textId="77777777" w:rsidR="00FE291A" w:rsidRDefault="00C8738F">
      <w:pPr>
        <w:pStyle w:val="BodyText"/>
        <w:widowControl/>
        <w:kinsoku w:val="0"/>
        <w:overflowPunct w:val="0"/>
        <w:ind w:left="0"/>
        <w:rPr>
          <w:lang w:val="de-DE"/>
        </w:rPr>
      </w:pPr>
      <w:r>
        <w:rPr>
          <w:lang w:val="de-DE"/>
        </w:rPr>
        <w:t>Adalimumab wurde in zwei randomisierten, doppelblinden placebokontrollierten Studien in einer Dosierung von 40 mg jede zweite Woche bei 393 Patienten mit aktiver ankylosierender Spondylitis, die unzureichend auf eine konventionelle Therapie angesprochen hatten, über einen Zeitraum von 24 Wochen untersucht (mittlerer Ausgangswert der Krankheitsaktivität [</w:t>
      </w:r>
      <w:r>
        <w:rPr>
          <w:i/>
          <w:iCs/>
          <w:lang w:val="de-DE"/>
        </w:rPr>
        <w:t xml:space="preserve">Bath Ankylosing Spondylitis Disease Activity Index </w:t>
      </w:r>
      <w:r>
        <w:rPr>
          <w:lang w:val="de-DE"/>
        </w:rPr>
        <w:t xml:space="preserve">(BASDAI)] war in allen Gruppen 6,3). Als Begleittherapie erhielten 79 (20,1 %) Patienten krankheitsmodifizierende Antirheumatika und 37 (9,4 %) Patienten Kortikosteroide. Der verblindeten Periode folgte eine offene Fortsetzungsphase, während der die Patienten über bis zu 28 zusätzliche Wochen jede zweite Woche Adalimumab 40 mg subkutan erhielten. Patienten (n = 215; 54,7 %), die kein ASAS-20-Ansprechen in Woche 12 oder 16 oder 20 erreichten, wurden in einen </w:t>
      </w:r>
      <w:r>
        <w:rPr>
          <w:i/>
          <w:iCs/>
          <w:lang w:val="de-DE"/>
        </w:rPr>
        <w:t>Early-Escape</w:t>
      </w:r>
      <w:r>
        <w:rPr>
          <w:lang w:val="de-DE"/>
        </w:rPr>
        <w:t xml:space="preserve">-Arm überführt, in dem sie offen Adalimumab 40 mg jede zweite Woche subkutan erhielten. Diese Patienten wurden nachfolgend in den doppelblinden statistischen Analysen als </w:t>
      </w:r>
      <w:r>
        <w:rPr>
          <w:i/>
          <w:iCs/>
          <w:lang w:val="de-DE"/>
        </w:rPr>
        <w:t>Non</w:t>
      </w:r>
      <w:r>
        <w:rPr>
          <w:i/>
          <w:iCs/>
          <w:lang w:val="de-DE"/>
        </w:rPr>
        <w:noBreakHyphen/>
        <w:t xml:space="preserve">Responder </w:t>
      </w:r>
      <w:r>
        <w:rPr>
          <w:lang w:val="de-DE"/>
        </w:rPr>
        <w:t>behandelt.</w:t>
      </w:r>
    </w:p>
    <w:p w14:paraId="40A4673B" w14:textId="77777777" w:rsidR="00FE291A" w:rsidRDefault="00FE291A">
      <w:pPr>
        <w:widowControl/>
        <w:kinsoku w:val="0"/>
        <w:overflowPunct w:val="0"/>
        <w:rPr>
          <w:sz w:val="22"/>
          <w:szCs w:val="22"/>
          <w:lang w:val="de-DE"/>
        </w:rPr>
      </w:pPr>
    </w:p>
    <w:p w14:paraId="7E19105B" w14:textId="77777777" w:rsidR="00FE291A" w:rsidRDefault="00C8738F">
      <w:pPr>
        <w:pStyle w:val="BodyText"/>
        <w:widowControl/>
        <w:kinsoku w:val="0"/>
        <w:overflowPunct w:val="0"/>
        <w:ind w:left="0"/>
        <w:rPr>
          <w:lang w:val="de-DE"/>
        </w:rPr>
      </w:pPr>
      <w:r>
        <w:rPr>
          <w:lang w:val="de-DE"/>
        </w:rPr>
        <w:t>In der größeren AS-Studie I mit 315 Patienten zeigten die Ergebnisse eine statistisch signifikante Verbesserung der klinischen Anzeichen und Symptome der ankylosierenden Spondylitis bei mit Adalimumab behandelten Patienten im Vergleich zu Placebo. Ein signifikantes Ansprechen wurde zuerst in Woche 2 beobachtet und über 24 Wochen aufrechterhalten (Tabelle 12).</w:t>
      </w:r>
    </w:p>
    <w:p w14:paraId="22956FAB" w14:textId="77777777" w:rsidR="00FE291A" w:rsidRDefault="00FE291A">
      <w:pPr>
        <w:widowControl/>
        <w:kinsoku w:val="0"/>
        <w:overflowPunct w:val="0"/>
        <w:rPr>
          <w:sz w:val="22"/>
          <w:szCs w:val="22"/>
          <w:lang w:val="de-DE"/>
        </w:rPr>
      </w:pPr>
    </w:p>
    <w:p w14:paraId="59E9A94B" w14:textId="77777777" w:rsidR="00FE291A" w:rsidRDefault="00C8738F">
      <w:pPr>
        <w:pStyle w:val="Heading1"/>
        <w:keepNext/>
        <w:keepLines/>
        <w:widowControl/>
        <w:kinsoku w:val="0"/>
        <w:overflowPunct w:val="0"/>
        <w:ind w:left="0"/>
        <w:rPr>
          <w:lang w:val="de-DE"/>
        </w:rPr>
      </w:pPr>
      <w:r>
        <w:rPr>
          <w:lang w:val="de-DE"/>
        </w:rPr>
        <w:t>Tabelle 12: Ansprechen bezüglich Wirksamkeit in der placebokontrollierten AS-Studie – Studie I Verringerung der klinischen Anzeichen und Symptome</w:t>
      </w:r>
    </w:p>
    <w:p w14:paraId="74108898" w14:textId="77777777" w:rsidR="00FE291A" w:rsidRDefault="00FE291A">
      <w:pPr>
        <w:keepNext/>
        <w:keepLines/>
        <w:widowControl/>
        <w:kinsoku w:val="0"/>
        <w:overflowPunct w:val="0"/>
        <w:rPr>
          <w:sz w:val="22"/>
          <w:lang w:val="de-DE"/>
        </w:rPr>
      </w:pPr>
    </w:p>
    <w:tbl>
      <w:tblPr>
        <w:tblW w:w="0" w:type="auto"/>
        <w:tblLayout w:type="fixed"/>
        <w:tblCellMar>
          <w:top w:w="28" w:type="dxa"/>
          <w:bottom w:w="28" w:type="dxa"/>
        </w:tblCellMar>
        <w:tblLook w:val="04A0" w:firstRow="1" w:lastRow="0" w:firstColumn="1" w:lastColumn="0" w:noHBand="0" w:noVBand="1"/>
      </w:tblPr>
      <w:tblGrid>
        <w:gridCol w:w="2748"/>
        <w:gridCol w:w="3206"/>
        <w:gridCol w:w="3118"/>
      </w:tblGrid>
      <w:tr w:rsidR="00FE291A" w14:paraId="36DC176E" w14:textId="77777777">
        <w:trPr>
          <w:cantSplit/>
          <w:tblHeader/>
        </w:trPr>
        <w:tc>
          <w:tcPr>
            <w:tcW w:w="2748" w:type="dxa"/>
            <w:tcBorders>
              <w:top w:val="single" w:sz="4" w:space="0" w:color="000000"/>
              <w:left w:val="single" w:sz="4" w:space="0" w:color="000000"/>
              <w:bottom w:val="single" w:sz="4" w:space="0" w:color="000000"/>
              <w:right w:val="single" w:sz="4" w:space="0" w:color="000000"/>
            </w:tcBorders>
          </w:tcPr>
          <w:p w14:paraId="39553411" w14:textId="77777777" w:rsidR="00FE291A" w:rsidRDefault="00C8738F">
            <w:pPr>
              <w:pStyle w:val="TableParagraph"/>
              <w:keepNext/>
              <w:widowControl/>
              <w:suppressAutoHyphens/>
              <w:kinsoku w:val="0"/>
              <w:overflowPunct w:val="0"/>
              <w:rPr>
                <w:sz w:val="22"/>
                <w:lang w:val="de-DE"/>
              </w:rPr>
            </w:pPr>
            <w:r>
              <w:rPr>
                <w:b/>
                <w:bCs/>
                <w:sz w:val="22"/>
                <w:szCs w:val="22"/>
                <w:lang w:val="de-DE"/>
              </w:rPr>
              <w:t>Ansprechen</w:t>
            </w:r>
          </w:p>
        </w:tc>
        <w:tc>
          <w:tcPr>
            <w:tcW w:w="3206" w:type="dxa"/>
            <w:tcBorders>
              <w:top w:val="single" w:sz="4" w:space="0" w:color="000000"/>
              <w:left w:val="single" w:sz="4" w:space="0" w:color="000000"/>
              <w:bottom w:val="single" w:sz="4" w:space="0" w:color="000000"/>
              <w:right w:val="single" w:sz="4" w:space="0" w:color="000000"/>
            </w:tcBorders>
          </w:tcPr>
          <w:p w14:paraId="14BB4BF7" w14:textId="77777777" w:rsidR="00FE291A" w:rsidRDefault="00C8738F">
            <w:pPr>
              <w:pStyle w:val="TableParagraph"/>
              <w:keepNext/>
              <w:widowControl/>
              <w:suppressAutoHyphens/>
              <w:kinsoku w:val="0"/>
              <w:overflowPunct w:val="0"/>
              <w:jc w:val="center"/>
              <w:rPr>
                <w:b/>
                <w:bCs/>
                <w:sz w:val="22"/>
                <w:szCs w:val="22"/>
                <w:lang w:val="de-DE"/>
              </w:rPr>
            </w:pPr>
            <w:r>
              <w:rPr>
                <w:b/>
                <w:bCs/>
                <w:sz w:val="22"/>
                <w:szCs w:val="22"/>
                <w:lang w:val="de-DE"/>
              </w:rPr>
              <w:t>Placebo</w:t>
            </w:r>
          </w:p>
          <w:p w14:paraId="705E09C3" w14:textId="77777777" w:rsidR="00FE291A" w:rsidRDefault="00C8738F">
            <w:pPr>
              <w:pStyle w:val="TableParagraph"/>
              <w:keepNext/>
              <w:widowControl/>
              <w:suppressAutoHyphens/>
              <w:kinsoku w:val="0"/>
              <w:overflowPunct w:val="0"/>
              <w:jc w:val="center"/>
              <w:rPr>
                <w:sz w:val="22"/>
                <w:lang w:val="de-DE"/>
              </w:rPr>
            </w:pPr>
            <w:r>
              <w:rPr>
                <w:b/>
                <w:bCs/>
                <w:sz w:val="22"/>
                <w:szCs w:val="22"/>
                <w:lang w:val="de-DE"/>
              </w:rPr>
              <w:t>N = 107</w:t>
            </w:r>
          </w:p>
        </w:tc>
        <w:tc>
          <w:tcPr>
            <w:tcW w:w="3118" w:type="dxa"/>
            <w:tcBorders>
              <w:top w:val="single" w:sz="4" w:space="0" w:color="000000"/>
              <w:left w:val="single" w:sz="4" w:space="0" w:color="000000"/>
              <w:bottom w:val="single" w:sz="4" w:space="0" w:color="000000"/>
              <w:right w:val="single" w:sz="4" w:space="0" w:color="000000"/>
            </w:tcBorders>
          </w:tcPr>
          <w:p w14:paraId="62A95F2B" w14:textId="77777777" w:rsidR="00FE291A" w:rsidRDefault="00C8738F">
            <w:pPr>
              <w:pStyle w:val="TableParagraph"/>
              <w:keepNext/>
              <w:widowControl/>
              <w:suppressAutoHyphens/>
              <w:kinsoku w:val="0"/>
              <w:overflowPunct w:val="0"/>
              <w:jc w:val="center"/>
              <w:rPr>
                <w:b/>
                <w:bCs/>
                <w:sz w:val="22"/>
                <w:szCs w:val="22"/>
                <w:lang w:val="de-DE"/>
              </w:rPr>
            </w:pPr>
            <w:r>
              <w:rPr>
                <w:b/>
                <w:bCs/>
                <w:sz w:val="22"/>
                <w:szCs w:val="22"/>
                <w:lang w:val="de-DE"/>
              </w:rPr>
              <w:t xml:space="preserve">Adalimumab </w:t>
            </w:r>
          </w:p>
          <w:p w14:paraId="16B4F307" w14:textId="77777777" w:rsidR="00FE291A" w:rsidRDefault="00C8738F">
            <w:pPr>
              <w:pStyle w:val="TableParagraph"/>
              <w:keepNext/>
              <w:widowControl/>
              <w:suppressAutoHyphens/>
              <w:kinsoku w:val="0"/>
              <w:overflowPunct w:val="0"/>
              <w:jc w:val="center"/>
              <w:rPr>
                <w:sz w:val="22"/>
                <w:lang w:val="de-DE"/>
              </w:rPr>
            </w:pPr>
            <w:r>
              <w:rPr>
                <w:b/>
                <w:bCs/>
                <w:sz w:val="22"/>
                <w:szCs w:val="22"/>
                <w:lang w:val="de-DE"/>
              </w:rPr>
              <w:t>N = 208</w:t>
            </w:r>
          </w:p>
        </w:tc>
      </w:tr>
      <w:tr w:rsidR="00FE291A" w14:paraId="77814A96" w14:textId="77777777">
        <w:trPr>
          <w:cantSplit/>
        </w:trPr>
        <w:tc>
          <w:tcPr>
            <w:tcW w:w="2748" w:type="dxa"/>
            <w:tcBorders>
              <w:top w:val="single" w:sz="4" w:space="0" w:color="000000"/>
              <w:left w:val="single" w:sz="4" w:space="0" w:color="000000"/>
              <w:bottom w:val="single" w:sz="4" w:space="0" w:color="000000"/>
              <w:right w:val="single" w:sz="4" w:space="0" w:color="000000"/>
            </w:tcBorders>
          </w:tcPr>
          <w:p w14:paraId="347BA02B" w14:textId="77777777" w:rsidR="00FE291A" w:rsidRDefault="00C8738F">
            <w:pPr>
              <w:pStyle w:val="TableParagraph"/>
              <w:keepNext/>
              <w:widowControl/>
              <w:suppressAutoHyphens/>
              <w:kinsoku w:val="0"/>
              <w:overflowPunct w:val="0"/>
              <w:rPr>
                <w:sz w:val="22"/>
                <w:lang w:val="de-DE"/>
              </w:rPr>
            </w:pPr>
            <w:r>
              <w:rPr>
                <w:sz w:val="22"/>
                <w:szCs w:val="22"/>
                <w:lang w:val="de-DE"/>
              </w:rPr>
              <w:t>ASAS</w:t>
            </w:r>
            <w:r>
              <w:rPr>
                <w:sz w:val="22"/>
                <w:szCs w:val="22"/>
                <w:vertAlign w:val="superscript"/>
                <w:lang w:val="de-DE"/>
              </w:rPr>
              <w:t>a</w:t>
            </w:r>
            <w:r>
              <w:rPr>
                <w:sz w:val="22"/>
                <w:szCs w:val="22"/>
                <w:lang w:val="de-DE"/>
              </w:rPr>
              <w:t>-20</w:t>
            </w:r>
          </w:p>
        </w:tc>
        <w:tc>
          <w:tcPr>
            <w:tcW w:w="3206" w:type="dxa"/>
            <w:tcBorders>
              <w:top w:val="single" w:sz="4" w:space="0" w:color="000000"/>
              <w:left w:val="single" w:sz="4" w:space="0" w:color="000000"/>
              <w:bottom w:val="single" w:sz="4" w:space="0" w:color="000000"/>
              <w:right w:val="single" w:sz="4" w:space="0" w:color="000000"/>
            </w:tcBorders>
          </w:tcPr>
          <w:p w14:paraId="05BC56DC" w14:textId="77777777" w:rsidR="00FE291A" w:rsidRDefault="00FE291A">
            <w:pPr>
              <w:keepNext/>
              <w:widowControl/>
              <w:suppressAutoHyphens/>
              <w:rPr>
                <w:sz w:val="22"/>
                <w:lang w:val="de-DE"/>
              </w:rPr>
            </w:pPr>
          </w:p>
        </w:tc>
        <w:tc>
          <w:tcPr>
            <w:tcW w:w="3118" w:type="dxa"/>
            <w:tcBorders>
              <w:top w:val="single" w:sz="4" w:space="0" w:color="000000"/>
              <w:left w:val="single" w:sz="4" w:space="0" w:color="000000"/>
              <w:bottom w:val="single" w:sz="4" w:space="0" w:color="000000"/>
              <w:right w:val="single" w:sz="4" w:space="0" w:color="000000"/>
            </w:tcBorders>
          </w:tcPr>
          <w:p w14:paraId="255CE31B" w14:textId="77777777" w:rsidR="00FE291A" w:rsidRDefault="00FE291A">
            <w:pPr>
              <w:keepNext/>
              <w:widowControl/>
              <w:suppressAutoHyphens/>
              <w:rPr>
                <w:sz w:val="22"/>
                <w:lang w:val="de-DE"/>
              </w:rPr>
            </w:pPr>
          </w:p>
        </w:tc>
      </w:tr>
      <w:tr w:rsidR="00FE291A" w14:paraId="65D3662F" w14:textId="77777777">
        <w:trPr>
          <w:cantSplit/>
        </w:trPr>
        <w:tc>
          <w:tcPr>
            <w:tcW w:w="2748" w:type="dxa"/>
            <w:tcBorders>
              <w:top w:val="single" w:sz="4" w:space="0" w:color="000000"/>
              <w:left w:val="single" w:sz="4" w:space="0" w:color="000000"/>
              <w:bottom w:val="single" w:sz="4" w:space="0" w:color="000000"/>
              <w:right w:val="single" w:sz="4" w:space="0" w:color="000000"/>
            </w:tcBorders>
          </w:tcPr>
          <w:p w14:paraId="36175D25" w14:textId="77777777" w:rsidR="00FE291A" w:rsidRDefault="00C8738F">
            <w:pPr>
              <w:pStyle w:val="TableParagraph"/>
              <w:keepNext/>
              <w:widowControl/>
              <w:suppressAutoHyphens/>
              <w:kinsoku w:val="0"/>
              <w:overflowPunct w:val="0"/>
              <w:ind w:firstLine="600"/>
              <w:rPr>
                <w:sz w:val="22"/>
                <w:lang w:val="de-DE"/>
              </w:rPr>
            </w:pPr>
            <w:r>
              <w:rPr>
                <w:sz w:val="22"/>
                <w:szCs w:val="22"/>
                <w:lang w:val="de-DE"/>
              </w:rPr>
              <w:t>Woche 2</w:t>
            </w:r>
          </w:p>
        </w:tc>
        <w:tc>
          <w:tcPr>
            <w:tcW w:w="3206" w:type="dxa"/>
            <w:tcBorders>
              <w:top w:val="single" w:sz="4" w:space="0" w:color="000000"/>
              <w:left w:val="single" w:sz="4" w:space="0" w:color="000000"/>
              <w:bottom w:val="single" w:sz="4" w:space="0" w:color="000000"/>
              <w:right w:val="single" w:sz="4" w:space="0" w:color="000000"/>
            </w:tcBorders>
          </w:tcPr>
          <w:p w14:paraId="395D29A3" w14:textId="77777777" w:rsidR="00FE291A" w:rsidRDefault="00C8738F">
            <w:pPr>
              <w:pStyle w:val="TableParagraph"/>
              <w:keepNext/>
              <w:widowControl/>
              <w:suppressAutoHyphens/>
              <w:kinsoku w:val="0"/>
              <w:overflowPunct w:val="0"/>
              <w:jc w:val="center"/>
              <w:rPr>
                <w:sz w:val="22"/>
                <w:lang w:val="de-DE"/>
              </w:rPr>
            </w:pPr>
            <w:r>
              <w:rPr>
                <w:sz w:val="22"/>
                <w:szCs w:val="22"/>
                <w:lang w:val="de-DE"/>
              </w:rPr>
              <w:t>16 %</w:t>
            </w:r>
          </w:p>
        </w:tc>
        <w:tc>
          <w:tcPr>
            <w:tcW w:w="3118" w:type="dxa"/>
            <w:tcBorders>
              <w:top w:val="single" w:sz="4" w:space="0" w:color="000000"/>
              <w:left w:val="single" w:sz="4" w:space="0" w:color="000000"/>
              <w:bottom w:val="single" w:sz="4" w:space="0" w:color="000000"/>
              <w:right w:val="single" w:sz="4" w:space="0" w:color="000000"/>
            </w:tcBorders>
          </w:tcPr>
          <w:p w14:paraId="461319D9" w14:textId="77777777" w:rsidR="00FE291A" w:rsidRDefault="00C8738F">
            <w:pPr>
              <w:pStyle w:val="TableParagraph"/>
              <w:keepNext/>
              <w:widowControl/>
              <w:suppressAutoHyphens/>
              <w:kinsoku w:val="0"/>
              <w:overflowPunct w:val="0"/>
              <w:jc w:val="center"/>
              <w:rPr>
                <w:sz w:val="22"/>
                <w:lang w:val="de-DE"/>
              </w:rPr>
            </w:pPr>
            <w:r>
              <w:rPr>
                <w:sz w:val="22"/>
                <w:szCs w:val="22"/>
                <w:lang w:val="de-DE"/>
              </w:rPr>
              <w:t>42 %***</w:t>
            </w:r>
          </w:p>
        </w:tc>
      </w:tr>
      <w:tr w:rsidR="00FE291A" w14:paraId="17EB6393" w14:textId="77777777">
        <w:trPr>
          <w:cantSplit/>
        </w:trPr>
        <w:tc>
          <w:tcPr>
            <w:tcW w:w="2748" w:type="dxa"/>
            <w:tcBorders>
              <w:top w:val="single" w:sz="4" w:space="0" w:color="000000"/>
              <w:left w:val="single" w:sz="4" w:space="0" w:color="000000"/>
              <w:bottom w:val="single" w:sz="4" w:space="0" w:color="000000"/>
              <w:right w:val="single" w:sz="4" w:space="0" w:color="000000"/>
            </w:tcBorders>
          </w:tcPr>
          <w:p w14:paraId="7A03F66F" w14:textId="77777777" w:rsidR="00FE291A" w:rsidRDefault="00C8738F">
            <w:pPr>
              <w:pStyle w:val="TableParagraph"/>
              <w:keepNext/>
              <w:widowControl/>
              <w:suppressAutoHyphens/>
              <w:kinsoku w:val="0"/>
              <w:overflowPunct w:val="0"/>
              <w:ind w:firstLine="600"/>
              <w:rPr>
                <w:sz w:val="22"/>
                <w:lang w:val="de-DE"/>
              </w:rPr>
            </w:pPr>
            <w:r>
              <w:rPr>
                <w:sz w:val="22"/>
                <w:szCs w:val="22"/>
                <w:lang w:val="de-DE"/>
              </w:rPr>
              <w:t>Woche 12</w:t>
            </w:r>
          </w:p>
        </w:tc>
        <w:tc>
          <w:tcPr>
            <w:tcW w:w="3206" w:type="dxa"/>
            <w:tcBorders>
              <w:top w:val="single" w:sz="4" w:space="0" w:color="000000"/>
              <w:left w:val="single" w:sz="4" w:space="0" w:color="000000"/>
              <w:bottom w:val="single" w:sz="4" w:space="0" w:color="000000"/>
              <w:right w:val="single" w:sz="4" w:space="0" w:color="000000"/>
            </w:tcBorders>
          </w:tcPr>
          <w:p w14:paraId="0511E69B" w14:textId="77777777" w:rsidR="00FE291A" w:rsidRDefault="00C8738F">
            <w:pPr>
              <w:pStyle w:val="TableParagraph"/>
              <w:keepNext/>
              <w:widowControl/>
              <w:suppressAutoHyphens/>
              <w:kinsoku w:val="0"/>
              <w:overflowPunct w:val="0"/>
              <w:jc w:val="center"/>
              <w:rPr>
                <w:sz w:val="22"/>
                <w:lang w:val="de-DE"/>
              </w:rPr>
            </w:pPr>
            <w:r>
              <w:rPr>
                <w:sz w:val="22"/>
                <w:szCs w:val="22"/>
                <w:lang w:val="de-DE"/>
              </w:rPr>
              <w:t>21 %</w:t>
            </w:r>
          </w:p>
        </w:tc>
        <w:tc>
          <w:tcPr>
            <w:tcW w:w="3118" w:type="dxa"/>
            <w:tcBorders>
              <w:top w:val="single" w:sz="4" w:space="0" w:color="000000"/>
              <w:left w:val="single" w:sz="4" w:space="0" w:color="000000"/>
              <w:bottom w:val="single" w:sz="4" w:space="0" w:color="000000"/>
              <w:right w:val="single" w:sz="4" w:space="0" w:color="000000"/>
            </w:tcBorders>
          </w:tcPr>
          <w:p w14:paraId="1AC8798A" w14:textId="77777777" w:rsidR="00FE291A" w:rsidRDefault="00C8738F">
            <w:pPr>
              <w:pStyle w:val="TableParagraph"/>
              <w:keepNext/>
              <w:widowControl/>
              <w:suppressAutoHyphens/>
              <w:kinsoku w:val="0"/>
              <w:overflowPunct w:val="0"/>
              <w:jc w:val="center"/>
              <w:rPr>
                <w:sz w:val="22"/>
                <w:lang w:val="de-DE"/>
              </w:rPr>
            </w:pPr>
            <w:r>
              <w:rPr>
                <w:sz w:val="22"/>
                <w:szCs w:val="22"/>
                <w:lang w:val="de-DE"/>
              </w:rPr>
              <w:t>58 %***</w:t>
            </w:r>
          </w:p>
        </w:tc>
      </w:tr>
      <w:tr w:rsidR="00FE291A" w14:paraId="138052E5" w14:textId="77777777">
        <w:trPr>
          <w:cantSplit/>
        </w:trPr>
        <w:tc>
          <w:tcPr>
            <w:tcW w:w="2748" w:type="dxa"/>
            <w:tcBorders>
              <w:top w:val="single" w:sz="4" w:space="0" w:color="000000"/>
              <w:left w:val="single" w:sz="4" w:space="0" w:color="000000"/>
              <w:bottom w:val="single" w:sz="4" w:space="0" w:color="000000"/>
              <w:right w:val="single" w:sz="4" w:space="0" w:color="000000"/>
            </w:tcBorders>
          </w:tcPr>
          <w:p w14:paraId="3C57B9F9" w14:textId="77777777" w:rsidR="00FE291A" w:rsidRDefault="00C8738F">
            <w:pPr>
              <w:pStyle w:val="TableParagraph"/>
              <w:widowControl/>
              <w:suppressAutoHyphens/>
              <w:kinsoku w:val="0"/>
              <w:overflowPunct w:val="0"/>
              <w:ind w:firstLine="600"/>
              <w:rPr>
                <w:sz w:val="22"/>
                <w:lang w:val="de-DE"/>
              </w:rPr>
            </w:pPr>
            <w:r>
              <w:rPr>
                <w:sz w:val="22"/>
                <w:szCs w:val="22"/>
                <w:lang w:val="de-DE"/>
              </w:rPr>
              <w:t>Woche 24</w:t>
            </w:r>
          </w:p>
        </w:tc>
        <w:tc>
          <w:tcPr>
            <w:tcW w:w="3206" w:type="dxa"/>
            <w:tcBorders>
              <w:top w:val="single" w:sz="4" w:space="0" w:color="000000"/>
              <w:left w:val="single" w:sz="4" w:space="0" w:color="000000"/>
              <w:bottom w:val="single" w:sz="4" w:space="0" w:color="000000"/>
              <w:right w:val="single" w:sz="4" w:space="0" w:color="000000"/>
            </w:tcBorders>
          </w:tcPr>
          <w:p w14:paraId="0C864872" w14:textId="77777777" w:rsidR="00FE291A" w:rsidRDefault="00C8738F">
            <w:pPr>
              <w:pStyle w:val="TableParagraph"/>
              <w:widowControl/>
              <w:suppressAutoHyphens/>
              <w:kinsoku w:val="0"/>
              <w:overflowPunct w:val="0"/>
              <w:jc w:val="center"/>
              <w:rPr>
                <w:sz w:val="22"/>
                <w:lang w:val="de-DE"/>
              </w:rPr>
            </w:pPr>
            <w:r>
              <w:rPr>
                <w:sz w:val="22"/>
                <w:szCs w:val="22"/>
                <w:lang w:val="de-DE"/>
              </w:rPr>
              <w:t>19 %</w:t>
            </w:r>
          </w:p>
        </w:tc>
        <w:tc>
          <w:tcPr>
            <w:tcW w:w="3118" w:type="dxa"/>
            <w:tcBorders>
              <w:top w:val="single" w:sz="4" w:space="0" w:color="000000"/>
              <w:left w:val="single" w:sz="4" w:space="0" w:color="000000"/>
              <w:bottom w:val="single" w:sz="4" w:space="0" w:color="000000"/>
              <w:right w:val="single" w:sz="4" w:space="0" w:color="000000"/>
            </w:tcBorders>
          </w:tcPr>
          <w:p w14:paraId="1695FFBA" w14:textId="77777777" w:rsidR="00FE291A" w:rsidRDefault="00C8738F">
            <w:pPr>
              <w:pStyle w:val="TableParagraph"/>
              <w:widowControl/>
              <w:suppressAutoHyphens/>
              <w:kinsoku w:val="0"/>
              <w:overflowPunct w:val="0"/>
              <w:jc w:val="center"/>
              <w:rPr>
                <w:sz w:val="22"/>
                <w:lang w:val="de-DE"/>
              </w:rPr>
            </w:pPr>
            <w:r>
              <w:rPr>
                <w:sz w:val="22"/>
                <w:szCs w:val="22"/>
                <w:lang w:val="de-DE"/>
              </w:rPr>
              <w:t>51 %***</w:t>
            </w:r>
          </w:p>
        </w:tc>
      </w:tr>
      <w:tr w:rsidR="00FE291A" w14:paraId="01232790" w14:textId="77777777">
        <w:trPr>
          <w:cantSplit/>
        </w:trPr>
        <w:tc>
          <w:tcPr>
            <w:tcW w:w="2748" w:type="dxa"/>
            <w:tcBorders>
              <w:top w:val="single" w:sz="4" w:space="0" w:color="000000"/>
              <w:left w:val="single" w:sz="4" w:space="0" w:color="000000"/>
              <w:bottom w:val="single" w:sz="4" w:space="0" w:color="000000"/>
              <w:right w:val="single" w:sz="4" w:space="0" w:color="000000"/>
            </w:tcBorders>
          </w:tcPr>
          <w:p w14:paraId="3CF8EA3E" w14:textId="77777777" w:rsidR="00FE291A" w:rsidRDefault="00C8738F">
            <w:pPr>
              <w:pStyle w:val="TableParagraph"/>
              <w:keepNext/>
              <w:widowControl/>
              <w:suppressAutoHyphens/>
              <w:kinsoku w:val="0"/>
              <w:overflowPunct w:val="0"/>
              <w:rPr>
                <w:sz w:val="22"/>
                <w:lang w:val="de-DE"/>
              </w:rPr>
            </w:pPr>
            <w:r>
              <w:rPr>
                <w:sz w:val="22"/>
                <w:szCs w:val="22"/>
                <w:lang w:val="de-DE"/>
              </w:rPr>
              <w:t>ASAS-50</w:t>
            </w:r>
          </w:p>
        </w:tc>
        <w:tc>
          <w:tcPr>
            <w:tcW w:w="3206" w:type="dxa"/>
            <w:tcBorders>
              <w:top w:val="single" w:sz="4" w:space="0" w:color="000000"/>
              <w:left w:val="single" w:sz="4" w:space="0" w:color="000000"/>
              <w:bottom w:val="single" w:sz="4" w:space="0" w:color="000000"/>
              <w:right w:val="single" w:sz="4" w:space="0" w:color="000000"/>
            </w:tcBorders>
          </w:tcPr>
          <w:p w14:paraId="343F1834" w14:textId="77777777" w:rsidR="00FE291A" w:rsidRDefault="00FE291A">
            <w:pPr>
              <w:keepNext/>
              <w:widowControl/>
              <w:suppressAutoHyphens/>
              <w:rPr>
                <w:sz w:val="22"/>
                <w:lang w:val="de-DE"/>
              </w:rPr>
            </w:pPr>
          </w:p>
        </w:tc>
        <w:tc>
          <w:tcPr>
            <w:tcW w:w="3118" w:type="dxa"/>
            <w:tcBorders>
              <w:top w:val="single" w:sz="4" w:space="0" w:color="000000"/>
              <w:left w:val="single" w:sz="4" w:space="0" w:color="000000"/>
              <w:bottom w:val="single" w:sz="4" w:space="0" w:color="000000"/>
              <w:right w:val="single" w:sz="4" w:space="0" w:color="000000"/>
            </w:tcBorders>
          </w:tcPr>
          <w:p w14:paraId="739047E6" w14:textId="77777777" w:rsidR="00FE291A" w:rsidRDefault="00FE291A">
            <w:pPr>
              <w:keepNext/>
              <w:widowControl/>
              <w:suppressAutoHyphens/>
              <w:jc w:val="center"/>
              <w:rPr>
                <w:sz w:val="22"/>
                <w:lang w:val="de-DE"/>
              </w:rPr>
            </w:pPr>
          </w:p>
        </w:tc>
      </w:tr>
      <w:tr w:rsidR="00FE291A" w14:paraId="42E04680" w14:textId="77777777">
        <w:trPr>
          <w:cantSplit/>
        </w:trPr>
        <w:tc>
          <w:tcPr>
            <w:tcW w:w="2748" w:type="dxa"/>
            <w:tcBorders>
              <w:top w:val="single" w:sz="4" w:space="0" w:color="000000"/>
              <w:left w:val="single" w:sz="4" w:space="0" w:color="000000"/>
              <w:bottom w:val="single" w:sz="4" w:space="0" w:color="000000"/>
              <w:right w:val="single" w:sz="4" w:space="0" w:color="000000"/>
            </w:tcBorders>
          </w:tcPr>
          <w:p w14:paraId="3CB16D18" w14:textId="77777777" w:rsidR="00FE291A" w:rsidRDefault="00C8738F">
            <w:pPr>
              <w:pStyle w:val="TableParagraph"/>
              <w:keepNext/>
              <w:widowControl/>
              <w:suppressAutoHyphens/>
              <w:kinsoku w:val="0"/>
              <w:overflowPunct w:val="0"/>
              <w:ind w:firstLine="600"/>
              <w:rPr>
                <w:sz w:val="22"/>
                <w:lang w:val="de-DE"/>
              </w:rPr>
            </w:pPr>
            <w:r>
              <w:rPr>
                <w:sz w:val="22"/>
                <w:szCs w:val="22"/>
                <w:lang w:val="de-DE"/>
              </w:rPr>
              <w:t>Woche 2</w:t>
            </w:r>
          </w:p>
        </w:tc>
        <w:tc>
          <w:tcPr>
            <w:tcW w:w="3206" w:type="dxa"/>
            <w:tcBorders>
              <w:top w:val="single" w:sz="4" w:space="0" w:color="000000"/>
              <w:left w:val="single" w:sz="4" w:space="0" w:color="000000"/>
              <w:bottom w:val="single" w:sz="4" w:space="0" w:color="000000"/>
              <w:right w:val="single" w:sz="4" w:space="0" w:color="000000"/>
            </w:tcBorders>
          </w:tcPr>
          <w:p w14:paraId="7DB30AE2" w14:textId="77777777" w:rsidR="00FE291A" w:rsidRDefault="00C8738F">
            <w:pPr>
              <w:pStyle w:val="TableParagraph"/>
              <w:keepNext/>
              <w:widowControl/>
              <w:suppressAutoHyphens/>
              <w:kinsoku w:val="0"/>
              <w:overflowPunct w:val="0"/>
              <w:jc w:val="center"/>
              <w:rPr>
                <w:sz w:val="22"/>
                <w:lang w:val="de-DE"/>
              </w:rPr>
            </w:pPr>
            <w:r>
              <w:rPr>
                <w:sz w:val="22"/>
                <w:szCs w:val="22"/>
                <w:lang w:val="de-DE"/>
              </w:rPr>
              <w:t>3 %</w:t>
            </w:r>
          </w:p>
        </w:tc>
        <w:tc>
          <w:tcPr>
            <w:tcW w:w="3118" w:type="dxa"/>
            <w:tcBorders>
              <w:top w:val="single" w:sz="4" w:space="0" w:color="000000"/>
              <w:left w:val="single" w:sz="4" w:space="0" w:color="000000"/>
              <w:bottom w:val="single" w:sz="4" w:space="0" w:color="000000"/>
              <w:right w:val="single" w:sz="4" w:space="0" w:color="000000"/>
            </w:tcBorders>
          </w:tcPr>
          <w:p w14:paraId="58B56B3F" w14:textId="77777777" w:rsidR="00FE291A" w:rsidRDefault="00C8738F">
            <w:pPr>
              <w:pStyle w:val="TableParagraph"/>
              <w:keepNext/>
              <w:widowControl/>
              <w:suppressAutoHyphens/>
              <w:kinsoku w:val="0"/>
              <w:overflowPunct w:val="0"/>
              <w:jc w:val="center"/>
              <w:rPr>
                <w:sz w:val="22"/>
                <w:lang w:val="de-DE"/>
              </w:rPr>
            </w:pPr>
            <w:r>
              <w:rPr>
                <w:sz w:val="22"/>
                <w:szCs w:val="22"/>
                <w:lang w:val="de-DE"/>
              </w:rPr>
              <w:t>16 %***</w:t>
            </w:r>
          </w:p>
        </w:tc>
      </w:tr>
      <w:tr w:rsidR="00FE291A" w14:paraId="5FA3433E" w14:textId="77777777">
        <w:trPr>
          <w:cantSplit/>
        </w:trPr>
        <w:tc>
          <w:tcPr>
            <w:tcW w:w="2748" w:type="dxa"/>
            <w:tcBorders>
              <w:top w:val="single" w:sz="4" w:space="0" w:color="000000"/>
              <w:left w:val="single" w:sz="4" w:space="0" w:color="000000"/>
              <w:bottom w:val="single" w:sz="4" w:space="0" w:color="000000"/>
              <w:right w:val="single" w:sz="4" w:space="0" w:color="000000"/>
            </w:tcBorders>
          </w:tcPr>
          <w:p w14:paraId="30FD6495" w14:textId="77777777" w:rsidR="00FE291A" w:rsidRDefault="00C8738F">
            <w:pPr>
              <w:pStyle w:val="TableParagraph"/>
              <w:keepNext/>
              <w:widowControl/>
              <w:suppressAutoHyphens/>
              <w:kinsoku w:val="0"/>
              <w:overflowPunct w:val="0"/>
              <w:ind w:firstLine="600"/>
              <w:rPr>
                <w:sz w:val="22"/>
                <w:lang w:val="de-DE"/>
              </w:rPr>
            </w:pPr>
            <w:r>
              <w:rPr>
                <w:sz w:val="22"/>
                <w:szCs w:val="22"/>
                <w:lang w:val="de-DE"/>
              </w:rPr>
              <w:t>Woche 12</w:t>
            </w:r>
          </w:p>
        </w:tc>
        <w:tc>
          <w:tcPr>
            <w:tcW w:w="3206" w:type="dxa"/>
            <w:tcBorders>
              <w:top w:val="single" w:sz="4" w:space="0" w:color="000000"/>
              <w:left w:val="single" w:sz="4" w:space="0" w:color="000000"/>
              <w:bottom w:val="single" w:sz="4" w:space="0" w:color="000000"/>
              <w:right w:val="single" w:sz="4" w:space="0" w:color="000000"/>
            </w:tcBorders>
          </w:tcPr>
          <w:p w14:paraId="040877EE" w14:textId="77777777" w:rsidR="00FE291A" w:rsidRDefault="00C8738F">
            <w:pPr>
              <w:pStyle w:val="TableParagraph"/>
              <w:keepNext/>
              <w:widowControl/>
              <w:suppressAutoHyphens/>
              <w:kinsoku w:val="0"/>
              <w:overflowPunct w:val="0"/>
              <w:jc w:val="center"/>
              <w:rPr>
                <w:sz w:val="22"/>
                <w:lang w:val="de-DE"/>
              </w:rPr>
            </w:pPr>
            <w:r>
              <w:rPr>
                <w:sz w:val="22"/>
                <w:szCs w:val="22"/>
                <w:lang w:val="de-DE"/>
              </w:rPr>
              <w:t>10 %</w:t>
            </w:r>
          </w:p>
        </w:tc>
        <w:tc>
          <w:tcPr>
            <w:tcW w:w="3118" w:type="dxa"/>
            <w:tcBorders>
              <w:top w:val="single" w:sz="4" w:space="0" w:color="000000"/>
              <w:left w:val="single" w:sz="4" w:space="0" w:color="000000"/>
              <w:bottom w:val="single" w:sz="4" w:space="0" w:color="000000"/>
              <w:right w:val="single" w:sz="4" w:space="0" w:color="000000"/>
            </w:tcBorders>
          </w:tcPr>
          <w:p w14:paraId="53EDAA18" w14:textId="77777777" w:rsidR="00FE291A" w:rsidRDefault="00C8738F">
            <w:pPr>
              <w:pStyle w:val="TableParagraph"/>
              <w:keepNext/>
              <w:widowControl/>
              <w:suppressAutoHyphens/>
              <w:kinsoku w:val="0"/>
              <w:overflowPunct w:val="0"/>
              <w:jc w:val="center"/>
              <w:rPr>
                <w:sz w:val="22"/>
                <w:lang w:val="de-DE"/>
              </w:rPr>
            </w:pPr>
            <w:r>
              <w:rPr>
                <w:sz w:val="22"/>
                <w:szCs w:val="22"/>
                <w:lang w:val="de-DE"/>
              </w:rPr>
              <w:t>38 %***</w:t>
            </w:r>
          </w:p>
        </w:tc>
      </w:tr>
      <w:tr w:rsidR="00FE291A" w14:paraId="333CA4C5" w14:textId="77777777">
        <w:trPr>
          <w:cantSplit/>
        </w:trPr>
        <w:tc>
          <w:tcPr>
            <w:tcW w:w="2748" w:type="dxa"/>
            <w:tcBorders>
              <w:top w:val="single" w:sz="4" w:space="0" w:color="000000"/>
              <w:left w:val="single" w:sz="4" w:space="0" w:color="000000"/>
              <w:bottom w:val="single" w:sz="4" w:space="0" w:color="000000"/>
              <w:right w:val="single" w:sz="4" w:space="0" w:color="000000"/>
            </w:tcBorders>
          </w:tcPr>
          <w:p w14:paraId="15578A47" w14:textId="77777777" w:rsidR="00FE291A" w:rsidRDefault="00C8738F">
            <w:pPr>
              <w:pStyle w:val="TableParagraph"/>
              <w:widowControl/>
              <w:suppressAutoHyphens/>
              <w:kinsoku w:val="0"/>
              <w:overflowPunct w:val="0"/>
              <w:ind w:firstLine="600"/>
              <w:rPr>
                <w:sz w:val="22"/>
                <w:lang w:val="de-DE"/>
              </w:rPr>
            </w:pPr>
            <w:r>
              <w:rPr>
                <w:sz w:val="22"/>
                <w:szCs w:val="22"/>
                <w:lang w:val="de-DE"/>
              </w:rPr>
              <w:t>Woche 24</w:t>
            </w:r>
          </w:p>
        </w:tc>
        <w:tc>
          <w:tcPr>
            <w:tcW w:w="3206" w:type="dxa"/>
            <w:tcBorders>
              <w:top w:val="single" w:sz="4" w:space="0" w:color="000000"/>
              <w:left w:val="single" w:sz="4" w:space="0" w:color="000000"/>
              <w:bottom w:val="single" w:sz="4" w:space="0" w:color="000000"/>
              <w:right w:val="single" w:sz="4" w:space="0" w:color="000000"/>
            </w:tcBorders>
          </w:tcPr>
          <w:p w14:paraId="5A6076B8" w14:textId="77777777" w:rsidR="00FE291A" w:rsidRDefault="00C8738F">
            <w:pPr>
              <w:pStyle w:val="TableParagraph"/>
              <w:widowControl/>
              <w:suppressAutoHyphens/>
              <w:kinsoku w:val="0"/>
              <w:overflowPunct w:val="0"/>
              <w:jc w:val="center"/>
              <w:rPr>
                <w:sz w:val="22"/>
                <w:lang w:val="de-DE"/>
              </w:rPr>
            </w:pPr>
            <w:r>
              <w:rPr>
                <w:sz w:val="22"/>
                <w:szCs w:val="22"/>
                <w:lang w:val="de-DE"/>
              </w:rPr>
              <w:t>11 %</w:t>
            </w:r>
          </w:p>
        </w:tc>
        <w:tc>
          <w:tcPr>
            <w:tcW w:w="3118" w:type="dxa"/>
            <w:tcBorders>
              <w:top w:val="single" w:sz="4" w:space="0" w:color="000000"/>
              <w:left w:val="single" w:sz="4" w:space="0" w:color="000000"/>
              <w:bottom w:val="single" w:sz="4" w:space="0" w:color="000000"/>
              <w:right w:val="single" w:sz="4" w:space="0" w:color="000000"/>
            </w:tcBorders>
          </w:tcPr>
          <w:p w14:paraId="41B76223" w14:textId="77777777" w:rsidR="00FE291A" w:rsidRDefault="00C8738F">
            <w:pPr>
              <w:pStyle w:val="TableParagraph"/>
              <w:widowControl/>
              <w:suppressAutoHyphens/>
              <w:kinsoku w:val="0"/>
              <w:overflowPunct w:val="0"/>
              <w:jc w:val="center"/>
              <w:rPr>
                <w:sz w:val="22"/>
                <w:lang w:val="de-DE"/>
              </w:rPr>
            </w:pPr>
            <w:r>
              <w:rPr>
                <w:sz w:val="22"/>
                <w:szCs w:val="22"/>
                <w:lang w:val="de-DE"/>
              </w:rPr>
              <w:t>35 %***</w:t>
            </w:r>
          </w:p>
        </w:tc>
      </w:tr>
      <w:tr w:rsidR="00FE291A" w14:paraId="05DE6ABC" w14:textId="77777777">
        <w:trPr>
          <w:cantSplit/>
        </w:trPr>
        <w:tc>
          <w:tcPr>
            <w:tcW w:w="2748" w:type="dxa"/>
            <w:tcBorders>
              <w:top w:val="single" w:sz="4" w:space="0" w:color="000000"/>
              <w:left w:val="single" w:sz="4" w:space="0" w:color="000000"/>
              <w:bottom w:val="single" w:sz="4" w:space="0" w:color="000000"/>
              <w:right w:val="single" w:sz="4" w:space="0" w:color="000000"/>
            </w:tcBorders>
          </w:tcPr>
          <w:p w14:paraId="3889DB0E" w14:textId="77777777" w:rsidR="00FE291A" w:rsidRDefault="00C8738F">
            <w:pPr>
              <w:pStyle w:val="TableParagraph"/>
              <w:keepNext/>
              <w:widowControl/>
              <w:suppressAutoHyphens/>
              <w:kinsoku w:val="0"/>
              <w:overflowPunct w:val="0"/>
              <w:rPr>
                <w:sz w:val="22"/>
                <w:lang w:val="de-DE"/>
              </w:rPr>
            </w:pPr>
            <w:r>
              <w:rPr>
                <w:sz w:val="22"/>
                <w:szCs w:val="22"/>
                <w:lang w:val="de-DE"/>
              </w:rPr>
              <w:t>ASAS-70</w:t>
            </w:r>
          </w:p>
        </w:tc>
        <w:tc>
          <w:tcPr>
            <w:tcW w:w="3206" w:type="dxa"/>
            <w:tcBorders>
              <w:top w:val="single" w:sz="4" w:space="0" w:color="000000"/>
              <w:left w:val="single" w:sz="4" w:space="0" w:color="000000"/>
              <w:bottom w:val="single" w:sz="4" w:space="0" w:color="000000"/>
              <w:right w:val="single" w:sz="4" w:space="0" w:color="000000"/>
            </w:tcBorders>
          </w:tcPr>
          <w:p w14:paraId="1BA5787D" w14:textId="77777777" w:rsidR="00FE291A" w:rsidRDefault="00FE291A">
            <w:pPr>
              <w:keepNext/>
              <w:widowControl/>
              <w:suppressAutoHyphens/>
              <w:rPr>
                <w:sz w:val="22"/>
                <w:lang w:val="de-DE"/>
              </w:rPr>
            </w:pPr>
          </w:p>
        </w:tc>
        <w:tc>
          <w:tcPr>
            <w:tcW w:w="3118" w:type="dxa"/>
            <w:tcBorders>
              <w:top w:val="single" w:sz="4" w:space="0" w:color="000000"/>
              <w:left w:val="single" w:sz="4" w:space="0" w:color="000000"/>
              <w:bottom w:val="single" w:sz="4" w:space="0" w:color="000000"/>
              <w:right w:val="single" w:sz="4" w:space="0" w:color="000000"/>
            </w:tcBorders>
          </w:tcPr>
          <w:p w14:paraId="360C0311" w14:textId="77777777" w:rsidR="00FE291A" w:rsidRDefault="00FE291A">
            <w:pPr>
              <w:keepNext/>
              <w:widowControl/>
              <w:suppressAutoHyphens/>
              <w:jc w:val="center"/>
              <w:rPr>
                <w:sz w:val="22"/>
                <w:lang w:val="de-DE"/>
              </w:rPr>
            </w:pPr>
          </w:p>
        </w:tc>
      </w:tr>
      <w:tr w:rsidR="00FE291A" w14:paraId="2077B4EE" w14:textId="77777777">
        <w:trPr>
          <w:cantSplit/>
        </w:trPr>
        <w:tc>
          <w:tcPr>
            <w:tcW w:w="2748" w:type="dxa"/>
            <w:tcBorders>
              <w:top w:val="single" w:sz="4" w:space="0" w:color="000000"/>
              <w:left w:val="single" w:sz="4" w:space="0" w:color="000000"/>
              <w:bottom w:val="single" w:sz="4" w:space="0" w:color="000000"/>
              <w:right w:val="single" w:sz="4" w:space="0" w:color="000000"/>
            </w:tcBorders>
          </w:tcPr>
          <w:p w14:paraId="40B173AE" w14:textId="77777777" w:rsidR="00FE291A" w:rsidRDefault="00C8738F">
            <w:pPr>
              <w:pStyle w:val="TableParagraph"/>
              <w:keepNext/>
              <w:widowControl/>
              <w:suppressAutoHyphens/>
              <w:kinsoku w:val="0"/>
              <w:overflowPunct w:val="0"/>
              <w:ind w:firstLine="600"/>
              <w:rPr>
                <w:sz w:val="22"/>
                <w:lang w:val="de-DE"/>
              </w:rPr>
            </w:pPr>
            <w:r>
              <w:rPr>
                <w:sz w:val="22"/>
                <w:szCs w:val="22"/>
                <w:lang w:val="de-DE"/>
              </w:rPr>
              <w:t>Woche 2</w:t>
            </w:r>
          </w:p>
        </w:tc>
        <w:tc>
          <w:tcPr>
            <w:tcW w:w="3206" w:type="dxa"/>
            <w:tcBorders>
              <w:top w:val="single" w:sz="4" w:space="0" w:color="000000"/>
              <w:left w:val="single" w:sz="4" w:space="0" w:color="000000"/>
              <w:bottom w:val="single" w:sz="4" w:space="0" w:color="000000"/>
              <w:right w:val="single" w:sz="4" w:space="0" w:color="000000"/>
            </w:tcBorders>
          </w:tcPr>
          <w:p w14:paraId="72AFBBB1" w14:textId="77777777" w:rsidR="00FE291A" w:rsidRDefault="00C8738F">
            <w:pPr>
              <w:pStyle w:val="TableParagraph"/>
              <w:keepNext/>
              <w:widowControl/>
              <w:suppressAutoHyphens/>
              <w:kinsoku w:val="0"/>
              <w:overflowPunct w:val="0"/>
              <w:jc w:val="center"/>
              <w:rPr>
                <w:sz w:val="22"/>
                <w:lang w:val="de-DE"/>
              </w:rPr>
            </w:pPr>
            <w:r>
              <w:rPr>
                <w:sz w:val="22"/>
                <w:szCs w:val="22"/>
                <w:lang w:val="de-DE"/>
              </w:rPr>
              <w:t>0 %</w:t>
            </w:r>
          </w:p>
        </w:tc>
        <w:tc>
          <w:tcPr>
            <w:tcW w:w="3118" w:type="dxa"/>
            <w:tcBorders>
              <w:top w:val="single" w:sz="4" w:space="0" w:color="000000"/>
              <w:left w:val="single" w:sz="4" w:space="0" w:color="000000"/>
              <w:bottom w:val="single" w:sz="4" w:space="0" w:color="000000"/>
              <w:right w:val="single" w:sz="4" w:space="0" w:color="000000"/>
            </w:tcBorders>
          </w:tcPr>
          <w:p w14:paraId="5AC05B34" w14:textId="77777777" w:rsidR="00FE291A" w:rsidRDefault="00C8738F">
            <w:pPr>
              <w:pStyle w:val="TableParagraph"/>
              <w:keepNext/>
              <w:widowControl/>
              <w:suppressAutoHyphens/>
              <w:kinsoku w:val="0"/>
              <w:overflowPunct w:val="0"/>
              <w:jc w:val="center"/>
              <w:rPr>
                <w:sz w:val="22"/>
                <w:lang w:val="de-DE"/>
              </w:rPr>
            </w:pPr>
            <w:r>
              <w:rPr>
                <w:sz w:val="22"/>
                <w:szCs w:val="22"/>
                <w:lang w:val="de-DE"/>
              </w:rPr>
              <w:t>7 %**</w:t>
            </w:r>
          </w:p>
        </w:tc>
      </w:tr>
      <w:tr w:rsidR="00FE291A" w14:paraId="124BBD46" w14:textId="77777777">
        <w:trPr>
          <w:cantSplit/>
        </w:trPr>
        <w:tc>
          <w:tcPr>
            <w:tcW w:w="2748" w:type="dxa"/>
            <w:tcBorders>
              <w:top w:val="single" w:sz="4" w:space="0" w:color="000000"/>
              <w:left w:val="single" w:sz="4" w:space="0" w:color="000000"/>
              <w:bottom w:val="single" w:sz="4" w:space="0" w:color="000000"/>
              <w:right w:val="single" w:sz="4" w:space="0" w:color="000000"/>
            </w:tcBorders>
          </w:tcPr>
          <w:p w14:paraId="2B64DC8A" w14:textId="77777777" w:rsidR="00FE291A" w:rsidRDefault="00C8738F">
            <w:pPr>
              <w:pStyle w:val="TableParagraph"/>
              <w:keepNext/>
              <w:widowControl/>
              <w:suppressAutoHyphens/>
              <w:kinsoku w:val="0"/>
              <w:overflowPunct w:val="0"/>
              <w:ind w:firstLine="600"/>
              <w:rPr>
                <w:sz w:val="22"/>
                <w:lang w:val="de-DE"/>
              </w:rPr>
            </w:pPr>
            <w:r>
              <w:rPr>
                <w:sz w:val="22"/>
                <w:szCs w:val="22"/>
                <w:lang w:val="de-DE"/>
              </w:rPr>
              <w:t>Woche 12</w:t>
            </w:r>
          </w:p>
        </w:tc>
        <w:tc>
          <w:tcPr>
            <w:tcW w:w="3206" w:type="dxa"/>
            <w:tcBorders>
              <w:top w:val="single" w:sz="4" w:space="0" w:color="000000"/>
              <w:left w:val="single" w:sz="4" w:space="0" w:color="000000"/>
              <w:bottom w:val="single" w:sz="4" w:space="0" w:color="000000"/>
              <w:right w:val="single" w:sz="4" w:space="0" w:color="000000"/>
            </w:tcBorders>
          </w:tcPr>
          <w:p w14:paraId="576D57F3" w14:textId="77777777" w:rsidR="00FE291A" w:rsidRDefault="00C8738F">
            <w:pPr>
              <w:pStyle w:val="TableParagraph"/>
              <w:keepNext/>
              <w:widowControl/>
              <w:suppressAutoHyphens/>
              <w:kinsoku w:val="0"/>
              <w:overflowPunct w:val="0"/>
              <w:jc w:val="center"/>
              <w:rPr>
                <w:sz w:val="22"/>
                <w:lang w:val="de-DE"/>
              </w:rPr>
            </w:pPr>
            <w:r>
              <w:rPr>
                <w:sz w:val="22"/>
                <w:szCs w:val="22"/>
                <w:lang w:val="de-DE"/>
              </w:rPr>
              <w:t>5 %</w:t>
            </w:r>
          </w:p>
        </w:tc>
        <w:tc>
          <w:tcPr>
            <w:tcW w:w="3118" w:type="dxa"/>
            <w:tcBorders>
              <w:top w:val="single" w:sz="4" w:space="0" w:color="000000"/>
              <w:left w:val="single" w:sz="4" w:space="0" w:color="000000"/>
              <w:bottom w:val="single" w:sz="4" w:space="0" w:color="000000"/>
              <w:right w:val="single" w:sz="4" w:space="0" w:color="000000"/>
            </w:tcBorders>
          </w:tcPr>
          <w:p w14:paraId="18D3D980" w14:textId="77777777" w:rsidR="00FE291A" w:rsidRDefault="00C8738F">
            <w:pPr>
              <w:pStyle w:val="TableParagraph"/>
              <w:keepNext/>
              <w:widowControl/>
              <w:suppressAutoHyphens/>
              <w:kinsoku w:val="0"/>
              <w:overflowPunct w:val="0"/>
              <w:jc w:val="center"/>
              <w:rPr>
                <w:sz w:val="22"/>
                <w:lang w:val="de-DE"/>
              </w:rPr>
            </w:pPr>
            <w:r>
              <w:rPr>
                <w:sz w:val="22"/>
                <w:szCs w:val="22"/>
                <w:lang w:val="de-DE"/>
              </w:rPr>
              <w:t>23 %***</w:t>
            </w:r>
          </w:p>
        </w:tc>
      </w:tr>
      <w:tr w:rsidR="00FE291A" w14:paraId="7FCCD1AA" w14:textId="77777777">
        <w:trPr>
          <w:cantSplit/>
        </w:trPr>
        <w:tc>
          <w:tcPr>
            <w:tcW w:w="2748" w:type="dxa"/>
            <w:tcBorders>
              <w:top w:val="single" w:sz="4" w:space="0" w:color="000000"/>
              <w:left w:val="single" w:sz="4" w:space="0" w:color="000000"/>
              <w:bottom w:val="single" w:sz="4" w:space="0" w:color="000000"/>
              <w:right w:val="single" w:sz="4" w:space="0" w:color="000000"/>
            </w:tcBorders>
          </w:tcPr>
          <w:p w14:paraId="7EA8DBA0" w14:textId="77777777" w:rsidR="00FE291A" w:rsidRDefault="00C8738F">
            <w:pPr>
              <w:pStyle w:val="TableParagraph"/>
              <w:widowControl/>
              <w:suppressAutoHyphens/>
              <w:kinsoku w:val="0"/>
              <w:overflowPunct w:val="0"/>
              <w:ind w:firstLine="600"/>
              <w:rPr>
                <w:sz w:val="22"/>
                <w:lang w:val="de-DE"/>
              </w:rPr>
            </w:pPr>
            <w:r>
              <w:rPr>
                <w:sz w:val="22"/>
                <w:szCs w:val="22"/>
                <w:lang w:val="de-DE"/>
              </w:rPr>
              <w:t>Woche 24</w:t>
            </w:r>
          </w:p>
        </w:tc>
        <w:tc>
          <w:tcPr>
            <w:tcW w:w="3206" w:type="dxa"/>
            <w:tcBorders>
              <w:top w:val="single" w:sz="4" w:space="0" w:color="000000"/>
              <w:left w:val="single" w:sz="4" w:space="0" w:color="000000"/>
              <w:bottom w:val="single" w:sz="4" w:space="0" w:color="000000"/>
              <w:right w:val="single" w:sz="4" w:space="0" w:color="000000"/>
            </w:tcBorders>
          </w:tcPr>
          <w:p w14:paraId="2EFE87FB" w14:textId="77777777" w:rsidR="00FE291A" w:rsidRDefault="00C8738F">
            <w:pPr>
              <w:pStyle w:val="TableParagraph"/>
              <w:widowControl/>
              <w:suppressAutoHyphens/>
              <w:kinsoku w:val="0"/>
              <w:overflowPunct w:val="0"/>
              <w:jc w:val="center"/>
              <w:rPr>
                <w:sz w:val="22"/>
                <w:lang w:val="de-DE"/>
              </w:rPr>
            </w:pPr>
            <w:r>
              <w:rPr>
                <w:sz w:val="22"/>
                <w:szCs w:val="22"/>
                <w:lang w:val="de-DE"/>
              </w:rPr>
              <w:t>8 %</w:t>
            </w:r>
          </w:p>
        </w:tc>
        <w:tc>
          <w:tcPr>
            <w:tcW w:w="3118" w:type="dxa"/>
            <w:tcBorders>
              <w:top w:val="single" w:sz="4" w:space="0" w:color="000000"/>
              <w:left w:val="single" w:sz="4" w:space="0" w:color="000000"/>
              <w:bottom w:val="single" w:sz="4" w:space="0" w:color="000000"/>
              <w:right w:val="single" w:sz="4" w:space="0" w:color="000000"/>
            </w:tcBorders>
          </w:tcPr>
          <w:p w14:paraId="75B36F96" w14:textId="77777777" w:rsidR="00FE291A" w:rsidRDefault="00C8738F">
            <w:pPr>
              <w:pStyle w:val="TableParagraph"/>
              <w:widowControl/>
              <w:suppressAutoHyphens/>
              <w:kinsoku w:val="0"/>
              <w:overflowPunct w:val="0"/>
              <w:jc w:val="center"/>
              <w:rPr>
                <w:sz w:val="22"/>
                <w:lang w:val="de-DE"/>
              </w:rPr>
            </w:pPr>
            <w:r>
              <w:rPr>
                <w:sz w:val="22"/>
                <w:szCs w:val="22"/>
                <w:lang w:val="de-DE"/>
              </w:rPr>
              <w:t>24 %***</w:t>
            </w:r>
          </w:p>
        </w:tc>
      </w:tr>
      <w:tr w:rsidR="00FE291A" w14:paraId="6A20BB56" w14:textId="77777777">
        <w:trPr>
          <w:cantSplit/>
        </w:trPr>
        <w:tc>
          <w:tcPr>
            <w:tcW w:w="2748" w:type="dxa"/>
            <w:tcBorders>
              <w:top w:val="single" w:sz="4" w:space="0" w:color="000000"/>
              <w:left w:val="single" w:sz="4" w:space="0" w:color="000000"/>
              <w:bottom w:val="single" w:sz="4" w:space="0" w:color="000000"/>
              <w:right w:val="single" w:sz="4" w:space="0" w:color="000000"/>
            </w:tcBorders>
          </w:tcPr>
          <w:p w14:paraId="6F94507B" w14:textId="77777777" w:rsidR="00FE291A" w:rsidRDefault="00C8738F">
            <w:pPr>
              <w:pStyle w:val="TableParagraph"/>
              <w:keepNext/>
              <w:widowControl/>
              <w:suppressAutoHyphens/>
              <w:kinsoku w:val="0"/>
              <w:overflowPunct w:val="0"/>
              <w:rPr>
                <w:sz w:val="22"/>
                <w:lang w:val="de-DE"/>
              </w:rPr>
            </w:pPr>
            <w:r>
              <w:rPr>
                <w:sz w:val="22"/>
                <w:szCs w:val="22"/>
                <w:lang w:val="de-DE"/>
              </w:rPr>
              <w:t>BASDAI</w:t>
            </w:r>
            <w:r>
              <w:rPr>
                <w:sz w:val="22"/>
                <w:szCs w:val="22"/>
                <w:vertAlign w:val="superscript"/>
                <w:lang w:val="de-DE"/>
              </w:rPr>
              <w:t>b</w:t>
            </w:r>
            <w:r>
              <w:rPr>
                <w:sz w:val="22"/>
                <w:szCs w:val="22"/>
                <w:lang w:val="de-DE"/>
              </w:rPr>
              <w:t>-50</w:t>
            </w:r>
          </w:p>
        </w:tc>
        <w:tc>
          <w:tcPr>
            <w:tcW w:w="3206" w:type="dxa"/>
            <w:tcBorders>
              <w:top w:val="single" w:sz="4" w:space="0" w:color="000000"/>
              <w:left w:val="single" w:sz="4" w:space="0" w:color="000000"/>
              <w:bottom w:val="single" w:sz="4" w:space="0" w:color="000000"/>
              <w:right w:val="single" w:sz="4" w:space="0" w:color="000000"/>
            </w:tcBorders>
          </w:tcPr>
          <w:p w14:paraId="27E063EA" w14:textId="77777777" w:rsidR="00FE291A" w:rsidRDefault="00FE291A">
            <w:pPr>
              <w:keepNext/>
              <w:widowControl/>
              <w:suppressAutoHyphens/>
              <w:rPr>
                <w:sz w:val="22"/>
                <w:lang w:val="de-DE"/>
              </w:rPr>
            </w:pPr>
          </w:p>
        </w:tc>
        <w:tc>
          <w:tcPr>
            <w:tcW w:w="3118" w:type="dxa"/>
            <w:tcBorders>
              <w:top w:val="single" w:sz="4" w:space="0" w:color="000000"/>
              <w:left w:val="single" w:sz="4" w:space="0" w:color="000000"/>
              <w:bottom w:val="single" w:sz="4" w:space="0" w:color="000000"/>
              <w:right w:val="single" w:sz="4" w:space="0" w:color="000000"/>
            </w:tcBorders>
          </w:tcPr>
          <w:p w14:paraId="6665CAC4" w14:textId="77777777" w:rsidR="00FE291A" w:rsidRDefault="00FE291A">
            <w:pPr>
              <w:keepNext/>
              <w:widowControl/>
              <w:suppressAutoHyphens/>
              <w:jc w:val="center"/>
              <w:rPr>
                <w:sz w:val="22"/>
                <w:lang w:val="de-DE"/>
              </w:rPr>
            </w:pPr>
          </w:p>
        </w:tc>
      </w:tr>
      <w:tr w:rsidR="00FE291A" w14:paraId="7AFEE7B6" w14:textId="77777777">
        <w:trPr>
          <w:cantSplit/>
        </w:trPr>
        <w:tc>
          <w:tcPr>
            <w:tcW w:w="2748" w:type="dxa"/>
            <w:tcBorders>
              <w:top w:val="single" w:sz="4" w:space="0" w:color="000000"/>
              <w:left w:val="single" w:sz="4" w:space="0" w:color="000000"/>
              <w:bottom w:val="single" w:sz="4" w:space="0" w:color="000000"/>
              <w:right w:val="single" w:sz="4" w:space="0" w:color="000000"/>
            </w:tcBorders>
          </w:tcPr>
          <w:p w14:paraId="04BFAEEF" w14:textId="77777777" w:rsidR="00FE291A" w:rsidRDefault="00C8738F">
            <w:pPr>
              <w:pStyle w:val="TableParagraph"/>
              <w:keepNext/>
              <w:widowControl/>
              <w:suppressAutoHyphens/>
              <w:kinsoku w:val="0"/>
              <w:overflowPunct w:val="0"/>
              <w:ind w:firstLine="600"/>
              <w:rPr>
                <w:sz w:val="22"/>
                <w:lang w:val="de-DE"/>
              </w:rPr>
            </w:pPr>
            <w:r>
              <w:rPr>
                <w:sz w:val="22"/>
                <w:szCs w:val="22"/>
                <w:lang w:val="de-DE"/>
              </w:rPr>
              <w:t>Woche 2</w:t>
            </w:r>
          </w:p>
        </w:tc>
        <w:tc>
          <w:tcPr>
            <w:tcW w:w="3206" w:type="dxa"/>
            <w:tcBorders>
              <w:top w:val="single" w:sz="4" w:space="0" w:color="000000"/>
              <w:left w:val="single" w:sz="4" w:space="0" w:color="000000"/>
              <w:bottom w:val="single" w:sz="4" w:space="0" w:color="000000"/>
              <w:right w:val="single" w:sz="4" w:space="0" w:color="000000"/>
            </w:tcBorders>
          </w:tcPr>
          <w:p w14:paraId="48A6AE63" w14:textId="77777777" w:rsidR="00FE291A" w:rsidRDefault="00C8738F">
            <w:pPr>
              <w:pStyle w:val="TableParagraph"/>
              <w:keepNext/>
              <w:widowControl/>
              <w:suppressAutoHyphens/>
              <w:kinsoku w:val="0"/>
              <w:overflowPunct w:val="0"/>
              <w:jc w:val="center"/>
              <w:rPr>
                <w:sz w:val="22"/>
                <w:lang w:val="de-DE"/>
              </w:rPr>
            </w:pPr>
            <w:r>
              <w:rPr>
                <w:sz w:val="22"/>
                <w:szCs w:val="22"/>
                <w:lang w:val="de-DE"/>
              </w:rPr>
              <w:t>4 %</w:t>
            </w:r>
          </w:p>
        </w:tc>
        <w:tc>
          <w:tcPr>
            <w:tcW w:w="3118" w:type="dxa"/>
            <w:tcBorders>
              <w:top w:val="single" w:sz="4" w:space="0" w:color="000000"/>
              <w:left w:val="single" w:sz="4" w:space="0" w:color="000000"/>
              <w:bottom w:val="single" w:sz="4" w:space="0" w:color="000000"/>
              <w:right w:val="single" w:sz="4" w:space="0" w:color="000000"/>
            </w:tcBorders>
          </w:tcPr>
          <w:p w14:paraId="3D7CE235" w14:textId="77777777" w:rsidR="00FE291A" w:rsidRDefault="00C8738F">
            <w:pPr>
              <w:pStyle w:val="TableParagraph"/>
              <w:keepNext/>
              <w:widowControl/>
              <w:suppressAutoHyphens/>
              <w:kinsoku w:val="0"/>
              <w:overflowPunct w:val="0"/>
              <w:jc w:val="center"/>
              <w:rPr>
                <w:sz w:val="22"/>
                <w:lang w:val="de-DE"/>
              </w:rPr>
            </w:pPr>
            <w:r>
              <w:rPr>
                <w:sz w:val="22"/>
                <w:szCs w:val="22"/>
                <w:lang w:val="de-DE"/>
              </w:rPr>
              <w:t>20 %***</w:t>
            </w:r>
          </w:p>
        </w:tc>
      </w:tr>
      <w:tr w:rsidR="00FE291A" w14:paraId="5DDDDB18" w14:textId="77777777">
        <w:trPr>
          <w:cantSplit/>
        </w:trPr>
        <w:tc>
          <w:tcPr>
            <w:tcW w:w="2748" w:type="dxa"/>
            <w:tcBorders>
              <w:top w:val="single" w:sz="4" w:space="0" w:color="000000"/>
              <w:left w:val="single" w:sz="4" w:space="0" w:color="000000"/>
              <w:bottom w:val="single" w:sz="4" w:space="0" w:color="000000"/>
              <w:right w:val="single" w:sz="4" w:space="0" w:color="000000"/>
            </w:tcBorders>
          </w:tcPr>
          <w:p w14:paraId="200C36DE" w14:textId="77777777" w:rsidR="00FE291A" w:rsidRDefault="00C8738F">
            <w:pPr>
              <w:pStyle w:val="TableParagraph"/>
              <w:keepNext/>
              <w:widowControl/>
              <w:suppressAutoHyphens/>
              <w:kinsoku w:val="0"/>
              <w:overflowPunct w:val="0"/>
              <w:ind w:firstLine="600"/>
              <w:rPr>
                <w:sz w:val="22"/>
                <w:lang w:val="de-DE"/>
              </w:rPr>
            </w:pPr>
            <w:r>
              <w:rPr>
                <w:sz w:val="22"/>
                <w:szCs w:val="22"/>
                <w:lang w:val="de-DE"/>
              </w:rPr>
              <w:t>Woche 12</w:t>
            </w:r>
          </w:p>
        </w:tc>
        <w:tc>
          <w:tcPr>
            <w:tcW w:w="3206" w:type="dxa"/>
            <w:tcBorders>
              <w:top w:val="single" w:sz="4" w:space="0" w:color="000000"/>
              <w:left w:val="single" w:sz="4" w:space="0" w:color="000000"/>
              <w:bottom w:val="single" w:sz="4" w:space="0" w:color="000000"/>
              <w:right w:val="single" w:sz="4" w:space="0" w:color="000000"/>
            </w:tcBorders>
          </w:tcPr>
          <w:p w14:paraId="0FA19EF8" w14:textId="77777777" w:rsidR="00FE291A" w:rsidRDefault="00C8738F">
            <w:pPr>
              <w:pStyle w:val="TableParagraph"/>
              <w:keepNext/>
              <w:widowControl/>
              <w:suppressAutoHyphens/>
              <w:kinsoku w:val="0"/>
              <w:overflowPunct w:val="0"/>
              <w:jc w:val="center"/>
              <w:rPr>
                <w:sz w:val="22"/>
                <w:lang w:val="de-DE"/>
              </w:rPr>
            </w:pPr>
            <w:r>
              <w:rPr>
                <w:sz w:val="22"/>
                <w:szCs w:val="22"/>
                <w:lang w:val="de-DE"/>
              </w:rPr>
              <w:t>16 %</w:t>
            </w:r>
          </w:p>
        </w:tc>
        <w:tc>
          <w:tcPr>
            <w:tcW w:w="3118" w:type="dxa"/>
            <w:tcBorders>
              <w:top w:val="single" w:sz="4" w:space="0" w:color="000000"/>
              <w:left w:val="single" w:sz="4" w:space="0" w:color="000000"/>
              <w:bottom w:val="single" w:sz="4" w:space="0" w:color="000000"/>
              <w:right w:val="single" w:sz="4" w:space="0" w:color="000000"/>
            </w:tcBorders>
          </w:tcPr>
          <w:p w14:paraId="465C4C09" w14:textId="77777777" w:rsidR="00FE291A" w:rsidRDefault="00C8738F">
            <w:pPr>
              <w:pStyle w:val="TableParagraph"/>
              <w:keepNext/>
              <w:widowControl/>
              <w:suppressAutoHyphens/>
              <w:kinsoku w:val="0"/>
              <w:overflowPunct w:val="0"/>
              <w:jc w:val="center"/>
              <w:rPr>
                <w:sz w:val="22"/>
                <w:lang w:val="de-DE"/>
              </w:rPr>
            </w:pPr>
            <w:r>
              <w:rPr>
                <w:sz w:val="22"/>
                <w:szCs w:val="22"/>
                <w:lang w:val="de-DE"/>
              </w:rPr>
              <w:t>45 %***</w:t>
            </w:r>
          </w:p>
        </w:tc>
      </w:tr>
      <w:tr w:rsidR="00FE291A" w14:paraId="36C54399" w14:textId="77777777">
        <w:trPr>
          <w:cantSplit/>
        </w:trPr>
        <w:tc>
          <w:tcPr>
            <w:tcW w:w="2748" w:type="dxa"/>
            <w:tcBorders>
              <w:top w:val="single" w:sz="4" w:space="0" w:color="000000"/>
              <w:left w:val="single" w:sz="4" w:space="0" w:color="000000"/>
              <w:bottom w:val="single" w:sz="4" w:space="0" w:color="000000"/>
              <w:right w:val="single" w:sz="4" w:space="0" w:color="000000"/>
            </w:tcBorders>
          </w:tcPr>
          <w:p w14:paraId="232B2227" w14:textId="77777777" w:rsidR="00FE291A" w:rsidRDefault="00C8738F">
            <w:pPr>
              <w:pStyle w:val="TableParagraph"/>
              <w:keepNext/>
              <w:widowControl/>
              <w:suppressAutoHyphens/>
              <w:kinsoku w:val="0"/>
              <w:overflowPunct w:val="0"/>
              <w:ind w:firstLine="600"/>
              <w:rPr>
                <w:sz w:val="22"/>
                <w:lang w:val="de-DE"/>
              </w:rPr>
            </w:pPr>
            <w:r>
              <w:rPr>
                <w:sz w:val="22"/>
                <w:szCs w:val="22"/>
                <w:lang w:val="de-DE"/>
              </w:rPr>
              <w:t>Woche 24</w:t>
            </w:r>
          </w:p>
        </w:tc>
        <w:tc>
          <w:tcPr>
            <w:tcW w:w="3206" w:type="dxa"/>
            <w:tcBorders>
              <w:top w:val="single" w:sz="4" w:space="0" w:color="000000"/>
              <w:left w:val="single" w:sz="4" w:space="0" w:color="000000"/>
              <w:bottom w:val="single" w:sz="4" w:space="0" w:color="000000"/>
              <w:right w:val="single" w:sz="4" w:space="0" w:color="000000"/>
            </w:tcBorders>
          </w:tcPr>
          <w:p w14:paraId="48CA045D" w14:textId="77777777" w:rsidR="00FE291A" w:rsidRDefault="00C8738F">
            <w:pPr>
              <w:pStyle w:val="TableParagraph"/>
              <w:keepNext/>
              <w:widowControl/>
              <w:suppressAutoHyphens/>
              <w:kinsoku w:val="0"/>
              <w:overflowPunct w:val="0"/>
              <w:jc w:val="center"/>
              <w:rPr>
                <w:sz w:val="22"/>
                <w:lang w:val="de-DE"/>
              </w:rPr>
            </w:pPr>
            <w:r>
              <w:rPr>
                <w:sz w:val="22"/>
                <w:szCs w:val="22"/>
                <w:lang w:val="de-DE"/>
              </w:rPr>
              <w:t>15 %</w:t>
            </w:r>
          </w:p>
        </w:tc>
        <w:tc>
          <w:tcPr>
            <w:tcW w:w="3118" w:type="dxa"/>
            <w:tcBorders>
              <w:top w:val="single" w:sz="4" w:space="0" w:color="000000"/>
              <w:left w:val="single" w:sz="4" w:space="0" w:color="000000"/>
              <w:bottom w:val="single" w:sz="4" w:space="0" w:color="000000"/>
              <w:right w:val="single" w:sz="4" w:space="0" w:color="000000"/>
            </w:tcBorders>
          </w:tcPr>
          <w:p w14:paraId="09164798" w14:textId="77777777" w:rsidR="00FE291A" w:rsidRDefault="00C8738F">
            <w:pPr>
              <w:pStyle w:val="TableParagraph"/>
              <w:keepNext/>
              <w:widowControl/>
              <w:suppressAutoHyphens/>
              <w:kinsoku w:val="0"/>
              <w:overflowPunct w:val="0"/>
              <w:jc w:val="center"/>
              <w:rPr>
                <w:sz w:val="22"/>
                <w:lang w:val="de-DE"/>
              </w:rPr>
            </w:pPr>
            <w:r>
              <w:rPr>
                <w:sz w:val="22"/>
                <w:szCs w:val="22"/>
                <w:lang w:val="de-DE"/>
              </w:rPr>
              <w:t>42 %***</w:t>
            </w:r>
          </w:p>
        </w:tc>
      </w:tr>
    </w:tbl>
    <w:p w14:paraId="48BF12F5" w14:textId="77777777" w:rsidR="00FE291A" w:rsidRDefault="00C8738F">
      <w:pPr>
        <w:pStyle w:val="BodyText"/>
        <w:widowControl/>
        <w:kinsoku w:val="0"/>
        <w:overflowPunct w:val="0"/>
        <w:ind w:left="0"/>
        <w:rPr>
          <w:sz w:val="20"/>
          <w:szCs w:val="20"/>
          <w:lang w:val="de-DE"/>
        </w:rPr>
      </w:pPr>
      <w:r>
        <w:rPr>
          <w:sz w:val="20"/>
          <w:szCs w:val="20"/>
          <w:lang w:val="de-DE"/>
        </w:rPr>
        <w:t>***, ** statistisch signifikant mit p &lt; 0,001; &lt; 0,01 für alle Vergleiche von Adalimumab mit Placebo in den Wochen 2, 12 und 24</w:t>
      </w:r>
    </w:p>
    <w:p w14:paraId="65471AB1" w14:textId="77777777" w:rsidR="00FE291A" w:rsidRDefault="00C8738F">
      <w:pPr>
        <w:widowControl/>
        <w:tabs>
          <w:tab w:val="left" w:pos="1536"/>
        </w:tabs>
        <w:kinsoku w:val="0"/>
        <w:overflowPunct w:val="0"/>
        <w:rPr>
          <w:sz w:val="20"/>
          <w:szCs w:val="20"/>
          <w:lang w:val="en-US"/>
        </w:rPr>
      </w:pPr>
      <w:r>
        <w:rPr>
          <w:iCs/>
          <w:sz w:val="20"/>
          <w:szCs w:val="20"/>
          <w:vertAlign w:val="superscript"/>
          <w:lang w:val="en-US"/>
        </w:rPr>
        <w:t>a</w:t>
      </w:r>
      <w:r>
        <w:rPr>
          <w:i/>
          <w:iCs/>
          <w:sz w:val="20"/>
          <w:szCs w:val="20"/>
          <w:lang w:val="en-US"/>
        </w:rPr>
        <w:t xml:space="preserve"> Assessments in Ankylosing Spondylitis</w:t>
      </w:r>
    </w:p>
    <w:p w14:paraId="73D7E265" w14:textId="77777777" w:rsidR="00FE291A" w:rsidRDefault="00C8738F">
      <w:pPr>
        <w:widowControl/>
        <w:tabs>
          <w:tab w:val="left" w:pos="1536"/>
        </w:tabs>
        <w:kinsoku w:val="0"/>
        <w:overflowPunct w:val="0"/>
        <w:rPr>
          <w:sz w:val="20"/>
          <w:szCs w:val="20"/>
          <w:lang w:val="en-US"/>
        </w:rPr>
      </w:pPr>
      <w:r>
        <w:rPr>
          <w:iCs/>
          <w:sz w:val="20"/>
          <w:szCs w:val="20"/>
          <w:vertAlign w:val="superscript"/>
          <w:lang w:val="en-US"/>
        </w:rPr>
        <w:t>b</w:t>
      </w:r>
      <w:r>
        <w:rPr>
          <w:i/>
          <w:iCs/>
          <w:sz w:val="20"/>
          <w:szCs w:val="20"/>
          <w:lang w:val="en-US"/>
        </w:rPr>
        <w:t xml:space="preserve"> Bath Ankylosing Spondylitis Disease Activity Index</w:t>
      </w:r>
    </w:p>
    <w:p w14:paraId="3C1544B0" w14:textId="77777777" w:rsidR="00FE291A" w:rsidRDefault="00FE291A">
      <w:pPr>
        <w:widowControl/>
        <w:kinsoku w:val="0"/>
        <w:overflowPunct w:val="0"/>
        <w:rPr>
          <w:sz w:val="22"/>
          <w:szCs w:val="22"/>
          <w:lang w:val="en-US"/>
        </w:rPr>
      </w:pPr>
    </w:p>
    <w:p w14:paraId="16F8E17E" w14:textId="77777777" w:rsidR="00FE291A" w:rsidRPr="00211AE1" w:rsidRDefault="00C8738F">
      <w:pPr>
        <w:pStyle w:val="BodyText"/>
        <w:widowControl/>
        <w:kinsoku w:val="0"/>
        <w:overflowPunct w:val="0"/>
        <w:ind w:left="0"/>
        <w:rPr>
          <w:lang w:val="de-DE"/>
        </w:rPr>
      </w:pPr>
      <w:r w:rsidRPr="00211AE1">
        <w:rPr>
          <w:lang w:val="de-DE"/>
        </w:rPr>
        <w:t>Mit Adalimumab behandelte Patienten zeigten eine signifikant größere Verbesserung in Woche 12, die über 24 Wochen aufrechterhalten wurde, sowohl im SF 36 als auch im Fragebogen zur Lebensqualität bei ankylosierender Spondylitis [</w:t>
      </w:r>
      <w:r w:rsidRPr="00211AE1">
        <w:rPr>
          <w:i/>
          <w:iCs/>
          <w:lang w:val="de-DE"/>
        </w:rPr>
        <w:t xml:space="preserve">Ankylosing Spondylitis Quality of Life Questionnaire </w:t>
      </w:r>
      <w:r w:rsidRPr="00211AE1">
        <w:rPr>
          <w:lang w:val="de-DE"/>
        </w:rPr>
        <w:t>(ASQoL)].</w:t>
      </w:r>
    </w:p>
    <w:p w14:paraId="64EF522C" w14:textId="77777777" w:rsidR="00FE291A" w:rsidRPr="00211AE1" w:rsidRDefault="00FE291A">
      <w:pPr>
        <w:widowControl/>
        <w:kinsoku w:val="0"/>
        <w:overflowPunct w:val="0"/>
        <w:rPr>
          <w:sz w:val="22"/>
          <w:szCs w:val="22"/>
          <w:lang w:val="de-DE"/>
        </w:rPr>
      </w:pPr>
    </w:p>
    <w:p w14:paraId="4C30530D" w14:textId="77777777" w:rsidR="00FE291A" w:rsidRDefault="00C8738F">
      <w:pPr>
        <w:pStyle w:val="BodyText"/>
        <w:widowControl/>
        <w:kinsoku w:val="0"/>
        <w:overflowPunct w:val="0"/>
        <w:ind w:left="0"/>
        <w:rPr>
          <w:lang w:val="de-DE"/>
        </w:rPr>
      </w:pPr>
      <w:r>
        <w:rPr>
          <w:lang w:val="de-DE"/>
        </w:rPr>
        <w:t>Ähnliche Verläufe (nicht alle mit statistischer Signifikanz) wurden in der kleineren randomisierten, doppelblinden placebokontrollierten AS-Studie II mit 82 erwachsenen Patienten mit aktiver ankylosierender Spondylitis beobachtet.</w:t>
      </w:r>
    </w:p>
    <w:p w14:paraId="74EEF73B" w14:textId="77777777" w:rsidR="00FE291A" w:rsidRDefault="00FE291A">
      <w:pPr>
        <w:widowControl/>
        <w:kinsoku w:val="0"/>
        <w:overflowPunct w:val="0"/>
        <w:rPr>
          <w:sz w:val="22"/>
          <w:szCs w:val="22"/>
          <w:lang w:val="de-DE"/>
        </w:rPr>
      </w:pPr>
    </w:p>
    <w:p w14:paraId="0E8F86A7" w14:textId="77777777" w:rsidR="00FE291A" w:rsidRDefault="00C8738F">
      <w:pPr>
        <w:keepNext/>
        <w:widowControl/>
        <w:kinsoku w:val="0"/>
        <w:overflowPunct w:val="0"/>
        <w:rPr>
          <w:sz w:val="22"/>
          <w:szCs w:val="22"/>
          <w:lang w:val="de-DE"/>
        </w:rPr>
      </w:pPr>
      <w:r>
        <w:rPr>
          <w:i/>
          <w:iCs/>
          <w:sz w:val="22"/>
          <w:szCs w:val="22"/>
          <w:u w:val="single"/>
          <w:lang w:val="de-DE"/>
        </w:rPr>
        <w:t>Axiale Spondyloarthritis ohne Röntgennachweis einer AS</w:t>
      </w:r>
    </w:p>
    <w:p w14:paraId="332D5DA8" w14:textId="77777777" w:rsidR="00FE291A" w:rsidRDefault="00FE291A">
      <w:pPr>
        <w:pStyle w:val="BodyText"/>
        <w:keepNext/>
        <w:widowControl/>
        <w:kinsoku w:val="0"/>
        <w:overflowPunct w:val="0"/>
        <w:ind w:left="0"/>
        <w:rPr>
          <w:lang w:val="de-DE"/>
        </w:rPr>
      </w:pPr>
    </w:p>
    <w:p w14:paraId="6E6EB737" w14:textId="77777777" w:rsidR="00FE291A" w:rsidRDefault="00C8738F">
      <w:pPr>
        <w:pStyle w:val="BodyText"/>
        <w:widowControl/>
        <w:kinsoku w:val="0"/>
        <w:overflowPunct w:val="0"/>
        <w:ind w:left="0"/>
        <w:rPr>
          <w:lang w:val="de-DE"/>
        </w:rPr>
      </w:pPr>
      <w:r>
        <w:rPr>
          <w:lang w:val="de-DE"/>
        </w:rPr>
        <w:t>Die Sicherheit und Wirksamkeit von Adalimumab wurden in zwei randomisierten, doppelblinden, placebokontrollierten Studien bei Patienten mit nicht röntgenologischer axialer Spondyloarthritis (nr</w:t>
      </w:r>
      <w:r>
        <w:rPr>
          <w:lang w:val="de-DE"/>
        </w:rPr>
        <w:noBreakHyphen/>
        <w:t>axSpA) untersucht. In der nr</w:t>
      </w:r>
      <w:r>
        <w:rPr>
          <w:lang w:val="de-DE"/>
        </w:rPr>
        <w:noBreakHyphen/>
        <w:t>axSpA-Studie I wurden Patienten mit aktiver nr</w:t>
      </w:r>
      <w:r>
        <w:rPr>
          <w:lang w:val="de-DE"/>
        </w:rPr>
        <w:noBreakHyphen/>
        <w:t>axSpA eingeschlossen. Bei der nr</w:t>
      </w:r>
      <w:r>
        <w:rPr>
          <w:lang w:val="de-DE"/>
        </w:rPr>
        <w:noBreakHyphen/>
        <w:t>axSpA-Studie II handelte es sich um eine Studie, in der die Behandlung mit Adalimumab bei Patienten mit aktiver nr</w:t>
      </w:r>
      <w:r>
        <w:rPr>
          <w:lang w:val="de-DE"/>
        </w:rPr>
        <w:noBreakHyphen/>
        <w:t xml:space="preserve">axSpA abgesetzt wurde, wenn diese während der offenen Fortsetzungsphase eine Remission erreichten. </w:t>
      </w:r>
    </w:p>
    <w:p w14:paraId="2877BA3C" w14:textId="77777777" w:rsidR="00FE291A" w:rsidRDefault="00FE291A">
      <w:pPr>
        <w:pStyle w:val="BodyText"/>
        <w:widowControl/>
        <w:kinsoku w:val="0"/>
        <w:overflowPunct w:val="0"/>
        <w:ind w:left="0"/>
        <w:rPr>
          <w:lang w:val="de-DE"/>
        </w:rPr>
      </w:pPr>
    </w:p>
    <w:p w14:paraId="14305003" w14:textId="77777777" w:rsidR="00FE291A" w:rsidRDefault="00C8738F">
      <w:pPr>
        <w:pStyle w:val="BodyText"/>
        <w:keepNext/>
        <w:widowControl/>
        <w:kinsoku w:val="0"/>
        <w:overflowPunct w:val="0"/>
        <w:ind w:left="0"/>
        <w:rPr>
          <w:lang w:val="de-DE"/>
        </w:rPr>
      </w:pPr>
      <w:r>
        <w:rPr>
          <w:lang w:val="de-DE"/>
        </w:rPr>
        <w:t>nr</w:t>
      </w:r>
      <w:r>
        <w:rPr>
          <w:lang w:val="de-DE"/>
        </w:rPr>
        <w:noBreakHyphen/>
        <w:t>axSpA-Studie I</w:t>
      </w:r>
    </w:p>
    <w:p w14:paraId="1C7A501E" w14:textId="77777777" w:rsidR="00FE291A" w:rsidRDefault="00FE291A">
      <w:pPr>
        <w:pStyle w:val="BodyText"/>
        <w:keepNext/>
        <w:widowControl/>
        <w:kinsoku w:val="0"/>
        <w:overflowPunct w:val="0"/>
        <w:ind w:left="0"/>
        <w:rPr>
          <w:lang w:val="de-DE"/>
        </w:rPr>
      </w:pPr>
    </w:p>
    <w:p w14:paraId="1B605E40" w14:textId="77777777" w:rsidR="00FE291A" w:rsidRDefault="00C8738F">
      <w:pPr>
        <w:pStyle w:val="BodyText"/>
        <w:widowControl/>
        <w:kinsoku w:val="0"/>
        <w:overflowPunct w:val="0"/>
        <w:ind w:left="0"/>
        <w:rPr>
          <w:lang w:val="de-DE"/>
        </w:rPr>
      </w:pPr>
      <w:r>
        <w:rPr>
          <w:lang w:val="de-DE"/>
        </w:rPr>
        <w:t>In der randomisierten, 12-wöchigen, doppelblinden placebokontrollierten nr</w:t>
      </w:r>
      <w:r>
        <w:rPr>
          <w:lang w:val="de-DE"/>
        </w:rPr>
        <w:noBreakHyphen/>
        <w:t>axSpA-Studie I wurde Adalimumab in einer Dosierung von 40 mg jede zweite Woche bei 185 Patienten mit aktiver nr</w:t>
      </w:r>
      <w:r>
        <w:rPr>
          <w:lang w:val="de-DE"/>
        </w:rPr>
        <w:noBreakHyphen/>
        <w:t>axSpA untersucht, die auf ≥ 1 nicht steroidales Antirheumatikum (NSAR) unzureichend angesprochen haben oder bei denen eine Unverträglichkeit oder Kontraindikation gegenüber diesen vorlag. (Mittlerer Ausgangswert der Krankheitsaktivität [</w:t>
      </w:r>
      <w:r>
        <w:rPr>
          <w:i/>
          <w:iCs/>
          <w:lang w:val="de-DE"/>
        </w:rPr>
        <w:t xml:space="preserve">Bath Ankylosing Spondylitis Disease Activity Index </w:t>
      </w:r>
      <w:r>
        <w:rPr>
          <w:lang w:val="de-DE"/>
        </w:rPr>
        <w:t>(BASDAI)] war 6,4 bei Patienten, die mit Adalimumab behandelt wurden, und 6,5 bei Placebopatienten.)</w:t>
      </w:r>
    </w:p>
    <w:p w14:paraId="5B0C7E70" w14:textId="77777777" w:rsidR="00FE291A" w:rsidRDefault="00FE291A">
      <w:pPr>
        <w:widowControl/>
        <w:kinsoku w:val="0"/>
        <w:overflowPunct w:val="0"/>
        <w:rPr>
          <w:sz w:val="22"/>
          <w:szCs w:val="22"/>
          <w:lang w:val="de-DE"/>
        </w:rPr>
      </w:pPr>
    </w:p>
    <w:p w14:paraId="095B6994" w14:textId="77777777" w:rsidR="00FE291A" w:rsidRDefault="00C8738F">
      <w:pPr>
        <w:pStyle w:val="BodyText"/>
        <w:widowControl/>
        <w:kinsoku w:val="0"/>
        <w:overflowPunct w:val="0"/>
        <w:ind w:left="0"/>
        <w:rPr>
          <w:lang w:val="de-DE"/>
        </w:rPr>
      </w:pPr>
      <w:r>
        <w:rPr>
          <w:lang w:val="de-DE"/>
        </w:rPr>
        <w:t>Zu Studienbeginn wurden 33 (18 %) Patienten gleichzeitig mit krankheitsmodifizierenden Antirheumatika behandelt und 146 (79 %) Patienten mit NSARs. Auf die doppelblinde Periode folgte eine offene Fortsetzungsstudie, während der die Patienten jede zweite Woche subkutan Adalimumab 40 mg für bis zu weitere 144 Wochen erhielten. Im Vergleich zu Placebo zeigten die Ergebnisse in Woche 12 bei Patienten, die mit Adalimumab behandelt wurden, eine statistisch signifikante Verbesserung der Anzeichen und Symptome der aktiven nr</w:t>
      </w:r>
      <w:r>
        <w:rPr>
          <w:lang w:val="de-DE"/>
        </w:rPr>
        <w:noBreakHyphen/>
        <w:t>axSpA (Tabelle 13).</w:t>
      </w:r>
    </w:p>
    <w:p w14:paraId="12EE12E8" w14:textId="77777777" w:rsidR="00FE291A" w:rsidRDefault="00FE291A">
      <w:pPr>
        <w:widowControl/>
        <w:kinsoku w:val="0"/>
        <w:overflowPunct w:val="0"/>
        <w:rPr>
          <w:sz w:val="22"/>
          <w:szCs w:val="22"/>
          <w:lang w:val="de-DE"/>
        </w:rPr>
      </w:pPr>
    </w:p>
    <w:p w14:paraId="52581457" w14:textId="77777777" w:rsidR="00FE291A" w:rsidRDefault="00C8738F">
      <w:pPr>
        <w:pStyle w:val="Heading1"/>
        <w:keepNext/>
        <w:widowControl/>
        <w:kinsoku w:val="0"/>
        <w:overflowPunct w:val="0"/>
        <w:ind w:left="0"/>
        <w:rPr>
          <w:lang w:val="de-DE"/>
        </w:rPr>
      </w:pPr>
      <w:r>
        <w:rPr>
          <w:lang w:val="de-DE"/>
        </w:rPr>
        <w:t>Tabelle 13: Ansprechraten bezüglich Wirksamkeit bei placebokontrollierter nr</w:t>
      </w:r>
      <w:r>
        <w:rPr>
          <w:lang w:val="de-DE"/>
        </w:rPr>
        <w:noBreakHyphen/>
        <w:t>axSpA-Studie I</w:t>
      </w:r>
    </w:p>
    <w:p w14:paraId="18112114" w14:textId="77777777" w:rsidR="00FE291A" w:rsidRDefault="00FE291A">
      <w:pPr>
        <w:keepNext/>
        <w:widowControl/>
        <w:kinsoku w:val="0"/>
        <w:overflowPunct w:val="0"/>
        <w:rPr>
          <w:sz w:val="22"/>
          <w:lang w:val="de-DE"/>
        </w:rPr>
      </w:pPr>
    </w:p>
    <w:tbl>
      <w:tblPr>
        <w:tblW w:w="9072" w:type="dxa"/>
        <w:tblLayout w:type="fixed"/>
        <w:tblCellMar>
          <w:top w:w="28" w:type="dxa"/>
          <w:bottom w:w="28" w:type="dxa"/>
        </w:tblCellMar>
        <w:tblLook w:val="04A0" w:firstRow="1" w:lastRow="0" w:firstColumn="1" w:lastColumn="0" w:noHBand="0" w:noVBand="1"/>
      </w:tblPr>
      <w:tblGrid>
        <w:gridCol w:w="3544"/>
        <w:gridCol w:w="2693"/>
        <w:gridCol w:w="2835"/>
      </w:tblGrid>
      <w:tr w:rsidR="00FE291A" w14:paraId="5C2BFF02" w14:textId="77777777">
        <w:trPr>
          <w:cantSplit/>
          <w:tblHeader/>
        </w:trPr>
        <w:tc>
          <w:tcPr>
            <w:tcW w:w="3544" w:type="dxa"/>
            <w:tcBorders>
              <w:top w:val="single" w:sz="4" w:space="0" w:color="000000"/>
              <w:left w:val="single" w:sz="4" w:space="0" w:color="000000"/>
              <w:bottom w:val="single" w:sz="4" w:space="0" w:color="000000"/>
              <w:right w:val="single" w:sz="4" w:space="0" w:color="000000"/>
            </w:tcBorders>
          </w:tcPr>
          <w:p w14:paraId="642EBD14" w14:textId="77777777" w:rsidR="00FE291A" w:rsidRDefault="00C8738F">
            <w:pPr>
              <w:pStyle w:val="TableParagraph"/>
              <w:widowControl/>
              <w:suppressAutoHyphens/>
              <w:kinsoku w:val="0"/>
              <w:overflowPunct w:val="0"/>
              <w:rPr>
                <w:sz w:val="22"/>
                <w:lang w:val="de-DE"/>
              </w:rPr>
            </w:pPr>
            <w:r>
              <w:rPr>
                <w:b/>
                <w:bCs/>
                <w:sz w:val="22"/>
                <w:szCs w:val="22"/>
                <w:lang w:val="de-DE"/>
              </w:rPr>
              <w:t>Ansprechen in Woche 12 (doppelblind)</w:t>
            </w:r>
          </w:p>
        </w:tc>
        <w:tc>
          <w:tcPr>
            <w:tcW w:w="2693" w:type="dxa"/>
            <w:tcBorders>
              <w:top w:val="single" w:sz="4" w:space="0" w:color="000000"/>
              <w:left w:val="single" w:sz="4" w:space="0" w:color="000000"/>
              <w:bottom w:val="single" w:sz="4" w:space="0" w:color="000000"/>
              <w:right w:val="single" w:sz="4" w:space="0" w:color="000000"/>
            </w:tcBorders>
          </w:tcPr>
          <w:p w14:paraId="701886AC" w14:textId="77777777" w:rsidR="00FE291A" w:rsidRDefault="00C8738F">
            <w:pPr>
              <w:pStyle w:val="TableParagraph"/>
              <w:widowControl/>
              <w:suppressAutoHyphens/>
              <w:kinsoku w:val="0"/>
              <w:overflowPunct w:val="0"/>
              <w:jc w:val="center"/>
              <w:rPr>
                <w:b/>
                <w:bCs/>
                <w:sz w:val="22"/>
                <w:szCs w:val="22"/>
                <w:lang w:val="de-DE"/>
              </w:rPr>
            </w:pPr>
            <w:r>
              <w:rPr>
                <w:b/>
                <w:bCs/>
                <w:sz w:val="22"/>
                <w:szCs w:val="22"/>
                <w:lang w:val="de-DE"/>
              </w:rPr>
              <w:t>Placebo</w:t>
            </w:r>
          </w:p>
          <w:p w14:paraId="77F36F97" w14:textId="77777777" w:rsidR="00FE291A" w:rsidRDefault="00C8738F">
            <w:pPr>
              <w:pStyle w:val="TableParagraph"/>
              <w:widowControl/>
              <w:suppressAutoHyphens/>
              <w:kinsoku w:val="0"/>
              <w:overflowPunct w:val="0"/>
              <w:jc w:val="center"/>
              <w:rPr>
                <w:sz w:val="22"/>
                <w:lang w:val="de-DE"/>
              </w:rPr>
            </w:pPr>
            <w:r>
              <w:rPr>
                <w:b/>
                <w:bCs/>
                <w:sz w:val="22"/>
                <w:szCs w:val="22"/>
                <w:lang w:val="de-DE"/>
              </w:rPr>
              <w:t>N = 94</w:t>
            </w:r>
          </w:p>
        </w:tc>
        <w:tc>
          <w:tcPr>
            <w:tcW w:w="2835" w:type="dxa"/>
            <w:tcBorders>
              <w:top w:val="single" w:sz="4" w:space="0" w:color="000000"/>
              <w:left w:val="single" w:sz="4" w:space="0" w:color="000000"/>
              <w:bottom w:val="single" w:sz="4" w:space="0" w:color="000000"/>
              <w:right w:val="single" w:sz="4" w:space="0" w:color="000000"/>
            </w:tcBorders>
          </w:tcPr>
          <w:p w14:paraId="510CDE7A" w14:textId="77777777" w:rsidR="00FE291A" w:rsidRDefault="00C8738F">
            <w:pPr>
              <w:pStyle w:val="TableParagraph"/>
              <w:widowControl/>
              <w:suppressAutoHyphens/>
              <w:kinsoku w:val="0"/>
              <w:overflowPunct w:val="0"/>
              <w:jc w:val="center"/>
              <w:rPr>
                <w:b/>
                <w:bCs/>
                <w:sz w:val="22"/>
                <w:szCs w:val="22"/>
                <w:lang w:val="de-DE"/>
              </w:rPr>
            </w:pPr>
            <w:r>
              <w:rPr>
                <w:b/>
                <w:bCs/>
                <w:sz w:val="22"/>
                <w:szCs w:val="22"/>
                <w:lang w:val="de-DE"/>
              </w:rPr>
              <w:t>Adalimumab</w:t>
            </w:r>
          </w:p>
          <w:p w14:paraId="75BFDA70" w14:textId="77777777" w:rsidR="00FE291A" w:rsidRDefault="00C8738F">
            <w:pPr>
              <w:pStyle w:val="TableParagraph"/>
              <w:widowControl/>
              <w:suppressAutoHyphens/>
              <w:kinsoku w:val="0"/>
              <w:overflowPunct w:val="0"/>
              <w:jc w:val="center"/>
              <w:rPr>
                <w:sz w:val="22"/>
                <w:lang w:val="de-DE"/>
              </w:rPr>
            </w:pPr>
            <w:r>
              <w:rPr>
                <w:b/>
                <w:bCs/>
                <w:sz w:val="22"/>
                <w:szCs w:val="22"/>
                <w:lang w:val="de-DE" w:eastAsia="zh-TW"/>
              </w:rPr>
              <w:t>N </w:t>
            </w:r>
            <w:r>
              <w:rPr>
                <w:b/>
                <w:bCs/>
                <w:sz w:val="22"/>
                <w:szCs w:val="22"/>
                <w:lang w:val="de-DE"/>
              </w:rPr>
              <w:t>= 91</w:t>
            </w:r>
          </w:p>
        </w:tc>
      </w:tr>
      <w:tr w:rsidR="00FE291A" w14:paraId="33D4C48B" w14:textId="77777777">
        <w:trPr>
          <w:cantSplit/>
        </w:trPr>
        <w:tc>
          <w:tcPr>
            <w:tcW w:w="3544" w:type="dxa"/>
            <w:tcBorders>
              <w:top w:val="single" w:sz="4" w:space="0" w:color="000000"/>
              <w:left w:val="single" w:sz="4" w:space="0" w:color="000000"/>
              <w:bottom w:val="single" w:sz="4" w:space="0" w:color="000000"/>
              <w:right w:val="single" w:sz="4" w:space="0" w:color="000000"/>
            </w:tcBorders>
          </w:tcPr>
          <w:p w14:paraId="1EE2E78A" w14:textId="77777777" w:rsidR="00FE291A" w:rsidRDefault="00C8738F">
            <w:pPr>
              <w:pStyle w:val="TableParagraph"/>
              <w:widowControl/>
              <w:suppressAutoHyphens/>
              <w:kinsoku w:val="0"/>
              <w:overflowPunct w:val="0"/>
              <w:rPr>
                <w:sz w:val="22"/>
                <w:lang w:val="de-DE"/>
              </w:rPr>
            </w:pPr>
            <w:r>
              <w:rPr>
                <w:sz w:val="22"/>
                <w:szCs w:val="22"/>
                <w:lang w:val="de-DE"/>
              </w:rPr>
              <w:t>ASAS</w:t>
            </w:r>
            <w:r>
              <w:rPr>
                <w:sz w:val="22"/>
                <w:szCs w:val="22"/>
                <w:vertAlign w:val="superscript"/>
                <w:lang w:val="de-DE"/>
              </w:rPr>
              <w:t>a</w:t>
            </w:r>
            <w:r>
              <w:rPr>
                <w:sz w:val="22"/>
                <w:szCs w:val="22"/>
                <w:lang w:val="de-DE"/>
              </w:rPr>
              <w:t>-40</w:t>
            </w:r>
          </w:p>
        </w:tc>
        <w:tc>
          <w:tcPr>
            <w:tcW w:w="2693" w:type="dxa"/>
            <w:tcBorders>
              <w:top w:val="single" w:sz="4" w:space="0" w:color="000000"/>
              <w:left w:val="single" w:sz="4" w:space="0" w:color="000000"/>
              <w:bottom w:val="single" w:sz="4" w:space="0" w:color="000000"/>
              <w:right w:val="single" w:sz="4" w:space="0" w:color="000000"/>
            </w:tcBorders>
          </w:tcPr>
          <w:p w14:paraId="01D95D9F" w14:textId="77777777" w:rsidR="00FE291A" w:rsidRDefault="00C8738F">
            <w:pPr>
              <w:pStyle w:val="TableParagraph"/>
              <w:widowControl/>
              <w:suppressAutoHyphens/>
              <w:kinsoku w:val="0"/>
              <w:overflowPunct w:val="0"/>
              <w:jc w:val="center"/>
              <w:rPr>
                <w:sz w:val="22"/>
                <w:lang w:val="de-DE"/>
              </w:rPr>
            </w:pPr>
            <w:r>
              <w:rPr>
                <w:sz w:val="22"/>
                <w:szCs w:val="22"/>
                <w:lang w:val="de-DE"/>
              </w:rPr>
              <w:t>15 %</w:t>
            </w:r>
          </w:p>
        </w:tc>
        <w:tc>
          <w:tcPr>
            <w:tcW w:w="2835" w:type="dxa"/>
            <w:tcBorders>
              <w:top w:val="single" w:sz="4" w:space="0" w:color="000000"/>
              <w:left w:val="single" w:sz="4" w:space="0" w:color="000000"/>
              <w:bottom w:val="single" w:sz="4" w:space="0" w:color="000000"/>
              <w:right w:val="single" w:sz="4" w:space="0" w:color="000000"/>
            </w:tcBorders>
          </w:tcPr>
          <w:p w14:paraId="0AE950FE" w14:textId="77777777" w:rsidR="00FE291A" w:rsidRDefault="00C8738F">
            <w:pPr>
              <w:pStyle w:val="TableParagraph"/>
              <w:widowControl/>
              <w:suppressAutoHyphens/>
              <w:kinsoku w:val="0"/>
              <w:overflowPunct w:val="0"/>
              <w:jc w:val="center"/>
              <w:rPr>
                <w:sz w:val="22"/>
                <w:lang w:val="de-DE"/>
              </w:rPr>
            </w:pPr>
            <w:r>
              <w:rPr>
                <w:sz w:val="22"/>
                <w:szCs w:val="22"/>
                <w:lang w:val="de-DE"/>
              </w:rPr>
              <w:t>36 %***</w:t>
            </w:r>
          </w:p>
        </w:tc>
      </w:tr>
      <w:tr w:rsidR="00FE291A" w14:paraId="5AA0181D" w14:textId="77777777">
        <w:trPr>
          <w:cantSplit/>
        </w:trPr>
        <w:tc>
          <w:tcPr>
            <w:tcW w:w="3544" w:type="dxa"/>
            <w:tcBorders>
              <w:top w:val="single" w:sz="4" w:space="0" w:color="000000"/>
              <w:left w:val="single" w:sz="4" w:space="0" w:color="000000"/>
              <w:bottom w:val="single" w:sz="4" w:space="0" w:color="000000"/>
              <w:right w:val="single" w:sz="4" w:space="0" w:color="000000"/>
            </w:tcBorders>
          </w:tcPr>
          <w:p w14:paraId="0484CFAC" w14:textId="77777777" w:rsidR="00FE291A" w:rsidRDefault="00C8738F">
            <w:pPr>
              <w:pStyle w:val="TableParagraph"/>
              <w:widowControl/>
              <w:suppressAutoHyphens/>
              <w:kinsoku w:val="0"/>
              <w:overflowPunct w:val="0"/>
              <w:rPr>
                <w:sz w:val="22"/>
                <w:lang w:val="de-DE"/>
              </w:rPr>
            </w:pPr>
            <w:r>
              <w:rPr>
                <w:sz w:val="22"/>
                <w:szCs w:val="22"/>
                <w:lang w:val="de-DE"/>
              </w:rPr>
              <w:t>ASAS-20</w:t>
            </w:r>
          </w:p>
        </w:tc>
        <w:tc>
          <w:tcPr>
            <w:tcW w:w="2693" w:type="dxa"/>
            <w:tcBorders>
              <w:top w:val="single" w:sz="4" w:space="0" w:color="000000"/>
              <w:left w:val="single" w:sz="4" w:space="0" w:color="000000"/>
              <w:bottom w:val="single" w:sz="4" w:space="0" w:color="000000"/>
              <w:right w:val="single" w:sz="4" w:space="0" w:color="000000"/>
            </w:tcBorders>
          </w:tcPr>
          <w:p w14:paraId="761FB324" w14:textId="77777777" w:rsidR="00FE291A" w:rsidRDefault="00C8738F">
            <w:pPr>
              <w:pStyle w:val="TableParagraph"/>
              <w:widowControl/>
              <w:suppressAutoHyphens/>
              <w:kinsoku w:val="0"/>
              <w:overflowPunct w:val="0"/>
              <w:jc w:val="center"/>
              <w:rPr>
                <w:sz w:val="22"/>
                <w:lang w:val="de-DE"/>
              </w:rPr>
            </w:pPr>
            <w:r>
              <w:rPr>
                <w:sz w:val="22"/>
                <w:szCs w:val="22"/>
                <w:lang w:val="de-DE"/>
              </w:rPr>
              <w:t>31 %</w:t>
            </w:r>
          </w:p>
        </w:tc>
        <w:tc>
          <w:tcPr>
            <w:tcW w:w="2835" w:type="dxa"/>
            <w:tcBorders>
              <w:top w:val="single" w:sz="4" w:space="0" w:color="000000"/>
              <w:left w:val="single" w:sz="4" w:space="0" w:color="000000"/>
              <w:bottom w:val="single" w:sz="4" w:space="0" w:color="000000"/>
              <w:right w:val="single" w:sz="4" w:space="0" w:color="000000"/>
            </w:tcBorders>
          </w:tcPr>
          <w:p w14:paraId="3928505F" w14:textId="77777777" w:rsidR="00FE291A" w:rsidRDefault="00C8738F">
            <w:pPr>
              <w:pStyle w:val="TableParagraph"/>
              <w:widowControl/>
              <w:suppressAutoHyphens/>
              <w:kinsoku w:val="0"/>
              <w:overflowPunct w:val="0"/>
              <w:jc w:val="center"/>
              <w:rPr>
                <w:sz w:val="22"/>
                <w:lang w:val="de-DE"/>
              </w:rPr>
            </w:pPr>
            <w:r>
              <w:rPr>
                <w:sz w:val="22"/>
                <w:szCs w:val="22"/>
                <w:lang w:val="de-DE"/>
              </w:rPr>
              <w:t>52 %**</w:t>
            </w:r>
          </w:p>
        </w:tc>
      </w:tr>
      <w:tr w:rsidR="00FE291A" w14:paraId="0961FC12" w14:textId="77777777">
        <w:trPr>
          <w:cantSplit/>
        </w:trPr>
        <w:tc>
          <w:tcPr>
            <w:tcW w:w="3544" w:type="dxa"/>
            <w:tcBorders>
              <w:top w:val="single" w:sz="4" w:space="0" w:color="000000"/>
              <w:left w:val="single" w:sz="4" w:space="0" w:color="000000"/>
              <w:bottom w:val="single" w:sz="4" w:space="0" w:color="000000"/>
              <w:right w:val="single" w:sz="4" w:space="0" w:color="000000"/>
            </w:tcBorders>
          </w:tcPr>
          <w:p w14:paraId="4AC9F4F0" w14:textId="77777777" w:rsidR="00FE291A" w:rsidRDefault="00C8738F">
            <w:pPr>
              <w:pStyle w:val="TableParagraph"/>
              <w:widowControl/>
              <w:suppressAutoHyphens/>
              <w:kinsoku w:val="0"/>
              <w:overflowPunct w:val="0"/>
              <w:rPr>
                <w:sz w:val="22"/>
                <w:lang w:val="de-DE"/>
              </w:rPr>
            </w:pPr>
            <w:r>
              <w:rPr>
                <w:sz w:val="22"/>
                <w:szCs w:val="22"/>
                <w:lang w:val="de-DE"/>
              </w:rPr>
              <w:t>ASAS-5/6</w:t>
            </w:r>
          </w:p>
        </w:tc>
        <w:tc>
          <w:tcPr>
            <w:tcW w:w="2693" w:type="dxa"/>
            <w:tcBorders>
              <w:top w:val="single" w:sz="4" w:space="0" w:color="000000"/>
              <w:left w:val="single" w:sz="4" w:space="0" w:color="000000"/>
              <w:bottom w:val="single" w:sz="4" w:space="0" w:color="000000"/>
              <w:right w:val="single" w:sz="4" w:space="0" w:color="000000"/>
            </w:tcBorders>
          </w:tcPr>
          <w:p w14:paraId="40C68450" w14:textId="77777777" w:rsidR="00FE291A" w:rsidRDefault="00C8738F">
            <w:pPr>
              <w:pStyle w:val="TableParagraph"/>
              <w:widowControl/>
              <w:suppressAutoHyphens/>
              <w:kinsoku w:val="0"/>
              <w:overflowPunct w:val="0"/>
              <w:jc w:val="center"/>
              <w:rPr>
                <w:sz w:val="22"/>
                <w:lang w:val="de-DE"/>
              </w:rPr>
            </w:pPr>
            <w:r>
              <w:rPr>
                <w:sz w:val="22"/>
                <w:szCs w:val="22"/>
                <w:lang w:val="de-DE"/>
              </w:rPr>
              <w:t>6 %</w:t>
            </w:r>
          </w:p>
        </w:tc>
        <w:tc>
          <w:tcPr>
            <w:tcW w:w="2835" w:type="dxa"/>
            <w:tcBorders>
              <w:top w:val="single" w:sz="4" w:space="0" w:color="000000"/>
              <w:left w:val="single" w:sz="4" w:space="0" w:color="000000"/>
              <w:bottom w:val="single" w:sz="4" w:space="0" w:color="000000"/>
              <w:right w:val="single" w:sz="4" w:space="0" w:color="000000"/>
            </w:tcBorders>
          </w:tcPr>
          <w:p w14:paraId="1ACEC4D6" w14:textId="77777777" w:rsidR="00FE291A" w:rsidRDefault="00C8738F">
            <w:pPr>
              <w:pStyle w:val="TableParagraph"/>
              <w:widowControl/>
              <w:suppressAutoHyphens/>
              <w:kinsoku w:val="0"/>
              <w:overflowPunct w:val="0"/>
              <w:jc w:val="center"/>
              <w:rPr>
                <w:sz w:val="22"/>
                <w:lang w:val="de-DE"/>
              </w:rPr>
            </w:pPr>
            <w:r>
              <w:rPr>
                <w:sz w:val="22"/>
                <w:szCs w:val="22"/>
                <w:lang w:val="de-DE"/>
              </w:rPr>
              <w:t>31 %***</w:t>
            </w:r>
          </w:p>
        </w:tc>
      </w:tr>
      <w:tr w:rsidR="00FE291A" w14:paraId="33764597" w14:textId="77777777">
        <w:trPr>
          <w:cantSplit/>
        </w:trPr>
        <w:tc>
          <w:tcPr>
            <w:tcW w:w="3544" w:type="dxa"/>
            <w:tcBorders>
              <w:top w:val="single" w:sz="4" w:space="0" w:color="000000"/>
              <w:left w:val="single" w:sz="4" w:space="0" w:color="000000"/>
              <w:bottom w:val="single" w:sz="4" w:space="0" w:color="000000"/>
              <w:right w:val="single" w:sz="4" w:space="0" w:color="000000"/>
            </w:tcBorders>
          </w:tcPr>
          <w:p w14:paraId="0F0FE61B" w14:textId="77777777" w:rsidR="00FE291A" w:rsidRDefault="00C8738F">
            <w:pPr>
              <w:pStyle w:val="TableParagraph"/>
              <w:widowControl/>
              <w:suppressAutoHyphens/>
              <w:kinsoku w:val="0"/>
              <w:overflowPunct w:val="0"/>
              <w:rPr>
                <w:sz w:val="22"/>
                <w:lang w:val="de-DE"/>
              </w:rPr>
            </w:pPr>
            <w:r>
              <w:rPr>
                <w:sz w:val="22"/>
                <w:szCs w:val="22"/>
                <w:lang w:val="de-DE"/>
              </w:rPr>
              <w:t>ASAS partielle Remission</w:t>
            </w:r>
          </w:p>
        </w:tc>
        <w:tc>
          <w:tcPr>
            <w:tcW w:w="2693" w:type="dxa"/>
            <w:tcBorders>
              <w:top w:val="single" w:sz="4" w:space="0" w:color="000000"/>
              <w:left w:val="single" w:sz="4" w:space="0" w:color="000000"/>
              <w:bottom w:val="single" w:sz="4" w:space="0" w:color="000000"/>
              <w:right w:val="single" w:sz="4" w:space="0" w:color="000000"/>
            </w:tcBorders>
          </w:tcPr>
          <w:p w14:paraId="6FFB49AF" w14:textId="77777777" w:rsidR="00FE291A" w:rsidRDefault="00C8738F">
            <w:pPr>
              <w:pStyle w:val="TableParagraph"/>
              <w:widowControl/>
              <w:suppressAutoHyphens/>
              <w:kinsoku w:val="0"/>
              <w:overflowPunct w:val="0"/>
              <w:jc w:val="center"/>
              <w:rPr>
                <w:sz w:val="22"/>
                <w:lang w:val="de-DE"/>
              </w:rPr>
            </w:pPr>
            <w:r>
              <w:rPr>
                <w:sz w:val="22"/>
                <w:szCs w:val="22"/>
                <w:lang w:val="de-DE"/>
              </w:rPr>
              <w:t>5 %</w:t>
            </w:r>
          </w:p>
        </w:tc>
        <w:tc>
          <w:tcPr>
            <w:tcW w:w="2835" w:type="dxa"/>
            <w:tcBorders>
              <w:top w:val="single" w:sz="4" w:space="0" w:color="000000"/>
              <w:left w:val="single" w:sz="4" w:space="0" w:color="000000"/>
              <w:bottom w:val="single" w:sz="4" w:space="0" w:color="000000"/>
              <w:right w:val="single" w:sz="4" w:space="0" w:color="000000"/>
            </w:tcBorders>
          </w:tcPr>
          <w:p w14:paraId="1646C167" w14:textId="77777777" w:rsidR="00FE291A" w:rsidRDefault="00C8738F">
            <w:pPr>
              <w:pStyle w:val="TableParagraph"/>
              <w:widowControl/>
              <w:suppressAutoHyphens/>
              <w:kinsoku w:val="0"/>
              <w:overflowPunct w:val="0"/>
              <w:jc w:val="center"/>
              <w:rPr>
                <w:sz w:val="22"/>
                <w:lang w:val="de-DE"/>
              </w:rPr>
            </w:pPr>
            <w:r>
              <w:rPr>
                <w:sz w:val="22"/>
                <w:szCs w:val="22"/>
                <w:lang w:val="de-DE"/>
              </w:rPr>
              <w:t>16 %*</w:t>
            </w:r>
          </w:p>
        </w:tc>
      </w:tr>
      <w:tr w:rsidR="00FE291A" w14:paraId="16738BB4" w14:textId="77777777">
        <w:trPr>
          <w:cantSplit/>
        </w:trPr>
        <w:tc>
          <w:tcPr>
            <w:tcW w:w="3544" w:type="dxa"/>
            <w:tcBorders>
              <w:top w:val="single" w:sz="4" w:space="0" w:color="000000"/>
              <w:left w:val="single" w:sz="4" w:space="0" w:color="000000"/>
              <w:bottom w:val="single" w:sz="4" w:space="0" w:color="000000"/>
              <w:right w:val="single" w:sz="4" w:space="0" w:color="000000"/>
            </w:tcBorders>
          </w:tcPr>
          <w:p w14:paraId="5B587C08" w14:textId="77777777" w:rsidR="00FE291A" w:rsidRDefault="00C8738F">
            <w:pPr>
              <w:pStyle w:val="TableParagraph"/>
              <w:widowControl/>
              <w:suppressAutoHyphens/>
              <w:kinsoku w:val="0"/>
              <w:overflowPunct w:val="0"/>
              <w:rPr>
                <w:sz w:val="22"/>
                <w:lang w:val="de-DE"/>
              </w:rPr>
            </w:pPr>
            <w:r>
              <w:rPr>
                <w:sz w:val="22"/>
                <w:szCs w:val="22"/>
                <w:lang w:val="de-DE"/>
              </w:rPr>
              <w:t>BASDAI</w:t>
            </w:r>
            <w:r>
              <w:rPr>
                <w:sz w:val="22"/>
                <w:szCs w:val="22"/>
                <w:vertAlign w:val="superscript"/>
                <w:lang w:val="de-DE"/>
              </w:rPr>
              <w:t>b</w:t>
            </w:r>
            <w:r>
              <w:rPr>
                <w:sz w:val="22"/>
                <w:szCs w:val="22"/>
                <w:lang w:val="de-DE"/>
              </w:rPr>
              <w:t>-50</w:t>
            </w:r>
          </w:p>
        </w:tc>
        <w:tc>
          <w:tcPr>
            <w:tcW w:w="2693" w:type="dxa"/>
            <w:tcBorders>
              <w:top w:val="single" w:sz="4" w:space="0" w:color="000000"/>
              <w:left w:val="single" w:sz="4" w:space="0" w:color="000000"/>
              <w:bottom w:val="single" w:sz="4" w:space="0" w:color="000000"/>
              <w:right w:val="single" w:sz="4" w:space="0" w:color="000000"/>
            </w:tcBorders>
          </w:tcPr>
          <w:p w14:paraId="6C9B385D" w14:textId="77777777" w:rsidR="00FE291A" w:rsidRDefault="00C8738F">
            <w:pPr>
              <w:pStyle w:val="TableParagraph"/>
              <w:widowControl/>
              <w:suppressAutoHyphens/>
              <w:kinsoku w:val="0"/>
              <w:overflowPunct w:val="0"/>
              <w:jc w:val="center"/>
              <w:rPr>
                <w:sz w:val="22"/>
                <w:lang w:val="de-DE"/>
              </w:rPr>
            </w:pPr>
            <w:r>
              <w:rPr>
                <w:sz w:val="22"/>
                <w:szCs w:val="22"/>
                <w:lang w:val="de-DE"/>
              </w:rPr>
              <w:t>15 %</w:t>
            </w:r>
          </w:p>
        </w:tc>
        <w:tc>
          <w:tcPr>
            <w:tcW w:w="2835" w:type="dxa"/>
            <w:tcBorders>
              <w:top w:val="single" w:sz="4" w:space="0" w:color="000000"/>
              <w:left w:val="single" w:sz="4" w:space="0" w:color="000000"/>
              <w:bottom w:val="single" w:sz="4" w:space="0" w:color="000000"/>
              <w:right w:val="single" w:sz="4" w:space="0" w:color="000000"/>
            </w:tcBorders>
          </w:tcPr>
          <w:p w14:paraId="19CE327C" w14:textId="77777777" w:rsidR="00FE291A" w:rsidRDefault="00C8738F">
            <w:pPr>
              <w:pStyle w:val="TableParagraph"/>
              <w:widowControl/>
              <w:suppressAutoHyphens/>
              <w:kinsoku w:val="0"/>
              <w:overflowPunct w:val="0"/>
              <w:jc w:val="center"/>
              <w:rPr>
                <w:sz w:val="22"/>
                <w:lang w:val="de-DE"/>
              </w:rPr>
            </w:pPr>
            <w:r>
              <w:rPr>
                <w:sz w:val="22"/>
                <w:szCs w:val="22"/>
                <w:lang w:val="de-DE"/>
              </w:rPr>
              <w:t>35 %**</w:t>
            </w:r>
          </w:p>
        </w:tc>
      </w:tr>
      <w:tr w:rsidR="00FE291A" w14:paraId="3E836414" w14:textId="77777777">
        <w:trPr>
          <w:cantSplit/>
        </w:trPr>
        <w:tc>
          <w:tcPr>
            <w:tcW w:w="3544" w:type="dxa"/>
            <w:tcBorders>
              <w:top w:val="single" w:sz="4" w:space="0" w:color="000000"/>
              <w:left w:val="single" w:sz="4" w:space="0" w:color="000000"/>
              <w:bottom w:val="single" w:sz="4" w:space="0" w:color="000000"/>
              <w:right w:val="single" w:sz="4" w:space="0" w:color="000000"/>
            </w:tcBorders>
          </w:tcPr>
          <w:p w14:paraId="69C324E5" w14:textId="77777777" w:rsidR="00FE291A" w:rsidRDefault="00C8738F">
            <w:pPr>
              <w:pStyle w:val="TableParagraph"/>
              <w:widowControl/>
              <w:suppressAutoHyphens/>
              <w:kinsoku w:val="0"/>
              <w:overflowPunct w:val="0"/>
              <w:rPr>
                <w:sz w:val="22"/>
                <w:lang w:val="de-DE"/>
              </w:rPr>
            </w:pPr>
            <w:r>
              <w:rPr>
                <w:position w:val="-10"/>
                <w:sz w:val="22"/>
                <w:szCs w:val="22"/>
                <w:lang w:val="de-DE"/>
              </w:rPr>
              <w:t>ASDAS</w:t>
            </w:r>
            <w:r>
              <w:rPr>
                <w:position w:val="-10"/>
                <w:sz w:val="22"/>
                <w:szCs w:val="22"/>
                <w:vertAlign w:val="superscript"/>
                <w:lang w:val="de-DE"/>
              </w:rPr>
              <w:t>c,d,e</w:t>
            </w:r>
          </w:p>
        </w:tc>
        <w:tc>
          <w:tcPr>
            <w:tcW w:w="2693" w:type="dxa"/>
            <w:tcBorders>
              <w:top w:val="single" w:sz="4" w:space="0" w:color="000000"/>
              <w:left w:val="single" w:sz="4" w:space="0" w:color="000000"/>
              <w:bottom w:val="single" w:sz="4" w:space="0" w:color="000000"/>
              <w:right w:val="single" w:sz="4" w:space="0" w:color="000000"/>
            </w:tcBorders>
          </w:tcPr>
          <w:p w14:paraId="7E6B6158" w14:textId="77777777" w:rsidR="00FE291A" w:rsidRDefault="00C8738F">
            <w:pPr>
              <w:pStyle w:val="TableParagraph"/>
              <w:widowControl/>
              <w:suppressAutoHyphens/>
              <w:kinsoku w:val="0"/>
              <w:overflowPunct w:val="0"/>
              <w:jc w:val="center"/>
              <w:rPr>
                <w:sz w:val="22"/>
                <w:lang w:val="de-DE"/>
              </w:rPr>
            </w:pPr>
            <w:r>
              <w:rPr>
                <w:sz w:val="22"/>
                <w:szCs w:val="22"/>
                <w:lang w:val="de-DE"/>
              </w:rPr>
              <w:t>-0,3</w:t>
            </w:r>
          </w:p>
        </w:tc>
        <w:tc>
          <w:tcPr>
            <w:tcW w:w="2835" w:type="dxa"/>
            <w:tcBorders>
              <w:top w:val="single" w:sz="4" w:space="0" w:color="000000"/>
              <w:left w:val="single" w:sz="4" w:space="0" w:color="000000"/>
              <w:bottom w:val="single" w:sz="4" w:space="0" w:color="000000"/>
              <w:right w:val="single" w:sz="4" w:space="0" w:color="000000"/>
            </w:tcBorders>
          </w:tcPr>
          <w:p w14:paraId="78826C58" w14:textId="77777777" w:rsidR="00FE291A" w:rsidRDefault="00C8738F">
            <w:pPr>
              <w:pStyle w:val="TableParagraph"/>
              <w:widowControl/>
              <w:suppressAutoHyphens/>
              <w:kinsoku w:val="0"/>
              <w:overflowPunct w:val="0"/>
              <w:jc w:val="center"/>
              <w:rPr>
                <w:sz w:val="22"/>
                <w:lang w:val="de-DE"/>
              </w:rPr>
            </w:pPr>
            <w:r>
              <w:rPr>
                <w:sz w:val="22"/>
                <w:szCs w:val="22"/>
                <w:lang w:val="de-DE"/>
              </w:rPr>
              <w:t>-1,0***</w:t>
            </w:r>
          </w:p>
        </w:tc>
      </w:tr>
      <w:tr w:rsidR="00FE291A" w14:paraId="7D16C70B" w14:textId="77777777">
        <w:trPr>
          <w:cantSplit/>
        </w:trPr>
        <w:tc>
          <w:tcPr>
            <w:tcW w:w="3544" w:type="dxa"/>
            <w:tcBorders>
              <w:top w:val="single" w:sz="4" w:space="0" w:color="000000"/>
              <w:left w:val="single" w:sz="4" w:space="0" w:color="000000"/>
              <w:bottom w:val="single" w:sz="4" w:space="0" w:color="000000"/>
              <w:right w:val="single" w:sz="4" w:space="0" w:color="000000"/>
            </w:tcBorders>
          </w:tcPr>
          <w:p w14:paraId="51A333B3" w14:textId="77777777" w:rsidR="00FE291A" w:rsidRDefault="00C8738F">
            <w:pPr>
              <w:pStyle w:val="TableParagraph"/>
              <w:widowControl/>
              <w:suppressAutoHyphens/>
              <w:kinsoku w:val="0"/>
              <w:overflowPunct w:val="0"/>
              <w:rPr>
                <w:sz w:val="22"/>
                <w:lang w:val="de-DE"/>
              </w:rPr>
            </w:pPr>
            <w:r>
              <w:rPr>
                <w:sz w:val="22"/>
                <w:szCs w:val="22"/>
                <w:lang w:val="de-DE"/>
              </w:rPr>
              <w:t>ASDAS Inactive Disease</w:t>
            </w:r>
          </w:p>
        </w:tc>
        <w:tc>
          <w:tcPr>
            <w:tcW w:w="2693" w:type="dxa"/>
            <w:tcBorders>
              <w:top w:val="single" w:sz="4" w:space="0" w:color="000000"/>
              <w:left w:val="single" w:sz="4" w:space="0" w:color="000000"/>
              <w:bottom w:val="single" w:sz="4" w:space="0" w:color="000000"/>
              <w:right w:val="single" w:sz="4" w:space="0" w:color="000000"/>
            </w:tcBorders>
          </w:tcPr>
          <w:p w14:paraId="7D032B19" w14:textId="77777777" w:rsidR="00FE291A" w:rsidRDefault="00C8738F">
            <w:pPr>
              <w:pStyle w:val="TableParagraph"/>
              <w:widowControl/>
              <w:suppressAutoHyphens/>
              <w:kinsoku w:val="0"/>
              <w:overflowPunct w:val="0"/>
              <w:jc w:val="center"/>
              <w:rPr>
                <w:sz w:val="22"/>
                <w:lang w:val="de-DE"/>
              </w:rPr>
            </w:pPr>
            <w:r>
              <w:rPr>
                <w:sz w:val="22"/>
                <w:szCs w:val="22"/>
                <w:lang w:val="de-DE"/>
              </w:rPr>
              <w:t>4 %</w:t>
            </w:r>
          </w:p>
        </w:tc>
        <w:tc>
          <w:tcPr>
            <w:tcW w:w="2835" w:type="dxa"/>
            <w:tcBorders>
              <w:top w:val="single" w:sz="4" w:space="0" w:color="000000"/>
              <w:left w:val="single" w:sz="4" w:space="0" w:color="000000"/>
              <w:bottom w:val="single" w:sz="4" w:space="0" w:color="000000"/>
              <w:right w:val="single" w:sz="4" w:space="0" w:color="000000"/>
            </w:tcBorders>
          </w:tcPr>
          <w:p w14:paraId="7D994C73" w14:textId="77777777" w:rsidR="00FE291A" w:rsidRDefault="00C8738F">
            <w:pPr>
              <w:pStyle w:val="TableParagraph"/>
              <w:widowControl/>
              <w:suppressAutoHyphens/>
              <w:kinsoku w:val="0"/>
              <w:overflowPunct w:val="0"/>
              <w:jc w:val="center"/>
              <w:rPr>
                <w:sz w:val="22"/>
                <w:lang w:val="de-DE"/>
              </w:rPr>
            </w:pPr>
            <w:r>
              <w:rPr>
                <w:sz w:val="22"/>
                <w:szCs w:val="22"/>
                <w:lang w:val="de-DE"/>
              </w:rPr>
              <w:t>24 %***</w:t>
            </w:r>
          </w:p>
        </w:tc>
      </w:tr>
      <w:tr w:rsidR="00FE291A" w14:paraId="0D581831" w14:textId="77777777">
        <w:trPr>
          <w:cantSplit/>
        </w:trPr>
        <w:tc>
          <w:tcPr>
            <w:tcW w:w="3544" w:type="dxa"/>
            <w:tcBorders>
              <w:top w:val="single" w:sz="4" w:space="0" w:color="000000"/>
              <w:left w:val="single" w:sz="4" w:space="0" w:color="000000"/>
              <w:bottom w:val="single" w:sz="4" w:space="0" w:color="000000"/>
              <w:right w:val="single" w:sz="4" w:space="0" w:color="000000"/>
            </w:tcBorders>
          </w:tcPr>
          <w:p w14:paraId="6DDEE728" w14:textId="77777777" w:rsidR="00FE291A" w:rsidRDefault="00C8738F">
            <w:pPr>
              <w:pStyle w:val="TableParagraph"/>
              <w:widowControl/>
              <w:suppressAutoHyphens/>
              <w:kinsoku w:val="0"/>
              <w:overflowPunct w:val="0"/>
              <w:rPr>
                <w:sz w:val="22"/>
                <w:lang w:val="de-DE"/>
              </w:rPr>
            </w:pPr>
            <w:r>
              <w:rPr>
                <w:sz w:val="22"/>
                <w:szCs w:val="22"/>
                <w:lang w:val="de-DE"/>
              </w:rPr>
              <w:t>hs-CRP</w:t>
            </w:r>
            <w:r>
              <w:rPr>
                <w:sz w:val="22"/>
                <w:szCs w:val="22"/>
                <w:vertAlign w:val="superscript"/>
                <w:lang w:val="de-DE"/>
              </w:rPr>
              <w:t>d,f,g</w:t>
            </w:r>
          </w:p>
        </w:tc>
        <w:tc>
          <w:tcPr>
            <w:tcW w:w="2693" w:type="dxa"/>
            <w:tcBorders>
              <w:top w:val="single" w:sz="4" w:space="0" w:color="000000"/>
              <w:left w:val="single" w:sz="4" w:space="0" w:color="000000"/>
              <w:bottom w:val="single" w:sz="4" w:space="0" w:color="000000"/>
              <w:right w:val="single" w:sz="4" w:space="0" w:color="000000"/>
            </w:tcBorders>
          </w:tcPr>
          <w:p w14:paraId="1B56D49B" w14:textId="77777777" w:rsidR="00FE291A" w:rsidRDefault="00C8738F">
            <w:pPr>
              <w:pStyle w:val="TableParagraph"/>
              <w:widowControl/>
              <w:suppressAutoHyphens/>
              <w:kinsoku w:val="0"/>
              <w:overflowPunct w:val="0"/>
              <w:jc w:val="center"/>
              <w:rPr>
                <w:sz w:val="22"/>
                <w:lang w:val="de-DE"/>
              </w:rPr>
            </w:pPr>
            <w:r>
              <w:rPr>
                <w:sz w:val="22"/>
                <w:szCs w:val="22"/>
                <w:lang w:val="de-DE"/>
              </w:rPr>
              <w:t>-0,3</w:t>
            </w:r>
          </w:p>
        </w:tc>
        <w:tc>
          <w:tcPr>
            <w:tcW w:w="2835" w:type="dxa"/>
            <w:tcBorders>
              <w:top w:val="single" w:sz="4" w:space="0" w:color="000000"/>
              <w:left w:val="single" w:sz="4" w:space="0" w:color="000000"/>
              <w:bottom w:val="single" w:sz="4" w:space="0" w:color="000000"/>
              <w:right w:val="single" w:sz="4" w:space="0" w:color="000000"/>
            </w:tcBorders>
          </w:tcPr>
          <w:p w14:paraId="6D270783" w14:textId="77777777" w:rsidR="00FE291A" w:rsidRDefault="00C8738F">
            <w:pPr>
              <w:pStyle w:val="TableParagraph"/>
              <w:widowControl/>
              <w:suppressAutoHyphens/>
              <w:kinsoku w:val="0"/>
              <w:overflowPunct w:val="0"/>
              <w:jc w:val="center"/>
              <w:rPr>
                <w:sz w:val="22"/>
                <w:lang w:val="de-DE"/>
              </w:rPr>
            </w:pPr>
            <w:r>
              <w:rPr>
                <w:sz w:val="22"/>
                <w:szCs w:val="22"/>
                <w:lang w:val="de-DE"/>
              </w:rPr>
              <w:t>-4,7***</w:t>
            </w:r>
          </w:p>
        </w:tc>
      </w:tr>
      <w:tr w:rsidR="00FE291A" w14:paraId="676F32F4" w14:textId="77777777">
        <w:trPr>
          <w:cantSplit/>
        </w:trPr>
        <w:tc>
          <w:tcPr>
            <w:tcW w:w="3544" w:type="dxa"/>
            <w:tcBorders>
              <w:top w:val="single" w:sz="4" w:space="0" w:color="000000"/>
              <w:left w:val="single" w:sz="4" w:space="0" w:color="000000"/>
              <w:bottom w:val="single" w:sz="4" w:space="0" w:color="000000"/>
              <w:right w:val="single" w:sz="4" w:space="0" w:color="000000"/>
            </w:tcBorders>
          </w:tcPr>
          <w:p w14:paraId="07A4BCFC" w14:textId="77777777" w:rsidR="00FE291A" w:rsidRDefault="00C8738F">
            <w:pPr>
              <w:pStyle w:val="TableParagraph"/>
              <w:widowControl/>
              <w:suppressAutoHyphens/>
              <w:kinsoku w:val="0"/>
              <w:overflowPunct w:val="0"/>
              <w:rPr>
                <w:sz w:val="22"/>
                <w:lang w:val="en-US"/>
              </w:rPr>
            </w:pPr>
            <w:r>
              <w:rPr>
                <w:sz w:val="22"/>
                <w:szCs w:val="22"/>
                <w:lang w:val="en-US"/>
              </w:rPr>
              <w:t>SPARCC</w:t>
            </w:r>
            <w:r>
              <w:rPr>
                <w:sz w:val="22"/>
                <w:szCs w:val="22"/>
                <w:vertAlign w:val="superscript"/>
                <w:lang w:val="en-US"/>
              </w:rPr>
              <w:t>h</w:t>
            </w:r>
            <w:r>
              <w:rPr>
                <w:sz w:val="22"/>
                <w:szCs w:val="22"/>
                <w:lang w:val="en-US"/>
              </w:rPr>
              <w:t xml:space="preserve"> MRI Sacroiliac Joints</w:t>
            </w:r>
            <w:r>
              <w:rPr>
                <w:sz w:val="22"/>
                <w:szCs w:val="22"/>
                <w:vertAlign w:val="superscript"/>
                <w:lang w:val="en-US"/>
              </w:rPr>
              <w:t>d,i</w:t>
            </w:r>
          </w:p>
        </w:tc>
        <w:tc>
          <w:tcPr>
            <w:tcW w:w="2693" w:type="dxa"/>
            <w:tcBorders>
              <w:top w:val="single" w:sz="4" w:space="0" w:color="000000"/>
              <w:left w:val="single" w:sz="4" w:space="0" w:color="000000"/>
              <w:bottom w:val="single" w:sz="4" w:space="0" w:color="000000"/>
              <w:right w:val="single" w:sz="4" w:space="0" w:color="000000"/>
            </w:tcBorders>
          </w:tcPr>
          <w:p w14:paraId="55F2D754" w14:textId="77777777" w:rsidR="00FE291A" w:rsidRDefault="00C8738F">
            <w:pPr>
              <w:pStyle w:val="TableParagraph"/>
              <w:widowControl/>
              <w:suppressAutoHyphens/>
              <w:kinsoku w:val="0"/>
              <w:overflowPunct w:val="0"/>
              <w:jc w:val="center"/>
              <w:rPr>
                <w:sz w:val="22"/>
                <w:lang w:val="de-DE"/>
              </w:rPr>
            </w:pPr>
            <w:r>
              <w:rPr>
                <w:sz w:val="22"/>
                <w:szCs w:val="22"/>
                <w:lang w:val="de-DE"/>
              </w:rPr>
              <w:t>-0,6</w:t>
            </w:r>
          </w:p>
        </w:tc>
        <w:tc>
          <w:tcPr>
            <w:tcW w:w="2835" w:type="dxa"/>
            <w:tcBorders>
              <w:top w:val="single" w:sz="4" w:space="0" w:color="000000"/>
              <w:left w:val="single" w:sz="4" w:space="0" w:color="000000"/>
              <w:bottom w:val="single" w:sz="4" w:space="0" w:color="000000"/>
              <w:right w:val="single" w:sz="4" w:space="0" w:color="000000"/>
            </w:tcBorders>
          </w:tcPr>
          <w:p w14:paraId="603B8BCD" w14:textId="77777777" w:rsidR="00FE291A" w:rsidRDefault="00C8738F">
            <w:pPr>
              <w:pStyle w:val="TableParagraph"/>
              <w:widowControl/>
              <w:suppressAutoHyphens/>
              <w:kinsoku w:val="0"/>
              <w:overflowPunct w:val="0"/>
              <w:jc w:val="center"/>
              <w:rPr>
                <w:sz w:val="22"/>
                <w:lang w:val="de-DE"/>
              </w:rPr>
            </w:pPr>
            <w:r>
              <w:rPr>
                <w:sz w:val="22"/>
                <w:szCs w:val="22"/>
                <w:lang w:val="de-DE"/>
              </w:rPr>
              <w:t>-3,2**</w:t>
            </w:r>
          </w:p>
        </w:tc>
      </w:tr>
      <w:tr w:rsidR="00FE291A" w14:paraId="34125DC4" w14:textId="77777777">
        <w:trPr>
          <w:cantSplit/>
        </w:trPr>
        <w:tc>
          <w:tcPr>
            <w:tcW w:w="3544" w:type="dxa"/>
            <w:tcBorders>
              <w:top w:val="single" w:sz="4" w:space="0" w:color="000000"/>
              <w:left w:val="single" w:sz="4" w:space="0" w:color="000000"/>
              <w:bottom w:val="single" w:sz="4" w:space="0" w:color="000000"/>
              <w:right w:val="single" w:sz="4" w:space="0" w:color="000000"/>
            </w:tcBorders>
          </w:tcPr>
          <w:p w14:paraId="3002A1AB" w14:textId="77777777" w:rsidR="00FE291A" w:rsidRDefault="00C8738F">
            <w:pPr>
              <w:pStyle w:val="TableParagraph"/>
              <w:keepNext/>
              <w:widowControl/>
              <w:suppressAutoHyphens/>
              <w:kinsoku w:val="0"/>
              <w:overflowPunct w:val="0"/>
              <w:rPr>
                <w:sz w:val="22"/>
                <w:lang w:val="de-DE"/>
              </w:rPr>
            </w:pPr>
            <w:r>
              <w:rPr>
                <w:sz w:val="22"/>
                <w:szCs w:val="22"/>
                <w:lang w:val="de-DE"/>
              </w:rPr>
              <w:t>SPARCC MRI Spine</w:t>
            </w:r>
            <w:r>
              <w:rPr>
                <w:sz w:val="22"/>
                <w:szCs w:val="22"/>
                <w:vertAlign w:val="superscript"/>
                <w:lang w:val="de-DE"/>
              </w:rPr>
              <w:t>d,j</w:t>
            </w:r>
          </w:p>
        </w:tc>
        <w:tc>
          <w:tcPr>
            <w:tcW w:w="2693" w:type="dxa"/>
            <w:tcBorders>
              <w:top w:val="single" w:sz="4" w:space="0" w:color="000000"/>
              <w:left w:val="single" w:sz="4" w:space="0" w:color="000000"/>
              <w:bottom w:val="single" w:sz="4" w:space="0" w:color="000000"/>
              <w:right w:val="single" w:sz="4" w:space="0" w:color="000000"/>
            </w:tcBorders>
          </w:tcPr>
          <w:p w14:paraId="7000ED97" w14:textId="77777777" w:rsidR="00FE291A" w:rsidRDefault="00C8738F">
            <w:pPr>
              <w:pStyle w:val="TableParagraph"/>
              <w:widowControl/>
              <w:suppressAutoHyphens/>
              <w:kinsoku w:val="0"/>
              <w:overflowPunct w:val="0"/>
              <w:jc w:val="center"/>
              <w:rPr>
                <w:sz w:val="22"/>
                <w:lang w:val="de-DE"/>
              </w:rPr>
            </w:pPr>
            <w:r>
              <w:rPr>
                <w:sz w:val="22"/>
                <w:szCs w:val="22"/>
                <w:lang w:val="de-DE"/>
              </w:rPr>
              <w:t>-0,2</w:t>
            </w:r>
          </w:p>
        </w:tc>
        <w:tc>
          <w:tcPr>
            <w:tcW w:w="2835" w:type="dxa"/>
            <w:tcBorders>
              <w:top w:val="single" w:sz="4" w:space="0" w:color="000000"/>
              <w:left w:val="single" w:sz="4" w:space="0" w:color="000000"/>
              <w:bottom w:val="single" w:sz="4" w:space="0" w:color="000000"/>
              <w:right w:val="single" w:sz="4" w:space="0" w:color="000000"/>
            </w:tcBorders>
          </w:tcPr>
          <w:p w14:paraId="6EA7BD34" w14:textId="77777777" w:rsidR="00FE291A" w:rsidRDefault="00C8738F">
            <w:pPr>
              <w:pStyle w:val="TableParagraph"/>
              <w:widowControl/>
              <w:suppressAutoHyphens/>
              <w:kinsoku w:val="0"/>
              <w:overflowPunct w:val="0"/>
              <w:jc w:val="center"/>
              <w:rPr>
                <w:sz w:val="22"/>
                <w:lang w:val="de-DE"/>
              </w:rPr>
            </w:pPr>
            <w:r>
              <w:rPr>
                <w:sz w:val="22"/>
                <w:szCs w:val="22"/>
                <w:lang w:val="de-DE"/>
              </w:rPr>
              <w:t>-1,8**</w:t>
            </w:r>
          </w:p>
        </w:tc>
      </w:tr>
    </w:tbl>
    <w:p w14:paraId="3FA3F501" w14:textId="77777777" w:rsidR="00FE291A" w:rsidRDefault="00C8738F">
      <w:pPr>
        <w:pStyle w:val="BodyText"/>
        <w:keepNext/>
        <w:widowControl/>
        <w:kinsoku w:val="0"/>
        <w:overflowPunct w:val="0"/>
        <w:ind w:left="0"/>
        <w:rPr>
          <w:sz w:val="20"/>
          <w:szCs w:val="20"/>
          <w:lang w:val="en-US"/>
        </w:rPr>
      </w:pPr>
      <w:r>
        <w:rPr>
          <w:sz w:val="20"/>
          <w:szCs w:val="20"/>
          <w:vertAlign w:val="superscript"/>
          <w:lang w:val="en-US"/>
        </w:rPr>
        <w:t>a</w:t>
      </w:r>
      <w:r>
        <w:rPr>
          <w:sz w:val="20"/>
          <w:szCs w:val="20"/>
          <w:lang w:val="en-US"/>
        </w:rPr>
        <w:t xml:space="preserve"> </w:t>
      </w:r>
      <w:r>
        <w:rPr>
          <w:i/>
          <w:sz w:val="20"/>
          <w:szCs w:val="20"/>
          <w:lang w:val="en-US"/>
        </w:rPr>
        <w:t>Assessment of SpondyloArthritis International Society</w:t>
      </w:r>
    </w:p>
    <w:p w14:paraId="0FFB082D" w14:textId="77777777" w:rsidR="00FE291A" w:rsidRDefault="00C8738F">
      <w:pPr>
        <w:pStyle w:val="BodyText"/>
        <w:keepNext/>
        <w:widowControl/>
        <w:kinsoku w:val="0"/>
        <w:overflowPunct w:val="0"/>
        <w:ind w:left="0"/>
        <w:rPr>
          <w:sz w:val="20"/>
          <w:szCs w:val="20"/>
          <w:lang w:val="en-US"/>
        </w:rPr>
      </w:pPr>
      <w:r>
        <w:rPr>
          <w:sz w:val="20"/>
          <w:szCs w:val="20"/>
          <w:vertAlign w:val="superscript"/>
          <w:lang w:val="en-US"/>
        </w:rPr>
        <w:t>b</w:t>
      </w:r>
      <w:r>
        <w:rPr>
          <w:sz w:val="20"/>
          <w:szCs w:val="20"/>
          <w:lang w:val="en-US"/>
        </w:rPr>
        <w:t xml:space="preserve"> </w:t>
      </w:r>
      <w:r>
        <w:rPr>
          <w:i/>
          <w:sz w:val="20"/>
          <w:szCs w:val="20"/>
          <w:lang w:val="en-US"/>
        </w:rPr>
        <w:t>Bath Ankylosing Spondylitis Disease Activity Index</w:t>
      </w:r>
    </w:p>
    <w:p w14:paraId="2C754D89" w14:textId="77777777" w:rsidR="00FE291A" w:rsidRDefault="00C8738F">
      <w:pPr>
        <w:pStyle w:val="BodyText"/>
        <w:keepNext/>
        <w:widowControl/>
        <w:kinsoku w:val="0"/>
        <w:overflowPunct w:val="0"/>
        <w:ind w:left="0"/>
        <w:rPr>
          <w:sz w:val="20"/>
          <w:szCs w:val="20"/>
          <w:lang w:val="en-US"/>
        </w:rPr>
      </w:pPr>
      <w:r>
        <w:rPr>
          <w:sz w:val="20"/>
          <w:szCs w:val="20"/>
          <w:vertAlign w:val="superscript"/>
          <w:lang w:val="en-US"/>
        </w:rPr>
        <w:t>c</w:t>
      </w:r>
      <w:r>
        <w:rPr>
          <w:sz w:val="20"/>
          <w:szCs w:val="20"/>
          <w:lang w:val="en-US"/>
        </w:rPr>
        <w:t xml:space="preserve"> </w:t>
      </w:r>
      <w:r>
        <w:rPr>
          <w:i/>
          <w:sz w:val="20"/>
          <w:szCs w:val="20"/>
          <w:lang w:val="en-US"/>
        </w:rPr>
        <w:t>Ankylosing Spondylitis Disease Activity Score</w:t>
      </w:r>
    </w:p>
    <w:p w14:paraId="2B2C5A89" w14:textId="77777777" w:rsidR="00FE291A" w:rsidRDefault="00C8738F">
      <w:pPr>
        <w:pStyle w:val="BodyText"/>
        <w:keepNext/>
        <w:widowControl/>
        <w:kinsoku w:val="0"/>
        <w:overflowPunct w:val="0"/>
        <w:ind w:left="0"/>
        <w:rPr>
          <w:sz w:val="20"/>
          <w:szCs w:val="20"/>
          <w:lang w:val="de-DE"/>
        </w:rPr>
      </w:pPr>
      <w:r>
        <w:rPr>
          <w:sz w:val="20"/>
          <w:szCs w:val="20"/>
          <w:vertAlign w:val="superscript"/>
          <w:lang w:val="de-DE"/>
        </w:rPr>
        <w:t>d</w:t>
      </w:r>
      <w:r>
        <w:rPr>
          <w:sz w:val="20"/>
          <w:szCs w:val="20"/>
          <w:lang w:val="de-DE"/>
        </w:rPr>
        <w:t xml:space="preserve"> Mittlere Veränderung gegenüber Baseline</w:t>
      </w:r>
    </w:p>
    <w:p w14:paraId="5F9A0479" w14:textId="77777777" w:rsidR="00FE291A" w:rsidRDefault="00C8738F">
      <w:pPr>
        <w:pStyle w:val="BodyText"/>
        <w:keepNext/>
        <w:widowControl/>
        <w:kinsoku w:val="0"/>
        <w:overflowPunct w:val="0"/>
        <w:ind w:left="0"/>
        <w:rPr>
          <w:sz w:val="20"/>
          <w:szCs w:val="20"/>
          <w:lang w:val="de-DE"/>
        </w:rPr>
      </w:pPr>
      <w:r>
        <w:rPr>
          <w:sz w:val="20"/>
          <w:szCs w:val="20"/>
          <w:vertAlign w:val="superscript"/>
          <w:lang w:val="de-DE"/>
        </w:rPr>
        <w:t>e</w:t>
      </w:r>
      <w:r>
        <w:rPr>
          <w:sz w:val="20"/>
          <w:szCs w:val="20"/>
          <w:lang w:val="de-DE"/>
        </w:rPr>
        <w:t xml:space="preserve"> n = 91 Placebo und n = 87 Adalimumab </w:t>
      </w:r>
    </w:p>
    <w:p w14:paraId="32AA7378" w14:textId="77777777" w:rsidR="00FE291A" w:rsidRDefault="00C8738F">
      <w:pPr>
        <w:pStyle w:val="BodyText"/>
        <w:keepNext/>
        <w:widowControl/>
        <w:kinsoku w:val="0"/>
        <w:overflowPunct w:val="0"/>
        <w:ind w:left="0"/>
        <w:rPr>
          <w:sz w:val="20"/>
          <w:szCs w:val="20"/>
          <w:lang w:val="de-DE"/>
        </w:rPr>
      </w:pPr>
      <w:r>
        <w:rPr>
          <w:sz w:val="20"/>
          <w:szCs w:val="20"/>
          <w:vertAlign w:val="superscript"/>
          <w:lang w:val="de-DE"/>
        </w:rPr>
        <w:t>f</w:t>
      </w:r>
      <w:r>
        <w:rPr>
          <w:sz w:val="20"/>
          <w:szCs w:val="20"/>
          <w:lang w:val="de-DE"/>
        </w:rPr>
        <w:t xml:space="preserve"> hochsensitives C-reaktives Protein (mg/l)</w:t>
      </w:r>
    </w:p>
    <w:p w14:paraId="501C9072" w14:textId="77777777" w:rsidR="00FE291A" w:rsidRPr="00C85130" w:rsidRDefault="00C8738F">
      <w:pPr>
        <w:pStyle w:val="BodyText"/>
        <w:keepNext/>
        <w:widowControl/>
        <w:kinsoku w:val="0"/>
        <w:overflowPunct w:val="0"/>
        <w:ind w:left="0"/>
        <w:rPr>
          <w:sz w:val="20"/>
          <w:szCs w:val="20"/>
          <w:lang w:val="de-DE"/>
          <w:rPrChange w:id="38" w:author="Author">
            <w:rPr>
              <w:sz w:val="20"/>
              <w:szCs w:val="20"/>
              <w:lang w:val="pt-BR"/>
            </w:rPr>
          </w:rPrChange>
        </w:rPr>
      </w:pPr>
      <w:r w:rsidRPr="00C85130">
        <w:rPr>
          <w:sz w:val="20"/>
          <w:szCs w:val="20"/>
          <w:vertAlign w:val="superscript"/>
          <w:lang w:val="de-DE"/>
          <w:rPrChange w:id="39" w:author="Author">
            <w:rPr>
              <w:sz w:val="20"/>
              <w:szCs w:val="20"/>
              <w:vertAlign w:val="superscript"/>
              <w:lang w:val="pt-BR"/>
            </w:rPr>
          </w:rPrChange>
        </w:rPr>
        <w:t>g</w:t>
      </w:r>
      <w:r w:rsidRPr="00C85130">
        <w:rPr>
          <w:sz w:val="20"/>
          <w:szCs w:val="20"/>
          <w:lang w:val="de-DE"/>
          <w:rPrChange w:id="40" w:author="Author">
            <w:rPr>
              <w:sz w:val="20"/>
              <w:szCs w:val="20"/>
              <w:lang w:val="pt-BR"/>
            </w:rPr>
          </w:rPrChange>
        </w:rPr>
        <w:t xml:space="preserve"> n = 73 Placebo und n = 70 Adalimumab</w:t>
      </w:r>
    </w:p>
    <w:p w14:paraId="72DE34AF" w14:textId="77777777" w:rsidR="00FE291A" w:rsidRPr="00C85130" w:rsidRDefault="00C8738F">
      <w:pPr>
        <w:pStyle w:val="BodyText"/>
        <w:keepNext/>
        <w:widowControl/>
        <w:kinsoku w:val="0"/>
        <w:overflowPunct w:val="0"/>
        <w:ind w:left="0"/>
        <w:rPr>
          <w:sz w:val="20"/>
          <w:szCs w:val="20"/>
          <w:lang w:val="de-DE"/>
          <w:rPrChange w:id="41" w:author="Author">
            <w:rPr>
              <w:sz w:val="20"/>
              <w:szCs w:val="20"/>
              <w:lang w:val="en-US"/>
            </w:rPr>
          </w:rPrChange>
        </w:rPr>
      </w:pPr>
      <w:r w:rsidRPr="00C85130">
        <w:rPr>
          <w:sz w:val="20"/>
          <w:szCs w:val="20"/>
          <w:vertAlign w:val="superscript"/>
          <w:lang w:val="de-DE"/>
          <w:rPrChange w:id="42" w:author="Author">
            <w:rPr>
              <w:sz w:val="20"/>
              <w:szCs w:val="20"/>
              <w:vertAlign w:val="superscript"/>
              <w:lang w:val="en-US"/>
            </w:rPr>
          </w:rPrChange>
        </w:rPr>
        <w:t>h</w:t>
      </w:r>
      <w:r w:rsidRPr="00C85130">
        <w:rPr>
          <w:sz w:val="20"/>
          <w:szCs w:val="20"/>
          <w:lang w:val="de-DE"/>
          <w:rPrChange w:id="43" w:author="Author">
            <w:rPr>
              <w:sz w:val="20"/>
              <w:szCs w:val="20"/>
              <w:lang w:val="en-US"/>
            </w:rPr>
          </w:rPrChange>
        </w:rPr>
        <w:t xml:space="preserve"> </w:t>
      </w:r>
      <w:r w:rsidRPr="00C85130">
        <w:rPr>
          <w:i/>
          <w:sz w:val="20"/>
          <w:szCs w:val="20"/>
          <w:lang w:val="de-DE"/>
          <w:rPrChange w:id="44" w:author="Author">
            <w:rPr>
              <w:i/>
              <w:sz w:val="20"/>
              <w:szCs w:val="20"/>
              <w:lang w:val="en-US"/>
            </w:rPr>
          </w:rPrChange>
        </w:rPr>
        <w:t>Spondyloarthritis Research Consortium of Canada</w:t>
      </w:r>
    </w:p>
    <w:p w14:paraId="51982485" w14:textId="77777777" w:rsidR="00FE291A" w:rsidRPr="00C85130" w:rsidRDefault="00C8738F">
      <w:pPr>
        <w:pStyle w:val="BodyText"/>
        <w:keepNext/>
        <w:widowControl/>
        <w:kinsoku w:val="0"/>
        <w:overflowPunct w:val="0"/>
        <w:ind w:left="0"/>
        <w:rPr>
          <w:sz w:val="20"/>
          <w:szCs w:val="20"/>
          <w:lang w:val="de-DE"/>
          <w:rPrChange w:id="45" w:author="Author">
            <w:rPr>
              <w:sz w:val="20"/>
              <w:szCs w:val="20"/>
              <w:lang w:val="en-US"/>
            </w:rPr>
          </w:rPrChange>
        </w:rPr>
      </w:pPr>
      <w:r w:rsidRPr="00C85130">
        <w:rPr>
          <w:sz w:val="20"/>
          <w:szCs w:val="20"/>
          <w:vertAlign w:val="superscript"/>
          <w:lang w:val="de-DE"/>
          <w:rPrChange w:id="46" w:author="Author">
            <w:rPr>
              <w:sz w:val="20"/>
              <w:szCs w:val="20"/>
              <w:vertAlign w:val="superscript"/>
              <w:lang w:val="en-US"/>
            </w:rPr>
          </w:rPrChange>
        </w:rPr>
        <w:t>i</w:t>
      </w:r>
      <w:r w:rsidRPr="00C85130">
        <w:rPr>
          <w:sz w:val="20"/>
          <w:szCs w:val="20"/>
          <w:lang w:val="de-DE"/>
          <w:rPrChange w:id="47" w:author="Author">
            <w:rPr>
              <w:sz w:val="20"/>
              <w:szCs w:val="20"/>
              <w:lang w:val="en-US"/>
            </w:rPr>
          </w:rPrChange>
        </w:rPr>
        <w:t xml:space="preserve"> n = 84 Placebo und Adalimumab</w:t>
      </w:r>
    </w:p>
    <w:p w14:paraId="54BDE166" w14:textId="77777777" w:rsidR="00FE291A" w:rsidRPr="00C85130" w:rsidRDefault="00C8738F">
      <w:pPr>
        <w:pStyle w:val="BodyText"/>
        <w:keepNext/>
        <w:widowControl/>
        <w:kinsoku w:val="0"/>
        <w:overflowPunct w:val="0"/>
        <w:ind w:left="0"/>
        <w:rPr>
          <w:sz w:val="20"/>
          <w:szCs w:val="20"/>
          <w:lang w:val="de-DE"/>
          <w:rPrChange w:id="48" w:author="Author">
            <w:rPr>
              <w:sz w:val="20"/>
              <w:szCs w:val="20"/>
              <w:lang w:val="en-US"/>
            </w:rPr>
          </w:rPrChange>
        </w:rPr>
      </w:pPr>
      <w:r w:rsidRPr="00C85130">
        <w:rPr>
          <w:sz w:val="20"/>
          <w:szCs w:val="20"/>
          <w:vertAlign w:val="superscript"/>
          <w:lang w:val="de-DE"/>
          <w:rPrChange w:id="49" w:author="Author">
            <w:rPr>
              <w:sz w:val="20"/>
              <w:szCs w:val="20"/>
              <w:vertAlign w:val="superscript"/>
              <w:lang w:val="en-US"/>
            </w:rPr>
          </w:rPrChange>
        </w:rPr>
        <w:t>j</w:t>
      </w:r>
      <w:r w:rsidRPr="00C85130">
        <w:rPr>
          <w:sz w:val="20"/>
          <w:szCs w:val="20"/>
          <w:lang w:val="de-DE"/>
          <w:rPrChange w:id="50" w:author="Author">
            <w:rPr>
              <w:sz w:val="20"/>
              <w:szCs w:val="20"/>
              <w:lang w:val="en-US"/>
            </w:rPr>
          </w:rPrChange>
        </w:rPr>
        <w:t xml:space="preserve"> n = 82 Placebo und n = 85 Adalimumab</w:t>
      </w:r>
    </w:p>
    <w:p w14:paraId="137CF327" w14:textId="77777777" w:rsidR="00FE291A" w:rsidRDefault="00C8738F">
      <w:pPr>
        <w:pStyle w:val="BodyText"/>
        <w:keepNext/>
        <w:widowControl/>
        <w:kinsoku w:val="0"/>
        <w:overflowPunct w:val="0"/>
        <w:ind w:left="0"/>
        <w:rPr>
          <w:sz w:val="20"/>
          <w:szCs w:val="20"/>
          <w:lang w:val="de-DE"/>
        </w:rPr>
      </w:pPr>
      <w:r>
        <w:rPr>
          <w:sz w:val="20"/>
          <w:szCs w:val="20"/>
          <w:lang w:val="de-DE"/>
        </w:rPr>
        <w:t>***, **, * statistisch signifikant mit p &lt; 0,001; &lt; 0,01 bzw. &lt; 0,05 für alle Vergleiche von Adalimumab mit Placebo</w:t>
      </w:r>
    </w:p>
    <w:p w14:paraId="3B88E4A1" w14:textId="77777777" w:rsidR="00FE291A" w:rsidRDefault="00FE291A">
      <w:pPr>
        <w:widowControl/>
        <w:kinsoku w:val="0"/>
        <w:overflowPunct w:val="0"/>
        <w:rPr>
          <w:sz w:val="22"/>
          <w:szCs w:val="22"/>
          <w:lang w:val="de-DE"/>
        </w:rPr>
      </w:pPr>
    </w:p>
    <w:p w14:paraId="0DB7B694" w14:textId="77777777" w:rsidR="00FE291A" w:rsidRDefault="00C8738F">
      <w:pPr>
        <w:widowControl/>
        <w:kinsoku w:val="0"/>
        <w:overflowPunct w:val="0"/>
        <w:rPr>
          <w:sz w:val="22"/>
          <w:szCs w:val="22"/>
          <w:lang w:val="de-DE"/>
        </w:rPr>
      </w:pPr>
      <w:r>
        <w:rPr>
          <w:sz w:val="22"/>
          <w:szCs w:val="22"/>
          <w:lang w:val="de-DE"/>
        </w:rPr>
        <w:t>In der offenen Fortsetzungsstudie konnte die Verbesserung der Anzeichen und Symptome unter der Behandlung mit Adalimumab bis Woche 156 aufrechterhalten werden.</w:t>
      </w:r>
    </w:p>
    <w:p w14:paraId="5BE4072F" w14:textId="77777777" w:rsidR="00FE291A" w:rsidRDefault="00FE291A">
      <w:pPr>
        <w:widowControl/>
        <w:kinsoku w:val="0"/>
        <w:overflowPunct w:val="0"/>
        <w:rPr>
          <w:sz w:val="22"/>
          <w:szCs w:val="22"/>
          <w:lang w:val="de-DE"/>
        </w:rPr>
      </w:pPr>
    </w:p>
    <w:p w14:paraId="55F4717C" w14:textId="77777777" w:rsidR="00FE291A" w:rsidRDefault="00C8738F">
      <w:pPr>
        <w:keepNext/>
        <w:widowControl/>
        <w:kinsoku w:val="0"/>
        <w:overflowPunct w:val="0"/>
        <w:rPr>
          <w:sz w:val="22"/>
          <w:szCs w:val="22"/>
          <w:u w:val="single"/>
          <w:lang w:val="de-DE"/>
        </w:rPr>
      </w:pPr>
      <w:r>
        <w:rPr>
          <w:sz w:val="22"/>
          <w:szCs w:val="22"/>
          <w:u w:val="single"/>
          <w:lang w:val="de-DE"/>
        </w:rPr>
        <w:t>Hemmung der Entzündung</w:t>
      </w:r>
    </w:p>
    <w:p w14:paraId="1DB292F7" w14:textId="77777777" w:rsidR="00FE291A" w:rsidRDefault="00FE291A">
      <w:pPr>
        <w:keepNext/>
        <w:widowControl/>
        <w:kinsoku w:val="0"/>
        <w:overflowPunct w:val="0"/>
        <w:rPr>
          <w:sz w:val="22"/>
          <w:szCs w:val="22"/>
          <w:lang w:val="de-DE"/>
        </w:rPr>
      </w:pPr>
    </w:p>
    <w:p w14:paraId="66BCDD4D" w14:textId="77777777" w:rsidR="00FE291A" w:rsidRDefault="00C8738F">
      <w:pPr>
        <w:pStyle w:val="BodyText"/>
        <w:widowControl/>
        <w:kinsoku w:val="0"/>
        <w:overflowPunct w:val="0"/>
        <w:ind w:left="0"/>
        <w:rPr>
          <w:lang w:val="de-DE"/>
        </w:rPr>
      </w:pPr>
      <w:r>
        <w:rPr>
          <w:lang w:val="de-DE"/>
        </w:rPr>
        <w:t>Eine signifikante Verbesserung der Anzeichen der Entzündung beider Iliosakralgelenke und der Wirbelsäule, gemessen mittels hs-CRP-Wert und MRT, konnte bei den mit Adalimumab behandelten Patienten bis Woche 156 bzw. 104 aufrechterhalten werden.</w:t>
      </w:r>
    </w:p>
    <w:p w14:paraId="7682CF6D" w14:textId="77777777" w:rsidR="00FE291A" w:rsidRDefault="00FE291A">
      <w:pPr>
        <w:widowControl/>
        <w:kinsoku w:val="0"/>
        <w:overflowPunct w:val="0"/>
        <w:rPr>
          <w:sz w:val="22"/>
          <w:szCs w:val="22"/>
          <w:lang w:val="de-DE"/>
        </w:rPr>
      </w:pPr>
    </w:p>
    <w:p w14:paraId="135C7D7D" w14:textId="77777777" w:rsidR="00FE291A" w:rsidRDefault="00C8738F">
      <w:pPr>
        <w:pStyle w:val="BodyText"/>
        <w:keepNext/>
        <w:widowControl/>
        <w:kinsoku w:val="0"/>
        <w:overflowPunct w:val="0"/>
        <w:ind w:left="0"/>
        <w:rPr>
          <w:u w:val="single"/>
          <w:lang w:val="de-DE"/>
        </w:rPr>
      </w:pPr>
      <w:r>
        <w:rPr>
          <w:u w:val="single"/>
          <w:lang w:val="de-DE"/>
        </w:rPr>
        <w:t>Lebensqualität und körperliche Funktionsfähigkeit</w:t>
      </w:r>
    </w:p>
    <w:p w14:paraId="5E46E5AC" w14:textId="77777777" w:rsidR="00FE291A" w:rsidRDefault="00FE291A">
      <w:pPr>
        <w:keepNext/>
        <w:widowControl/>
        <w:kinsoku w:val="0"/>
        <w:overflowPunct w:val="0"/>
        <w:rPr>
          <w:sz w:val="22"/>
          <w:szCs w:val="22"/>
          <w:lang w:val="de-DE"/>
        </w:rPr>
      </w:pPr>
    </w:p>
    <w:p w14:paraId="60E5D957" w14:textId="77777777" w:rsidR="00FE291A" w:rsidRDefault="00C8738F">
      <w:pPr>
        <w:pStyle w:val="BodyText"/>
        <w:widowControl/>
        <w:kinsoku w:val="0"/>
        <w:overflowPunct w:val="0"/>
        <w:ind w:left="0"/>
        <w:rPr>
          <w:lang w:val="de-DE"/>
        </w:rPr>
      </w:pPr>
      <w:r>
        <w:rPr>
          <w:lang w:val="de-DE"/>
        </w:rPr>
        <w:t xml:space="preserve">Die gesundheitsbezogene Lebensqualität und körperliche Funktionsfähigkeit wurden unter Anwendung der HAQ-S- und SF-36-Fragebögen geprüft. Im Vergleich zu Placebo zeigte Adalimumab von Studienbeginn bis Woche 12 eine statistisch signifikant stärkere Verbesserung im HAQ-S-Gesamtscore und der körperlichen Funktionsfähigkeit (SF-36 </w:t>
      </w:r>
      <w:r>
        <w:rPr>
          <w:i/>
          <w:iCs/>
          <w:lang w:val="de-DE"/>
        </w:rPr>
        <w:t>Physical Component Score</w:t>
      </w:r>
      <w:r>
        <w:rPr>
          <w:lang w:val="de-DE"/>
        </w:rPr>
        <w:t xml:space="preserve"> (PCS)). Die Verbesserung der gesundheitsbezogenen Lebensqualität und der körperlichen Funktionsfähigkeit konnte in der offenen Fortsetzungsstudie bis Woche 156 aufrechterhalten werden.</w:t>
      </w:r>
    </w:p>
    <w:p w14:paraId="6CCFC0FC" w14:textId="77777777" w:rsidR="00FE291A" w:rsidRDefault="00FE291A">
      <w:pPr>
        <w:widowControl/>
        <w:kinsoku w:val="0"/>
        <w:overflowPunct w:val="0"/>
        <w:rPr>
          <w:sz w:val="22"/>
          <w:szCs w:val="22"/>
          <w:lang w:val="de-DE"/>
        </w:rPr>
      </w:pPr>
    </w:p>
    <w:p w14:paraId="792B7057" w14:textId="77777777" w:rsidR="00FE291A" w:rsidRDefault="00C8738F">
      <w:pPr>
        <w:keepNext/>
        <w:widowControl/>
        <w:tabs>
          <w:tab w:val="left" w:pos="562"/>
        </w:tabs>
        <w:suppressAutoHyphens/>
        <w:autoSpaceDE/>
        <w:autoSpaceDN/>
        <w:adjustRightInd/>
        <w:rPr>
          <w:rFonts w:eastAsia="Times New Roman"/>
          <w:sz w:val="22"/>
          <w:szCs w:val="22"/>
          <w:lang w:val="de-DE" w:eastAsia="en-US"/>
        </w:rPr>
      </w:pPr>
      <w:r>
        <w:rPr>
          <w:rFonts w:eastAsia="Times New Roman"/>
          <w:sz w:val="22"/>
          <w:szCs w:val="20"/>
          <w:lang w:val="de-DE" w:eastAsia="en-US"/>
        </w:rPr>
        <w:t>nr</w:t>
      </w:r>
      <w:r>
        <w:rPr>
          <w:rFonts w:eastAsia="Times New Roman"/>
          <w:sz w:val="22"/>
          <w:szCs w:val="20"/>
          <w:lang w:val="de-DE" w:eastAsia="en-US"/>
        </w:rPr>
        <w:noBreakHyphen/>
        <w:t>axSpA-Studie II</w:t>
      </w:r>
    </w:p>
    <w:p w14:paraId="1281AFEC" w14:textId="77777777" w:rsidR="00FE291A" w:rsidRDefault="00FE291A">
      <w:pPr>
        <w:keepNext/>
        <w:widowControl/>
        <w:tabs>
          <w:tab w:val="left" w:pos="562"/>
        </w:tabs>
        <w:suppressAutoHyphens/>
        <w:autoSpaceDE/>
        <w:autoSpaceDN/>
        <w:adjustRightInd/>
        <w:rPr>
          <w:rFonts w:eastAsia="Times New Roman"/>
          <w:sz w:val="22"/>
          <w:szCs w:val="22"/>
          <w:lang w:val="de-DE" w:eastAsia="en-US"/>
        </w:rPr>
      </w:pPr>
    </w:p>
    <w:p w14:paraId="14469D05" w14:textId="77777777" w:rsidR="00FE291A" w:rsidRDefault="00C8738F">
      <w:pPr>
        <w:widowControl/>
        <w:tabs>
          <w:tab w:val="left" w:pos="562"/>
        </w:tabs>
        <w:suppressAutoHyphens/>
        <w:autoSpaceDE/>
        <w:autoSpaceDN/>
        <w:adjustRightInd/>
        <w:rPr>
          <w:rFonts w:eastAsia="Times New Roman"/>
          <w:sz w:val="22"/>
          <w:szCs w:val="22"/>
          <w:lang w:val="de-DE" w:eastAsia="en-US"/>
        </w:rPr>
      </w:pPr>
      <w:r>
        <w:rPr>
          <w:rFonts w:eastAsia="Times New Roman"/>
          <w:sz w:val="22"/>
          <w:szCs w:val="20"/>
          <w:lang w:val="de-DE" w:eastAsia="en-US"/>
        </w:rPr>
        <w:t>673 Patienten mit aktiver nr</w:t>
      </w:r>
      <w:r>
        <w:rPr>
          <w:rFonts w:eastAsia="Times New Roman"/>
          <w:sz w:val="22"/>
          <w:szCs w:val="20"/>
          <w:lang w:val="de-DE" w:eastAsia="en-US"/>
        </w:rPr>
        <w:noBreakHyphen/>
        <w:t xml:space="preserve">axSpA (mittlerer Ausgangswert der Krankheitsaktivität [BASDAI] war 7,0), die auf </w:t>
      </w:r>
      <w:r>
        <w:rPr>
          <w:rFonts w:eastAsia="Times New Roman"/>
          <w:sz w:val="22"/>
          <w:szCs w:val="22"/>
          <w:lang w:val="de-DE"/>
        </w:rPr>
        <w:t>≥</w:t>
      </w:r>
      <w:r>
        <w:rPr>
          <w:rFonts w:eastAsia="Times New Roman"/>
          <w:sz w:val="22"/>
          <w:szCs w:val="20"/>
          <w:lang w:val="de-DE" w:eastAsia="en-US"/>
        </w:rPr>
        <w:t> 2 NSAR unzureichend angesprochen haben oder bei denen eine Unverträglichkeit oder Kontraindikation gegenüber diesen vorlag, wurden in die offene Fortsetzungsphase der nr</w:t>
      </w:r>
      <w:r>
        <w:rPr>
          <w:rFonts w:eastAsia="Times New Roman"/>
          <w:sz w:val="22"/>
          <w:szCs w:val="20"/>
          <w:lang w:val="de-DE" w:eastAsia="en-US"/>
        </w:rPr>
        <w:noBreakHyphen/>
        <w:t>axSpA-Studie II aufgenommen. Die Patienten erhielten jede zweite Woche Adalimumab 40 mg für 28 Wochen. Alle Patienten hatten Anzeichen einer Entzündung des Iliosakralgelenkes oder der Wirbelsäule, die mittels MRT nachgewiesen wurden, oder erhöhte hs-CRP-Werte. Patienten, die während der offenen Fortsetzungsphase eine über mindestens 12 Wochen anhaltende Remission erreichten (N = 305) (ASDAS &lt; 1,3 in Woche 16, 20, 24 und 28), wurden daraufhin randomisiert. Sie erhielten in einer doppelblinden, placebokontrollierten Phase weitere 40 Wochen lang (Gesamtdauer der Studie 68 Wochen) entweder weiterhin jede zweite Woche Adalimumab 40 mg (n = 152) oder Placebo (n = 153). Studienteilnehmer, die in der doppelblinden Phase einen Schub bekamen, konnten für mindestens 12 Wochen eine Rescue-Therapie mit Adalimumab 40 mg jede zweite Woche erhalten.</w:t>
      </w:r>
    </w:p>
    <w:p w14:paraId="740289B4" w14:textId="77777777" w:rsidR="00FE291A" w:rsidRDefault="00FE291A">
      <w:pPr>
        <w:widowControl/>
        <w:tabs>
          <w:tab w:val="left" w:pos="562"/>
        </w:tabs>
        <w:suppressAutoHyphens/>
        <w:autoSpaceDE/>
        <w:autoSpaceDN/>
        <w:adjustRightInd/>
        <w:rPr>
          <w:rFonts w:eastAsia="Times New Roman"/>
          <w:sz w:val="22"/>
          <w:szCs w:val="20"/>
          <w:lang w:val="de-DE" w:eastAsia="en-US"/>
        </w:rPr>
      </w:pPr>
    </w:p>
    <w:p w14:paraId="2069A3C5" w14:textId="77777777" w:rsidR="00FE291A" w:rsidRDefault="00C8738F">
      <w:pPr>
        <w:widowControl/>
        <w:tabs>
          <w:tab w:val="left" w:pos="562"/>
        </w:tabs>
        <w:suppressAutoHyphens/>
        <w:autoSpaceDE/>
        <w:autoSpaceDN/>
        <w:adjustRightInd/>
        <w:rPr>
          <w:rFonts w:eastAsia="Times New Roman"/>
          <w:sz w:val="22"/>
          <w:szCs w:val="20"/>
          <w:lang w:val="de-DE" w:eastAsia="en-US"/>
        </w:rPr>
      </w:pPr>
      <w:r>
        <w:rPr>
          <w:rFonts w:eastAsia="Times New Roman"/>
          <w:sz w:val="22"/>
          <w:szCs w:val="20"/>
          <w:lang w:val="de-DE" w:eastAsia="en-US"/>
        </w:rPr>
        <w:t xml:space="preserve">Der primäre Wirksamkeitsendpunkt der Studie war der Anteil an Patienten ohne Schub bis Woche 68. Ein Schub war definiert als ASDAS ≥ 2,1 bei zwei aufeinanderfolgenden Visiten im Abstand von vier Wochen. In der doppelblinden Phase hatte ein höherer Anteil der Patienten unter Adalimumab im Vergleich zu Patienten unter Placebo keinen Schub (70,4 % gegenüber 47,1 %, p &lt; 0,001) (Abbildung 1). </w:t>
      </w:r>
    </w:p>
    <w:p w14:paraId="0FBC8D44" w14:textId="77777777" w:rsidR="00FE291A" w:rsidRDefault="00FE291A">
      <w:pPr>
        <w:keepNext/>
        <w:widowControl/>
        <w:tabs>
          <w:tab w:val="left" w:pos="562"/>
        </w:tabs>
        <w:suppressAutoHyphens/>
        <w:autoSpaceDE/>
        <w:autoSpaceDN/>
        <w:adjustRightInd/>
        <w:rPr>
          <w:rFonts w:eastAsia="Times New Roman"/>
          <w:sz w:val="22"/>
          <w:szCs w:val="20"/>
          <w:lang w:val="de-DE" w:eastAsia="en-US"/>
        </w:rPr>
      </w:pPr>
    </w:p>
    <w:p w14:paraId="4F84353B" w14:textId="77777777" w:rsidR="00FE291A" w:rsidRDefault="00C8738F">
      <w:pPr>
        <w:keepNext/>
        <w:widowControl/>
        <w:tabs>
          <w:tab w:val="left" w:pos="562"/>
        </w:tabs>
        <w:suppressAutoHyphens/>
        <w:autoSpaceDE/>
        <w:autoSpaceDN/>
        <w:adjustRightInd/>
        <w:rPr>
          <w:rFonts w:eastAsia="Times New Roman"/>
          <w:sz w:val="22"/>
          <w:szCs w:val="20"/>
          <w:lang w:val="de-DE" w:eastAsia="en-US"/>
        </w:rPr>
      </w:pPr>
      <w:r>
        <w:rPr>
          <w:rFonts w:eastAsia="Times New Roman"/>
          <w:b/>
          <w:sz w:val="22"/>
          <w:szCs w:val="20"/>
          <w:lang w:val="de-DE" w:eastAsia="en-US"/>
        </w:rPr>
        <w:t>Abbildung 1: Kaplan-Meier-Kurven zur Darstellung der Dauer bis zum Schub in der</w:t>
      </w:r>
    </w:p>
    <w:p w14:paraId="1DFAF5DF" w14:textId="77777777" w:rsidR="00FE291A" w:rsidRDefault="00C8738F">
      <w:pPr>
        <w:keepNext/>
        <w:widowControl/>
        <w:tabs>
          <w:tab w:val="left" w:pos="562"/>
        </w:tabs>
        <w:suppressAutoHyphens/>
        <w:autoSpaceDE/>
        <w:autoSpaceDN/>
        <w:adjustRightInd/>
        <w:rPr>
          <w:rFonts w:eastAsia="Times New Roman"/>
          <w:b/>
          <w:sz w:val="22"/>
          <w:szCs w:val="20"/>
          <w:lang w:val="de-DE" w:eastAsia="en-US"/>
        </w:rPr>
      </w:pPr>
      <w:r>
        <w:rPr>
          <w:rFonts w:eastAsia="Times New Roman"/>
          <w:b/>
          <w:sz w:val="22"/>
          <w:szCs w:val="20"/>
          <w:lang w:val="de-DE" w:eastAsia="en-US"/>
        </w:rPr>
        <w:t>nr</w:t>
      </w:r>
      <w:r>
        <w:rPr>
          <w:rFonts w:eastAsia="Times New Roman"/>
          <w:b/>
          <w:sz w:val="22"/>
          <w:szCs w:val="20"/>
          <w:lang w:val="de-DE" w:eastAsia="en-US"/>
        </w:rPr>
        <w:noBreakHyphen/>
        <w:t>axSpA-Studie II</w:t>
      </w:r>
    </w:p>
    <w:p w14:paraId="3FB732E5" w14:textId="77777777" w:rsidR="00FE291A" w:rsidRDefault="00FE291A">
      <w:pPr>
        <w:keepNext/>
        <w:widowControl/>
        <w:tabs>
          <w:tab w:val="left" w:pos="562"/>
        </w:tabs>
        <w:suppressAutoHyphens/>
        <w:autoSpaceDE/>
        <w:autoSpaceDN/>
        <w:adjustRightInd/>
        <w:rPr>
          <w:rFonts w:eastAsia="Times New Roman"/>
          <w:sz w:val="22"/>
          <w:szCs w:val="20"/>
          <w:lang w:val="de-DE" w:eastAsia="en-US"/>
        </w:rPr>
      </w:pPr>
    </w:p>
    <w:tbl>
      <w:tblPr>
        <w:tblW w:w="9561" w:type="dxa"/>
        <w:tblLayout w:type="fixed"/>
        <w:tblLook w:val="04A0" w:firstRow="1" w:lastRow="0" w:firstColumn="1" w:lastColumn="0" w:noHBand="0" w:noVBand="1"/>
      </w:tblPr>
      <w:tblGrid>
        <w:gridCol w:w="602"/>
        <w:gridCol w:w="8959"/>
      </w:tblGrid>
      <w:tr w:rsidR="00FE291A" w14:paraId="4B96A58F" w14:textId="77777777">
        <w:trPr>
          <w:cantSplit/>
          <w:trHeight w:val="1134"/>
        </w:trPr>
        <w:tc>
          <w:tcPr>
            <w:tcW w:w="602" w:type="dxa"/>
            <w:textDirection w:val="btLr"/>
            <w:vAlign w:val="center"/>
          </w:tcPr>
          <w:p w14:paraId="72284E95" w14:textId="77777777" w:rsidR="00FE291A" w:rsidRDefault="00C8738F">
            <w:pPr>
              <w:widowControl/>
              <w:tabs>
                <w:tab w:val="left" w:pos="562"/>
              </w:tabs>
              <w:suppressAutoHyphens/>
              <w:autoSpaceDE/>
              <w:autoSpaceDN/>
              <w:adjustRightInd/>
              <w:ind w:left="113" w:right="113"/>
              <w:jc w:val="center"/>
              <w:rPr>
                <w:rFonts w:eastAsia="Times New Roman"/>
                <w:b/>
                <w:color w:val="000000"/>
                <w:sz w:val="20"/>
                <w:szCs w:val="20"/>
                <w:lang w:val="de-DE" w:eastAsia="en-US"/>
              </w:rPr>
            </w:pPr>
            <w:r>
              <w:rPr>
                <w:rFonts w:eastAsia="Calibri" w:cs="Arial"/>
                <w:b/>
                <w:color w:val="000000"/>
                <w:sz w:val="20"/>
                <w:szCs w:val="20"/>
                <w:lang w:val="de-DE" w:eastAsia="en-US"/>
              </w:rPr>
              <w:t xml:space="preserve">                   WAHRSCHEINLICHKEIT, KEINEN SCHUB ZU ERLEIDEN</w:t>
            </w:r>
          </w:p>
        </w:tc>
        <w:tc>
          <w:tcPr>
            <w:tcW w:w="8959" w:type="dxa"/>
          </w:tcPr>
          <w:p w14:paraId="0F5BB0B4" w14:textId="6E39E064" w:rsidR="00FE291A" w:rsidRDefault="009C5B62">
            <w:pPr>
              <w:widowControl/>
              <w:tabs>
                <w:tab w:val="left" w:pos="562"/>
              </w:tabs>
              <w:suppressAutoHyphens/>
              <w:autoSpaceDE/>
              <w:autoSpaceDN/>
              <w:adjustRightInd/>
              <w:rPr>
                <w:rFonts w:eastAsia="Times New Roman"/>
                <w:color w:val="000000"/>
                <w:sz w:val="20"/>
                <w:szCs w:val="20"/>
                <w:lang w:val="de-DE" w:eastAsia="en-US"/>
              </w:rPr>
            </w:pPr>
            <w:r>
              <w:rPr>
                <w:rFonts w:eastAsia="Calibri" w:cs="Arial"/>
                <w:noProof/>
                <w:color w:val="000000"/>
                <w:sz w:val="20"/>
                <w:szCs w:val="20"/>
                <w:lang w:val="de-DE" w:eastAsia="en-GB"/>
              </w:rPr>
              <w:drawing>
                <wp:inline distT="0" distB="0" distL="0" distR="0" wp14:anchorId="61BD2AF2" wp14:editId="14327186">
                  <wp:extent cx="5646420" cy="2971800"/>
                  <wp:effectExtent l="0" t="0" r="0" b="0"/>
                  <wp:docPr id="9"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6420" cy="2971800"/>
                          </a:xfrm>
                          <a:prstGeom prst="rect">
                            <a:avLst/>
                          </a:prstGeom>
                          <a:noFill/>
                          <a:ln>
                            <a:noFill/>
                          </a:ln>
                        </pic:spPr>
                      </pic:pic>
                    </a:graphicData>
                  </a:graphic>
                </wp:inline>
              </w:drawing>
            </w:r>
          </w:p>
        </w:tc>
      </w:tr>
      <w:tr w:rsidR="00FE291A" w14:paraId="2C3A1389" w14:textId="77777777">
        <w:tc>
          <w:tcPr>
            <w:tcW w:w="602" w:type="dxa"/>
          </w:tcPr>
          <w:p w14:paraId="6D5A3351" w14:textId="77777777" w:rsidR="00FE291A" w:rsidRDefault="00FE291A">
            <w:pPr>
              <w:widowControl/>
              <w:tabs>
                <w:tab w:val="left" w:pos="562"/>
              </w:tabs>
              <w:suppressAutoHyphens/>
              <w:autoSpaceDE/>
              <w:autoSpaceDN/>
              <w:adjustRightInd/>
              <w:rPr>
                <w:rFonts w:eastAsia="Times New Roman"/>
                <w:color w:val="000000"/>
                <w:sz w:val="20"/>
                <w:szCs w:val="20"/>
                <w:lang w:val="de-DE" w:eastAsia="en-GB"/>
              </w:rPr>
            </w:pPr>
          </w:p>
        </w:tc>
        <w:tc>
          <w:tcPr>
            <w:tcW w:w="8959" w:type="dxa"/>
            <w:vAlign w:val="center"/>
          </w:tcPr>
          <w:p w14:paraId="386F987F" w14:textId="77777777" w:rsidR="00FE291A" w:rsidRDefault="00C8738F">
            <w:pPr>
              <w:widowControl/>
              <w:tabs>
                <w:tab w:val="left" w:pos="562"/>
              </w:tabs>
              <w:suppressAutoHyphens/>
              <w:autoSpaceDE/>
              <w:autoSpaceDN/>
              <w:adjustRightInd/>
              <w:jc w:val="center"/>
              <w:rPr>
                <w:rFonts w:eastAsia="Times New Roman"/>
                <w:b/>
                <w:color w:val="000000"/>
                <w:sz w:val="20"/>
                <w:szCs w:val="20"/>
                <w:lang w:val="de-DE" w:eastAsia="en-US"/>
              </w:rPr>
            </w:pPr>
            <w:r>
              <w:rPr>
                <w:rFonts w:eastAsia="Calibri" w:cs="Arial"/>
                <w:b/>
                <w:color w:val="000000"/>
                <w:sz w:val="20"/>
                <w:szCs w:val="20"/>
                <w:lang w:val="de-DE" w:eastAsia="en-US"/>
              </w:rPr>
              <w:t>ZEIT (WOCHEN)</w:t>
            </w:r>
          </w:p>
        </w:tc>
      </w:tr>
      <w:tr w:rsidR="00FE291A" w14:paraId="2C7EF191" w14:textId="77777777">
        <w:tc>
          <w:tcPr>
            <w:tcW w:w="9561" w:type="dxa"/>
            <w:gridSpan w:val="2"/>
          </w:tcPr>
          <w:p w14:paraId="4B0C289D" w14:textId="5E72A196" w:rsidR="00FE291A" w:rsidRDefault="00C8738F">
            <w:pPr>
              <w:widowControl/>
              <w:tabs>
                <w:tab w:val="left" w:pos="562"/>
              </w:tabs>
              <w:suppressAutoHyphens/>
              <w:autoSpaceDE/>
              <w:autoSpaceDN/>
              <w:adjustRightInd/>
              <w:rPr>
                <w:rFonts w:eastAsia="Times New Roman"/>
                <w:color w:val="000000"/>
                <w:sz w:val="20"/>
                <w:szCs w:val="20"/>
                <w:lang w:val="de-DE" w:eastAsia="en-US"/>
              </w:rPr>
            </w:pPr>
            <w:r>
              <w:rPr>
                <w:rFonts w:eastAsia="Calibri" w:cs="Arial"/>
                <w:color w:val="000000"/>
                <w:sz w:val="20"/>
                <w:szCs w:val="20"/>
                <w:lang w:val="de-DE" w:eastAsia="en-US"/>
              </w:rPr>
              <w:t xml:space="preserve">                                  Behandlung</w:t>
            </w:r>
            <w:r>
              <w:rPr>
                <w:rFonts w:eastAsia="Calibri" w:cs="Arial"/>
                <w:color w:val="000000"/>
                <w:sz w:val="20"/>
                <w:szCs w:val="20"/>
                <w:lang w:val="de-DE" w:eastAsia="en-US"/>
              </w:rPr>
              <w:tab/>
            </w:r>
            <w:r w:rsidR="009C5B62">
              <w:rPr>
                <w:noProof/>
              </w:rPr>
              <mc:AlternateContent>
                <mc:Choice Requires="wps">
                  <w:drawing>
                    <wp:inline distT="0" distB="0" distL="0" distR="0" wp14:anchorId="145FCEA8" wp14:editId="148F7470">
                      <wp:extent cx="381000" cy="635"/>
                      <wp:effectExtent l="19050" t="19050" r="19050" b="18415"/>
                      <wp:docPr id="1022874264"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635"/>
                              </a:xfrm>
                              <a:prstGeom prst="line">
                                <a:avLst/>
                              </a:prstGeom>
                              <a:noFill/>
                              <a:ln w="28575">
                                <a:solidFill>
                                  <a:srgbClr val="595959"/>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29403619" id="Straight Connector 92" o:spid="_x0000_s1026" style="visibility:visible;mso-wrap-style:square;mso-left-percent:-10001;mso-top-percent:-10001;mso-position-horizontal:absolute;mso-position-horizontal-relative:char;mso-position-vertical:absolute;mso-position-vertical-relative:line;mso-left-percent:-10001;mso-top-percent:-10001" from="0,0" to="3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" strokecolor="#595959" strokeweight="2.25pt">
                      <v:stroke dashstyle="1 1"/>
                      <w10:anchorlock/>
                    </v:line>
                  </w:pict>
                </mc:Fallback>
              </mc:AlternateContent>
            </w:r>
            <w:r>
              <w:rPr>
                <w:rFonts w:eastAsia="Calibri" w:cs="Arial"/>
                <w:color w:val="000000"/>
                <w:sz w:val="20"/>
                <w:szCs w:val="20"/>
                <w:lang w:val="de-DE" w:eastAsia="en-US"/>
              </w:rPr>
              <w:t xml:space="preserve"> Placebo</w:t>
            </w:r>
            <w:r>
              <w:rPr>
                <w:rFonts w:eastAsia="Calibri" w:cs="Arial"/>
                <w:color w:val="000000"/>
                <w:sz w:val="20"/>
                <w:szCs w:val="20"/>
                <w:lang w:val="de-DE" w:eastAsia="en-US"/>
              </w:rPr>
              <w:tab/>
            </w:r>
            <w:r w:rsidR="009C5B62">
              <w:rPr>
                <w:noProof/>
              </w:rPr>
              <mc:AlternateContent>
                <mc:Choice Requires="wps">
                  <w:drawing>
                    <wp:inline distT="0" distB="0" distL="0" distR="0" wp14:anchorId="33648879" wp14:editId="26B7F8FD">
                      <wp:extent cx="401320" cy="635"/>
                      <wp:effectExtent l="9525" t="9525" r="17780" b="18415"/>
                      <wp:docPr id="2139999489"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320" cy="635"/>
                              </a:xfrm>
                              <a:prstGeom prst="line">
                                <a:avLst/>
                              </a:prstGeom>
                              <a:noFill/>
                              <a:ln w="19050">
                                <a:solidFill>
                                  <a:srgbClr val="40404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295B9BD1" id="Straight Connector 56" o:spid="_x0000_s1026" style="visibility:visible;mso-wrap-style:square;mso-left-percent:-10001;mso-top-percent:-10001;mso-position-horizontal:absolute;mso-position-horizontal-relative:char;mso-position-vertical:absolute;mso-position-vertical-relative:line;mso-left-percent:-10001;mso-top-percent:-10001" from="0,0" to="31.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" strokecolor="#404040" strokeweight="1.5pt">
                      <w10:anchorlock/>
                    </v:line>
                  </w:pict>
                </mc:Fallback>
              </mc:AlternateContent>
            </w:r>
            <w:r>
              <w:rPr>
                <w:rFonts w:eastAsia="Calibri" w:cs="Arial"/>
                <w:color w:val="000000"/>
                <w:sz w:val="20"/>
                <w:szCs w:val="20"/>
                <w:lang w:val="de-DE" w:eastAsia="en-US"/>
              </w:rPr>
              <w:t xml:space="preserve"> Adalimumab</w:t>
            </w:r>
            <w:r>
              <w:rPr>
                <w:rFonts w:eastAsia="Calibri" w:cs="Arial"/>
                <w:color w:val="000000"/>
                <w:sz w:val="20"/>
                <w:szCs w:val="20"/>
                <w:lang w:val="de-DE" w:eastAsia="en-US"/>
              </w:rPr>
              <w:tab/>
              <w:t>∆ zensiert</w:t>
            </w:r>
          </w:p>
        </w:tc>
      </w:tr>
    </w:tbl>
    <w:p w14:paraId="1D061C0C" w14:textId="77777777" w:rsidR="00FE291A" w:rsidRDefault="00FE291A">
      <w:pPr>
        <w:widowControl/>
        <w:autoSpaceDE/>
        <w:autoSpaceDN/>
        <w:adjustRightInd/>
        <w:rPr>
          <w:rFonts w:eastAsia="Calibri"/>
          <w:color w:val="000000"/>
          <w:sz w:val="22"/>
          <w:szCs w:val="22"/>
          <w:lang w:val="de-DE" w:eastAsia="en-US"/>
        </w:rPr>
      </w:pPr>
    </w:p>
    <w:p w14:paraId="0E6EC012" w14:textId="77777777" w:rsidR="00FE291A" w:rsidRDefault="00C8738F">
      <w:pPr>
        <w:widowControl/>
        <w:autoSpaceDE/>
        <w:autoSpaceDN/>
        <w:adjustRightInd/>
        <w:rPr>
          <w:rFonts w:eastAsia="Calibri"/>
          <w:color w:val="000000"/>
          <w:sz w:val="22"/>
          <w:szCs w:val="22"/>
          <w:lang w:val="de-DE" w:eastAsia="en-US"/>
        </w:rPr>
      </w:pPr>
      <w:r>
        <w:rPr>
          <w:rFonts w:eastAsia="Calibri" w:cs="Arial"/>
          <w:color w:val="000000"/>
          <w:sz w:val="22"/>
          <w:szCs w:val="22"/>
          <w:lang w:val="de-DE" w:eastAsia="en-US"/>
        </w:rPr>
        <w:t>Hinweis: P = Placebo (Anzahl Risikopatienten (Schub)); A = Adalimumab (Anzahl Risikopatienten (Schub))</w:t>
      </w:r>
    </w:p>
    <w:p w14:paraId="49CB1F7F" w14:textId="77777777" w:rsidR="00FE291A" w:rsidRDefault="00FE291A">
      <w:pPr>
        <w:widowControl/>
        <w:autoSpaceDE/>
        <w:autoSpaceDN/>
        <w:adjustRightInd/>
        <w:rPr>
          <w:rFonts w:eastAsia="Calibri"/>
          <w:color w:val="000000"/>
          <w:sz w:val="22"/>
          <w:szCs w:val="22"/>
          <w:lang w:val="de-DE" w:eastAsia="en-US"/>
        </w:rPr>
      </w:pPr>
    </w:p>
    <w:p w14:paraId="10842461" w14:textId="77777777" w:rsidR="00FE291A" w:rsidRDefault="00C8738F">
      <w:pPr>
        <w:widowControl/>
        <w:tabs>
          <w:tab w:val="left" w:pos="562"/>
        </w:tabs>
        <w:suppressAutoHyphens/>
        <w:autoSpaceDE/>
        <w:autoSpaceDN/>
        <w:adjustRightInd/>
        <w:rPr>
          <w:rFonts w:eastAsia="Times New Roman"/>
          <w:sz w:val="22"/>
          <w:szCs w:val="20"/>
          <w:lang w:val="de-DE" w:eastAsia="en-US"/>
        </w:rPr>
      </w:pPr>
      <w:r>
        <w:rPr>
          <w:rFonts w:eastAsia="Times New Roman"/>
          <w:sz w:val="22"/>
          <w:szCs w:val="20"/>
          <w:lang w:val="de-DE" w:eastAsia="en-US"/>
        </w:rPr>
        <w:t xml:space="preserve">Von den 68 Patienten, die nach dem Absetzen einen Krankheitsschub erlitten, schlossen 65 Patienten die 12 Wochen der Rescue-Therapie mit Adalimumab ab. Davon waren nach 12 Wochen erneuter Behandlung während der offenen Fortsetzungsphase 37 Patienten (56,9 %) wieder in Remission (ASDAS &lt; 1,3). </w:t>
      </w:r>
    </w:p>
    <w:p w14:paraId="38745D87" w14:textId="77777777" w:rsidR="00FE291A" w:rsidRDefault="00FE291A">
      <w:pPr>
        <w:widowControl/>
        <w:autoSpaceDE/>
        <w:autoSpaceDN/>
        <w:adjustRightInd/>
        <w:rPr>
          <w:rFonts w:eastAsia="Calibri"/>
          <w:color w:val="000000"/>
          <w:sz w:val="22"/>
          <w:szCs w:val="22"/>
          <w:lang w:val="de-DE" w:eastAsia="en-US"/>
        </w:rPr>
      </w:pPr>
    </w:p>
    <w:p w14:paraId="6334D809" w14:textId="77777777" w:rsidR="00FE291A" w:rsidRDefault="00C8738F">
      <w:pPr>
        <w:widowControl/>
        <w:autoSpaceDE/>
        <w:autoSpaceDN/>
        <w:adjustRightInd/>
        <w:rPr>
          <w:rFonts w:eastAsia="Calibri"/>
          <w:color w:val="000000"/>
          <w:sz w:val="22"/>
          <w:szCs w:val="22"/>
          <w:lang w:val="de-DE" w:eastAsia="en-US"/>
        </w:rPr>
      </w:pPr>
      <w:r>
        <w:rPr>
          <w:rFonts w:eastAsia="Calibri" w:cs="Arial"/>
          <w:color w:val="000000"/>
          <w:sz w:val="22"/>
          <w:szCs w:val="22"/>
          <w:lang w:val="de-DE" w:eastAsia="en-US"/>
        </w:rPr>
        <w:t>Während der doppelblinden Phase zeigten in Woche 68 die Patienten unter durchgehender Adalimumab-Behandlung gegenüber Patienten, die Adalimumab abgesetzt hatten, eine statistisch signifikant größere Verbesserung der Anzeichen und Symptome der aktiven nr</w:t>
      </w:r>
      <w:r>
        <w:rPr>
          <w:rFonts w:eastAsia="Calibri" w:cs="Arial"/>
          <w:color w:val="000000"/>
          <w:sz w:val="22"/>
          <w:szCs w:val="22"/>
          <w:lang w:val="de-DE" w:eastAsia="en-US"/>
        </w:rPr>
        <w:noBreakHyphen/>
        <w:t>axSpA (Tabelle 14).</w:t>
      </w:r>
    </w:p>
    <w:p w14:paraId="7D50C2DB" w14:textId="77777777" w:rsidR="00FE291A" w:rsidRDefault="00FE291A">
      <w:pPr>
        <w:widowControl/>
        <w:autoSpaceDE/>
        <w:autoSpaceDN/>
        <w:adjustRightInd/>
        <w:rPr>
          <w:rFonts w:eastAsia="Calibri"/>
          <w:color w:val="000000"/>
          <w:sz w:val="22"/>
          <w:szCs w:val="22"/>
          <w:lang w:val="de-DE" w:eastAsia="en-US"/>
        </w:rPr>
      </w:pPr>
    </w:p>
    <w:p w14:paraId="1E5059DA" w14:textId="77777777" w:rsidR="00FE291A" w:rsidRDefault="00C8738F">
      <w:pPr>
        <w:keepNext/>
        <w:keepLines/>
        <w:widowControl/>
        <w:tabs>
          <w:tab w:val="left" w:pos="562"/>
        </w:tabs>
        <w:suppressAutoHyphens/>
        <w:autoSpaceDE/>
        <w:autoSpaceDN/>
        <w:adjustRightInd/>
        <w:rPr>
          <w:rFonts w:eastAsia="Times New Roman"/>
          <w:b/>
          <w:sz w:val="22"/>
          <w:szCs w:val="20"/>
          <w:lang w:val="de-DE" w:eastAsia="en-US"/>
        </w:rPr>
      </w:pPr>
      <w:r>
        <w:rPr>
          <w:rFonts w:eastAsia="Times New Roman"/>
          <w:b/>
          <w:sz w:val="22"/>
          <w:szCs w:val="20"/>
          <w:lang w:val="de-DE" w:eastAsia="en-US"/>
        </w:rPr>
        <w:t>Tabelle 14: Ansprechraten bezüglich Wirksamkeit bei placebokontrollierter Phase der nr</w:t>
      </w:r>
      <w:r>
        <w:rPr>
          <w:rFonts w:eastAsia="Times New Roman"/>
          <w:b/>
          <w:sz w:val="22"/>
          <w:szCs w:val="20"/>
          <w:lang w:val="de-DE" w:eastAsia="en-US"/>
        </w:rPr>
        <w:noBreakHyphen/>
        <w:t>axSpA-Studie II</w:t>
      </w:r>
    </w:p>
    <w:p w14:paraId="0B93B147" w14:textId="77777777" w:rsidR="00FE291A" w:rsidRDefault="00FE291A">
      <w:pPr>
        <w:keepNext/>
        <w:keepLines/>
        <w:widowControl/>
        <w:tabs>
          <w:tab w:val="left" w:pos="562"/>
        </w:tabs>
        <w:suppressAutoHyphens/>
        <w:autoSpaceDE/>
        <w:autoSpaceDN/>
        <w:adjustRightInd/>
        <w:ind w:left="720"/>
        <w:rPr>
          <w:rFonts w:eastAsia="Times New Roman"/>
          <w:b/>
          <w:sz w:val="22"/>
          <w:szCs w:val="20"/>
          <w:lang w:val="de-DE"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5558"/>
        <w:gridCol w:w="1682"/>
        <w:gridCol w:w="1821"/>
      </w:tblGrid>
      <w:tr w:rsidR="00FE291A" w14:paraId="618A60F9" w14:textId="77777777">
        <w:trPr>
          <w:cantSplit/>
          <w:tblHeader/>
        </w:trPr>
        <w:tc>
          <w:tcPr>
            <w:tcW w:w="3067" w:type="pct"/>
          </w:tcPr>
          <w:p w14:paraId="3C04A34C" w14:textId="77777777" w:rsidR="00FE291A" w:rsidRDefault="00C8738F">
            <w:pPr>
              <w:keepNext/>
              <w:widowControl/>
              <w:suppressAutoHyphens/>
              <w:autoSpaceDE/>
              <w:autoSpaceDN/>
              <w:adjustRightInd/>
              <w:rPr>
                <w:rFonts w:eastAsia="Calibri"/>
                <w:b/>
                <w:bCs/>
                <w:color w:val="000000"/>
                <w:sz w:val="22"/>
                <w:szCs w:val="22"/>
                <w:lang w:val="de-DE" w:eastAsia="en-US"/>
              </w:rPr>
            </w:pPr>
            <w:r>
              <w:rPr>
                <w:rFonts w:eastAsia="Calibri" w:cs="Arial"/>
                <w:b/>
                <w:bCs/>
                <w:color w:val="000000"/>
                <w:sz w:val="22"/>
                <w:szCs w:val="22"/>
                <w:lang w:val="de-DE" w:eastAsia="en-US"/>
              </w:rPr>
              <w:t>Doppelblinde Phase</w:t>
            </w:r>
          </w:p>
          <w:p w14:paraId="18F95E6C" w14:textId="77777777" w:rsidR="00FE291A" w:rsidRDefault="00C8738F">
            <w:pPr>
              <w:keepNext/>
              <w:widowControl/>
              <w:suppressAutoHyphens/>
              <w:autoSpaceDE/>
              <w:autoSpaceDN/>
              <w:adjustRightInd/>
              <w:rPr>
                <w:rFonts w:eastAsia="Calibri"/>
                <w:b/>
                <w:bCs/>
                <w:color w:val="000000"/>
                <w:sz w:val="22"/>
                <w:szCs w:val="22"/>
                <w:lang w:val="de-DE" w:eastAsia="en-US"/>
              </w:rPr>
            </w:pPr>
            <w:r>
              <w:rPr>
                <w:rFonts w:eastAsia="Calibri" w:cs="Arial"/>
                <w:b/>
                <w:bCs/>
                <w:color w:val="000000"/>
                <w:sz w:val="22"/>
                <w:szCs w:val="22"/>
                <w:lang w:val="de-DE" w:eastAsia="en-US"/>
              </w:rPr>
              <w:t>Ansprechen in Woche 68</w:t>
            </w:r>
          </w:p>
        </w:tc>
        <w:tc>
          <w:tcPr>
            <w:tcW w:w="928" w:type="pct"/>
          </w:tcPr>
          <w:p w14:paraId="31A81779" w14:textId="77777777" w:rsidR="00FE291A" w:rsidRDefault="00C8738F">
            <w:pPr>
              <w:keepNext/>
              <w:widowControl/>
              <w:suppressAutoHyphens/>
              <w:autoSpaceDE/>
              <w:autoSpaceDN/>
              <w:adjustRightInd/>
              <w:jc w:val="center"/>
              <w:rPr>
                <w:rFonts w:eastAsia="Calibri"/>
                <w:b/>
                <w:bCs/>
                <w:color w:val="000000"/>
                <w:sz w:val="22"/>
                <w:szCs w:val="22"/>
                <w:lang w:val="de-DE" w:eastAsia="en-US"/>
              </w:rPr>
            </w:pPr>
            <w:r>
              <w:rPr>
                <w:rFonts w:eastAsia="Calibri" w:cs="Arial"/>
                <w:b/>
                <w:bCs/>
                <w:color w:val="000000"/>
                <w:sz w:val="22"/>
                <w:szCs w:val="22"/>
                <w:lang w:val="de-DE" w:eastAsia="en-US"/>
              </w:rPr>
              <w:t>Placebo</w:t>
            </w:r>
          </w:p>
          <w:p w14:paraId="18994651" w14:textId="77777777" w:rsidR="00FE291A" w:rsidRDefault="00C8738F">
            <w:pPr>
              <w:keepNext/>
              <w:widowControl/>
              <w:suppressAutoHyphens/>
              <w:autoSpaceDE/>
              <w:autoSpaceDN/>
              <w:adjustRightInd/>
              <w:jc w:val="center"/>
              <w:rPr>
                <w:rFonts w:eastAsia="Calibri"/>
                <w:b/>
                <w:bCs/>
                <w:color w:val="000000"/>
                <w:sz w:val="22"/>
                <w:szCs w:val="22"/>
                <w:lang w:val="de-DE" w:eastAsia="en-US"/>
              </w:rPr>
            </w:pPr>
            <w:r>
              <w:rPr>
                <w:rFonts w:eastAsia="Calibri" w:cs="Arial"/>
                <w:b/>
                <w:bCs/>
                <w:color w:val="000000"/>
                <w:sz w:val="22"/>
                <w:szCs w:val="22"/>
                <w:lang w:val="de-DE" w:eastAsia="en-US"/>
              </w:rPr>
              <w:t>n = 153</w:t>
            </w:r>
          </w:p>
        </w:tc>
        <w:tc>
          <w:tcPr>
            <w:tcW w:w="1005" w:type="pct"/>
          </w:tcPr>
          <w:p w14:paraId="4B2B3E3C" w14:textId="77777777" w:rsidR="00FE291A" w:rsidRDefault="00C8738F">
            <w:pPr>
              <w:keepNext/>
              <w:widowControl/>
              <w:suppressAutoHyphens/>
              <w:autoSpaceDE/>
              <w:autoSpaceDN/>
              <w:adjustRightInd/>
              <w:jc w:val="center"/>
              <w:rPr>
                <w:rFonts w:eastAsia="Calibri"/>
                <w:b/>
                <w:bCs/>
                <w:color w:val="000000"/>
                <w:sz w:val="22"/>
                <w:szCs w:val="22"/>
                <w:lang w:val="de-DE" w:eastAsia="en-US"/>
              </w:rPr>
            </w:pPr>
            <w:r>
              <w:rPr>
                <w:rFonts w:eastAsia="Calibri"/>
                <w:b/>
                <w:bCs/>
                <w:color w:val="000000"/>
                <w:sz w:val="22"/>
                <w:szCs w:val="22"/>
                <w:lang w:val="de-DE" w:eastAsia="en-US"/>
              </w:rPr>
              <w:t>Adalimumab</w:t>
            </w:r>
          </w:p>
          <w:p w14:paraId="54FF4F19" w14:textId="77777777" w:rsidR="00FE291A" w:rsidRDefault="00C8738F">
            <w:pPr>
              <w:keepNext/>
              <w:widowControl/>
              <w:suppressAutoHyphens/>
              <w:autoSpaceDE/>
              <w:autoSpaceDN/>
              <w:adjustRightInd/>
              <w:jc w:val="center"/>
              <w:rPr>
                <w:rFonts w:eastAsia="Calibri"/>
                <w:b/>
                <w:bCs/>
                <w:color w:val="000000"/>
                <w:sz w:val="22"/>
                <w:szCs w:val="22"/>
                <w:lang w:val="de-DE" w:eastAsia="en-US"/>
              </w:rPr>
            </w:pPr>
            <w:r>
              <w:rPr>
                <w:rFonts w:eastAsia="Calibri" w:cs="Arial"/>
                <w:b/>
                <w:bCs/>
                <w:color w:val="000000"/>
                <w:sz w:val="22"/>
                <w:szCs w:val="22"/>
                <w:lang w:val="de-DE" w:eastAsia="en-US"/>
              </w:rPr>
              <w:t>n = 152</w:t>
            </w:r>
          </w:p>
        </w:tc>
      </w:tr>
      <w:tr w:rsidR="00FE291A" w14:paraId="40D4A50F" w14:textId="77777777">
        <w:trPr>
          <w:cantSplit/>
        </w:trPr>
        <w:tc>
          <w:tcPr>
            <w:tcW w:w="3067" w:type="pct"/>
          </w:tcPr>
          <w:p w14:paraId="14B72A12" w14:textId="77777777" w:rsidR="00FE291A" w:rsidRDefault="00C8738F">
            <w:pPr>
              <w:widowControl/>
              <w:suppressAutoHyphens/>
              <w:autoSpaceDE/>
              <w:autoSpaceDN/>
              <w:adjustRightInd/>
              <w:rPr>
                <w:rFonts w:eastAsia="Calibri"/>
                <w:color w:val="000000"/>
                <w:sz w:val="22"/>
                <w:szCs w:val="22"/>
                <w:lang w:val="de-DE" w:eastAsia="en-US"/>
              </w:rPr>
            </w:pPr>
            <w:r>
              <w:rPr>
                <w:rFonts w:eastAsia="Calibri" w:cs="Arial"/>
                <w:color w:val="000000"/>
                <w:sz w:val="22"/>
                <w:szCs w:val="22"/>
                <w:lang w:val="de-DE" w:eastAsia="en-US"/>
              </w:rPr>
              <w:t>ASAS</w:t>
            </w:r>
            <w:r>
              <w:rPr>
                <w:rFonts w:eastAsia="Calibri" w:cs="Arial"/>
                <w:color w:val="000000"/>
                <w:sz w:val="22"/>
                <w:szCs w:val="22"/>
                <w:vertAlign w:val="superscript"/>
                <w:lang w:val="de-DE" w:eastAsia="en-US"/>
              </w:rPr>
              <w:t>a,b</w:t>
            </w:r>
            <w:r>
              <w:rPr>
                <w:rFonts w:eastAsia="Calibri" w:cs="Arial"/>
                <w:color w:val="000000"/>
                <w:sz w:val="22"/>
                <w:szCs w:val="22"/>
                <w:lang w:val="de-DE" w:eastAsia="en-US"/>
              </w:rPr>
              <w:t>-20</w:t>
            </w:r>
          </w:p>
        </w:tc>
        <w:tc>
          <w:tcPr>
            <w:tcW w:w="928" w:type="pct"/>
          </w:tcPr>
          <w:p w14:paraId="51D5A072" w14:textId="77777777" w:rsidR="00FE291A" w:rsidRDefault="00C8738F">
            <w:pPr>
              <w:widowControl/>
              <w:suppressAutoHyphens/>
              <w:autoSpaceDE/>
              <w:autoSpaceDN/>
              <w:adjustRightInd/>
              <w:jc w:val="center"/>
              <w:rPr>
                <w:rFonts w:eastAsia="Calibri"/>
                <w:color w:val="000000"/>
                <w:sz w:val="22"/>
                <w:szCs w:val="22"/>
                <w:lang w:val="de-DE" w:eastAsia="en-US"/>
              </w:rPr>
            </w:pPr>
            <w:r>
              <w:rPr>
                <w:rFonts w:eastAsia="Calibri" w:cs="Arial"/>
                <w:color w:val="000000"/>
                <w:sz w:val="22"/>
                <w:szCs w:val="22"/>
                <w:lang w:val="de-DE" w:eastAsia="en-US"/>
              </w:rPr>
              <w:t>47,1 %</w:t>
            </w:r>
          </w:p>
        </w:tc>
        <w:tc>
          <w:tcPr>
            <w:tcW w:w="1005" w:type="pct"/>
          </w:tcPr>
          <w:p w14:paraId="0B792031" w14:textId="77777777" w:rsidR="00FE291A" w:rsidRDefault="00C8738F">
            <w:pPr>
              <w:widowControl/>
              <w:suppressAutoHyphens/>
              <w:autoSpaceDE/>
              <w:autoSpaceDN/>
              <w:adjustRightInd/>
              <w:jc w:val="center"/>
              <w:rPr>
                <w:rFonts w:eastAsia="Calibri"/>
                <w:color w:val="000000"/>
                <w:sz w:val="22"/>
                <w:szCs w:val="22"/>
                <w:lang w:val="de-DE" w:eastAsia="en-US"/>
              </w:rPr>
            </w:pPr>
            <w:r>
              <w:rPr>
                <w:rFonts w:eastAsia="Calibri" w:cs="Arial"/>
                <w:color w:val="000000"/>
                <w:sz w:val="22"/>
                <w:szCs w:val="22"/>
                <w:lang w:val="de-DE" w:eastAsia="en-US"/>
              </w:rPr>
              <w:t>70,4 %***</w:t>
            </w:r>
          </w:p>
        </w:tc>
      </w:tr>
      <w:tr w:rsidR="00FE291A" w14:paraId="2D17E10A" w14:textId="77777777">
        <w:trPr>
          <w:cantSplit/>
        </w:trPr>
        <w:tc>
          <w:tcPr>
            <w:tcW w:w="3067" w:type="pct"/>
          </w:tcPr>
          <w:p w14:paraId="38CCFF33" w14:textId="77777777" w:rsidR="00FE291A" w:rsidRDefault="00C8738F">
            <w:pPr>
              <w:widowControl/>
              <w:suppressAutoHyphens/>
              <w:autoSpaceDE/>
              <w:autoSpaceDN/>
              <w:adjustRightInd/>
              <w:rPr>
                <w:rFonts w:eastAsia="Calibri"/>
                <w:color w:val="000000"/>
                <w:sz w:val="22"/>
                <w:szCs w:val="22"/>
                <w:lang w:val="de-DE" w:eastAsia="en-US"/>
              </w:rPr>
            </w:pPr>
            <w:r>
              <w:rPr>
                <w:rFonts w:eastAsia="Calibri" w:cs="Arial"/>
                <w:color w:val="000000"/>
                <w:sz w:val="22"/>
                <w:szCs w:val="22"/>
                <w:lang w:val="de-DE" w:eastAsia="en-US"/>
              </w:rPr>
              <w:t>ASAS</w:t>
            </w:r>
            <w:r>
              <w:rPr>
                <w:rFonts w:eastAsia="Calibri" w:cs="Arial"/>
                <w:color w:val="000000"/>
                <w:sz w:val="22"/>
                <w:szCs w:val="22"/>
                <w:vertAlign w:val="superscript"/>
                <w:lang w:val="de-DE" w:eastAsia="en-US"/>
              </w:rPr>
              <w:t>a,b</w:t>
            </w:r>
            <w:r>
              <w:rPr>
                <w:rFonts w:eastAsia="Calibri" w:cs="Arial"/>
                <w:color w:val="000000"/>
                <w:sz w:val="22"/>
                <w:szCs w:val="22"/>
                <w:lang w:val="de-DE" w:eastAsia="en-US"/>
              </w:rPr>
              <w:t>-40</w:t>
            </w:r>
          </w:p>
        </w:tc>
        <w:tc>
          <w:tcPr>
            <w:tcW w:w="928" w:type="pct"/>
          </w:tcPr>
          <w:p w14:paraId="2B671DB2" w14:textId="77777777" w:rsidR="00FE291A" w:rsidRDefault="00C8738F">
            <w:pPr>
              <w:widowControl/>
              <w:suppressAutoHyphens/>
              <w:autoSpaceDE/>
              <w:autoSpaceDN/>
              <w:adjustRightInd/>
              <w:jc w:val="center"/>
              <w:rPr>
                <w:rFonts w:eastAsia="Calibri"/>
                <w:color w:val="000000"/>
                <w:sz w:val="22"/>
                <w:szCs w:val="22"/>
                <w:lang w:val="de-DE" w:eastAsia="en-US"/>
              </w:rPr>
            </w:pPr>
            <w:r>
              <w:rPr>
                <w:rFonts w:eastAsia="Calibri" w:cs="Arial"/>
                <w:color w:val="000000"/>
                <w:sz w:val="22"/>
                <w:szCs w:val="22"/>
                <w:lang w:val="de-DE" w:eastAsia="en-US"/>
              </w:rPr>
              <w:t>45,8 %</w:t>
            </w:r>
          </w:p>
        </w:tc>
        <w:tc>
          <w:tcPr>
            <w:tcW w:w="1005" w:type="pct"/>
          </w:tcPr>
          <w:p w14:paraId="2DEB0B29" w14:textId="77777777" w:rsidR="00FE291A" w:rsidRDefault="00C8738F">
            <w:pPr>
              <w:widowControl/>
              <w:suppressAutoHyphens/>
              <w:autoSpaceDE/>
              <w:autoSpaceDN/>
              <w:adjustRightInd/>
              <w:jc w:val="center"/>
              <w:rPr>
                <w:rFonts w:eastAsia="Calibri"/>
                <w:color w:val="000000"/>
                <w:sz w:val="22"/>
                <w:szCs w:val="22"/>
                <w:lang w:val="de-DE" w:eastAsia="en-US"/>
              </w:rPr>
            </w:pPr>
            <w:r>
              <w:rPr>
                <w:rFonts w:eastAsia="Calibri" w:cs="Arial"/>
                <w:color w:val="000000"/>
                <w:sz w:val="22"/>
                <w:szCs w:val="22"/>
                <w:lang w:val="de-DE" w:eastAsia="en-US"/>
              </w:rPr>
              <w:t>65,8 %***</w:t>
            </w:r>
          </w:p>
        </w:tc>
      </w:tr>
      <w:tr w:rsidR="00FE291A" w14:paraId="62DEE2EE" w14:textId="77777777">
        <w:trPr>
          <w:cantSplit/>
        </w:trPr>
        <w:tc>
          <w:tcPr>
            <w:tcW w:w="3067" w:type="pct"/>
          </w:tcPr>
          <w:p w14:paraId="0820F881" w14:textId="77777777" w:rsidR="00FE291A" w:rsidRDefault="00C8738F">
            <w:pPr>
              <w:widowControl/>
              <w:suppressAutoHyphens/>
              <w:autoSpaceDE/>
              <w:autoSpaceDN/>
              <w:adjustRightInd/>
              <w:rPr>
                <w:rFonts w:eastAsia="Calibri"/>
                <w:color w:val="000000"/>
                <w:sz w:val="22"/>
                <w:szCs w:val="22"/>
                <w:lang w:val="de-DE" w:eastAsia="en-US"/>
              </w:rPr>
            </w:pPr>
            <w:r>
              <w:rPr>
                <w:rFonts w:eastAsia="Calibri" w:cs="Arial"/>
                <w:color w:val="000000"/>
                <w:sz w:val="22"/>
                <w:szCs w:val="22"/>
                <w:lang w:val="de-DE" w:eastAsia="en-US"/>
              </w:rPr>
              <w:t>ASAS</w:t>
            </w:r>
            <w:r>
              <w:rPr>
                <w:rFonts w:eastAsia="Calibri" w:cs="Arial"/>
                <w:color w:val="000000"/>
                <w:sz w:val="22"/>
                <w:szCs w:val="22"/>
                <w:vertAlign w:val="superscript"/>
                <w:lang w:val="de-DE" w:eastAsia="en-US"/>
              </w:rPr>
              <w:t>a</w:t>
            </w:r>
            <w:r>
              <w:rPr>
                <w:rFonts w:eastAsia="Calibri" w:cs="Arial"/>
                <w:color w:val="000000"/>
                <w:sz w:val="22"/>
                <w:szCs w:val="22"/>
                <w:lang w:val="de-DE" w:eastAsia="en-US"/>
              </w:rPr>
              <w:t xml:space="preserve"> partielle Remission</w:t>
            </w:r>
          </w:p>
        </w:tc>
        <w:tc>
          <w:tcPr>
            <w:tcW w:w="928" w:type="pct"/>
          </w:tcPr>
          <w:p w14:paraId="73EA255B" w14:textId="77777777" w:rsidR="00FE291A" w:rsidRDefault="00C8738F">
            <w:pPr>
              <w:widowControl/>
              <w:suppressAutoHyphens/>
              <w:autoSpaceDE/>
              <w:autoSpaceDN/>
              <w:adjustRightInd/>
              <w:jc w:val="center"/>
              <w:rPr>
                <w:rFonts w:eastAsia="Calibri"/>
                <w:color w:val="000000"/>
                <w:sz w:val="22"/>
                <w:szCs w:val="22"/>
                <w:lang w:val="de-DE" w:eastAsia="en-US"/>
              </w:rPr>
            </w:pPr>
            <w:r>
              <w:rPr>
                <w:rFonts w:eastAsia="Calibri" w:cs="Arial"/>
                <w:color w:val="000000"/>
                <w:sz w:val="22"/>
                <w:szCs w:val="22"/>
                <w:lang w:val="de-DE" w:eastAsia="en-US"/>
              </w:rPr>
              <w:t>26,8 %</w:t>
            </w:r>
          </w:p>
        </w:tc>
        <w:tc>
          <w:tcPr>
            <w:tcW w:w="1005" w:type="pct"/>
          </w:tcPr>
          <w:p w14:paraId="78A8129C" w14:textId="77777777" w:rsidR="00FE291A" w:rsidRDefault="00C8738F">
            <w:pPr>
              <w:widowControl/>
              <w:suppressAutoHyphens/>
              <w:autoSpaceDE/>
              <w:autoSpaceDN/>
              <w:adjustRightInd/>
              <w:jc w:val="center"/>
              <w:rPr>
                <w:rFonts w:eastAsia="Calibri"/>
                <w:color w:val="000000"/>
                <w:sz w:val="22"/>
                <w:szCs w:val="22"/>
                <w:lang w:val="de-DE" w:eastAsia="en-US"/>
              </w:rPr>
            </w:pPr>
            <w:r>
              <w:rPr>
                <w:rFonts w:eastAsia="Calibri" w:cs="Arial"/>
                <w:color w:val="000000"/>
                <w:sz w:val="22"/>
                <w:szCs w:val="22"/>
                <w:lang w:val="de-DE" w:eastAsia="en-US"/>
              </w:rPr>
              <w:t>42,1 %**</w:t>
            </w:r>
          </w:p>
        </w:tc>
      </w:tr>
      <w:tr w:rsidR="00FE291A" w14:paraId="198552BD" w14:textId="77777777">
        <w:trPr>
          <w:cantSplit/>
        </w:trPr>
        <w:tc>
          <w:tcPr>
            <w:tcW w:w="3067" w:type="pct"/>
          </w:tcPr>
          <w:p w14:paraId="1BB4B2D5" w14:textId="77777777" w:rsidR="00FE291A" w:rsidRDefault="00C8738F">
            <w:pPr>
              <w:widowControl/>
              <w:suppressAutoHyphens/>
              <w:autoSpaceDE/>
              <w:autoSpaceDN/>
              <w:adjustRightInd/>
              <w:rPr>
                <w:rFonts w:eastAsia="Calibri"/>
                <w:color w:val="000000"/>
                <w:sz w:val="22"/>
                <w:szCs w:val="22"/>
                <w:lang w:val="de-DE" w:eastAsia="en-US"/>
              </w:rPr>
            </w:pPr>
            <w:r>
              <w:rPr>
                <w:rFonts w:eastAsia="Calibri" w:cs="Arial"/>
                <w:color w:val="000000"/>
                <w:sz w:val="22"/>
                <w:szCs w:val="22"/>
                <w:lang w:val="de-DE" w:eastAsia="en-US"/>
              </w:rPr>
              <w:t>ASDAS</w:t>
            </w:r>
            <w:r>
              <w:rPr>
                <w:rFonts w:eastAsia="Calibri" w:cs="Arial"/>
                <w:color w:val="000000"/>
                <w:sz w:val="22"/>
                <w:szCs w:val="22"/>
                <w:vertAlign w:val="superscript"/>
                <w:lang w:val="de-DE" w:eastAsia="en-US"/>
              </w:rPr>
              <w:t>c</w:t>
            </w:r>
            <w:r>
              <w:rPr>
                <w:rFonts w:eastAsia="Calibri" w:cs="Arial"/>
                <w:color w:val="000000"/>
                <w:sz w:val="22"/>
                <w:szCs w:val="22"/>
                <w:lang w:val="de-DE" w:eastAsia="en-US"/>
              </w:rPr>
              <w:t xml:space="preserve"> </w:t>
            </w:r>
            <w:r>
              <w:rPr>
                <w:rFonts w:eastAsia="Calibri" w:cs="Arial"/>
                <w:i/>
                <w:color w:val="000000"/>
                <w:sz w:val="22"/>
                <w:szCs w:val="22"/>
                <w:lang w:val="de-DE" w:eastAsia="en-US"/>
              </w:rPr>
              <w:t>Inactive Disease</w:t>
            </w:r>
          </w:p>
        </w:tc>
        <w:tc>
          <w:tcPr>
            <w:tcW w:w="928" w:type="pct"/>
          </w:tcPr>
          <w:p w14:paraId="7E3D5E35" w14:textId="77777777" w:rsidR="00FE291A" w:rsidRDefault="00C8738F">
            <w:pPr>
              <w:widowControl/>
              <w:suppressAutoHyphens/>
              <w:autoSpaceDE/>
              <w:autoSpaceDN/>
              <w:adjustRightInd/>
              <w:jc w:val="center"/>
              <w:rPr>
                <w:rFonts w:eastAsia="Calibri"/>
                <w:color w:val="000000"/>
                <w:sz w:val="22"/>
                <w:szCs w:val="22"/>
                <w:lang w:val="de-DE" w:eastAsia="en-US"/>
              </w:rPr>
            </w:pPr>
            <w:r>
              <w:rPr>
                <w:rFonts w:eastAsia="Calibri" w:cs="Arial"/>
                <w:color w:val="000000"/>
                <w:sz w:val="22"/>
                <w:szCs w:val="22"/>
                <w:lang w:val="de-DE" w:eastAsia="en-US"/>
              </w:rPr>
              <w:t>33,3 %</w:t>
            </w:r>
          </w:p>
        </w:tc>
        <w:tc>
          <w:tcPr>
            <w:tcW w:w="1005" w:type="pct"/>
          </w:tcPr>
          <w:p w14:paraId="13540660" w14:textId="77777777" w:rsidR="00FE291A" w:rsidRDefault="00C8738F">
            <w:pPr>
              <w:widowControl/>
              <w:suppressAutoHyphens/>
              <w:autoSpaceDE/>
              <w:autoSpaceDN/>
              <w:adjustRightInd/>
              <w:jc w:val="center"/>
              <w:rPr>
                <w:rFonts w:eastAsia="Calibri"/>
                <w:color w:val="000000"/>
                <w:sz w:val="22"/>
                <w:szCs w:val="22"/>
                <w:lang w:val="de-DE" w:eastAsia="en-US"/>
              </w:rPr>
            </w:pPr>
            <w:r>
              <w:rPr>
                <w:rFonts w:eastAsia="Calibri" w:cs="Arial"/>
                <w:color w:val="000000"/>
                <w:sz w:val="22"/>
                <w:szCs w:val="22"/>
                <w:lang w:val="de-DE" w:eastAsia="en-US"/>
              </w:rPr>
              <w:t>57,2 %***</w:t>
            </w:r>
          </w:p>
        </w:tc>
      </w:tr>
      <w:tr w:rsidR="00FE291A" w14:paraId="3582D906" w14:textId="77777777">
        <w:trPr>
          <w:cantSplit/>
        </w:trPr>
        <w:tc>
          <w:tcPr>
            <w:tcW w:w="3067" w:type="pct"/>
          </w:tcPr>
          <w:p w14:paraId="2AC3E98A" w14:textId="77777777" w:rsidR="00FE291A" w:rsidRDefault="00C8738F">
            <w:pPr>
              <w:keepNext/>
              <w:widowControl/>
              <w:suppressAutoHyphens/>
              <w:autoSpaceDE/>
              <w:autoSpaceDN/>
              <w:adjustRightInd/>
              <w:rPr>
                <w:rFonts w:eastAsia="Calibri"/>
                <w:color w:val="000000"/>
                <w:sz w:val="22"/>
                <w:szCs w:val="22"/>
                <w:lang w:val="de-DE" w:eastAsia="en-US"/>
              </w:rPr>
            </w:pPr>
            <w:r>
              <w:rPr>
                <w:rFonts w:eastAsia="Calibri" w:cs="Arial"/>
                <w:color w:val="000000"/>
                <w:sz w:val="22"/>
                <w:szCs w:val="22"/>
                <w:lang w:val="de-DE" w:eastAsia="en-US"/>
              </w:rPr>
              <w:t>Partieller Schub</w:t>
            </w:r>
            <w:r>
              <w:rPr>
                <w:rFonts w:eastAsia="Calibri" w:cs="Arial"/>
                <w:color w:val="000000"/>
                <w:sz w:val="22"/>
                <w:szCs w:val="22"/>
                <w:vertAlign w:val="superscript"/>
                <w:lang w:val="de-DE" w:eastAsia="en-US"/>
              </w:rPr>
              <w:t>d</w:t>
            </w:r>
          </w:p>
        </w:tc>
        <w:tc>
          <w:tcPr>
            <w:tcW w:w="928" w:type="pct"/>
          </w:tcPr>
          <w:p w14:paraId="38E3148C" w14:textId="77777777" w:rsidR="00FE291A" w:rsidRDefault="00C8738F">
            <w:pPr>
              <w:keepNext/>
              <w:widowControl/>
              <w:suppressAutoHyphens/>
              <w:autoSpaceDE/>
              <w:autoSpaceDN/>
              <w:adjustRightInd/>
              <w:jc w:val="center"/>
              <w:rPr>
                <w:rFonts w:eastAsia="Calibri"/>
                <w:color w:val="000000"/>
                <w:sz w:val="22"/>
                <w:szCs w:val="22"/>
                <w:lang w:val="de-DE" w:eastAsia="en-US"/>
              </w:rPr>
            </w:pPr>
            <w:r>
              <w:rPr>
                <w:rFonts w:eastAsia="Calibri" w:cs="Arial"/>
                <w:color w:val="000000"/>
                <w:sz w:val="22"/>
                <w:szCs w:val="22"/>
                <w:lang w:val="de-DE" w:eastAsia="en-US"/>
              </w:rPr>
              <w:t>64,1 %</w:t>
            </w:r>
          </w:p>
        </w:tc>
        <w:tc>
          <w:tcPr>
            <w:tcW w:w="1005" w:type="pct"/>
          </w:tcPr>
          <w:p w14:paraId="7A980849" w14:textId="77777777" w:rsidR="00FE291A" w:rsidRDefault="00C8738F">
            <w:pPr>
              <w:keepNext/>
              <w:widowControl/>
              <w:suppressAutoHyphens/>
              <w:autoSpaceDE/>
              <w:autoSpaceDN/>
              <w:adjustRightInd/>
              <w:jc w:val="center"/>
              <w:rPr>
                <w:rFonts w:eastAsia="Calibri"/>
                <w:color w:val="000000"/>
                <w:sz w:val="22"/>
                <w:szCs w:val="22"/>
                <w:lang w:val="de-DE" w:eastAsia="en-US"/>
              </w:rPr>
            </w:pPr>
            <w:r>
              <w:rPr>
                <w:rFonts w:eastAsia="Calibri" w:cs="Arial"/>
                <w:color w:val="000000"/>
                <w:sz w:val="22"/>
                <w:szCs w:val="22"/>
                <w:lang w:val="de-DE" w:eastAsia="en-US"/>
              </w:rPr>
              <w:t>40,8 %***</w:t>
            </w:r>
          </w:p>
        </w:tc>
      </w:tr>
      <w:tr w:rsidR="00FE291A" w:rsidRPr="00723069" w14:paraId="6365D021" w14:textId="77777777">
        <w:trPr>
          <w:cantSplit/>
        </w:trPr>
        <w:tc>
          <w:tcPr>
            <w:tcW w:w="5000" w:type="pct"/>
            <w:gridSpan w:val="3"/>
            <w:tcBorders>
              <w:left w:val="nil"/>
              <w:bottom w:val="nil"/>
              <w:right w:val="nil"/>
            </w:tcBorders>
          </w:tcPr>
          <w:p w14:paraId="77CC826F" w14:textId="77777777" w:rsidR="00FE291A" w:rsidRDefault="00C8738F">
            <w:pPr>
              <w:widowControl/>
              <w:suppressAutoHyphens/>
              <w:rPr>
                <w:rFonts w:eastAsia="Calibri"/>
                <w:color w:val="000000"/>
                <w:sz w:val="20"/>
                <w:szCs w:val="20"/>
                <w:lang w:val="en-US" w:eastAsia="en-US"/>
              </w:rPr>
            </w:pPr>
            <w:r>
              <w:rPr>
                <w:rFonts w:eastAsia="Calibri" w:cs="Arial"/>
                <w:color w:val="000000"/>
                <w:sz w:val="20"/>
                <w:szCs w:val="20"/>
                <w:vertAlign w:val="superscript"/>
                <w:lang w:val="en-US" w:eastAsia="en-US"/>
              </w:rPr>
              <w:t>a</w:t>
            </w:r>
            <w:r>
              <w:rPr>
                <w:rFonts w:eastAsia="Calibri" w:cs="Arial"/>
                <w:color w:val="000000"/>
                <w:sz w:val="20"/>
                <w:szCs w:val="20"/>
                <w:lang w:val="en-US" w:eastAsia="en-US"/>
              </w:rPr>
              <w:t xml:space="preserve"> </w:t>
            </w:r>
            <w:r>
              <w:rPr>
                <w:rFonts w:eastAsia="Calibri" w:cs="Arial"/>
                <w:i/>
                <w:color w:val="000000"/>
                <w:sz w:val="20"/>
                <w:szCs w:val="20"/>
                <w:lang w:val="en-US" w:eastAsia="en-US"/>
              </w:rPr>
              <w:t>Assessment of SpondyloArthritis International Society.</w:t>
            </w:r>
          </w:p>
          <w:p w14:paraId="7BB4D28F" w14:textId="77777777" w:rsidR="00FE291A" w:rsidRDefault="00C8738F">
            <w:pPr>
              <w:widowControl/>
              <w:tabs>
                <w:tab w:val="left" w:pos="562"/>
              </w:tabs>
              <w:suppressAutoHyphens/>
              <w:autoSpaceDE/>
              <w:autoSpaceDN/>
              <w:adjustRightInd/>
              <w:rPr>
                <w:rFonts w:eastAsia="Times New Roman"/>
                <w:sz w:val="20"/>
                <w:szCs w:val="20"/>
                <w:vertAlign w:val="superscript"/>
                <w:lang w:val="de-DE" w:eastAsia="en-US"/>
              </w:rPr>
            </w:pPr>
            <w:r>
              <w:rPr>
                <w:rFonts w:eastAsia="Times New Roman"/>
                <w:sz w:val="20"/>
                <w:szCs w:val="20"/>
                <w:vertAlign w:val="superscript"/>
                <w:lang w:val="de-DE" w:eastAsia="en-US"/>
              </w:rPr>
              <w:t>b</w:t>
            </w:r>
            <w:r>
              <w:rPr>
                <w:rFonts w:eastAsia="Times New Roman"/>
                <w:sz w:val="20"/>
                <w:szCs w:val="20"/>
                <w:lang w:val="de-DE" w:eastAsia="en-US"/>
              </w:rPr>
              <w:t xml:space="preserve"> Als Ausgangswert gilt bei Patienten mit aktiver Erkrankung der Wert bei Beginn der offenen Phase.</w:t>
            </w:r>
          </w:p>
          <w:p w14:paraId="62FEAA10" w14:textId="77777777" w:rsidR="00FE291A" w:rsidRDefault="00C8738F">
            <w:pPr>
              <w:widowControl/>
              <w:tabs>
                <w:tab w:val="left" w:pos="562"/>
              </w:tabs>
              <w:suppressAutoHyphens/>
              <w:autoSpaceDE/>
              <w:autoSpaceDN/>
              <w:adjustRightInd/>
              <w:rPr>
                <w:rFonts w:eastAsia="Times New Roman"/>
                <w:sz w:val="20"/>
                <w:szCs w:val="20"/>
                <w:vertAlign w:val="superscript"/>
                <w:lang w:val="en-US" w:eastAsia="en-US"/>
              </w:rPr>
            </w:pPr>
            <w:r>
              <w:rPr>
                <w:rFonts w:eastAsia="Times New Roman"/>
                <w:sz w:val="20"/>
                <w:szCs w:val="20"/>
                <w:vertAlign w:val="superscript"/>
                <w:lang w:val="en-US" w:eastAsia="en-US"/>
              </w:rPr>
              <w:t>c</w:t>
            </w:r>
            <w:r>
              <w:rPr>
                <w:rFonts w:eastAsia="Times New Roman"/>
                <w:sz w:val="20"/>
                <w:szCs w:val="20"/>
                <w:lang w:val="en-US" w:eastAsia="en-US"/>
              </w:rPr>
              <w:t xml:space="preserve"> </w:t>
            </w:r>
            <w:r>
              <w:rPr>
                <w:rFonts w:eastAsia="Times New Roman"/>
                <w:i/>
                <w:sz w:val="20"/>
                <w:szCs w:val="20"/>
                <w:lang w:val="en-US" w:eastAsia="en-US"/>
              </w:rPr>
              <w:t>Ankylosing Spondylitis Disease Activity Score.</w:t>
            </w:r>
          </w:p>
          <w:p w14:paraId="5ECF1A3A" w14:textId="77777777" w:rsidR="00FE291A" w:rsidRDefault="00C8738F">
            <w:pPr>
              <w:widowControl/>
              <w:suppressAutoHyphens/>
              <w:rPr>
                <w:rFonts w:eastAsia="Calibri"/>
                <w:color w:val="000000"/>
                <w:sz w:val="20"/>
                <w:szCs w:val="20"/>
                <w:lang w:val="de-DE" w:eastAsia="en-US"/>
              </w:rPr>
            </w:pPr>
            <w:r>
              <w:rPr>
                <w:rFonts w:eastAsia="Calibri" w:cs="Arial"/>
                <w:color w:val="000000"/>
                <w:sz w:val="20"/>
                <w:szCs w:val="20"/>
                <w:vertAlign w:val="superscript"/>
                <w:lang w:val="de-DE" w:eastAsia="en-US"/>
              </w:rPr>
              <w:t>d</w:t>
            </w:r>
            <w:r>
              <w:rPr>
                <w:rFonts w:eastAsia="Calibri" w:cs="Arial"/>
                <w:color w:val="000000"/>
                <w:sz w:val="20"/>
                <w:szCs w:val="20"/>
                <w:lang w:val="de-DE" w:eastAsia="en-US"/>
              </w:rPr>
              <w:t xml:space="preserve"> Ein partieller Schub ist definiert als ASDAS von ≥ 1,3 aber &lt; 2,1 bei zwei aufeinanderfolgenden Visiten.</w:t>
            </w:r>
          </w:p>
          <w:p w14:paraId="4A2E0AEC" w14:textId="77777777" w:rsidR="00FE291A" w:rsidRDefault="00C8738F">
            <w:pPr>
              <w:widowControl/>
              <w:tabs>
                <w:tab w:val="left" w:pos="562"/>
              </w:tabs>
              <w:suppressAutoHyphens/>
              <w:autoSpaceDE/>
              <w:autoSpaceDN/>
              <w:adjustRightInd/>
              <w:rPr>
                <w:rFonts w:eastAsia="Times New Roman"/>
                <w:sz w:val="22"/>
                <w:szCs w:val="20"/>
                <w:lang w:val="de-DE" w:eastAsia="en-US"/>
              </w:rPr>
            </w:pPr>
            <w:r>
              <w:rPr>
                <w:rFonts w:eastAsia="Times New Roman"/>
                <w:sz w:val="20"/>
                <w:szCs w:val="20"/>
                <w:lang w:val="de-DE" w:eastAsia="en-US"/>
              </w:rPr>
              <w:t>***, ** Statistisch signifikant mit p &lt; 0,001 bzw. &lt; 0,01 für alle Vergleiche von Adalimumab mit Placebo.</w:t>
            </w:r>
          </w:p>
        </w:tc>
      </w:tr>
    </w:tbl>
    <w:p w14:paraId="53EE7E5E" w14:textId="77777777" w:rsidR="00FE291A" w:rsidRDefault="00FE291A">
      <w:pPr>
        <w:widowControl/>
        <w:kinsoku w:val="0"/>
        <w:overflowPunct w:val="0"/>
        <w:rPr>
          <w:i/>
          <w:iCs/>
          <w:sz w:val="22"/>
          <w:szCs w:val="22"/>
          <w:lang w:val="de-DE"/>
        </w:rPr>
      </w:pPr>
    </w:p>
    <w:p w14:paraId="7F72CA11" w14:textId="77777777" w:rsidR="00FE291A" w:rsidRDefault="00C8738F">
      <w:pPr>
        <w:keepNext/>
        <w:widowControl/>
        <w:kinsoku w:val="0"/>
        <w:overflowPunct w:val="0"/>
        <w:rPr>
          <w:i/>
          <w:sz w:val="22"/>
          <w:szCs w:val="22"/>
          <w:lang w:val="de-DE"/>
        </w:rPr>
      </w:pPr>
      <w:r>
        <w:rPr>
          <w:i/>
          <w:iCs/>
          <w:sz w:val="22"/>
          <w:szCs w:val="22"/>
          <w:lang w:val="de-DE"/>
        </w:rPr>
        <w:t>Psoriasis-Arthritis</w:t>
      </w:r>
    </w:p>
    <w:p w14:paraId="71BED9EC" w14:textId="77777777" w:rsidR="00FE291A" w:rsidRDefault="00FE291A">
      <w:pPr>
        <w:keepNext/>
        <w:widowControl/>
        <w:kinsoku w:val="0"/>
        <w:overflowPunct w:val="0"/>
        <w:rPr>
          <w:sz w:val="22"/>
          <w:szCs w:val="22"/>
          <w:lang w:val="de-DE"/>
        </w:rPr>
      </w:pPr>
    </w:p>
    <w:p w14:paraId="41BB145E" w14:textId="77777777" w:rsidR="00FE291A" w:rsidRDefault="00C8738F">
      <w:pPr>
        <w:pStyle w:val="BodyText"/>
        <w:widowControl/>
        <w:kinsoku w:val="0"/>
        <w:overflowPunct w:val="0"/>
        <w:ind w:left="0"/>
        <w:rPr>
          <w:lang w:val="de-DE"/>
        </w:rPr>
      </w:pPr>
      <w:r>
        <w:rPr>
          <w:lang w:val="de-DE"/>
        </w:rPr>
        <w:t>Adalimumab wurde bei Patienten mit mäßiger bis schwerer aktiver Psoriasis-Arthritis in einer Dosierung von 40 mg jede zweite Woche in zwei placebokontrollierten Studien, PsA-Studien I und II, untersucht. In der PsA-Studie I wurden 313 erwachsene Patienten mit unzureichendem Ansprechen auf die Therapie mit nicht steroidalen Antirheumatika über 24 Wochen behandelt. Annähernd 50 % dieser Patienten erhielten Methotrexat. In der PsA-Studie II wurden 100 Patienten mit unzureichendem Ansprechen auf krankheitsmodifizierende Antirheumatika (DMARDs) über 12 Wochen behandelt. Nach Beendigung beider Studien traten 383 Patienten in eine offene Fortsetzungsstudie ein, in der 40 mg Adalimumab jede zweite Woche verabreicht wurde.</w:t>
      </w:r>
    </w:p>
    <w:p w14:paraId="410927B3" w14:textId="77777777" w:rsidR="00FE291A" w:rsidRDefault="00FE291A">
      <w:pPr>
        <w:widowControl/>
        <w:kinsoku w:val="0"/>
        <w:overflowPunct w:val="0"/>
        <w:rPr>
          <w:sz w:val="22"/>
          <w:szCs w:val="22"/>
          <w:lang w:val="de-DE"/>
        </w:rPr>
      </w:pPr>
    </w:p>
    <w:p w14:paraId="1744D7CB" w14:textId="77777777" w:rsidR="00FE291A" w:rsidRDefault="00C8738F">
      <w:pPr>
        <w:pStyle w:val="BodyText"/>
        <w:widowControl/>
        <w:kinsoku w:val="0"/>
        <w:overflowPunct w:val="0"/>
        <w:ind w:left="0"/>
        <w:rPr>
          <w:lang w:val="de-DE"/>
        </w:rPr>
      </w:pPr>
      <w:r>
        <w:rPr>
          <w:lang w:val="de-DE"/>
        </w:rPr>
        <w:t>Aufgrund der geringen Anzahl untersuchter Patienten gibt es nur unzureichende Belege zur Wirksamkeit von Adalimumab bei Patienten mit einer der ankylosierenden Spondylitis ähnlichen Psoriasis-Arthropathie.</w:t>
      </w:r>
    </w:p>
    <w:p w14:paraId="47175173" w14:textId="77777777" w:rsidR="00FE291A" w:rsidRDefault="00FE291A">
      <w:pPr>
        <w:widowControl/>
        <w:kinsoku w:val="0"/>
        <w:overflowPunct w:val="0"/>
        <w:rPr>
          <w:sz w:val="22"/>
          <w:szCs w:val="22"/>
          <w:lang w:val="de-DE"/>
        </w:rPr>
      </w:pPr>
    </w:p>
    <w:p w14:paraId="649C8649" w14:textId="77777777" w:rsidR="00FE291A" w:rsidRDefault="00C8738F">
      <w:pPr>
        <w:pStyle w:val="Heading1"/>
        <w:keepNext/>
        <w:keepLines/>
        <w:widowControl/>
        <w:kinsoku w:val="0"/>
        <w:overflowPunct w:val="0"/>
        <w:ind w:left="0"/>
        <w:rPr>
          <w:lang w:val="de-DE"/>
        </w:rPr>
      </w:pPr>
      <w:r>
        <w:rPr>
          <w:lang w:val="de-DE"/>
        </w:rPr>
        <w:t>Tabelle 15: ACR-Ansprechraten in placebokontrollierten Psoriasis-Arthritis-Studien (prozentualer Anteil der Patienten)</w:t>
      </w:r>
    </w:p>
    <w:p w14:paraId="63D892BB" w14:textId="77777777" w:rsidR="00FE291A" w:rsidRDefault="00FE291A">
      <w:pPr>
        <w:keepNext/>
        <w:keepLines/>
        <w:widowControl/>
        <w:kinsoku w:val="0"/>
        <w:overflowPunct w:val="0"/>
        <w:rPr>
          <w:sz w:val="22"/>
          <w:lang w:val="de-DE"/>
        </w:rPr>
      </w:pPr>
    </w:p>
    <w:tbl>
      <w:tblPr>
        <w:tblW w:w="9356" w:type="dxa"/>
        <w:tblLayout w:type="fixed"/>
        <w:tblCellMar>
          <w:top w:w="28" w:type="dxa"/>
          <w:bottom w:w="28" w:type="dxa"/>
        </w:tblCellMar>
        <w:tblLook w:val="04A0" w:firstRow="1" w:lastRow="0" w:firstColumn="1" w:lastColumn="0" w:noHBand="0" w:noVBand="1"/>
      </w:tblPr>
      <w:tblGrid>
        <w:gridCol w:w="2173"/>
        <w:gridCol w:w="1796"/>
        <w:gridCol w:w="1560"/>
        <w:gridCol w:w="2126"/>
        <w:gridCol w:w="1701"/>
      </w:tblGrid>
      <w:tr w:rsidR="00FE291A" w14:paraId="3323B7B2" w14:textId="77777777">
        <w:trPr>
          <w:cantSplit/>
          <w:tblHeader/>
        </w:trPr>
        <w:tc>
          <w:tcPr>
            <w:tcW w:w="2173" w:type="dxa"/>
            <w:tcBorders>
              <w:top w:val="single" w:sz="4" w:space="0" w:color="000000"/>
              <w:left w:val="single" w:sz="4" w:space="0" w:color="000000"/>
              <w:bottom w:val="single" w:sz="4" w:space="0" w:color="000000"/>
              <w:right w:val="single" w:sz="4" w:space="0" w:color="000000"/>
            </w:tcBorders>
          </w:tcPr>
          <w:p w14:paraId="06820593" w14:textId="77777777" w:rsidR="00FE291A" w:rsidRDefault="00FE291A">
            <w:pPr>
              <w:keepNext/>
              <w:widowControl/>
              <w:suppressAutoHyphens/>
              <w:jc w:val="center"/>
              <w:rPr>
                <w:b/>
                <w:sz w:val="22"/>
                <w:lang w:val="de-DE"/>
              </w:rPr>
            </w:pPr>
          </w:p>
        </w:tc>
        <w:tc>
          <w:tcPr>
            <w:tcW w:w="3356" w:type="dxa"/>
            <w:gridSpan w:val="2"/>
            <w:tcBorders>
              <w:top w:val="single" w:sz="4" w:space="0" w:color="000000"/>
              <w:left w:val="single" w:sz="4" w:space="0" w:color="000000"/>
              <w:bottom w:val="single" w:sz="4" w:space="0" w:color="000000"/>
              <w:right w:val="single" w:sz="4" w:space="0" w:color="000000"/>
            </w:tcBorders>
          </w:tcPr>
          <w:p w14:paraId="451C929F" w14:textId="77777777" w:rsidR="00FE291A" w:rsidRDefault="00C8738F">
            <w:pPr>
              <w:pStyle w:val="TableParagraph"/>
              <w:keepNext/>
              <w:widowControl/>
              <w:suppressAutoHyphens/>
              <w:kinsoku w:val="0"/>
              <w:overflowPunct w:val="0"/>
              <w:jc w:val="center"/>
              <w:rPr>
                <w:b/>
                <w:sz w:val="22"/>
                <w:lang w:val="de-DE"/>
              </w:rPr>
            </w:pPr>
            <w:r>
              <w:rPr>
                <w:b/>
                <w:sz w:val="22"/>
                <w:szCs w:val="22"/>
                <w:lang w:val="de-DE"/>
              </w:rPr>
              <w:t>PsA-Studie I</w:t>
            </w:r>
          </w:p>
        </w:tc>
        <w:tc>
          <w:tcPr>
            <w:tcW w:w="3827" w:type="dxa"/>
            <w:gridSpan w:val="2"/>
            <w:tcBorders>
              <w:top w:val="single" w:sz="4" w:space="0" w:color="000000"/>
              <w:left w:val="single" w:sz="4" w:space="0" w:color="000000"/>
              <w:bottom w:val="single" w:sz="4" w:space="0" w:color="000000"/>
              <w:right w:val="single" w:sz="4" w:space="0" w:color="000000"/>
            </w:tcBorders>
          </w:tcPr>
          <w:p w14:paraId="7431BCC5" w14:textId="77777777" w:rsidR="00FE291A" w:rsidRDefault="00C8738F">
            <w:pPr>
              <w:pStyle w:val="TableParagraph"/>
              <w:keepNext/>
              <w:widowControl/>
              <w:suppressAutoHyphens/>
              <w:kinsoku w:val="0"/>
              <w:overflowPunct w:val="0"/>
              <w:jc w:val="center"/>
              <w:rPr>
                <w:b/>
                <w:sz w:val="22"/>
                <w:lang w:val="de-DE"/>
              </w:rPr>
            </w:pPr>
            <w:r>
              <w:rPr>
                <w:b/>
                <w:sz w:val="22"/>
                <w:szCs w:val="22"/>
                <w:lang w:val="de-DE"/>
              </w:rPr>
              <w:t>PsA-Studie II</w:t>
            </w:r>
          </w:p>
        </w:tc>
      </w:tr>
      <w:tr w:rsidR="00FE291A" w14:paraId="26987BD3" w14:textId="77777777">
        <w:trPr>
          <w:cantSplit/>
          <w:tblHeader/>
        </w:trPr>
        <w:tc>
          <w:tcPr>
            <w:tcW w:w="2173" w:type="dxa"/>
            <w:tcBorders>
              <w:top w:val="single" w:sz="4" w:space="0" w:color="000000"/>
              <w:left w:val="single" w:sz="4" w:space="0" w:color="000000"/>
              <w:bottom w:val="single" w:sz="4" w:space="0" w:color="auto"/>
              <w:right w:val="single" w:sz="4" w:space="0" w:color="000000"/>
            </w:tcBorders>
          </w:tcPr>
          <w:p w14:paraId="7C4AF151" w14:textId="77777777" w:rsidR="00FE291A" w:rsidRDefault="00C8738F">
            <w:pPr>
              <w:pStyle w:val="TableParagraph"/>
              <w:keepNext/>
              <w:widowControl/>
              <w:suppressAutoHyphens/>
              <w:kinsoku w:val="0"/>
              <w:overflowPunct w:val="0"/>
              <w:rPr>
                <w:b/>
                <w:sz w:val="22"/>
                <w:lang w:val="de-DE"/>
              </w:rPr>
            </w:pPr>
            <w:r>
              <w:rPr>
                <w:b/>
                <w:sz w:val="22"/>
                <w:szCs w:val="22"/>
                <w:lang w:val="de-DE"/>
              </w:rPr>
              <w:t>Ansprechen</w:t>
            </w:r>
          </w:p>
        </w:tc>
        <w:tc>
          <w:tcPr>
            <w:tcW w:w="1796" w:type="dxa"/>
            <w:tcBorders>
              <w:top w:val="single" w:sz="4" w:space="0" w:color="000000"/>
              <w:left w:val="single" w:sz="4" w:space="0" w:color="000000"/>
              <w:bottom w:val="single" w:sz="4" w:space="0" w:color="auto"/>
              <w:right w:val="single" w:sz="4" w:space="0" w:color="000000"/>
            </w:tcBorders>
          </w:tcPr>
          <w:p w14:paraId="62189F78" w14:textId="77777777" w:rsidR="00FE291A" w:rsidRDefault="00C8738F">
            <w:pPr>
              <w:pStyle w:val="TableParagraph"/>
              <w:keepNext/>
              <w:widowControl/>
              <w:suppressAutoHyphens/>
              <w:kinsoku w:val="0"/>
              <w:overflowPunct w:val="0"/>
              <w:jc w:val="center"/>
              <w:rPr>
                <w:b/>
                <w:sz w:val="22"/>
                <w:szCs w:val="22"/>
                <w:lang w:val="de-DE"/>
              </w:rPr>
            </w:pPr>
            <w:r>
              <w:rPr>
                <w:b/>
                <w:sz w:val="22"/>
                <w:szCs w:val="22"/>
                <w:lang w:val="de-DE"/>
              </w:rPr>
              <w:t>Placebo</w:t>
            </w:r>
          </w:p>
          <w:p w14:paraId="65AA9FEC" w14:textId="77777777" w:rsidR="00FE291A" w:rsidRDefault="00C8738F">
            <w:pPr>
              <w:pStyle w:val="TableParagraph"/>
              <w:keepNext/>
              <w:widowControl/>
              <w:suppressAutoHyphens/>
              <w:kinsoku w:val="0"/>
              <w:overflowPunct w:val="0"/>
              <w:jc w:val="center"/>
              <w:rPr>
                <w:b/>
                <w:sz w:val="22"/>
                <w:lang w:val="de-DE"/>
              </w:rPr>
            </w:pPr>
            <w:r>
              <w:rPr>
                <w:b/>
                <w:sz w:val="22"/>
                <w:szCs w:val="22"/>
                <w:lang w:val="de-DE"/>
              </w:rPr>
              <w:t>N = 162</w:t>
            </w:r>
          </w:p>
        </w:tc>
        <w:tc>
          <w:tcPr>
            <w:tcW w:w="1560" w:type="dxa"/>
            <w:tcBorders>
              <w:top w:val="single" w:sz="4" w:space="0" w:color="000000"/>
              <w:left w:val="single" w:sz="4" w:space="0" w:color="000000"/>
              <w:bottom w:val="single" w:sz="4" w:space="0" w:color="auto"/>
              <w:right w:val="single" w:sz="4" w:space="0" w:color="000000"/>
            </w:tcBorders>
          </w:tcPr>
          <w:p w14:paraId="5DC61F10" w14:textId="77777777" w:rsidR="00FE291A" w:rsidRDefault="00C8738F">
            <w:pPr>
              <w:pStyle w:val="TableParagraph"/>
              <w:keepNext/>
              <w:widowControl/>
              <w:suppressAutoHyphens/>
              <w:kinsoku w:val="0"/>
              <w:overflowPunct w:val="0"/>
              <w:jc w:val="center"/>
              <w:rPr>
                <w:b/>
                <w:sz w:val="22"/>
                <w:szCs w:val="22"/>
                <w:lang w:val="de-DE"/>
              </w:rPr>
            </w:pPr>
            <w:r>
              <w:rPr>
                <w:b/>
                <w:sz w:val="22"/>
                <w:szCs w:val="22"/>
                <w:lang w:val="de-DE"/>
              </w:rPr>
              <w:t>Adalimumab</w:t>
            </w:r>
          </w:p>
          <w:p w14:paraId="14A28C18" w14:textId="77777777" w:rsidR="00FE291A" w:rsidRDefault="00C8738F">
            <w:pPr>
              <w:pStyle w:val="TableParagraph"/>
              <w:keepNext/>
              <w:widowControl/>
              <w:suppressAutoHyphens/>
              <w:kinsoku w:val="0"/>
              <w:overflowPunct w:val="0"/>
              <w:jc w:val="center"/>
              <w:rPr>
                <w:b/>
                <w:sz w:val="22"/>
                <w:lang w:val="de-DE"/>
              </w:rPr>
            </w:pPr>
            <w:r>
              <w:rPr>
                <w:b/>
                <w:sz w:val="22"/>
                <w:szCs w:val="22"/>
                <w:lang w:val="de-DE"/>
              </w:rPr>
              <w:t>N = 151</w:t>
            </w:r>
          </w:p>
        </w:tc>
        <w:tc>
          <w:tcPr>
            <w:tcW w:w="2126" w:type="dxa"/>
            <w:tcBorders>
              <w:top w:val="single" w:sz="4" w:space="0" w:color="000000"/>
              <w:left w:val="single" w:sz="4" w:space="0" w:color="000000"/>
              <w:bottom w:val="single" w:sz="4" w:space="0" w:color="auto"/>
              <w:right w:val="single" w:sz="4" w:space="0" w:color="000000"/>
            </w:tcBorders>
          </w:tcPr>
          <w:p w14:paraId="3AE5420C" w14:textId="77777777" w:rsidR="00FE291A" w:rsidRDefault="00C8738F">
            <w:pPr>
              <w:pStyle w:val="TableParagraph"/>
              <w:keepNext/>
              <w:widowControl/>
              <w:suppressAutoHyphens/>
              <w:kinsoku w:val="0"/>
              <w:overflowPunct w:val="0"/>
              <w:jc w:val="center"/>
              <w:rPr>
                <w:b/>
                <w:sz w:val="22"/>
                <w:szCs w:val="22"/>
                <w:lang w:val="de-DE"/>
              </w:rPr>
            </w:pPr>
            <w:r>
              <w:rPr>
                <w:b/>
                <w:sz w:val="22"/>
                <w:szCs w:val="22"/>
                <w:lang w:val="de-DE"/>
              </w:rPr>
              <w:t>Placebo</w:t>
            </w:r>
          </w:p>
          <w:p w14:paraId="08238B39" w14:textId="77777777" w:rsidR="00FE291A" w:rsidRDefault="00C8738F">
            <w:pPr>
              <w:pStyle w:val="TableParagraph"/>
              <w:keepNext/>
              <w:widowControl/>
              <w:suppressAutoHyphens/>
              <w:kinsoku w:val="0"/>
              <w:overflowPunct w:val="0"/>
              <w:jc w:val="center"/>
              <w:rPr>
                <w:b/>
                <w:sz w:val="22"/>
                <w:lang w:val="de-DE"/>
              </w:rPr>
            </w:pPr>
            <w:r>
              <w:rPr>
                <w:b/>
                <w:sz w:val="22"/>
                <w:szCs w:val="22"/>
                <w:lang w:val="de-DE"/>
              </w:rPr>
              <w:t>N =</w:t>
            </w:r>
            <w:r>
              <w:rPr>
                <w:b/>
                <w:sz w:val="22"/>
                <w:szCs w:val="22"/>
                <w:lang w:val="de-DE" w:eastAsia="zh-TW"/>
              </w:rPr>
              <w:t> </w:t>
            </w:r>
            <w:r>
              <w:rPr>
                <w:b/>
                <w:sz w:val="22"/>
                <w:szCs w:val="22"/>
                <w:lang w:val="de-DE"/>
              </w:rPr>
              <w:t>49</w:t>
            </w:r>
          </w:p>
        </w:tc>
        <w:tc>
          <w:tcPr>
            <w:tcW w:w="1701" w:type="dxa"/>
            <w:tcBorders>
              <w:top w:val="single" w:sz="4" w:space="0" w:color="000000"/>
              <w:left w:val="single" w:sz="4" w:space="0" w:color="000000"/>
              <w:bottom w:val="single" w:sz="4" w:space="0" w:color="auto"/>
              <w:right w:val="single" w:sz="4" w:space="0" w:color="000000"/>
            </w:tcBorders>
          </w:tcPr>
          <w:p w14:paraId="56A0BA69" w14:textId="77777777" w:rsidR="00FE291A" w:rsidRDefault="00C8738F">
            <w:pPr>
              <w:pStyle w:val="TableParagraph"/>
              <w:keepNext/>
              <w:widowControl/>
              <w:suppressAutoHyphens/>
              <w:kinsoku w:val="0"/>
              <w:overflowPunct w:val="0"/>
              <w:jc w:val="center"/>
              <w:rPr>
                <w:b/>
                <w:sz w:val="22"/>
                <w:szCs w:val="22"/>
                <w:lang w:val="de-DE"/>
              </w:rPr>
            </w:pPr>
            <w:r>
              <w:rPr>
                <w:b/>
                <w:sz w:val="22"/>
                <w:szCs w:val="22"/>
                <w:lang w:val="de-DE"/>
              </w:rPr>
              <w:t>Adalimumab</w:t>
            </w:r>
          </w:p>
          <w:p w14:paraId="6F1C2A87" w14:textId="77777777" w:rsidR="00FE291A" w:rsidRDefault="00C8738F">
            <w:pPr>
              <w:pStyle w:val="TableParagraph"/>
              <w:keepNext/>
              <w:widowControl/>
              <w:suppressAutoHyphens/>
              <w:kinsoku w:val="0"/>
              <w:overflowPunct w:val="0"/>
              <w:jc w:val="center"/>
              <w:rPr>
                <w:b/>
                <w:sz w:val="22"/>
                <w:lang w:val="de-DE"/>
              </w:rPr>
            </w:pPr>
            <w:r>
              <w:rPr>
                <w:b/>
                <w:sz w:val="22"/>
                <w:szCs w:val="22"/>
                <w:lang w:val="de-DE"/>
              </w:rPr>
              <w:t>N = 51</w:t>
            </w:r>
          </w:p>
        </w:tc>
      </w:tr>
      <w:tr w:rsidR="00FE291A" w14:paraId="79AB3076" w14:textId="77777777">
        <w:trPr>
          <w:cantSplit/>
        </w:trPr>
        <w:tc>
          <w:tcPr>
            <w:tcW w:w="2173" w:type="dxa"/>
            <w:tcBorders>
              <w:top w:val="single" w:sz="4" w:space="0" w:color="auto"/>
              <w:left w:val="single" w:sz="4" w:space="0" w:color="auto"/>
              <w:bottom w:val="single" w:sz="4" w:space="0" w:color="auto"/>
              <w:right w:val="single" w:sz="4" w:space="0" w:color="auto"/>
            </w:tcBorders>
          </w:tcPr>
          <w:p w14:paraId="42D30E04" w14:textId="77777777" w:rsidR="00FE291A" w:rsidRDefault="00C8738F">
            <w:pPr>
              <w:pStyle w:val="TableParagraph"/>
              <w:keepNext/>
              <w:widowControl/>
              <w:suppressAutoHyphens/>
              <w:kinsoku w:val="0"/>
              <w:overflowPunct w:val="0"/>
              <w:rPr>
                <w:sz w:val="22"/>
                <w:lang w:val="de-DE"/>
              </w:rPr>
            </w:pPr>
            <w:r>
              <w:rPr>
                <w:sz w:val="22"/>
                <w:szCs w:val="22"/>
                <w:lang w:val="de-DE"/>
              </w:rPr>
              <w:t>ACR-20</w:t>
            </w:r>
          </w:p>
        </w:tc>
        <w:tc>
          <w:tcPr>
            <w:tcW w:w="1796" w:type="dxa"/>
            <w:tcBorders>
              <w:top w:val="single" w:sz="4" w:space="0" w:color="auto"/>
              <w:left w:val="single" w:sz="4" w:space="0" w:color="auto"/>
              <w:bottom w:val="single" w:sz="4" w:space="0" w:color="auto"/>
              <w:right w:val="single" w:sz="4" w:space="0" w:color="auto"/>
            </w:tcBorders>
          </w:tcPr>
          <w:p w14:paraId="35CD8A6B" w14:textId="77777777" w:rsidR="00FE291A" w:rsidRDefault="00FE291A">
            <w:pPr>
              <w:pStyle w:val="TableParagraph"/>
              <w:keepNext/>
              <w:widowControl/>
              <w:suppressAutoHyphens/>
              <w:kinsoku w:val="0"/>
              <w:overflowPunct w:val="0"/>
              <w:jc w:val="center"/>
              <w:rPr>
                <w:sz w:val="22"/>
                <w:szCs w:val="22"/>
                <w:lang w:val="de-DE"/>
              </w:rPr>
            </w:pPr>
          </w:p>
        </w:tc>
        <w:tc>
          <w:tcPr>
            <w:tcW w:w="1560" w:type="dxa"/>
            <w:tcBorders>
              <w:top w:val="single" w:sz="4" w:space="0" w:color="auto"/>
              <w:left w:val="single" w:sz="4" w:space="0" w:color="auto"/>
              <w:bottom w:val="single" w:sz="4" w:space="0" w:color="auto"/>
              <w:right w:val="single" w:sz="4" w:space="0" w:color="auto"/>
            </w:tcBorders>
          </w:tcPr>
          <w:p w14:paraId="2943F1FB" w14:textId="77777777" w:rsidR="00FE291A" w:rsidRDefault="00FE291A">
            <w:pPr>
              <w:pStyle w:val="TableParagraph"/>
              <w:keepNext/>
              <w:widowControl/>
              <w:suppressAutoHyphens/>
              <w:kinsoku w:val="0"/>
              <w:overflowPunct w:val="0"/>
              <w:jc w:val="center"/>
              <w:rPr>
                <w:sz w:val="22"/>
                <w:szCs w:val="22"/>
                <w:lang w:val="de-DE"/>
              </w:rPr>
            </w:pPr>
          </w:p>
        </w:tc>
        <w:tc>
          <w:tcPr>
            <w:tcW w:w="2126" w:type="dxa"/>
            <w:tcBorders>
              <w:top w:val="single" w:sz="4" w:space="0" w:color="auto"/>
              <w:left w:val="single" w:sz="4" w:space="0" w:color="auto"/>
              <w:bottom w:val="single" w:sz="4" w:space="0" w:color="auto"/>
              <w:right w:val="single" w:sz="4" w:space="0" w:color="auto"/>
            </w:tcBorders>
          </w:tcPr>
          <w:p w14:paraId="2EA6EC1F" w14:textId="77777777" w:rsidR="00FE291A" w:rsidRDefault="00FE291A">
            <w:pPr>
              <w:pStyle w:val="TableParagraph"/>
              <w:keepNext/>
              <w:widowControl/>
              <w:suppressAutoHyphens/>
              <w:kinsoku w:val="0"/>
              <w:overflowPunct w:val="0"/>
              <w:jc w:val="center"/>
              <w:rPr>
                <w:sz w:val="22"/>
                <w:szCs w:val="22"/>
                <w:lang w:val="de-DE"/>
              </w:rPr>
            </w:pPr>
          </w:p>
        </w:tc>
        <w:tc>
          <w:tcPr>
            <w:tcW w:w="1701" w:type="dxa"/>
            <w:tcBorders>
              <w:top w:val="single" w:sz="4" w:space="0" w:color="auto"/>
              <w:left w:val="single" w:sz="4" w:space="0" w:color="auto"/>
              <w:bottom w:val="single" w:sz="4" w:space="0" w:color="auto"/>
              <w:right w:val="single" w:sz="4" w:space="0" w:color="auto"/>
            </w:tcBorders>
          </w:tcPr>
          <w:p w14:paraId="54BD351B" w14:textId="77777777" w:rsidR="00FE291A" w:rsidRDefault="00FE291A">
            <w:pPr>
              <w:pStyle w:val="TableParagraph"/>
              <w:keepNext/>
              <w:widowControl/>
              <w:suppressAutoHyphens/>
              <w:kinsoku w:val="0"/>
              <w:overflowPunct w:val="0"/>
              <w:jc w:val="center"/>
              <w:rPr>
                <w:sz w:val="22"/>
                <w:szCs w:val="22"/>
                <w:lang w:val="de-DE"/>
              </w:rPr>
            </w:pPr>
          </w:p>
        </w:tc>
      </w:tr>
      <w:tr w:rsidR="00FE291A" w14:paraId="7B6DDA0E" w14:textId="77777777">
        <w:trPr>
          <w:cantSplit/>
        </w:trPr>
        <w:tc>
          <w:tcPr>
            <w:tcW w:w="2173" w:type="dxa"/>
            <w:tcBorders>
              <w:top w:val="single" w:sz="4" w:space="0" w:color="auto"/>
              <w:left w:val="single" w:sz="4" w:space="0" w:color="auto"/>
              <w:bottom w:val="single" w:sz="4" w:space="0" w:color="auto"/>
              <w:right w:val="single" w:sz="4" w:space="0" w:color="auto"/>
            </w:tcBorders>
          </w:tcPr>
          <w:p w14:paraId="376F0F09" w14:textId="77777777" w:rsidR="00FE291A" w:rsidRDefault="00C8738F">
            <w:pPr>
              <w:pStyle w:val="TableParagraph"/>
              <w:keepNext/>
              <w:widowControl/>
              <w:suppressAutoHyphens/>
              <w:kinsoku w:val="0"/>
              <w:overflowPunct w:val="0"/>
              <w:ind w:firstLine="428"/>
              <w:rPr>
                <w:sz w:val="22"/>
                <w:lang w:val="de-DE"/>
              </w:rPr>
            </w:pPr>
            <w:r>
              <w:rPr>
                <w:sz w:val="22"/>
                <w:szCs w:val="22"/>
                <w:lang w:val="de-DE"/>
              </w:rPr>
              <w:t>Woche 12</w:t>
            </w:r>
          </w:p>
        </w:tc>
        <w:tc>
          <w:tcPr>
            <w:tcW w:w="1796" w:type="dxa"/>
            <w:tcBorders>
              <w:top w:val="single" w:sz="4" w:space="0" w:color="auto"/>
              <w:left w:val="single" w:sz="4" w:space="0" w:color="auto"/>
              <w:bottom w:val="single" w:sz="4" w:space="0" w:color="auto"/>
              <w:right w:val="single" w:sz="4" w:space="0" w:color="auto"/>
            </w:tcBorders>
          </w:tcPr>
          <w:p w14:paraId="3AA0A2F6"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14 %</w:t>
            </w:r>
          </w:p>
        </w:tc>
        <w:tc>
          <w:tcPr>
            <w:tcW w:w="1560" w:type="dxa"/>
            <w:tcBorders>
              <w:top w:val="single" w:sz="4" w:space="0" w:color="auto"/>
              <w:left w:val="single" w:sz="4" w:space="0" w:color="auto"/>
              <w:bottom w:val="single" w:sz="4" w:space="0" w:color="auto"/>
              <w:right w:val="single" w:sz="4" w:space="0" w:color="auto"/>
            </w:tcBorders>
          </w:tcPr>
          <w:p w14:paraId="3F989747"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58 %***</w:t>
            </w:r>
          </w:p>
        </w:tc>
        <w:tc>
          <w:tcPr>
            <w:tcW w:w="2126" w:type="dxa"/>
            <w:tcBorders>
              <w:top w:val="single" w:sz="4" w:space="0" w:color="auto"/>
              <w:left w:val="single" w:sz="4" w:space="0" w:color="auto"/>
              <w:bottom w:val="single" w:sz="4" w:space="0" w:color="auto"/>
              <w:right w:val="single" w:sz="4" w:space="0" w:color="auto"/>
            </w:tcBorders>
          </w:tcPr>
          <w:p w14:paraId="5BF04573"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16 %</w:t>
            </w:r>
          </w:p>
        </w:tc>
        <w:tc>
          <w:tcPr>
            <w:tcW w:w="1701" w:type="dxa"/>
            <w:tcBorders>
              <w:top w:val="single" w:sz="4" w:space="0" w:color="auto"/>
              <w:left w:val="single" w:sz="4" w:space="0" w:color="auto"/>
              <w:bottom w:val="single" w:sz="4" w:space="0" w:color="auto"/>
              <w:right w:val="single" w:sz="4" w:space="0" w:color="auto"/>
            </w:tcBorders>
          </w:tcPr>
          <w:p w14:paraId="2BA531A2"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39 %*</w:t>
            </w:r>
          </w:p>
        </w:tc>
      </w:tr>
      <w:tr w:rsidR="00FE291A" w14:paraId="1C6A4603" w14:textId="77777777">
        <w:trPr>
          <w:cantSplit/>
        </w:trPr>
        <w:tc>
          <w:tcPr>
            <w:tcW w:w="2173" w:type="dxa"/>
            <w:tcBorders>
              <w:top w:val="single" w:sz="4" w:space="0" w:color="auto"/>
              <w:left w:val="single" w:sz="4" w:space="0" w:color="auto"/>
              <w:bottom w:val="single" w:sz="4" w:space="0" w:color="auto"/>
              <w:right w:val="single" w:sz="4" w:space="0" w:color="auto"/>
            </w:tcBorders>
          </w:tcPr>
          <w:p w14:paraId="405352DB" w14:textId="77777777" w:rsidR="00FE291A" w:rsidRDefault="00C8738F">
            <w:pPr>
              <w:pStyle w:val="TableParagraph"/>
              <w:widowControl/>
              <w:suppressAutoHyphens/>
              <w:kinsoku w:val="0"/>
              <w:overflowPunct w:val="0"/>
              <w:ind w:firstLine="428"/>
              <w:rPr>
                <w:sz w:val="22"/>
                <w:lang w:val="de-DE"/>
              </w:rPr>
            </w:pPr>
            <w:r>
              <w:rPr>
                <w:sz w:val="22"/>
                <w:szCs w:val="22"/>
                <w:lang w:val="de-DE"/>
              </w:rPr>
              <w:t>Woche 24</w:t>
            </w:r>
          </w:p>
        </w:tc>
        <w:tc>
          <w:tcPr>
            <w:tcW w:w="1796" w:type="dxa"/>
            <w:tcBorders>
              <w:top w:val="single" w:sz="4" w:space="0" w:color="auto"/>
              <w:left w:val="single" w:sz="4" w:space="0" w:color="auto"/>
              <w:bottom w:val="single" w:sz="4" w:space="0" w:color="auto"/>
              <w:right w:val="single" w:sz="4" w:space="0" w:color="auto"/>
            </w:tcBorders>
          </w:tcPr>
          <w:p w14:paraId="579E7A7E"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15 %</w:t>
            </w:r>
          </w:p>
        </w:tc>
        <w:tc>
          <w:tcPr>
            <w:tcW w:w="1560" w:type="dxa"/>
            <w:tcBorders>
              <w:top w:val="single" w:sz="4" w:space="0" w:color="auto"/>
              <w:left w:val="single" w:sz="4" w:space="0" w:color="auto"/>
              <w:bottom w:val="single" w:sz="4" w:space="0" w:color="auto"/>
              <w:right w:val="single" w:sz="4" w:space="0" w:color="auto"/>
            </w:tcBorders>
          </w:tcPr>
          <w:p w14:paraId="75CE12EE"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57 %***</w:t>
            </w:r>
          </w:p>
        </w:tc>
        <w:tc>
          <w:tcPr>
            <w:tcW w:w="2126" w:type="dxa"/>
            <w:tcBorders>
              <w:top w:val="single" w:sz="4" w:space="0" w:color="auto"/>
              <w:left w:val="single" w:sz="4" w:space="0" w:color="auto"/>
              <w:bottom w:val="single" w:sz="4" w:space="0" w:color="auto"/>
              <w:right w:val="single" w:sz="4" w:space="0" w:color="auto"/>
            </w:tcBorders>
          </w:tcPr>
          <w:p w14:paraId="7DB92885"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entfällt</w:t>
            </w:r>
          </w:p>
        </w:tc>
        <w:tc>
          <w:tcPr>
            <w:tcW w:w="1701" w:type="dxa"/>
            <w:tcBorders>
              <w:top w:val="single" w:sz="4" w:space="0" w:color="auto"/>
              <w:left w:val="single" w:sz="4" w:space="0" w:color="auto"/>
              <w:bottom w:val="single" w:sz="4" w:space="0" w:color="auto"/>
              <w:right w:val="single" w:sz="4" w:space="0" w:color="auto"/>
            </w:tcBorders>
          </w:tcPr>
          <w:p w14:paraId="43548475"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entfällt</w:t>
            </w:r>
          </w:p>
        </w:tc>
      </w:tr>
      <w:tr w:rsidR="00FE291A" w14:paraId="046C350B" w14:textId="77777777">
        <w:trPr>
          <w:cantSplit/>
        </w:trPr>
        <w:tc>
          <w:tcPr>
            <w:tcW w:w="2173" w:type="dxa"/>
            <w:tcBorders>
              <w:top w:val="single" w:sz="4" w:space="0" w:color="auto"/>
              <w:left w:val="single" w:sz="4" w:space="0" w:color="auto"/>
              <w:bottom w:val="single" w:sz="4" w:space="0" w:color="auto"/>
              <w:right w:val="single" w:sz="4" w:space="0" w:color="auto"/>
            </w:tcBorders>
          </w:tcPr>
          <w:p w14:paraId="340C9BD6" w14:textId="77777777" w:rsidR="00FE291A" w:rsidRDefault="00C8738F">
            <w:pPr>
              <w:pStyle w:val="TableParagraph"/>
              <w:keepNext/>
              <w:widowControl/>
              <w:suppressAutoHyphens/>
              <w:kinsoku w:val="0"/>
              <w:overflowPunct w:val="0"/>
              <w:rPr>
                <w:sz w:val="22"/>
                <w:lang w:val="de-DE"/>
              </w:rPr>
            </w:pPr>
            <w:r>
              <w:rPr>
                <w:sz w:val="22"/>
                <w:szCs w:val="22"/>
                <w:lang w:val="de-DE"/>
              </w:rPr>
              <w:t>ACR-50</w:t>
            </w:r>
          </w:p>
        </w:tc>
        <w:tc>
          <w:tcPr>
            <w:tcW w:w="1796" w:type="dxa"/>
            <w:tcBorders>
              <w:top w:val="single" w:sz="4" w:space="0" w:color="auto"/>
              <w:left w:val="single" w:sz="4" w:space="0" w:color="auto"/>
              <w:bottom w:val="single" w:sz="4" w:space="0" w:color="auto"/>
              <w:right w:val="single" w:sz="4" w:space="0" w:color="auto"/>
            </w:tcBorders>
          </w:tcPr>
          <w:p w14:paraId="62C323CD" w14:textId="77777777" w:rsidR="00FE291A" w:rsidRDefault="00FE291A">
            <w:pPr>
              <w:pStyle w:val="TableParagraph"/>
              <w:keepNext/>
              <w:widowControl/>
              <w:suppressAutoHyphens/>
              <w:kinsoku w:val="0"/>
              <w:overflowPunct w:val="0"/>
              <w:jc w:val="center"/>
              <w:rPr>
                <w:sz w:val="22"/>
                <w:szCs w:val="22"/>
                <w:lang w:val="de-DE"/>
              </w:rPr>
            </w:pPr>
          </w:p>
        </w:tc>
        <w:tc>
          <w:tcPr>
            <w:tcW w:w="1560" w:type="dxa"/>
            <w:tcBorders>
              <w:top w:val="single" w:sz="4" w:space="0" w:color="auto"/>
              <w:left w:val="single" w:sz="4" w:space="0" w:color="auto"/>
              <w:bottom w:val="single" w:sz="4" w:space="0" w:color="auto"/>
              <w:right w:val="single" w:sz="4" w:space="0" w:color="auto"/>
            </w:tcBorders>
          </w:tcPr>
          <w:p w14:paraId="73415F1D" w14:textId="77777777" w:rsidR="00FE291A" w:rsidRDefault="00FE291A">
            <w:pPr>
              <w:pStyle w:val="TableParagraph"/>
              <w:keepNext/>
              <w:widowControl/>
              <w:suppressAutoHyphens/>
              <w:kinsoku w:val="0"/>
              <w:overflowPunct w:val="0"/>
              <w:jc w:val="center"/>
              <w:rPr>
                <w:sz w:val="22"/>
                <w:szCs w:val="22"/>
                <w:lang w:val="de-DE"/>
              </w:rPr>
            </w:pPr>
          </w:p>
        </w:tc>
        <w:tc>
          <w:tcPr>
            <w:tcW w:w="2126" w:type="dxa"/>
            <w:tcBorders>
              <w:top w:val="single" w:sz="4" w:space="0" w:color="auto"/>
              <w:left w:val="single" w:sz="4" w:space="0" w:color="auto"/>
              <w:bottom w:val="single" w:sz="4" w:space="0" w:color="auto"/>
              <w:right w:val="single" w:sz="4" w:space="0" w:color="auto"/>
            </w:tcBorders>
          </w:tcPr>
          <w:p w14:paraId="2DEACE1A" w14:textId="77777777" w:rsidR="00FE291A" w:rsidRDefault="00FE291A">
            <w:pPr>
              <w:pStyle w:val="TableParagraph"/>
              <w:keepNext/>
              <w:widowControl/>
              <w:suppressAutoHyphens/>
              <w:kinsoku w:val="0"/>
              <w:overflowPunct w:val="0"/>
              <w:jc w:val="center"/>
              <w:rPr>
                <w:sz w:val="22"/>
                <w:szCs w:val="22"/>
                <w:lang w:val="de-DE"/>
              </w:rPr>
            </w:pPr>
          </w:p>
        </w:tc>
        <w:tc>
          <w:tcPr>
            <w:tcW w:w="1701" w:type="dxa"/>
            <w:tcBorders>
              <w:top w:val="single" w:sz="4" w:space="0" w:color="auto"/>
              <w:left w:val="single" w:sz="4" w:space="0" w:color="auto"/>
              <w:bottom w:val="single" w:sz="4" w:space="0" w:color="auto"/>
              <w:right w:val="single" w:sz="4" w:space="0" w:color="auto"/>
            </w:tcBorders>
          </w:tcPr>
          <w:p w14:paraId="23F18AF2" w14:textId="77777777" w:rsidR="00FE291A" w:rsidRDefault="00FE291A">
            <w:pPr>
              <w:pStyle w:val="TableParagraph"/>
              <w:keepNext/>
              <w:widowControl/>
              <w:suppressAutoHyphens/>
              <w:kinsoku w:val="0"/>
              <w:overflowPunct w:val="0"/>
              <w:jc w:val="center"/>
              <w:rPr>
                <w:sz w:val="22"/>
                <w:szCs w:val="22"/>
                <w:lang w:val="de-DE"/>
              </w:rPr>
            </w:pPr>
          </w:p>
        </w:tc>
      </w:tr>
      <w:tr w:rsidR="00FE291A" w14:paraId="272625E6" w14:textId="77777777">
        <w:trPr>
          <w:cantSplit/>
        </w:trPr>
        <w:tc>
          <w:tcPr>
            <w:tcW w:w="2173" w:type="dxa"/>
            <w:tcBorders>
              <w:top w:val="single" w:sz="4" w:space="0" w:color="auto"/>
              <w:left w:val="single" w:sz="4" w:space="0" w:color="auto"/>
              <w:bottom w:val="single" w:sz="4" w:space="0" w:color="auto"/>
              <w:right w:val="single" w:sz="4" w:space="0" w:color="auto"/>
            </w:tcBorders>
          </w:tcPr>
          <w:p w14:paraId="463B9347" w14:textId="77777777" w:rsidR="00FE291A" w:rsidRDefault="00C8738F">
            <w:pPr>
              <w:pStyle w:val="TableParagraph"/>
              <w:keepNext/>
              <w:widowControl/>
              <w:suppressAutoHyphens/>
              <w:kinsoku w:val="0"/>
              <w:overflowPunct w:val="0"/>
              <w:ind w:firstLine="428"/>
              <w:rPr>
                <w:sz w:val="22"/>
                <w:lang w:val="de-DE"/>
              </w:rPr>
            </w:pPr>
            <w:r>
              <w:rPr>
                <w:sz w:val="22"/>
                <w:szCs w:val="22"/>
                <w:lang w:val="de-DE"/>
              </w:rPr>
              <w:t>Woche 12</w:t>
            </w:r>
          </w:p>
        </w:tc>
        <w:tc>
          <w:tcPr>
            <w:tcW w:w="1796" w:type="dxa"/>
            <w:tcBorders>
              <w:top w:val="single" w:sz="4" w:space="0" w:color="auto"/>
              <w:left w:val="single" w:sz="4" w:space="0" w:color="auto"/>
              <w:bottom w:val="single" w:sz="4" w:space="0" w:color="auto"/>
              <w:right w:val="single" w:sz="4" w:space="0" w:color="auto"/>
            </w:tcBorders>
          </w:tcPr>
          <w:p w14:paraId="768DF20B"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4 %</w:t>
            </w:r>
          </w:p>
        </w:tc>
        <w:tc>
          <w:tcPr>
            <w:tcW w:w="1560" w:type="dxa"/>
            <w:tcBorders>
              <w:top w:val="single" w:sz="4" w:space="0" w:color="auto"/>
              <w:left w:val="single" w:sz="4" w:space="0" w:color="auto"/>
              <w:bottom w:val="single" w:sz="4" w:space="0" w:color="auto"/>
              <w:right w:val="single" w:sz="4" w:space="0" w:color="auto"/>
            </w:tcBorders>
          </w:tcPr>
          <w:p w14:paraId="3E8B7560"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36 %***</w:t>
            </w:r>
          </w:p>
        </w:tc>
        <w:tc>
          <w:tcPr>
            <w:tcW w:w="2126" w:type="dxa"/>
            <w:tcBorders>
              <w:top w:val="single" w:sz="4" w:space="0" w:color="auto"/>
              <w:left w:val="single" w:sz="4" w:space="0" w:color="auto"/>
              <w:bottom w:val="single" w:sz="4" w:space="0" w:color="auto"/>
              <w:right w:val="single" w:sz="4" w:space="0" w:color="auto"/>
            </w:tcBorders>
          </w:tcPr>
          <w:p w14:paraId="0722B494"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2 %</w:t>
            </w:r>
          </w:p>
        </w:tc>
        <w:tc>
          <w:tcPr>
            <w:tcW w:w="1701" w:type="dxa"/>
            <w:tcBorders>
              <w:top w:val="single" w:sz="4" w:space="0" w:color="auto"/>
              <w:left w:val="single" w:sz="4" w:space="0" w:color="auto"/>
              <w:bottom w:val="single" w:sz="4" w:space="0" w:color="auto"/>
              <w:right w:val="single" w:sz="4" w:space="0" w:color="auto"/>
            </w:tcBorders>
          </w:tcPr>
          <w:p w14:paraId="597636EE"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25 %***</w:t>
            </w:r>
          </w:p>
        </w:tc>
      </w:tr>
      <w:tr w:rsidR="00FE291A" w14:paraId="2DE2B346" w14:textId="77777777">
        <w:trPr>
          <w:cantSplit/>
        </w:trPr>
        <w:tc>
          <w:tcPr>
            <w:tcW w:w="2173" w:type="dxa"/>
            <w:tcBorders>
              <w:top w:val="single" w:sz="4" w:space="0" w:color="auto"/>
              <w:left w:val="single" w:sz="4" w:space="0" w:color="auto"/>
              <w:bottom w:val="single" w:sz="4" w:space="0" w:color="auto"/>
              <w:right w:val="single" w:sz="4" w:space="0" w:color="auto"/>
            </w:tcBorders>
          </w:tcPr>
          <w:p w14:paraId="7D88AF6F" w14:textId="77777777" w:rsidR="00FE291A" w:rsidRDefault="00C8738F">
            <w:pPr>
              <w:pStyle w:val="TableParagraph"/>
              <w:widowControl/>
              <w:suppressAutoHyphens/>
              <w:kinsoku w:val="0"/>
              <w:overflowPunct w:val="0"/>
              <w:ind w:firstLine="428"/>
              <w:rPr>
                <w:sz w:val="22"/>
                <w:lang w:val="de-DE"/>
              </w:rPr>
            </w:pPr>
            <w:r>
              <w:rPr>
                <w:sz w:val="22"/>
                <w:szCs w:val="22"/>
                <w:lang w:val="de-DE"/>
              </w:rPr>
              <w:t>Woche 24</w:t>
            </w:r>
          </w:p>
        </w:tc>
        <w:tc>
          <w:tcPr>
            <w:tcW w:w="1796" w:type="dxa"/>
            <w:tcBorders>
              <w:top w:val="single" w:sz="4" w:space="0" w:color="auto"/>
              <w:left w:val="single" w:sz="4" w:space="0" w:color="auto"/>
              <w:bottom w:val="single" w:sz="4" w:space="0" w:color="auto"/>
              <w:right w:val="single" w:sz="4" w:space="0" w:color="auto"/>
            </w:tcBorders>
          </w:tcPr>
          <w:p w14:paraId="7FBF2F14"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6 %</w:t>
            </w:r>
          </w:p>
        </w:tc>
        <w:tc>
          <w:tcPr>
            <w:tcW w:w="1560" w:type="dxa"/>
            <w:tcBorders>
              <w:top w:val="single" w:sz="4" w:space="0" w:color="auto"/>
              <w:left w:val="single" w:sz="4" w:space="0" w:color="auto"/>
              <w:bottom w:val="single" w:sz="4" w:space="0" w:color="auto"/>
              <w:right w:val="single" w:sz="4" w:space="0" w:color="auto"/>
            </w:tcBorders>
          </w:tcPr>
          <w:p w14:paraId="647E18E9"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39 %***</w:t>
            </w:r>
          </w:p>
        </w:tc>
        <w:tc>
          <w:tcPr>
            <w:tcW w:w="2126" w:type="dxa"/>
            <w:tcBorders>
              <w:top w:val="single" w:sz="4" w:space="0" w:color="auto"/>
              <w:left w:val="single" w:sz="4" w:space="0" w:color="auto"/>
              <w:bottom w:val="single" w:sz="4" w:space="0" w:color="auto"/>
              <w:right w:val="single" w:sz="4" w:space="0" w:color="auto"/>
            </w:tcBorders>
          </w:tcPr>
          <w:p w14:paraId="548E8C38"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entfällt</w:t>
            </w:r>
          </w:p>
        </w:tc>
        <w:tc>
          <w:tcPr>
            <w:tcW w:w="1701" w:type="dxa"/>
            <w:tcBorders>
              <w:top w:val="single" w:sz="4" w:space="0" w:color="auto"/>
              <w:left w:val="single" w:sz="4" w:space="0" w:color="auto"/>
              <w:bottom w:val="single" w:sz="4" w:space="0" w:color="auto"/>
              <w:right w:val="single" w:sz="4" w:space="0" w:color="auto"/>
            </w:tcBorders>
          </w:tcPr>
          <w:p w14:paraId="7BA6178F"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entfällt</w:t>
            </w:r>
          </w:p>
        </w:tc>
      </w:tr>
      <w:tr w:rsidR="00FE291A" w14:paraId="6AFF1343" w14:textId="77777777">
        <w:trPr>
          <w:cantSplit/>
        </w:trPr>
        <w:tc>
          <w:tcPr>
            <w:tcW w:w="2173" w:type="dxa"/>
            <w:tcBorders>
              <w:top w:val="single" w:sz="4" w:space="0" w:color="auto"/>
              <w:left w:val="single" w:sz="4" w:space="0" w:color="auto"/>
              <w:bottom w:val="single" w:sz="4" w:space="0" w:color="auto"/>
              <w:right w:val="single" w:sz="4" w:space="0" w:color="auto"/>
            </w:tcBorders>
          </w:tcPr>
          <w:p w14:paraId="6D0454AD" w14:textId="77777777" w:rsidR="00FE291A" w:rsidRDefault="00C8738F">
            <w:pPr>
              <w:pStyle w:val="TableParagraph"/>
              <w:keepNext/>
              <w:widowControl/>
              <w:suppressAutoHyphens/>
              <w:kinsoku w:val="0"/>
              <w:overflowPunct w:val="0"/>
              <w:rPr>
                <w:sz w:val="22"/>
                <w:lang w:val="de-DE"/>
              </w:rPr>
            </w:pPr>
            <w:r>
              <w:rPr>
                <w:sz w:val="22"/>
                <w:szCs w:val="22"/>
                <w:lang w:val="de-DE"/>
              </w:rPr>
              <w:t>ACR-70</w:t>
            </w:r>
          </w:p>
        </w:tc>
        <w:tc>
          <w:tcPr>
            <w:tcW w:w="1796" w:type="dxa"/>
            <w:tcBorders>
              <w:top w:val="single" w:sz="4" w:space="0" w:color="auto"/>
              <w:left w:val="single" w:sz="4" w:space="0" w:color="auto"/>
              <w:bottom w:val="single" w:sz="4" w:space="0" w:color="auto"/>
              <w:right w:val="single" w:sz="4" w:space="0" w:color="auto"/>
            </w:tcBorders>
          </w:tcPr>
          <w:p w14:paraId="5A315F4A" w14:textId="77777777" w:rsidR="00FE291A" w:rsidRDefault="00FE291A">
            <w:pPr>
              <w:pStyle w:val="TableParagraph"/>
              <w:keepNext/>
              <w:widowControl/>
              <w:suppressAutoHyphens/>
              <w:kinsoku w:val="0"/>
              <w:overflowPunct w:val="0"/>
              <w:jc w:val="center"/>
              <w:rPr>
                <w:sz w:val="22"/>
                <w:szCs w:val="22"/>
                <w:lang w:val="de-DE"/>
              </w:rPr>
            </w:pPr>
          </w:p>
        </w:tc>
        <w:tc>
          <w:tcPr>
            <w:tcW w:w="1560" w:type="dxa"/>
            <w:tcBorders>
              <w:top w:val="single" w:sz="4" w:space="0" w:color="auto"/>
              <w:left w:val="single" w:sz="4" w:space="0" w:color="auto"/>
              <w:bottom w:val="single" w:sz="4" w:space="0" w:color="auto"/>
              <w:right w:val="single" w:sz="4" w:space="0" w:color="auto"/>
            </w:tcBorders>
          </w:tcPr>
          <w:p w14:paraId="33219032" w14:textId="77777777" w:rsidR="00FE291A" w:rsidRDefault="00FE291A">
            <w:pPr>
              <w:pStyle w:val="TableParagraph"/>
              <w:keepNext/>
              <w:widowControl/>
              <w:suppressAutoHyphens/>
              <w:kinsoku w:val="0"/>
              <w:overflowPunct w:val="0"/>
              <w:jc w:val="center"/>
              <w:rPr>
                <w:sz w:val="22"/>
                <w:szCs w:val="22"/>
                <w:lang w:val="de-DE"/>
              </w:rPr>
            </w:pPr>
          </w:p>
        </w:tc>
        <w:tc>
          <w:tcPr>
            <w:tcW w:w="2126" w:type="dxa"/>
            <w:tcBorders>
              <w:top w:val="single" w:sz="4" w:space="0" w:color="auto"/>
              <w:left w:val="single" w:sz="4" w:space="0" w:color="auto"/>
              <w:bottom w:val="single" w:sz="4" w:space="0" w:color="auto"/>
              <w:right w:val="single" w:sz="4" w:space="0" w:color="auto"/>
            </w:tcBorders>
          </w:tcPr>
          <w:p w14:paraId="29A5A0BD" w14:textId="77777777" w:rsidR="00FE291A" w:rsidRDefault="00FE291A">
            <w:pPr>
              <w:pStyle w:val="TableParagraph"/>
              <w:keepNext/>
              <w:widowControl/>
              <w:suppressAutoHyphens/>
              <w:kinsoku w:val="0"/>
              <w:overflowPunct w:val="0"/>
              <w:jc w:val="center"/>
              <w:rPr>
                <w:sz w:val="22"/>
                <w:szCs w:val="22"/>
                <w:lang w:val="de-DE"/>
              </w:rPr>
            </w:pPr>
          </w:p>
        </w:tc>
        <w:tc>
          <w:tcPr>
            <w:tcW w:w="1701" w:type="dxa"/>
            <w:tcBorders>
              <w:top w:val="single" w:sz="4" w:space="0" w:color="auto"/>
              <w:left w:val="single" w:sz="4" w:space="0" w:color="auto"/>
              <w:bottom w:val="single" w:sz="4" w:space="0" w:color="auto"/>
              <w:right w:val="single" w:sz="4" w:space="0" w:color="auto"/>
            </w:tcBorders>
          </w:tcPr>
          <w:p w14:paraId="52142C94" w14:textId="77777777" w:rsidR="00FE291A" w:rsidRDefault="00FE291A">
            <w:pPr>
              <w:pStyle w:val="TableParagraph"/>
              <w:keepNext/>
              <w:widowControl/>
              <w:suppressAutoHyphens/>
              <w:kinsoku w:val="0"/>
              <w:overflowPunct w:val="0"/>
              <w:jc w:val="center"/>
              <w:rPr>
                <w:sz w:val="22"/>
                <w:szCs w:val="22"/>
                <w:lang w:val="de-DE"/>
              </w:rPr>
            </w:pPr>
          </w:p>
        </w:tc>
      </w:tr>
      <w:tr w:rsidR="00FE291A" w14:paraId="37C10A09" w14:textId="77777777">
        <w:trPr>
          <w:cantSplit/>
        </w:trPr>
        <w:tc>
          <w:tcPr>
            <w:tcW w:w="2173" w:type="dxa"/>
            <w:tcBorders>
              <w:top w:val="single" w:sz="4" w:space="0" w:color="auto"/>
              <w:left w:val="single" w:sz="4" w:space="0" w:color="auto"/>
              <w:bottom w:val="single" w:sz="4" w:space="0" w:color="auto"/>
              <w:right w:val="single" w:sz="4" w:space="0" w:color="auto"/>
            </w:tcBorders>
          </w:tcPr>
          <w:p w14:paraId="5692E7F3" w14:textId="77777777" w:rsidR="00FE291A" w:rsidRDefault="00C8738F">
            <w:pPr>
              <w:pStyle w:val="TableParagraph"/>
              <w:keepNext/>
              <w:widowControl/>
              <w:suppressAutoHyphens/>
              <w:kinsoku w:val="0"/>
              <w:overflowPunct w:val="0"/>
              <w:ind w:firstLine="428"/>
              <w:rPr>
                <w:sz w:val="22"/>
                <w:lang w:val="de-DE"/>
              </w:rPr>
            </w:pPr>
            <w:r>
              <w:rPr>
                <w:sz w:val="22"/>
                <w:szCs w:val="22"/>
                <w:lang w:val="de-DE"/>
              </w:rPr>
              <w:t>Woche 12</w:t>
            </w:r>
          </w:p>
        </w:tc>
        <w:tc>
          <w:tcPr>
            <w:tcW w:w="1796" w:type="dxa"/>
            <w:tcBorders>
              <w:top w:val="single" w:sz="4" w:space="0" w:color="auto"/>
              <w:left w:val="single" w:sz="4" w:space="0" w:color="auto"/>
              <w:bottom w:val="single" w:sz="4" w:space="0" w:color="auto"/>
              <w:right w:val="single" w:sz="4" w:space="0" w:color="auto"/>
            </w:tcBorders>
          </w:tcPr>
          <w:p w14:paraId="5CD943CC"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1 %</w:t>
            </w:r>
          </w:p>
        </w:tc>
        <w:tc>
          <w:tcPr>
            <w:tcW w:w="1560" w:type="dxa"/>
            <w:tcBorders>
              <w:top w:val="single" w:sz="4" w:space="0" w:color="auto"/>
              <w:left w:val="single" w:sz="4" w:space="0" w:color="auto"/>
              <w:bottom w:val="single" w:sz="4" w:space="0" w:color="auto"/>
              <w:right w:val="single" w:sz="4" w:space="0" w:color="auto"/>
            </w:tcBorders>
          </w:tcPr>
          <w:p w14:paraId="160ABFE1"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20 %***</w:t>
            </w:r>
          </w:p>
        </w:tc>
        <w:tc>
          <w:tcPr>
            <w:tcW w:w="2126" w:type="dxa"/>
            <w:tcBorders>
              <w:top w:val="single" w:sz="4" w:space="0" w:color="auto"/>
              <w:left w:val="single" w:sz="4" w:space="0" w:color="auto"/>
              <w:bottom w:val="single" w:sz="4" w:space="0" w:color="auto"/>
              <w:right w:val="single" w:sz="4" w:space="0" w:color="auto"/>
            </w:tcBorders>
          </w:tcPr>
          <w:p w14:paraId="356FDB41"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0 %</w:t>
            </w:r>
          </w:p>
        </w:tc>
        <w:tc>
          <w:tcPr>
            <w:tcW w:w="1701" w:type="dxa"/>
            <w:tcBorders>
              <w:top w:val="single" w:sz="4" w:space="0" w:color="auto"/>
              <w:left w:val="single" w:sz="4" w:space="0" w:color="auto"/>
              <w:bottom w:val="single" w:sz="4" w:space="0" w:color="auto"/>
              <w:right w:val="single" w:sz="4" w:space="0" w:color="auto"/>
            </w:tcBorders>
          </w:tcPr>
          <w:p w14:paraId="1F3B0F27"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14 %*</w:t>
            </w:r>
          </w:p>
        </w:tc>
      </w:tr>
      <w:tr w:rsidR="00FE291A" w14:paraId="489D0DD6" w14:textId="77777777">
        <w:trPr>
          <w:cantSplit/>
        </w:trPr>
        <w:tc>
          <w:tcPr>
            <w:tcW w:w="2173" w:type="dxa"/>
            <w:tcBorders>
              <w:top w:val="single" w:sz="4" w:space="0" w:color="auto"/>
              <w:left w:val="single" w:sz="4" w:space="0" w:color="auto"/>
              <w:bottom w:val="single" w:sz="4" w:space="0" w:color="auto"/>
              <w:right w:val="single" w:sz="4" w:space="0" w:color="auto"/>
            </w:tcBorders>
          </w:tcPr>
          <w:p w14:paraId="03AABDF6" w14:textId="77777777" w:rsidR="00FE291A" w:rsidRDefault="00C8738F">
            <w:pPr>
              <w:pStyle w:val="TableParagraph"/>
              <w:keepNext/>
              <w:widowControl/>
              <w:suppressAutoHyphens/>
              <w:kinsoku w:val="0"/>
              <w:overflowPunct w:val="0"/>
              <w:ind w:firstLine="428"/>
              <w:rPr>
                <w:sz w:val="22"/>
                <w:lang w:val="de-DE"/>
              </w:rPr>
            </w:pPr>
            <w:r>
              <w:rPr>
                <w:sz w:val="22"/>
                <w:szCs w:val="22"/>
                <w:lang w:val="de-DE"/>
              </w:rPr>
              <w:t>Woche 24</w:t>
            </w:r>
          </w:p>
        </w:tc>
        <w:tc>
          <w:tcPr>
            <w:tcW w:w="1796" w:type="dxa"/>
            <w:tcBorders>
              <w:top w:val="single" w:sz="4" w:space="0" w:color="auto"/>
              <w:left w:val="single" w:sz="4" w:space="0" w:color="auto"/>
              <w:bottom w:val="single" w:sz="4" w:space="0" w:color="auto"/>
              <w:right w:val="single" w:sz="4" w:space="0" w:color="auto"/>
            </w:tcBorders>
          </w:tcPr>
          <w:p w14:paraId="48462CCE"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1 %</w:t>
            </w:r>
          </w:p>
        </w:tc>
        <w:tc>
          <w:tcPr>
            <w:tcW w:w="1560" w:type="dxa"/>
            <w:tcBorders>
              <w:top w:val="single" w:sz="4" w:space="0" w:color="auto"/>
              <w:left w:val="single" w:sz="4" w:space="0" w:color="auto"/>
              <w:bottom w:val="single" w:sz="4" w:space="0" w:color="auto"/>
              <w:right w:val="single" w:sz="4" w:space="0" w:color="auto"/>
            </w:tcBorders>
          </w:tcPr>
          <w:p w14:paraId="4731BBA5"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23 %***</w:t>
            </w:r>
          </w:p>
        </w:tc>
        <w:tc>
          <w:tcPr>
            <w:tcW w:w="2126" w:type="dxa"/>
            <w:tcBorders>
              <w:top w:val="single" w:sz="4" w:space="0" w:color="auto"/>
              <w:left w:val="single" w:sz="4" w:space="0" w:color="auto"/>
              <w:bottom w:val="single" w:sz="4" w:space="0" w:color="auto"/>
              <w:right w:val="single" w:sz="4" w:space="0" w:color="auto"/>
            </w:tcBorders>
          </w:tcPr>
          <w:p w14:paraId="59F8767E"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entfällt</w:t>
            </w:r>
          </w:p>
        </w:tc>
        <w:tc>
          <w:tcPr>
            <w:tcW w:w="1701" w:type="dxa"/>
            <w:tcBorders>
              <w:top w:val="single" w:sz="4" w:space="0" w:color="auto"/>
              <w:left w:val="single" w:sz="4" w:space="0" w:color="auto"/>
              <w:bottom w:val="single" w:sz="4" w:space="0" w:color="auto"/>
              <w:right w:val="single" w:sz="4" w:space="0" w:color="auto"/>
            </w:tcBorders>
          </w:tcPr>
          <w:p w14:paraId="2BE6998A"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entfällt</w:t>
            </w:r>
          </w:p>
        </w:tc>
      </w:tr>
    </w:tbl>
    <w:p w14:paraId="4C28A841" w14:textId="77777777" w:rsidR="00FE291A" w:rsidRDefault="00C8738F">
      <w:pPr>
        <w:pStyle w:val="BodyText"/>
        <w:keepNext/>
        <w:widowControl/>
        <w:tabs>
          <w:tab w:val="left" w:pos="1673"/>
        </w:tabs>
        <w:kinsoku w:val="0"/>
        <w:overflowPunct w:val="0"/>
        <w:ind w:left="0"/>
        <w:rPr>
          <w:sz w:val="20"/>
          <w:szCs w:val="20"/>
          <w:lang w:val="de-DE"/>
        </w:rPr>
      </w:pPr>
      <w:r>
        <w:rPr>
          <w:sz w:val="20"/>
          <w:szCs w:val="20"/>
          <w:lang w:val="de-DE"/>
        </w:rPr>
        <w:t>*** p &lt; 0,001 für alle Vergleiche von Adalimumab mit Placebo</w:t>
      </w:r>
    </w:p>
    <w:p w14:paraId="4ECB9377" w14:textId="77777777" w:rsidR="00FE291A" w:rsidRDefault="00C8738F">
      <w:pPr>
        <w:pStyle w:val="BodyText"/>
        <w:widowControl/>
        <w:tabs>
          <w:tab w:val="left" w:pos="1673"/>
        </w:tabs>
        <w:kinsoku w:val="0"/>
        <w:overflowPunct w:val="0"/>
        <w:ind w:left="0"/>
        <w:rPr>
          <w:sz w:val="20"/>
          <w:szCs w:val="20"/>
          <w:lang w:val="de-DE"/>
        </w:rPr>
      </w:pPr>
      <w:r>
        <w:rPr>
          <w:sz w:val="20"/>
          <w:szCs w:val="20"/>
          <w:lang w:val="de-DE"/>
        </w:rPr>
        <w:t>* p &lt; 0,05 für alle Vergleiche von Adalimumab mit Placebo</w:t>
      </w:r>
    </w:p>
    <w:p w14:paraId="72E50B80" w14:textId="77777777" w:rsidR="00FE291A" w:rsidRDefault="00FE291A">
      <w:pPr>
        <w:widowControl/>
        <w:kinsoku w:val="0"/>
        <w:overflowPunct w:val="0"/>
        <w:rPr>
          <w:sz w:val="22"/>
          <w:szCs w:val="22"/>
          <w:lang w:val="de-DE"/>
        </w:rPr>
      </w:pPr>
    </w:p>
    <w:p w14:paraId="57F73472" w14:textId="77777777" w:rsidR="00FE291A" w:rsidRDefault="00C8738F">
      <w:pPr>
        <w:pStyle w:val="BodyText"/>
        <w:widowControl/>
        <w:kinsoku w:val="0"/>
        <w:overflowPunct w:val="0"/>
        <w:ind w:left="0"/>
        <w:rPr>
          <w:lang w:val="de-DE"/>
        </w:rPr>
      </w:pPr>
      <w:r>
        <w:rPr>
          <w:lang w:val="de-DE"/>
        </w:rPr>
        <w:t>In der PsA-Studie I waren die ACR-Ansprechraten in Kombination mit Methotrexat bzw. ohne Methotrexat-Begleittherapie ähnlich. Die ACR-Ansprechraten wurden in der offenen Fortsetzungsstudie bis zu 136 Wochen aufrechterhalten.</w:t>
      </w:r>
    </w:p>
    <w:p w14:paraId="41A3D880" w14:textId="77777777" w:rsidR="00FE291A" w:rsidRDefault="00FE291A">
      <w:pPr>
        <w:pStyle w:val="BodyText"/>
        <w:widowControl/>
        <w:kinsoku w:val="0"/>
        <w:overflowPunct w:val="0"/>
        <w:ind w:left="0"/>
        <w:rPr>
          <w:lang w:val="de-DE"/>
        </w:rPr>
      </w:pPr>
    </w:p>
    <w:p w14:paraId="45B56D3B" w14:textId="77777777" w:rsidR="00FE291A" w:rsidRDefault="00C8738F">
      <w:pPr>
        <w:pStyle w:val="BodyText"/>
        <w:widowControl/>
        <w:kinsoku w:val="0"/>
        <w:overflowPunct w:val="0"/>
        <w:ind w:left="0"/>
        <w:rPr>
          <w:lang w:val="de-DE"/>
        </w:rPr>
      </w:pPr>
      <w:r>
        <w:rPr>
          <w:lang w:val="de-DE"/>
        </w:rPr>
        <w:t xml:space="preserve">In den Studien zur Psoriasis-Arthritis wurden die radiologischen Veränderungen bewertet. Zu Studienbeginn und in Woche 24 während der doppelblinden Studienperiode, als die Patienten entweder Adalimumab oder Placebo erhielten sowie in Woche 48, als alle Patienten offen Adalimumab erhielten, wurden Röntgenaufnahmen der Hände, Handgelenke und Füße angefertigt. Für die Auswertung wurde ein modifizierter </w:t>
      </w:r>
      <w:r>
        <w:rPr>
          <w:i/>
          <w:iCs/>
          <w:lang w:val="de-DE"/>
        </w:rPr>
        <w:t xml:space="preserve">Total Sharp Score </w:t>
      </w:r>
      <w:r>
        <w:rPr>
          <w:lang w:val="de-DE"/>
        </w:rPr>
        <w:t>(mTSS) verwendet, der die distalen Interphalangealgelenke mit einschloss (d. h. nicht identisch mit dem TSS, der bei der rheumatoiden Arthritis verwendet wurde).</w:t>
      </w:r>
    </w:p>
    <w:p w14:paraId="5C2C5C41" w14:textId="77777777" w:rsidR="00FE291A" w:rsidRDefault="00FE291A">
      <w:pPr>
        <w:widowControl/>
        <w:kinsoku w:val="0"/>
        <w:overflowPunct w:val="0"/>
        <w:rPr>
          <w:sz w:val="22"/>
          <w:szCs w:val="22"/>
          <w:lang w:val="de-DE"/>
        </w:rPr>
      </w:pPr>
    </w:p>
    <w:p w14:paraId="2CDC1211" w14:textId="77777777" w:rsidR="00FE291A" w:rsidRDefault="00C8738F">
      <w:pPr>
        <w:pStyle w:val="BodyText"/>
        <w:widowControl/>
        <w:kinsoku w:val="0"/>
        <w:overflowPunct w:val="0"/>
        <w:ind w:left="0"/>
        <w:rPr>
          <w:lang w:val="de-DE"/>
        </w:rPr>
      </w:pPr>
      <w:r>
        <w:rPr>
          <w:lang w:val="de-DE"/>
        </w:rPr>
        <w:t>Die Behandlung mit Adalimumab reduzierte das Fortschreiten der peripheren Gelenkzerstörung im Vergleich zu Placebo, gemessen anhand der Veränderung des mTSS zum Ausgangswert (Mittelwert ± Standardabweichung). Diese betrug 0,8 ± 2,5 bei der Placebogruppe (in Woche 24) im Vergleich zu 0,0 ± 1,9 (p &lt; 0,001) bei der Adalimumab-Gruppe (in Woche 48).</w:t>
      </w:r>
    </w:p>
    <w:p w14:paraId="11ADD199" w14:textId="77777777" w:rsidR="00FE291A" w:rsidRDefault="00FE291A">
      <w:pPr>
        <w:widowControl/>
        <w:kinsoku w:val="0"/>
        <w:overflowPunct w:val="0"/>
        <w:rPr>
          <w:sz w:val="22"/>
          <w:szCs w:val="22"/>
          <w:lang w:val="de-DE"/>
        </w:rPr>
      </w:pPr>
    </w:p>
    <w:p w14:paraId="544E8FA1" w14:textId="77777777" w:rsidR="00FE291A" w:rsidRDefault="00C8738F">
      <w:pPr>
        <w:pStyle w:val="BodyText"/>
        <w:widowControl/>
        <w:kinsoku w:val="0"/>
        <w:overflowPunct w:val="0"/>
        <w:ind w:left="0"/>
        <w:rPr>
          <w:lang w:val="de-DE"/>
        </w:rPr>
      </w:pPr>
      <w:r>
        <w:rPr>
          <w:lang w:val="de-DE"/>
        </w:rPr>
        <w:t xml:space="preserve">Von den mit Adalimumab behandelten Patienten ohne radiologische Progression von Studienbeginn an bis in Woche 48 (n = 102) zeigten 84 % nach 144 Behandlungswochen immer noch keine radiologischen Veränderungen. Die mit Adalimumab behandelten Patienten zeigten im Vergleich zur Placebogruppe eine statistisch signifikante Verbesserung der körperlichen Funktionsfähigkeit in Woche 24, die mittels HAQ und </w:t>
      </w:r>
      <w:r>
        <w:rPr>
          <w:i/>
          <w:iCs/>
          <w:lang w:val="de-DE"/>
        </w:rPr>
        <w:t xml:space="preserve">Short Form Health Survey </w:t>
      </w:r>
      <w:r>
        <w:rPr>
          <w:lang w:val="de-DE"/>
        </w:rPr>
        <w:t>(SF 36) beurteilt wurde. Die verbesserte körperliche Funktionsfähigkeit hielt während der offenen Fortsetzungsstudie über 136 Wochen an.</w:t>
      </w:r>
    </w:p>
    <w:p w14:paraId="64E90467" w14:textId="77777777" w:rsidR="00FE291A" w:rsidRDefault="00FE291A">
      <w:pPr>
        <w:widowControl/>
        <w:kinsoku w:val="0"/>
        <w:overflowPunct w:val="0"/>
        <w:rPr>
          <w:sz w:val="22"/>
          <w:szCs w:val="22"/>
          <w:lang w:val="de-DE"/>
        </w:rPr>
      </w:pPr>
    </w:p>
    <w:p w14:paraId="5A5AD95B" w14:textId="77777777" w:rsidR="00FE291A" w:rsidRDefault="00C8738F">
      <w:pPr>
        <w:keepNext/>
        <w:widowControl/>
        <w:kinsoku w:val="0"/>
        <w:overflowPunct w:val="0"/>
        <w:rPr>
          <w:i/>
          <w:sz w:val="22"/>
          <w:szCs w:val="22"/>
          <w:lang w:val="de-DE"/>
        </w:rPr>
      </w:pPr>
      <w:r>
        <w:rPr>
          <w:i/>
          <w:iCs/>
          <w:sz w:val="22"/>
          <w:szCs w:val="22"/>
          <w:lang w:val="de-DE"/>
        </w:rPr>
        <w:t>Psoriasis</w:t>
      </w:r>
    </w:p>
    <w:p w14:paraId="6A514E26" w14:textId="77777777" w:rsidR="00FE291A" w:rsidRDefault="00FE291A">
      <w:pPr>
        <w:keepNext/>
        <w:widowControl/>
        <w:kinsoku w:val="0"/>
        <w:overflowPunct w:val="0"/>
        <w:rPr>
          <w:sz w:val="22"/>
          <w:szCs w:val="22"/>
          <w:lang w:val="de-DE"/>
        </w:rPr>
      </w:pPr>
    </w:p>
    <w:p w14:paraId="4C2FFCB1" w14:textId="77777777" w:rsidR="00FE291A" w:rsidRDefault="00C8738F">
      <w:pPr>
        <w:pStyle w:val="BodyText"/>
        <w:widowControl/>
        <w:kinsoku w:val="0"/>
        <w:overflowPunct w:val="0"/>
        <w:ind w:left="0"/>
        <w:rPr>
          <w:lang w:val="de-DE"/>
        </w:rPr>
      </w:pPr>
      <w:r>
        <w:rPr>
          <w:lang w:val="de-DE"/>
        </w:rPr>
        <w:t xml:space="preserve">Die Sicherheit und Wirksamkeit von Adalimumab wurden bei erwachsenen Patienten mit chronischer Plaque-Psoriasis (≥ 10 % KOF-Beteiligung und </w:t>
      </w:r>
      <w:r>
        <w:rPr>
          <w:i/>
          <w:iCs/>
          <w:lang w:val="de-DE"/>
        </w:rPr>
        <w:t xml:space="preserve">Psoriasis Area and Severity Index </w:t>
      </w:r>
      <w:r>
        <w:rPr>
          <w:lang w:val="de-DE"/>
        </w:rPr>
        <w:t>[PASI] ≥ 12 oder ≥ 10) untersucht, die Kandidaten für eine systemische Therapie oder Phototherapie in randomisierten Doppelblindstudien waren. Von den in die Psoriasisstudien I und II aufgenommenen Patienten hatten 73 % zuvor schon eine systemische Therapie oder Phototherapie erhalten. Die Sicherheit und Wirksamkeit von Adalimumab wurden in einer randomisierten Doppelblindstudie (Psoriasisstudie III) auch an erwachsenen Patienten mit mittelschwerer bis schwerer chronischer Plaque-Psoriasis mit gleichzeitiger Hand- und/oder Fußpsoriasis untersucht, die Kandidaten für eine systemische Therapie waren.</w:t>
      </w:r>
    </w:p>
    <w:p w14:paraId="67FDF9ED" w14:textId="77777777" w:rsidR="00FE291A" w:rsidRDefault="00FE291A">
      <w:pPr>
        <w:widowControl/>
        <w:kinsoku w:val="0"/>
        <w:overflowPunct w:val="0"/>
        <w:rPr>
          <w:sz w:val="22"/>
          <w:szCs w:val="22"/>
          <w:lang w:val="de-DE"/>
        </w:rPr>
      </w:pPr>
    </w:p>
    <w:p w14:paraId="1569DAF5" w14:textId="77777777" w:rsidR="00FE291A" w:rsidRDefault="00C8738F">
      <w:pPr>
        <w:pStyle w:val="BodyText"/>
        <w:widowControl/>
        <w:kinsoku w:val="0"/>
        <w:overflowPunct w:val="0"/>
        <w:ind w:left="0"/>
        <w:rPr>
          <w:lang w:val="de-DE"/>
        </w:rPr>
      </w:pPr>
      <w:r>
        <w:rPr>
          <w:lang w:val="de-DE"/>
        </w:rPr>
        <w:t>In der Psoriasisstudie I (REVEAL) wurden 1 212 Patienten innerhalb von drei Behandlungsperioden untersucht. In Periode A erhielten die Patienten Placebo oder eine Induktionsdosis von 80 mg Adalimumab, danach 40 mg jede zweite Woche, zu beginnen eine Woche nach der Induktionsdosis. Nach 16 Behandlungswochen traten Patienten mit mindestens PASI-75-Ansprechen (Verbesserung des PASI-Wertes um mindestens 75 % im Vergleich zum Ausgangswert) in Periode B ein und erhielten 40 mg Adalimumab unverblindet jede zweite Woche. Patienten, die bis Woche 33 mindestens ein PASI</w:t>
      </w:r>
      <w:r>
        <w:rPr>
          <w:lang w:val="de-DE"/>
        </w:rPr>
        <w:noBreakHyphen/>
        <w:t xml:space="preserve">75-Ansprechen aufrechterhielten und ursprünglich in Periode A randomisiert der aktiven Therapie zugeteilt worden waren, wurden in Periode C erneut randomisiert und erhielten 40 mg Adalimumab jede zweite Woche oder Placebo für weitere 19 Wochen. Für alle Behandlungsgruppen zusammen betrug der durchschnittliche Ausgangswert des PASI 18,9, und der Ausgangswert im </w:t>
      </w:r>
      <w:r>
        <w:rPr>
          <w:i/>
          <w:iCs/>
          <w:lang w:val="de-DE"/>
        </w:rPr>
        <w:t xml:space="preserve">Physician’s Global Assessment </w:t>
      </w:r>
      <w:r>
        <w:rPr>
          <w:lang w:val="de-DE"/>
        </w:rPr>
        <w:t>(PGA) lag im Bereich zwischen „mittelschwer“ (53 % der Studienteilnehmer), „schwer“ (41 %) und „sehr schwer“ (6 %).</w:t>
      </w:r>
    </w:p>
    <w:p w14:paraId="1901A506" w14:textId="77777777" w:rsidR="00FE291A" w:rsidRDefault="00FE291A">
      <w:pPr>
        <w:widowControl/>
        <w:kinsoku w:val="0"/>
        <w:overflowPunct w:val="0"/>
        <w:rPr>
          <w:sz w:val="22"/>
          <w:szCs w:val="22"/>
          <w:lang w:val="de-DE"/>
        </w:rPr>
      </w:pPr>
    </w:p>
    <w:p w14:paraId="6F249D9C" w14:textId="77777777" w:rsidR="00FE291A" w:rsidRDefault="00C8738F">
      <w:pPr>
        <w:pStyle w:val="BodyText"/>
        <w:widowControl/>
        <w:kinsoku w:val="0"/>
        <w:overflowPunct w:val="0"/>
        <w:ind w:left="0"/>
        <w:rPr>
          <w:lang w:val="de-DE"/>
        </w:rPr>
      </w:pPr>
      <w:r>
        <w:rPr>
          <w:lang w:val="de-DE"/>
        </w:rPr>
        <w:t>In der Psoriasisstudie II (CHAMPION) wurden die Wirksamkeit und Sicherheit von Adalimumab im Vergleich zu Methotrexat und Placebo bei 271 Patienten untersucht. Die Patienten erhielten über einen Zeitraum von 16 Wochen entweder Placebo oder Methotrexat in einer Anfangsdosis von 7,5 mg und nachfolgender Dosiseskalation auf eine Maximaldosis von bis zu 25 mg bis Woche 12, oder eine Adalimumab-Induktionsdosis von 80 mg, danach 40 mg jede zweite Woche (zu beginnen eine Woche nach der Induktionsdosis). Es liegen keine Daten eines Vergleichs von Adalimumab und Methotrexat über einen Behandlungszeitraum von mehr als 16 Wochen vor. Patienten, die Methotrexat erhielten und nach 8 und/oder 12 Wochen mindestens ein PASI-50-Ansprechen erreicht hatten, erhielten keine weitere Dosiseskalation. Für alle Behandlungsgruppen zusammen betrug der durchschnittliche Ausgangswert des PASI 19,7 und der Ausgangswert des PGA lag im Bereich zwischen „leicht“ (&lt; 1 %), „mittelschwer“ (48 %), „schwer“ (46 %) und „sehr schwer“ (6 %).</w:t>
      </w:r>
    </w:p>
    <w:p w14:paraId="6ABF5FFB" w14:textId="77777777" w:rsidR="00FE291A" w:rsidRDefault="00FE291A">
      <w:pPr>
        <w:widowControl/>
        <w:kinsoku w:val="0"/>
        <w:overflowPunct w:val="0"/>
        <w:rPr>
          <w:sz w:val="22"/>
          <w:szCs w:val="22"/>
          <w:lang w:val="de-DE"/>
        </w:rPr>
      </w:pPr>
    </w:p>
    <w:p w14:paraId="4AD21931" w14:textId="77777777" w:rsidR="00FE291A" w:rsidRDefault="00C8738F">
      <w:pPr>
        <w:pStyle w:val="BodyText"/>
        <w:widowControl/>
        <w:kinsoku w:val="0"/>
        <w:overflowPunct w:val="0"/>
        <w:ind w:left="0"/>
        <w:rPr>
          <w:lang w:val="de-DE"/>
        </w:rPr>
      </w:pPr>
      <w:r>
        <w:rPr>
          <w:lang w:val="de-DE"/>
        </w:rPr>
        <w:t>Patienten, die an allen Phase-II- und Phase-III-Psoriasisstudien teilnahmen, konnten in eine offene Fortsetzungsstudie aufgenommen werden, in der Adalimumab mindestens weitere 108 Wochen verabreicht wurde.</w:t>
      </w:r>
    </w:p>
    <w:p w14:paraId="791D540C" w14:textId="77777777" w:rsidR="00FE291A" w:rsidRDefault="00FE291A">
      <w:pPr>
        <w:widowControl/>
        <w:kinsoku w:val="0"/>
        <w:overflowPunct w:val="0"/>
        <w:rPr>
          <w:sz w:val="22"/>
          <w:szCs w:val="22"/>
          <w:lang w:val="de-DE"/>
        </w:rPr>
      </w:pPr>
    </w:p>
    <w:p w14:paraId="752E5C19" w14:textId="77777777" w:rsidR="00FE291A" w:rsidRDefault="00C8738F">
      <w:pPr>
        <w:pStyle w:val="BodyText"/>
        <w:widowControl/>
        <w:kinsoku w:val="0"/>
        <w:overflowPunct w:val="0"/>
        <w:ind w:left="0"/>
        <w:rPr>
          <w:lang w:val="de-DE"/>
        </w:rPr>
      </w:pPr>
      <w:r>
        <w:rPr>
          <w:lang w:val="de-DE"/>
        </w:rPr>
        <w:t>Ein primärer Endpunkt der Psoriasisstudien I und II war der Anteil der Patienten, die nach 16 Wochen im Vergleich zum Ausgangswert ein PASI-75-Ansprechen erzielten (siehe Tabellen 16 und 17).</w:t>
      </w:r>
    </w:p>
    <w:p w14:paraId="0E902225" w14:textId="77777777" w:rsidR="00FE291A" w:rsidRDefault="00FE291A">
      <w:pPr>
        <w:widowControl/>
        <w:kinsoku w:val="0"/>
        <w:overflowPunct w:val="0"/>
        <w:rPr>
          <w:sz w:val="22"/>
          <w:szCs w:val="22"/>
          <w:lang w:val="de-DE"/>
        </w:rPr>
      </w:pPr>
    </w:p>
    <w:p w14:paraId="4A7AB10B" w14:textId="77777777" w:rsidR="00FE291A" w:rsidRDefault="00C8738F">
      <w:pPr>
        <w:pStyle w:val="Heading1"/>
        <w:keepNext/>
        <w:keepLines/>
        <w:widowControl/>
        <w:kinsoku w:val="0"/>
        <w:overflowPunct w:val="0"/>
        <w:ind w:left="0"/>
        <w:rPr>
          <w:lang w:val="de-DE"/>
        </w:rPr>
      </w:pPr>
      <w:r>
        <w:rPr>
          <w:lang w:val="de-DE"/>
        </w:rPr>
        <w:t>Tabelle</w:t>
      </w:r>
      <w:r>
        <w:rPr>
          <w:lang w:val="de-DE" w:eastAsia="zh-TW"/>
        </w:rPr>
        <w:t> </w:t>
      </w:r>
      <w:r>
        <w:rPr>
          <w:lang w:val="de-DE"/>
        </w:rPr>
        <w:t>16: Psoriasisstudie I (REVEAL) Wirksamkeitsergebnisse nach 16 Wochen</w:t>
      </w:r>
    </w:p>
    <w:p w14:paraId="5FE6D766" w14:textId="77777777" w:rsidR="00FE291A" w:rsidRDefault="00FE291A">
      <w:pPr>
        <w:keepNext/>
        <w:keepLines/>
        <w:widowControl/>
        <w:kinsoku w:val="0"/>
        <w:overflowPunct w:val="0"/>
        <w:rPr>
          <w:sz w:val="22"/>
          <w:lang w:val="de-DE"/>
        </w:rPr>
      </w:pPr>
    </w:p>
    <w:tbl>
      <w:tblPr>
        <w:tblW w:w="0" w:type="auto"/>
        <w:tblLayout w:type="fixed"/>
        <w:tblCellMar>
          <w:top w:w="28" w:type="dxa"/>
          <w:bottom w:w="28" w:type="dxa"/>
        </w:tblCellMar>
        <w:tblLook w:val="04A0" w:firstRow="1" w:lastRow="0" w:firstColumn="1" w:lastColumn="0" w:noHBand="0" w:noVBand="1"/>
      </w:tblPr>
      <w:tblGrid>
        <w:gridCol w:w="3339"/>
        <w:gridCol w:w="1418"/>
        <w:gridCol w:w="4207"/>
      </w:tblGrid>
      <w:tr w:rsidR="00FE291A" w14:paraId="0696B882" w14:textId="77777777">
        <w:trPr>
          <w:cantSplit/>
          <w:tblHeader/>
        </w:trPr>
        <w:tc>
          <w:tcPr>
            <w:tcW w:w="3339" w:type="dxa"/>
            <w:tcBorders>
              <w:top w:val="single" w:sz="4" w:space="0" w:color="000000"/>
              <w:left w:val="single" w:sz="4" w:space="0" w:color="000000"/>
              <w:bottom w:val="single" w:sz="4" w:space="0" w:color="000000"/>
              <w:right w:val="single" w:sz="4" w:space="0" w:color="000000"/>
            </w:tcBorders>
          </w:tcPr>
          <w:p w14:paraId="35E24D2E" w14:textId="77777777" w:rsidR="00FE291A" w:rsidRDefault="00FE291A">
            <w:pPr>
              <w:keepNext/>
              <w:widowControl/>
              <w:suppressAutoHyphens/>
              <w:rPr>
                <w:sz w:val="22"/>
                <w:lang w:val="de-DE"/>
              </w:rPr>
            </w:pPr>
          </w:p>
        </w:tc>
        <w:tc>
          <w:tcPr>
            <w:tcW w:w="1418" w:type="dxa"/>
            <w:tcBorders>
              <w:top w:val="single" w:sz="4" w:space="0" w:color="000000"/>
              <w:left w:val="single" w:sz="4" w:space="0" w:color="000000"/>
              <w:bottom w:val="single" w:sz="4" w:space="0" w:color="000000"/>
              <w:right w:val="single" w:sz="4" w:space="0" w:color="000000"/>
            </w:tcBorders>
          </w:tcPr>
          <w:p w14:paraId="45B7B17B" w14:textId="77777777" w:rsidR="00FE291A" w:rsidRDefault="00C8738F">
            <w:pPr>
              <w:pStyle w:val="TableParagraph"/>
              <w:keepNext/>
              <w:widowControl/>
              <w:suppressAutoHyphens/>
              <w:kinsoku w:val="0"/>
              <w:overflowPunct w:val="0"/>
              <w:jc w:val="center"/>
              <w:rPr>
                <w:b/>
                <w:bCs/>
                <w:sz w:val="22"/>
                <w:szCs w:val="22"/>
                <w:lang w:val="de-DE"/>
              </w:rPr>
            </w:pPr>
            <w:r>
              <w:rPr>
                <w:b/>
                <w:bCs/>
                <w:sz w:val="22"/>
                <w:szCs w:val="22"/>
                <w:lang w:val="de-DE"/>
              </w:rPr>
              <w:t>Placebo</w:t>
            </w:r>
          </w:p>
          <w:p w14:paraId="3320985F" w14:textId="77777777" w:rsidR="00FE291A" w:rsidRDefault="00C8738F">
            <w:pPr>
              <w:pStyle w:val="TableParagraph"/>
              <w:keepNext/>
              <w:widowControl/>
              <w:suppressAutoHyphens/>
              <w:kinsoku w:val="0"/>
              <w:overflowPunct w:val="0"/>
              <w:jc w:val="center"/>
              <w:rPr>
                <w:b/>
                <w:bCs/>
                <w:sz w:val="22"/>
                <w:szCs w:val="22"/>
                <w:lang w:val="de-DE"/>
              </w:rPr>
            </w:pPr>
            <w:r>
              <w:rPr>
                <w:b/>
                <w:bCs/>
                <w:sz w:val="22"/>
                <w:szCs w:val="22"/>
                <w:lang w:val="de-DE"/>
              </w:rPr>
              <w:t>N = 398</w:t>
            </w:r>
          </w:p>
          <w:p w14:paraId="04824271" w14:textId="77777777" w:rsidR="00FE291A" w:rsidRDefault="00C8738F">
            <w:pPr>
              <w:pStyle w:val="TableParagraph"/>
              <w:keepNext/>
              <w:widowControl/>
              <w:suppressAutoHyphens/>
              <w:kinsoku w:val="0"/>
              <w:overflowPunct w:val="0"/>
              <w:jc w:val="center"/>
              <w:rPr>
                <w:sz w:val="22"/>
                <w:lang w:val="de-DE"/>
              </w:rPr>
            </w:pPr>
            <w:r>
              <w:rPr>
                <w:b/>
                <w:bCs/>
                <w:sz w:val="22"/>
                <w:szCs w:val="22"/>
                <w:lang w:val="de-DE"/>
              </w:rPr>
              <w:t>n (%)</w:t>
            </w:r>
          </w:p>
        </w:tc>
        <w:tc>
          <w:tcPr>
            <w:tcW w:w="4207" w:type="dxa"/>
            <w:tcBorders>
              <w:top w:val="single" w:sz="4" w:space="0" w:color="000000"/>
              <w:left w:val="single" w:sz="4" w:space="0" w:color="000000"/>
              <w:bottom w:val="single" w:sz="4" w:space="0" w:color="000000"/>
              <w:right w:val="single" w:sz="4" w:space="0" w:color="000000"/>
            </w:tcBorders>
          </w:tcPr>
          <w:p w14:paraId="143B98EF" w14:textId="77777777" w:rsidR="00FE291A" w:rsidRDefault="00C8738F">
            <w:pPr>
              <w:pStyle w:val="TableParagraph"/>
              <w:keepNext/>
              <w:widowControl/>
              <w:suppressAutoHyphens/>
              <w:kinsoku w:val="0"/>
              <w:overflowPunct w:val="0"/>
              <w:jc w:val="center"/>
              <w:rPr>
                <w:b/>
                <w:bCs/>
                <w:sz w:val="22"/>
                <w:szCs w:val="22"/>
                <w:lang w:val="de-DE"/>
              </w:rPr>
            </w:pPr>
            <w:r>
              <w:rPr>
                <w:b/>
                <w:bCs/>
                <w:sz w:val="22"/>
                <w:szCs w:val="22"/>
                <w:lang w:val="de-DE"/>
              </w:rPr>
              <w:t>Adalimumab 40 mg jede zweite Woche</w:t>
            </w:r>
          </w:p>
          <w:p w14:paraId="4D66BEEC" w14:textId="77777777" w:rsidR="00FE291A" w:rsidRDefault="00C8738F">
            <w:pPr>
              <w:pStyle w:val="TableParagraph"/>
              <w:keepNext/>
              <w:widowControl/>
              <w:suppressAutoHyphens/>
              <w:kinsoku w:val="0"/>
              <w:overflowPunct w:val="0"/>
              <w:jc w:val="center"/>
              <w:rPr>
                <w:sz w:val="22"/>
                <w:szCs w:val="22"/>
                <w:lang w:val="de-DE"/>
              </w:rPr>
            </w:pPr>
            <w:r>
              <w:rPr>
                <w:b/>
                <w:bCs/>
                <w:sz w:val="22"/>
                <w:szCs w:val="22"/>
                <w:lang w:val="de-DE"/>
              </w:rPr>
              <w:t>N = 814</w:t>
            </w:r>
          </w:p>
          <w:p w14:paraId="79B7431D" w14:textId="77777777" w:rsidR="00FE291A" w:rsidRDefault="00C8738F">
            <w:pPr>
              <w:pStyle w:val="TableParagraph"/>
              <w:keepNext/>
              <w:widowControl/>
              <w:suppressAutoHyphens/>
              <w:kinsoku w:val="0"/>
              <w:overflowPunct w:val="0"/>
              <w:jc w:val="center"/>
              <w:rPr>
                <w:sz w:val="22"/>
                <w:lang w:val="de-DE"/>
              </w:rPr>
            </w:pPr>
            <w:r>
              <w:rPr>
                <w:b/>
                <w:bCs/>
                <w:sz w:val="22"/>
                <w:szCs w:val="22"/>
                <w:lang w:val="de-DE"/>
              </w:rPr>
              <w:t>n (%)</w:t>
            </w:r>
          </w:p>
        </w:tc>
      </w:tr>
      <w:tr w:rsidR="00FE291A" w14:paraId="37B1413F" w14:textId="77777777">
        <w:trPr>
          <w:cantSplit/>
        </w:trPr>
        <w:tc>
          <w:tcPr>
            <w:tcW w:w="3339" w:type="dxa"/>
            <w:tcBorders>
              <w:top w:val="single" w:sz="4" w:space="0" w:color="000000"/>
              <w:left w:val="single" w:sz="4" w:space="0" w:color="000000"/>
              <w:bottom w:val="single" w:sz="4" w:space="0" w:color="000000"/>
              <w:right w:val="single" w:sz="4" w:space="0" w:color="000000"/>
            </w:tcBorders>
          </w:tcPr>
          <w:p w14:paraId="5F310833" w14:textId="77777777" w:rsidR="00FE291A" w:rsidRDefault="00C8738F">
            <w:pPr>
              <w:pStyle w:val="TableParagraph"/>
              <w:widowControl/>
              <w:suppressAutoHyphens/>
              <w:kinsoku w:val="0"/>
              <w:overflowPunct w:val="0"/>
              <w:rPr>
                <w:sz w:val="22"/>
                <w:lang w:val="de-DE"/>
              </w:rPr>
            </w:pPr>
            <w:r>
              <w:rPr>
                <w:b/>
                <w:sz w:val="22"/>
                <w:szCs w:val="22"/>
                <w:lang w:val="de-DE"/>
              </w:rPr>
              <w:t xml:space="preserve">≥ </w:t>
            </w:r>
            <w:r>
              <w:rPr>
                <w:b/>
                <w:bCs/>
                <w:sz w:val="22"/>
                <w:szCs w:val="22"/>
                <w:lang w:val="de-DE"/>
              </w:rPr>
              <w:t>PASI-75</w:t>
            </w:r>
            <w:r>
              <w:rPr>
                <w:b/>
                <w:bCs/>
                <w:sz w:val="22"/>
                <w:szCs w:val="22"/>
                <w:vertAlign w:val="superscript"/>
                <w:lang w:val="de-DE"/>
              </w:rPr>
              <w:t>a</w:t>
            </w:r>
          </w:p>
        </w:tc>
        <w:tc>
          <w:tcPr>
            <w:tcW w:w="1418" w:type="dxa"/>
            <w:tcBorders>
              <w:top w:val="single" w:sz="4" w:space="0" w:color="000000"/>
              <w:left w:val="single" w:sz="4" w:space="0" w:color="000000"/>
              <w:bottom w:val="single" w:sz="4" w:space="0" w:color="000000"/>
              <w:right w:val="single" w:sz="4" w:space="0" w:color="000000"/>
            </w:tcBorders>
          </w:tcPr>
          <w:p w14:paraId="77147679" w14:textId="77777777" w:rsidR="00FE291A" w:rsidRDefault="00C8738F">
            <w:pPr>
              <w:pStyle w:val="TableParagraph"/>
              <w:widowControl/>
              <w:suppressAutoHyphens/>
              <w:kinsoku w:val="0"/>
              <w:overflowPunct w:val="0"/>
              <w:jc w:val="center"/>
              <w:rPr>
                <w:sz w:val="22"/>
                <w:lang w:val="de-DE"/>
              </w:rPr>
            </w:pPr>
            <w:r>
              <w:rPr>
                <w:sz w:val="22"/>
                <w:szCs w:val="22"/>
                <w:lang w:val="de-DE"/>
              </w:rPr>
              <w:t>26 (6,5)</w:t>
            </w:r>
          </w:p>
        </w:tc>
        <w:tc>
          <w:tcPr>
            <w:tcW w:w="4207" w:type="dxa"/>
            <w:tcBorders>
              <w:top w:val="single" w:sz="4" w:space="0" w:color="000000"/>
              <w:left w:val="single" w:sz="4" w:space="0" w:color="000000"/>
              <w:bottom w:val="single" w:sz="4" w:space="0" w:color="000000"/>
              <w:right w:val="single" w:sz="4" w:space="0" w:color="000000"/>
            </w:tcBorders>
          </w:tcPr>
          <w:p w14:paraId="6711FA03" w14:textId="77777777" w:rsidR="00FE291A" w:rsidRDefault="00C8738F">
            <w:pPr>
              <w:pStyle w:val="TableParagraph"/>
              <w:widowControl/>
              <w:suppressAutoHyphens/>
              <w:kinsoku w:val="0"/>
              <w:overflowPunct w:val="0"/>
              <w:jc w:val="center"/>
              <w:rPr>
                <w:sz w:val="22"/>
                <w:lang w:val="de-DE"/>
              </w:rPr>
            </w:pPr>
            <w:r>
              <w:rPr>
                <w:sz w:val="22"/>
                <w:szCs w:val="22"/>
                <w:lang w:val="de-DE"/>
              </w:rPr>
              <w:t>578 (70,9)</w:t>
            </w:r>
            <w:r>
              <w:rPr>
                <w:sz w:val="22"/>
                <w:szCs w:val="22"/>
                <w:vertAlign w:val="superscript"/>
                <w:lang w:val="de-DE"/>
              </w:rPr>
              <w:t>b</w:t>
            </w:r>
          </w:p>
        </w:tc>
      </w:tr>
      <w:tr w:rsidR="00FE291A" w14:paraId="5BE1A000" w14:textId="77777777">
        <w:trPr>
          <w:cantSplit/>
        </w:trPr>
        <w:tc>
          <w:tcPr>
            <w:tcW w:w="3339" w:type="dxa"/>
            <w:tcBorders>
              <w:top w:val="single" w:sz="4" w:space="0" w:color="000000"/>
              <w:left w:val="single" w:sz="4" w:space="0" w:color="000000"/>
              <w:bottom w:val="single" w:sz="4" w:space="0" w:color="000000"/>
              <w:right w:val="single" w:sz="4" w:space="0" w:color="000000"/>
            </w:tcBorders>
          </w:tcPr>
          <w:p w14:paraId="2620E6E7" w14:textId="77777777" w:rsidR="00FE291A" w:rsidRDefault="00C8738F">
            <w:pPr>
              <w:pStyle w:val="TableParagraph"/>
              <w:widowControl/>
              <w:suppressAutoHyphens/>
              <w:kinsoku w:val="0"/>
              <w:overflowPunct w:val="0"/>
              <w:rPr>
                <w:sz w:val="22"/>
                <w:lang w:val="de-DE"/>
              </w:rPr>
            </w:pPr>
            <w:r>
              <w:rPr>
                <w:b/>
                <w:bCs/>
                <w:sz w:val="22"/>
                <w:szCs w:val="22"/>
                <w:lang w:val="de-DE"/>
              </w:rPr>
              <w:t>PASI-100</w:t>
            </w:r>
          </w:p>
        </w:tc>
        <w:tc>
          <w:tcPr>
            <w:tcW w:w="1418" w:type="dxa"/>
            <w:tcBorders>
              <w:top w:val="single" w:sz="4" w:space="0" w:color="000000"/>
              <w:left w:val="single" w:sz="4" w:space="0" w:color="000000"/>
              <w:bottom w:val="single" w:sz="4" w:space="0" w:color="000000"/>
              <w:right w:val="single" w:sz="4" w:space="0" w:color="000000"/>
            </w:tcBorders>
          </w:tcPr>
          <w:p w14:paraId="5746FDAA" w14:textId="77777777" w:rsidR="00FE291A" w:rsidRDefault="00C8738F">
            <w:pPr>
              <w:pStyle w:val="TableParagraph"/>
              <w:widowControl/>
              <w:suppressAutoHyphens/>
              <w:kinsoku w:val="0"/>
              <w:overflowPunct w:val="0"/>
              <w:jc w:val="center"/>
              <w:rPr>
                <w:sz w:val="22"/>
                <w:lang w:val="de-DE"/>
              </w:rPr>
            </w:pPr>
            <w:r>
              <w:rPr>
                <w:sz w:val="22"/>
                <w:szCs w:val="22"/>
                <w:lang w:val="de-DE"/>
              </w:rPr>
              <w:t>3 (0,8)</w:t>
            </w:r>
          </w:p>
        </w:tc>
        <w:tc>
          <w:tcPr>
            <w:tcW w:w="4207" w:type="dxa"/>
            <w:tcBorders>
              <w:top w:val="single" w:sz="4" w:space="0" w:color="000000"/>
              <w:left w:val="single" w:sz="4" w:space="0" w:color="000000"/>
              <w:bottom w:val="single" w:sz="4" w:space="0" w:color="000000"/>
              <w:right w:val="single" w:sz="4" w:space="0" w:color="000000"/>
            </w:tcBorders>
          </w:tcPr>
          <w:p w14:paraId="597E431D" w14:textId="77777777" w:rsidR="00FE291A" w:rsidRDefault="00C8738F">
            <w:pPr>
              <w:pStyle w:val="TableParagraph"/>
              <w:widowControl/>
              <w:suppressAutoHyphens/>
              <w:kinsoku w:val="0"/>
              <w:overflowPunct w:val="0"/>
              <w:jc w:val="center"/>
              <w:rPr>
                <w:sz w:val="22"/>
                <w:lang w:val="de-DE"/>
              </w:rPr>
            </w:pPr>
            <w:r>
              <w:rPr>
                <w:sz w:val="22"/>
                <w:szCs w:val="22"/>
                <w:lang w:val="de-DE"/>
              </w:rPr>
              <w:t>163 (20,0)</w:t>
            </w:r>
            <w:r>
              <w:rPr>
                <w:sz w:val="22"/>
                <w:szCs w:val="22"/>
                <w:vertAlign w:val="superscript"/>
                <w:lang w:val="de-DE"/>
              </w:rPr>
              <w:t>b</w:t>
            </w:r>
          </w:p>
        </w:tc>
      </w:tr>
      <w:tr w:rsidR="00FE291A" w14:paraId="0F7C0775" w14:textId="77777777">
        <w:trPr>
          <w:cantSplit/>
        </w:trPr>
        <w:tc>
          <w:tcPr>
            <w:tcW w:w="3339" w:type="dxa"/>
            <w:tcBorders>
              <w:top w:val="single" w:sz="4" w:space="0" w:color="000000"/>
              <w:left w:val="single" w:sz="4" w:space="0" w:color="000000"/>
              <w:bottom w:val="single" w:sz="4" w:space="0" w:color="auto"/>
              <w:right w:val="single" w:sz="4" w:space="0" w:color="000000"/>
            </w:tcBorders>
          </w:tcPr>
          <w:p w14:paraId="79C4127D" w14:textId="77777777" w:rsidR="00FE291A" w:rsidRDefault="00C8738F">
            <w:pPr>
              <w:pStyle w:val="TableParagraph"/>
              <w:keepNext/>
              <w:widowControl/>
              <w:suppressAutoHyphens/>
              <w:kinsoku w:val="0"/>
              <w:overflowPunct w:val="0"/>
              <w:rPr>
                <w:sz w:val="22"/>
                <w:lang w:val="de-DE"/>
              </w:rPr>
            </w:pPr>
            <w:r>
              <w:rPr>
                <w:b/>
                <w:bCs/>
                <w:sz w:val="22"/>
                <w:szCs w:val="22"/>
                <w:lang w:val="de-DE"/>
              </w:rPr>
              <w:t>PGA: erscheinungsfrei/minimal</w:t>
            </w:r>
          </w:p>
        </w:tc>
        <w:tc>
          <w:tcPr>
            <w:tcW w:w="1418" w:type="dxa"/>
            <w:tcBorders>
              <w:top w:val="single" w:sz="4" w:space="0" w:color="000000"/>
              <w:left w:val="single" w:sz="4" w:space="0" w:color="000000"/>
              <w:bottom w:val="single" w:sz="4" w:space="0" w:color="auto"/>
              <w:right w:val="single" w:sz="4" w:space="0" w:color="000000"/>
            </w:tcBorders>
          </w:tcPr>
          <w:p w14:paraId="7206343A" w14:textId="77777777" w:rsidR="00FE291A" w:rsidRDefault="00C8738F">
            <w:pPr>
              <w:pStyle w:val="TableParagraph"/>
              <w:keepNext/>
              <w:widowControl/>
              <w:suppressAutoHyphens/>
              <w:kinsoku w:val="0"/>
              <w:overflowPunct w:val="0"/>
              <w:jc w:val="center"/>
              <w:rPr>
                <w:sz w:val="22"/>
                <w:lang w:val="de-DE"/>
              </w:rPr>
            </w:pPr>
            <w:r>
              <w:rPr>
                <w:sz w:val="22"/>
                <w:szCs w:val="22"/>
                <w:lang w:val="de-DE"/>
              </w:rPr>
              <w:t>17 (4,3)</w:t>
            </w:r>
          </w:p>
        </w:tc>
        <w:tc>
          <w:tcPr>
            <w:tcW w:w="4207" w:type="dxa"/>
            <w:tcBorders>
              <w:top w:val="single" w:sz="4" w:space="0" w:color="000000"/>
              <w:left w:val="single" w:sz="4" w:space="0" w:color="000000"/>
              <w:bottom w:val="single" w:sz="4" w:space="0" w:color="auto"/>
              <w:right w:val="single" w:sz="4" w:space="0" w:color="000000"/>
            </w:tcBorders>
          </w:tcPr>
          <w:p w14:paraId="730E87C8" w14:textId="77777777" w:rsidR="00FE291A" w:rsidRDefault="00C8738F">
            <w:pPr>
              <w:pStyle w:val="TableParagraph"/>
              <w:keepNext/>
              <w:widowControl/>
              <w:suppressAutoHyphens/>
              <w:kinsoku w:val="0"/>
              <w:overflowPunct w:val="0"/>
              <w:jc w:val="center"/>
              <w:rPr>
                <w:sz w:val="22"/>
                <w:lang w:val="de-DE"/>
              </w:rPr>
            </w:pPr>
            <w:r>
              <w:rPr>
                <w:sz w:val="22"/>
                <w:szCs w:val="22"/>
                <w:lang w:val="de-DE"/>
              </w:rPr>
              <w:t>506 (62,2)</w:t>
            </w:r>
            <w:r>
              <w:rPr>
                <w:sz w:val="22"/>
                <w:szCs w:val="22"/>
                <w:vertAlign w:val="superscript"/>
                <w:lang w:val="de-DE"/>
              </w:rPr>
              <w:t>b</w:t>
            </w:r>
          </w:p>
        </w:tc>
      </w:tr>
      <w:tr w:rsidR="00FE291A" w14:paraId="1186A286" w14:textId="77777777">
        <w:trPr>
          <w:cantSplit/>
        </w:trPr>
        <w:tc>
          <w:tcPr>
            <w:tcW w:w="8964" w:type="dxa"/>
            <w:gridSpan w:val="3"/>
            <w:tcBorders>
              <w:top w:val="single" w:sz="4" w:space="0" w:color="auto"/>
            </w:tcBorders>
          </w:tcPr>
          <w:p w14:paraId="2436DA77" w14:textId="77777777" w:rsidR="00FE291A" w:rsidRDefault="00C8738F">
            <w:pPr>
              <w:pStyle w:val="TableParagraph"/>
              <w:keepNext/>
              <w:widowControl/>
              <w:suppressAutoHyphens/>
              <w:kinsoku w:val="0"/>
              <w:overflowPunct w:val="0"/>
              <w:rPr>
                <w:sz w:val="20"/>
                <w:szCs w:val="20"/>
                <w:lang w:val="de-DE"/>
              </w:rPr>
            </w:pPr>
            <w:r>
              <w:rPr>
                <w:sz w:val="20"/>
                <w:szCs w:val="20"/>
                <w:vertAlign w:val="superscript"/>
                <w:lang w:val="de-DE"/>
              </w:rPr>
              <w:t>a</w:t>
            </w:r>
            <w:r>
              <w:rPr>
                <w:sz w:val="20"/>
                <w:szCs w:val="20"/>
                <w:lang w:val="de-DE"/>
              </w:rPr>
              <w:t xml:space="preserve"> Prozentsatz Patienten mit PASI-75-Ansprechen wurde als prüfzentrumadjustierte Rate berechnet</w:t>
            </w:r>
          </w:p>
          <w:p w14:paraId="6767BB3B" w14:textId="77777777" w:rsidR="00FE291A" w:rsidRPr="00211AE1" w:rsidRDefault="00C8738F">
            <w:pPr>
              <w:pStyle w:val="TableParagraph"/>
              <w:widowControl/>
              <w:suppressAutoHyphens/>
              <w:kinsoku w:val="0"/>
              <w:overflowPunct w:val="0"/>
              <w:rPr>
                <w:sz w:val="22"/>
                <w:lang w:val="en-US"/>
              </w:rPr>
            </w:pPr>
            <w:r w:rsidRPr="00211AE1">
              <w:rPr>
                <w:sz w:val="20"/>
                <w:szCs w:val="20"/>
                <w:vertAlign w:val="superscript"/>
                <w:lang w:val="en-US"/>
              </w:rPr>
              <w:t>b</w:t>
            </w:r>
            <w:r w:rsidRPr="00211AE1">
              <w:rPr>
                <w:sz w:val="20"/>
                <w:szCs w:val="20"/>
                <w:lang w:val="en-US"/>
              </w:rPr>
              <w:t xml:space="preserve"> p &lt; 0,001; Adalimumab </w:t>
            </w:r>
            <w:r w:rsidRPr="00211AE1">
              <w:rPr>
                <w:i/>
                <w:sz w:val="20"/>
                <w:szCs w:val="20"/>
                <w:lang w:val="en-US"/>
              </w:rPr>
              <w:t>versus</w:t>
            </w:r>
            <w:r w:rsidRPr="00211AE1">
              <w:rPr>
                <w:sz w:val="20"/>
                <w:szCs w:val="20"/>
                <w:lang w:val="en-US"/>
              </w:rPr>
              <w:t xml:space="preserve"> Placebo</w:t>
            </w:r>
          </w:p>
        </w:tc>
      </w:tr>
    </w:tbl>
    <w:p w14:paraId="7515AB38" w14:textId="77777777" w:rsidR="00FE291A" w:rsidRPr="00211AE1" w:rsidRDefault="00FE291A">
      <w:pPr>
        <w:widowControl/>
        <w:kinsoku w:val="0"/>
        <w:overflowPunct w:val="0"/>
        <w:rPr>
          <w:sz w:val="22"/>
          <w:szCs w:val="22"/>
          <w:lang w:val="en-US"/>
        </w:rPr>
      </w:pPr>
    </w:p>
    <w:p w14:paraId="5B567A8E" w14:textId="77777777" w:rsidR="00FE291A" w:rsidRDefault="00C8738F">
      <w:pPr>
        <w:keepNext/>
        <w:widowControl/>
        <w:kinsoku w:val="0"/>
        <w:overflowPunct w:val="0"/>
        <w:rPr>
          <w:sz w:val="22"/>
          <w:szCs w:val="22"/>
          <w:lang w:val="de-DE"/>
        </w:rPr>
      </w:pPr>
      <w:r>
        <w:rPr>
          <w:b/>
          <w:bCs/>
          <w:sz w:val="22"/>
          <w:szCs w:val="22"/>
          <w:lang w:val="de-DE"/>
        </w:rPr>
        <w:t>Tabelle 17: Psoriasisstudie II (CHAMPION) Wirksamkeitsergebnisse nach 16 Wochen</w:t>
      </w:r>
    </w:p>
    <w:p w14:paraId="1FA87321" w14:textId="77777777" w:rsidR="00FE291A" w:rsidRDefault="00FE291A">
      <w:pPr>
        <w:keepNext/>
        <w:widowControl/>
        <w:kinsoku w:val="0"/>
        <w:overflowPunct w:val="0"/>
        <w:rPr>
          <w:sz w:val="22"/>
          <w:lang w:val="de-DE"/>
        </w:rPr>
      </w:pPr>
    </w:p>
    <w:tbl>
      <w:tblPr>
        <w:tblW w:w="8949" w:type="dxa"/>
        <w:tblLayout w:type="fixed"/>
        <w:tblCellMar>
          <w:top w:w="28" w:type="dxa"/>
          <w:bottom w:w="28" w:type="dxa"/>
        </w:tblCellMar>
        <w:tblLook w:val="04A0" w:firstRow="1" w:lastRow="0" w:firstColumn="1" w:lastColumn="0" w:noHBand="0" w:noVBand="1"/>
      </w:tblPr>
      <w:tblGrid>
        <w:gridCol w:w="3341"/>
        <w:gridCol w:w="1620"/>
        <w:gridCol w:w="1701"/>
        <w:gridCol w:w="2268"/>
        <w:gridCol w:w="19"/>
      </w:tblGrid>
      <w:tr w:rsidR="00FE291A" w14:paraId="5F0FE4F6" w14:textId="77777777">
        <w:trPr>
          <w:gridAfter w:val="1"/>
          <w:wAfter w:w="19" w:type="dxa"/>
          <w:cantSplit/>
          <w:tblHeader/>
        </w:trPr>
        <w:tc>
          <w:tcPr>
            <w:tcW w:w="3341" w:type="dxa"/>
            <w:tcBorders>
              <w:top w:val="single" w:sz="4" w:space="0" w:color="000000"/>
              <w:left w:val="single" w:sz="4" w:space="0" w:color="000000"/>
              <w:bottom w:val="single" w:sz="4" w:space="0" w:color="000000"/>
              <w:right w:val="single" w:sz="4" w:space="0" w:color="000000"/>
            </w:tcBorders>
          </w:tcPr>
          <w:p w14:paraId="1C556ECA" w14:textId="77777777" w:rsidR="00FE291A" w:rsidRDefault="00FE291A">
            <w:pPr>
              <w:keepNext/>
              <w:widowControl/>
              <w:suppressAutoHyphens/>
              <w:rPr>
                <w:sz w:val="22"/>
                <w:lang w:val="de-DE"/>
              </w:rPr>
            </w:pPr>
          </w:p>
        </w:tc>
        <w:tc>
          <w:tcPr>
            <w:tcW w:w="1620" w:type="dxa"/>
            <w:tcBorders>
              <w:top w:val="single" w:sz="4" w:space="0" w:color="000000"/>
              <w:left w:val="single" w:sz="4" w:space="0" w:color="000000"/>
              <w:bottom w:val="single" w:sz="4" w:space="0" w:color="000000"/>
              <w:right w:val="single" w:sz="4" w:space="0" w:color="000000"/>
            </w:tcBorders>
          </w:tcPr>
          <w:p w14:paraId="1487FEE5" w14:textId="77777777" w:rsidR="00FE291A" w:rsidRDefault="00C8738F">
            <w:pPr>
              <w:pStyle w:val="TableParagraph"/>
              <w:keepNext/>
              <w:widowControl/>
              <w:suppressAutoHyphens/>
              <w:kinsoku w:val="0"/>
              <w:overflowPunct w:val="0"/>
              <w:jc w:val="center"/>
              <w:rPr>
                <w:sz w:val="22"/>
                <w:szCs w:val="22"/>
                <w:lang w:val="de-DE"/>
              </w:rPr>
            </w:pPr>
            <w:r>
              <w:rPr>
                <w:b/>
                <w:bCs/>
                <w:sz w:val="22"/>
                <w:szCs w:val="22"/>
                <w:lang w:val="de-DE"/>
              </w:rPr>
              <w:t>Placebo</w:t>
            </w:r>
          </w:p>
          <w:p w14:paraId="404A63EB" w14:textId="77777777" w:rsidR="00FE291A" w:rsidRDefault="00C8738F">
            <w:pPr>
              <w:pStyle w:val="TableParagraph"/>
              <w:keepNext/>
              <w:widowControl/>
              <w:suppressAutoHyphens/>
              <w:kinsoku w:val="0"/>
              <w:overflowPunct w:val="0"/>
              <w:jc w:val="center"/>
              <w:rPr>
                <w:b/>
                <w:bCs/>
                <w:sz w:val="22"/>
                <w:szCs w:val="22"/>
                <w:lang w:val="de-DE"/>
              </w:rPr>
            </w:pPr>
            <w:r>
              <w:rPr>
                <w:b/>
                <w:bCs/>
                <w:sz w:val="22"/>
                <w:szCs w:val="22"/>
                <w:lang w:val="de-DE"/>
              </w:rPr>
              <w:t>N = 53</w:t>
            </w:r>
          </w:p>
          <w:p w14:paraId="00E80837" w14:textId="77777777" w:rsidR="00FE291A" w:rsidRDefault="00C8738F">
            <w:pPr>
              <w:pStyle w:val="TableParagraph"/>
              <w:keepNext/>
              <w:widowControl/>
              <w:suppressAutoHyphens/>
              <w:kinsoku w:val="0"/>
              <w:overflowPunct w:val="0"/>
              <w:jc w:val="center"/>
              <w:rPr>
                <w:sz w:val="22"/>
                <w:lang w:val="de-DE"/>
              </w:rPr>
            </w:pPr>
            <w:r>
              <w:rPr>
                <w:b/>
                <w:bCs/>
                <w:sz w:val="22"/>
                <w:szCs w:val="22"/>
                <w:lang w:val="de-DE"/>
              </w:rPr>
              <w:t>n (%)</w:t>
            </w:r>
          </w:p>
        </w:tc>
        <w:tc>
          <w:tcPr>
            <w:tcW w:w="1701" w:type="dxa"/>
            <w:tcBorders>
              <w:top w:val="single" w:sz="4" w:space="0" w:color="000000"/>
              <w:left w:val="single" w:sz="4" w:space="0" w:color="000000"/>
              <w:bottom w:val="single" w:sz="4" w:space="0" w:color="000000"/>
              <w:right w:val="single" w:sz="4" w:space="0" w:color="000000"/>
            </w:tcBorders>
          </w:tcPr>
          <w:p w14:paraId="608FD14A" w14:textId="77777777" w:rsidR="00FE291A" w:rsidRDefault="00C8738F">
            <w:pPr>
              <w:pStyle w:val="TableParagraph"/>
              <w:keepNext/>
              <w:widowControl/>
              <w:suppressAutoHyphens/>
              <w:kinsoku w:val="0"/>
              <w:overflowPunct w:val="0"/>
              <w:jc w:val="center"/>
              <w:rPr>
                <w:sz w:val="22"/>
                <w:szCs w:val="22"/>
                <w:lang w:val="de-DE"/>
              </w:rPr>
            </w:pPr>
            <w:r>
              <w:rPr>
                <w:b/>
                <w:bCs/>
                <w:sz w:val="22"/>
                <w:szCs w:val="22"/>
                <w:lang w:val="de-DE"/>
              </w:rPr>
              <w:t>Methotrexat</w:t>
            </w:r>
          </w:p>
          <w:p w14:paraId="085CDD47" w14:textId="77777777" w:rsidR="00FE291A" w:rsidRDefault="00C8738F">
            <w:pPr>
              <w:pStyle w:val="TableParagraph"/>
              <w:keepNext/>
              <w:widowControl/>
              <w:suppressAutoHyphens/>
              <w:kinsoku w:val="0"/>
              <w:overflowPunct w:val="0"/>
              <w:jc w:val="center"/>
              <w:rPr>
                <w:b/>
                <w:bCs/>
                <w:sz w:val="22"/>
                <w:szCs w:val="22"/>
                <w:lang w:val="de-DE"/>
              </w:rPr>
            </w:pPr>
            <w:r>
              <w:rPr>
                <w:b/>
                <w:bCs/>
                <w:sz w:val="22"/>
                <w:szCs w:val="22"/>
                <w:lang w:val="de-DE"/>
              </w:rPr>
              <w:t>N = 110</w:t>
            </w:r>
          </w:p>
          <w:p w14:paraId="6DA1A01E" w14:textId="77777777" w:rsidR="00FE291A" w:rsidRDefault="00C8738F">
            <w:pPr>
              <w:pStyle w:val="TableParagraph"/>
              <w:keepNext/>
              <w:widowControl/>
              <w:suppressAutoHyphens/>
              <w:kinsoku w:val="0"/>
              <w:overflowPunct w:val="0"/>
              <w:jc w:val="center"/>
              <w:rPr>
                <w:sz w:val="22"/>
                <w:lang w:val="de-DE"/>
              </w:rPr>
            </w:pPr>
            <w:r>
              <w:rPr>
                <w:b/>
                <w:bCs/>
                <w:sz w:val="22"/>
                <w:szCs w:val="22"/>
                <w:lang w:val="de-DE"/>
              </w:rPr>
              <w:t>n (%)</w:t>
            </w:r>
          </w:p>
        </w:tc>
        <w:tc>
          <w:tcPr>
            <w:tcW w:w="2268" w:type="dxa"/>
            <w:tcBorders>
              <w:top w:val="single" w:sz="4" w:space="0" w:color="000000"/>
              <w:left w:val="single" w:sz="4" w:space="0" w:color="000000"/>
              <w:bottom w:val="single" w:sz="4" w:space="0" w:color="000000"/>
              <w:right w:val="single" w:sz="4" w:space="0" w:color="000000"/>
            </w:tcBorders>
          </w:tcPr>
          <w:p w14:paraId="6C8888FF" w14:textId="77777777" w:rsidR="00FE291A" w:rsidRDefault="00C8738F">
            <w:pPr>
              <w:pStyle w:val="TableParagraph"/>
              <w:keepNext/>
              <w:widowControl/>
              <w:suppressAutoHyphens/>
              <w:kinsoku w:val="0"/>
              <w:overflowPunct w:val="0"/>
              <w:jc w:val="center"/>
              <w:rPr>
                <w:b/>
                <w:bCs/>
                <w:sz w:val="22"/>
                <w:szCs w:val="22"/>
                <w:lang w:val="de-DE"/>
              </w:rPr>
            </w:pPr>
            <w:r>
              <w:rPr>
                <w:b/>
                <w:bCs/>
                <w:sz w:val="22"/>
                <w:szCs w:val="22"/>
                <w:lang w:val="de-DE"/>
              </w:rPr>
              <w:t xml:space="preserve">Adalimumab </w:t>
            </w:r>
          </w:p>
          <w:p w14:paraId="4CFC8045" w14:textId="77777777" w:rsidR="00FE291A" w:rsidRDefault="00C8738F">
            <w:pPr>
              <w:pStyle w:val="TableParagraph"/>
              <w:keepNext/>
              <w:widowControl/>
              <w:suppressAutoHyphens/>
              <w:kinsoku w:val="0"/>
              <w:overflowPunct w:val="0"/>
              <w:jc w:val="center"/>
              <w:rPr>
                <w:sz w:val="22"/>
                <w:szCs w:val="22"/>
                <w:lang w:val="de-DE"/>
              </w:rPr>
            </w:pPr>
            <w:r>
              <w:rPr>
                <w:b/>
                <w:bCs/>
                <w:sz w:val="22"/>
                <w:szCs w:val="22"/>
                <w:lang w:val="de-DE"/>
              </w:rPr>
              <w:t>40 mg jede zweite Woche</w:t>
            </w:r>
          </w:p>
          <w:p w14:paraId="0DD1A49F" w14:textId="77777777" w:rsidR="00FE291A" w:rsidRDefault="00C8738F">
            <w:pPr>
              <w:pStyle w:val="TableParagraph"/>
              <w:keepNext/>
              <w:widowControl/>
              <w:suppressAutoHyphens/>
              <w:kinsoku w:val="0"/>
              <w:overflowPunct w:val="0"/>
              <w:jc w:val="center"/>
              <w:rPr>
                <w:b/>
                <w:bCs/>
                <w:sz w:val="22"/>
                <w:szCs w:val="22"/>
                <w:lang w:val="de-DE"/>
              </w:rPr>
            </w:pPr>
            <w:r>
              <w:rPr>
                <w:b/>
                <w:bCs/>
                <w:sz w:val="22"/>
                <w:szCs w:val="22"/>
                <w:lang w:val="de-DE"/>
              </w:rPr>
              <w:t>N = 108</w:t>
            </w:r>
          </w:p>
          <w:p w14:paraId="3EA51B2A" w14:textId="77777777" w:rsidR="00FE291A" w:rsidRDefault="00C8738F">
            <w:pPr>
              <w:pStyle w:val="TableParagraph"/>
              <w:keepNext/>
              <w:widowControl/>
              <w:suppressAutoHyphens/>
              <w:kinsoku w:val="0"/>
              <w:overflowPunct w:val="0"/>
              <w:jc w:val="center"/>
              <w:rPr>
                <w:sz w:val="22"/>
                <w:lang w:val="de-DE"/>
              </w:rPr>
            </w:pPr>
            <w:r>
              <w:rPr>
                <w:b/>
                <w:bCs/>
                <w:sz w:val="22"/>
                <w:szCs w:val="22"/>
                <w:lang w:val="de-DE"/>
              </w:rPr>
              <w:t>n (%)</w:t>
            </w:r>
          </w:p>
        </w:tc>
      </w:tr>
      <w:tr w:rsidR="00FE291A" w14:paraId="25F6EAF1" w14:textId="77777777">
        <w:trPr>
          <w:gridAfter w:val="1"/>
          <w:wAfter w:w="19" w:type="dxa"/>
          <w:cantSplit/>
        </w:trPr>
        <w:tc>
          <w:tcPr>
            <w:tcW w:w="3341" w:type="dxa"/>
            <w:tcBorders>
              <w:top w:val="single" w:sz="4" w:space="0" w:color="000000"/>
              <w:left w:val="single" w:sz="4" w:space="0" w:color="000000"/>
              <w:bottom w:val="single" w:sz="4" w:space="0" w:color="000000"/>
              <w:right w:val="single" w:sz="4" w:space="0" w:color="000000"/>
            </w:tcBorders>
          </w:tcPr>
          <w:p w14:paraId="7FCF8EE0" w14:textId="77777777" w:rsidR="00FE291A" w:rsidRDefault="00C8738F">
            <w:pPr>
              <w:pStyle w:val="TableParagraph"/>
              <w:widowControl/>
              <w:suppressAutoHyphens/>
              <w:kinsoku w:val="0"/>
              <w:overflowPunct w:val="0"/>
              <w:rPr>
                <w:sz w:val="22"/>
                <w:lang w:val="de-DE"/>
              </w:rPr>
            </w:pPr>
            <w:r>
              <w:rPr>
                <w:b/>
                <w:sz w:val="22"/>
                <w:szCs w:val="22"/>
                <w:lang w:val="de-DE"/>
              </w:rPr>
              <w:t xml:space="preserve">≥ </w:t>
            </w:r>
            <w:r>
              <w:rPr>
                <w:b/>
                <w:bCs/>
                <w:sz w:val="22"/>
                <w:szCs w:val="22"/>
                <w:lang w:val="de-DE"/>
              </w:rPr>
              <w:t>PASI-75</w:t>
            </w:r>
          </w:p>
        </w:tc>
        <w:tc>
          <w:tcPr>
            <w:tcW w:w="1620" w:type="dxa"/>
            <w:tcBorders>
              <w:top w:val="single" w:sz="4" w:space="0" w:color="000000"/>
              <w:left w:val="single" w:sz="4" w:space="0" w:color="000000"/>
              <w:bottom w:val="single" w:sz="4" w:space="0" w:color="000000"/>
              <w:right w:val="single" w:sz="4" w:space="0" w:color="000000"/>
            </w:tcBorders>
          </w:tcPr>
          <w:p w14:paraId="58A91B96" w14:textId="77777777" w:rsidR="00FE291A" w:rsidRDefault="00C8738F">
            <w:pPr>
              <w:pStyle w:val="TableParagraph"/>
              <w:widowControl/>
              <w:suppressAutoHyphens/>
              <w:kinsoku w:val="0"/>
              <w:overflowPunct w:val="0"/>
              <w:jc w:val="center"/>
              <w:rPr>
                <w:sz w:val="22"/>
                <w:lang w:val="de-DE"/>
              </w:rPr>
            </w:pPr>
            <w:r>
              <w:rPr>
                <w:sz w:val="22"/>
                <w:szCs w:val="22"/>
                <w:lang w:val="de-DE"/>
              </w:rPr>
              <w:t>10 (18,9)</w:t>
            </w:r>
          </w:p>
        </w:tc>
        <w:tc>
          <w:tcPr>
            <w:tcW w:w="1701" w:type="dxa"/>
            <w:tcBorders>
              <w:top w:val="single" w:sz="4" w:space="0" w:color="000000"/>
              <w:left w:val="single" w:sz="4" w:space="0" w:color="000000"/>
              <w:bottom w:val="single" w:sz="4" w:space="0" w:color="000000"/>
              <w:right w:val="single" w:sz="4" w:space="0" w:color="000000"/>
            </w:tcBorders>
          </w:tcPr>
          <w:p w14:paraId="6A943F34" w14:textId="77777777" w:rsidR="00FE291A" w:rsidRDefault="00C8738F">
            <w:pPr>
              <w:pStyle w:val="TableParagraph"/>
              <w:widowControl/>
              <w:suppressAutoHyphens/>
              <w:kinsoku w:val="0"/>
              <w:overflowPunct w:val="0"/>
              <w:jc w:val="center"/>
              <w:rPr>
                <w:sz w:val="22"/>
                <w:lang w:val="de-DE"/>
              </w:rPr>
            </w:pPr>
            <w:r>
              <w:rPr>
                <w:sz w:val="22"/>
                <w:szCs w:val="22"/>
                <w:lang w:val="de-DE"/>
              </w:rPr>
              <w:t>39 (35,5)</w:t>
            </w:r>
          </w:p>
        </w:tc>
        <w:tc>
          <w:tcPr>
            <w:tcW w:w="2268" w:type="dxa"/>
            <w:tcBorders>
              <w:top w:val="single" w:sz="4" w:space="0" w:color="000000"/>
              <w:left w:val="single" w:sz="4" w:space="0" w:color="000000"/>
              <w:bottom w:val="single" w:sz="4" w:space="0" w:color="000000"/>
              <w:right w:val="single" w:sz="4" w:space="0" w:color="000000"/>
            </w:tcBorders>
          </w:tcPr>
          <w:p w14:paraId="54499571" w14:textId="77777777" w:rsidR="00FE291A" w:rsidRDefault="00C8738F">
            <w:pPr>
              <w:pStyle w:val="TableParagraph"/>
              <w:widowControl/>
              <w:suppressAutoHyphens/>
              <w:kinsoku w:val="0"/>
              <w:overflowPunct w:val="0"/>
              <w:jc w:val="center"/>
              <w:rPr>
                <w:sz w:val="22"/>
                <w:lang w:val="de-DE"/>
              </w:rPr>
            </w:pPr>
            <w:r>
              <w:rPr>
                <w:sz w:val="22"/>
                <w:szCs w:val="22"/>
                <w:lang w:val="de-DE"/>
              </w:rPr>
              <w:t xml:space="preserve">86 (79,6) </w:t>
            </w:r>
            <w:r>
              <w:rPr>
                <w:sz w:val="22"/>
                <w:szCs w:val="22"/>
                <w:vertAlign w:val="superscript"/>
                <w:lang w:val="de-DE"/>
              </w:rPr>
              <w:t>a, b</w:t>
            </w:r>
          </w:p>
        </w:tc>
      </w:tr>
      <w:tr w:rsidR="00FE291A" w14:paraId="294B5584" w14:textId="77777777">
        <w:trPr>
          <w:gridAfter w:val="1"/>
          <w:wAfter w:w="19" w:type="dxa"/>
          <w:cantSplit/>
        </w:trPr>
        <w:tc>
          <w:tcPr>
            <w:tcW w:w="3341" w:type="dxa"/>
            <w:tcBorders>
              <w:top w:val="single" w:sz="4" w:space="0" w:color="000000"/>
              <w:left w:val="single" w:sz="4" w:space="0" w:color="000000"/>
              <w:bottom w:val="single" w:sz="4" w:space="0" w:color="000000"/>
              <w:right w:val="single" w:sz="4" w:space="0" w:color="000000"/>
            </w:tcBorders>
          </w:tcPr>
          <w:p w14:paraId="0C9FDFB1" w14:textId="77777777" w:rsidR="00FE291A" w:rsidRDefault="00C8738F">
            <w:pPr>
              <w:pStyle w:val="TableParagraph"/>
              <w:widowControl/>
              <w:suppressAutoHyphens/>
              <w:kinsoku w:val="0"/>
              <w:overflowPunct w:val="0"/>
              <w:rPr>
                <w:sz w:val="22"/>
                <w:lang w:val="de-DE"/>
              </w:rPr>
            </w:pPr>
            <w:r>
              <w:rPr>
                <w:b/>
                <w:bCs/>
                <w:sz w:val="22"/>
                <w:szCs w:val="22"/>
                <w:lang w:val="de-DE"/>
              </w:rPr>
              <w:t>PASI-100</w:t>
            </w:r>
          </w:p>
        </w:tc>
        <w:tc>
          <w:tcPr>
            <w:tcW w:w="1620" w:type="dxa"/>
            <w:tcBorders>
              <w:top w:val="single" w:sz="4" w:space="0" w:color="000000"/>
              <w:left w:val="single" w:sz="4" w:space="0" w:color="000000"/>
              <w:bottom w:val="single" w:sz="4" w:space="0" w:color="000000"/>
              <w:right w:val="single" w:sz="4" w:space="0" w:color="000000"/>
            </w:tcBorders>
          </w:tcPr>
          <w:p w14:paraId="6C554F5B" w14:textId="77777777" w:rsidR="00FE291A" w:rsidRDefault="00C8738F">
            <w:pPr>
              <w:pStyle w:val="TableParagraph"/>
              <w:widowControl/>
              <w:suppressAutoHyphens/>
              <w:kinsoku w:val="0"/>
              <w:overflowPunct w:val="0"/>
              <w:jc w:val="center"/>
              <w:rPr>
                <w:sz w:val="22"/>
                <w:lang w:val="de-DE"/>
              </w:rPr>
            </w:pPr>
            <w:r>
              <w:rPr>
                <w:sz w:val="22"/>
                <w:szCs w:val="22"/>
                <w:lang w:val="de-DE"/>
              </w:rPr>
              <w:t>1 (1,9)</w:t>
            </w:r>
          </w:p>
        </w:tc>
        <w:tc>
          <w:tcPr>
            <w:tcW w:w="1701" w:type="dxa"/>
            <w:tcBorders>
              <w:top w:val="single" w:sz="4" w:space="0" w:color="000000"/>
              <w:left w:val="single" w:sz="4" w:space="0" w:color="000000"/>
              <w:bottom w:val="single" w:sz="4" w:space="0" w:color="000000"/>
              <w:right w:val="single" w:sz="4" w:space="0" w:color="000000"/>
            </w:tcBorders>
          </w:tcPr>
          <w:p w14:paraId="1FD24FE5" w14:textId="77777777" w:rsidR="00FE291A" w:rsidRDefault="00C8738F">
            <w:pPr>
              <w:pStyle w:val="TableParagraph"/>
              <w:widowControl/>
              <w:suppressAutoHyphens/>
              <w:kinsoku w:val="0"/>
              <w:overflowPunct w:val="0"/>
              <w:jc w:val="center"/>
              <w:rPr>
                <w:sz w:val="22"/>
                <w:lang w:val="de-DE"/>
              </w:rPr>
            </w:pPr>
            <w:r>
              <w:rPr>
                <w:sz w:val="22"/>
                <w:szCs w:val="22"/>
                <w:lang w:val="de-DE"/>
              </w:rPr>
              <w:t>8 (7,3)</w:t>
            </w:r>
          </w:p>
        </w:tc>
        <w:tc>
          <w:tcPr>
            <w:tcW w:w="2268" w:type="dxa"/>
            <w:tcBorders>
              <w:top w:val="single" w:sz="4" w:space="0" w:color="000000"/>
              <w:left w:val="single" w:sz="4" w:space="0" w:color="000000"/>
              <w:bottom w:val="single" w:sz="4" w:space="0" w:color="000000"/>
              <w:right w:val="single" w:sz="4" w:space="0" w:color="000000"/>
            </w:tcBorders>
          </w:tcPr>
          <w:p w14:paraId="624FC527" w14:textId="77777777" w:rsidR="00FE291A" w:rsidRDefault="00C8738F">
            <w:pPr>
              <w:pStyle w:val="TableParagraph"/>
              <w:widowControl/>
              <w:suppressAutoHyphens/>
              <w:kinsoku w:val="0"/>
              <w:overflowPunct w:val="0"/>
              <w:jc w:val="center"/>
              <w:rPr>
                <w:sz w:val="22"/>
                <w:lang w:val="de-DE"/>
              </w:rPr>
            </w:pPr>
            <w:r>
              <w:rPr>
                <w:sz w:val="22"/>
                <w:szCs w:val="22"/>
                <w:lang w:val="de-DE"/>
              </w:rPr>
              <w:t xml:space="preserve">18 (16,7) </w:t>
            </w:r>
            <w:r>
              <w:rPr>
                <w:sz w:val="22"/>
                <w:szCs w:val="22"/>
                <w:vertAlign w:val="superscript"/>
                <w:lang w:val="de-DE"/>
              </w:rPr>
              <w:t>c, d</w:t>
            </w:r>
          </w:p>
        </w:tc>
      </w:tr>
      <w:tr w:rsidR="00FE291A" w14:paraId="454503E6" w14:textId="77777777">
        <w:trPr>
          <w:gridAfter w:val="1"/>
          <w:wAfter w:w="19" w:type="dxa"/>
          <w:cantSplit/>
        </w:trPr>
        <w:tc>
          <w:tcPr>
            <w:tcW w:w="3341" w:type="dxa"/>
            <w:tcBorders>
              <w:top w:val="single" w:sz="4" w:space="0" w:color="000000"/>
              <w:left w:val="single" w:sz="4" w:space="0" w:color="000000"/>
              <w:bottom w:val="single" w:sz="4" w:space="0" w:color="auto"/>
              <w:right w:val="single" w:sz="4" w:space="0" w:color="000000"/>
            </w:tcBorders>
          </w:tcPr>
          <w:p w14:paraId="4A1C7574" w14:textId="77777777" w:rsidR="00FE291A" w:rsidRDefault="00C8738F">
            <w:pPr>
              <w:pStyle w:val="TableParagraph"/>
              <w:keepNext/>
              <w:widowControl/>
              <w:suppressAutoHyphens/>
              <w:kinsoku w:val="0"/>
              <w:overflowPunct w:val="0"/>
              <w:rPr>
                <w:sz w:val="22"/>
                <w:lang w:val="de-DE"/>
              </w:rPr>
            </w:pPr>
            <w:r>
              <w:rPr>
                <w:b/>
                <w:bCs/>
                <w:sz w:val="22"/>
                <w:szCs w:val="22"/>
                <w:lang w:val="de-DE"/>
              </w:rPr>
              <w:t>PGA: erscheinungsfrei/minimal</w:t>
            </w:r>
          </w:p>
        </w:tc>
        <w:tc>
          <w:tcPr>
            <w:tcW w:w="1620" w:type="dxa"/>
            <w:tcBorders>
              <w:top w:val="single" w:sz="4" w:space="0" w:color="000000"/>
              <w:left w:val="single" w:sz="4" w:space="0" w:color="000000"/>
              <w:bottom w:val="single" w:sz="4" w:space="0" w:color="auto"/>
              <w:right w:val="single" w:sz="4" w:space="0" w:color="000000"/>
            </w:tcBorders>
          </w:tcPr>
          <w:p w14:paraId="40D2CE70" w14:textId="77777777" w:rsidR="00FE291A" w:rsidRDefault="00C8738F">
            <w:pPr>
              <w:pStyle w:val="TableParagraph"/>
              <w:keepNext/>
              <w:widowControl/>
              <w:suppressAutoHyphens/>
              <w:kinsoku w:val="0"/>
              <w:overflowPunct w:val="0"/>
              <w:jc w:val="center"/>
              <w:rPr>
                <w:sz w:val="22"/>
                <w:lang w:val="de-DE"/>
              </w:rPr>
            </w:pPr>
            <w:r>
              <w:rPr>
                <w:sz w:val="22"/>
                <w:szCs w:val="22"/>
                <w:lang w:val="de-DE"/>
              </w:rPr>
              <w:t>6 (11,3)</w:t>
            </w:r>
          </w:p>
        </w:tc>
        <w:tc>
          <w:tcPr>
            <w:tcW w:w="1701" w:type="dxa"/>
            <w:tcBorders>
              <w:top w:val="single" w:sz="4" w:space="0" w:color="000000"/>
              <w:left w:val="single" w:sz="4" w:space="0" w:color="000000"/>
              <w:bottom w:val="single" w:sz="4" w:space="0" w:color="auto"/>
              <w:right w:val="single" w:sz="4" w:space="0" w:color="000000"/>
            </w:tcBorders>
          </w:tcPr>
          <w:p w14:paraId="72467CB8" w14:textId="77777777" w:rsidR="00FE291A" w:rsidRDefault="00C8738F">
            <w:pPr>
              <w:pStyle w:val="TableParagraph"/>
              <w:keepNext/>
              <w:widowControl/>
              <w:suppressAutoHyphens/>
              <w:kinsoku w:val="0"/>
              <w:overflowPunct w:val="0"/>
              <w:jc w:val="center"/>
              <w:rPr>
                <w:sz w:val="22"/>
                <w:lang w:val="de-DE"/>
              </w:rPr>
            </w:pPr>
            <w:r>
              <w:rPr>
                <w:sz w:val="22"/>
                <w:szCs w:val="22"/>
                <w:lang w:val="de-DE"/>
              </w:rPr>
              <w:t>33 (30,0)</w:t>
            </w:r>
          </w:p>
        </w:tc>
        <w:tc>
          <w:tcPr>
            <w:tcW w:w="2268" w:type="dxa"/>
            <w:tcBorders>
              <w:top w:val="single" w:sz="4" w:space="0" w:color="000000"/>
              <w:left w:val="single" w:sz="4" w:space="0" w:color="000000"/>
              <w:bottom w:val="single" w:sz="4" w:space="0" w:color="auto"/>
              <w:right w:val="single" w:sz="4" w:space="0" w:color="000000"/>
            </w:tcBorders>
          </w:tcPr>
          <w:p w14:paraId="152B9D7A" w14:textId="77777777" w:rsidR="00FE291A" w:rsidRDefault="00C8738F">
            <w:pPr>
              <w:pStyle w:val="TableParagraph"/>
              <w:keepNext/>
              <w:widowControl/>
              <w:suppressAutoHyphens/>
              <w:kinsoku w:val="0"/>
              <w:overflowPunct w:val="0"/>
              <w:jc w:val="center"/>
              <w:rPr>
                <w:sz w:val="22"/>
                <w:lang w:val="de-DE"/>
              </w:rPr>
            </w:pPr>
            <w:r>
              <w:rPr>
                <w:sz w:val="22"/>
                <w:szCs w:val="22"/>
                <w:lang w:val="de-DE"/>
              </w:rPr>
              <w:t xml:space="preserve">79 (73,1) </w:t>
            </w:r>
            <w:r>
              <w:rPr>
                <w:sz w:val="22"/>
                <w:szCs w:val="22"/>
                <w:vertAlign w:val="superscript"/>
                <w:lang w:val="de-DE"/>
              </w:rPr>
              <w:t>a, b</w:t>
            </w:r>
          </w:p>
        </w:tc>
      </w:tr>
      <w:tr w:rsidR="00FE291A" w14:paraId="57A4130F" w14:textId="77777777">
        <w:trPr>
          <w:cantSplit/>
        </w:trPr>
        <w:tc>
          <w:tcPr>
            <w:tcW w:w="8949" w:type="dxa"/>
            <w:gridSpan w:val="5"/>
            <w:tcBorders>
              <w:top w:val="single" w:sz="4" w:space="0" w:color="auto"/>
            </w:tcBorders>
          </w:tcPr>
          <w:p w14:paraId="03B35956" w14:textId="77777777" w:rsidR="00FE291A" w:rsidRDefault="00C8738F">
            <w:pPr>
              <w:pStyle w:val="TableParagraph"/>
              <w:widowControl/>
              <w:suppressAutoHyphens/>
              <w:kinsoku w:val="0"/>
              <w:overflowPunct w:val="0"/>
              <w:rPr>
                <w:sz w:val="20"/>
                <w:szCs w:val="20"/>
              </w:rPr>
            </w:pPr>
            <w:r>
              <w:rPr>
                <w:sz w:val="20"/>
                <w:szCs w:val="20"/>
                <w:vertAlign w:val="superscript"/>
              </w:rPr>
              <w:t>a</w:t>
            </w:r>
            <w:r>
              <w:rPr>
                <w:sz w:val="20"/>
                <w:szCs w:val="20"/>
              </w:rPr>
              <w:t xml:space="preserve"> p &lt; 0,001 Adalimumab </w:t>
            </w:r>
            <w:r>
              <w:rPr>
                <w:i/>
                <w:sz w:val="20"/>
                <w:szCs w:val="20"/>
              </w:rPr>
              <w:t>versus</w:t>
            </w:r>
            <w:r>
              <w:rPr>
                <w:sz w:val="20"/>
                <w:szCs w:val="20"/>
              </w:rPr>
              <w:t xml:space="preserve"> Placebo</w:t>
            </w:r>
          </w:p>
          <w:p w14:paraId="1276F65C" w14:textId="77777777" w:rsidR="00FE291A" w:rsidRDefault="00C8738F">
            <w:pPr>
              <w:pStyle w:val="TableParagraph"/>
              <w:widowControl/>
              <w:suppressAutoHyphens/>
              <w:kinsoku w:val="0"/>
              <w:overflowPunct w:val="0"/>
              <w:rPr>
                <w:sz w:val="20"/>
                <w:szCs w:val="20"/>
              </w:rPr>
            </w:pPr>
            <w:r>
              <w:rPr>
                <w:sz w:val="20"/>
                <w:szCs w:val="20"/>
                <w:vertAlign w:val="superscript"/>
              </w:rPr>
              <w:t>b</w:t>
            </w:r>
            <w:r>
              <w:rPr>
                <w:sz w:val="20"/>
                <w:szCs w:val="20"/>
              </w:rPr>
              <w:t xml:space="preserve"> p &lt; 0,001 Adalimumab </w:t>
            </w:r>
            <w:r>
              <w:rPr>
                <w:i/>
                <w:sz w:val="20"/>
                <w:szCs w:val="20"/>
              </w:rPr>
              <w:t>versus</w:t>
            </w:r>
            <w:r>
              <w:rPr>
                <w:sz w:val="20"/>
                <w:szCs w:val="20"/>
              </w:rPr>
              <w:t xml:space="preserve"> Methotrexat</w:t>
            </w:r>
          </w:p>
          <w:p w14:paraId="78D5F126" w14:textId="77777777" w:rsidR="00FE291A" w:rsidRDefault="00C8738F">
            <w:pPr>
              <w:pStyle w:val="TableParagraph"/>
              <w:keepNext/>
              <w:widowControl/>
              <w:suppressAutoHyphens/>
              <w:kinsoku w:val="0"/>
              <w:overflowPunct w:val="0"/>
              <w:rPr>
                <w:sz w:val="20"/>
                <w:szCs w:val="20"/>
              </w:rPr>
            </w:pPr>
            <w:r>
              <w:rPr>
                <w:sz w:val="20"/>
                <w:szCs w:val="20"/>
                <w:vertAlign w:val="superscript"/>
              </w:rPr>
              <w:t>c</w:t>
            </w:r>
            <w:r>
              <w:rPr>
                <w:sz w:val="20"/>
                <w:szCs w:val="20"/>
              </w:rPr>
              <w:t xml:space="preserve"> p &lt; 0,01 Adalimumab </w:t>
            </w:r>
            <w:r>
              <w:rPr>
                <w:i/>
                <w:sz w:val="20"/>
                <w:szCs w:val="20"/>
              </w:rPr>
              <w:t>versus</w:t>
            </w:r>
            <w:r>
              <w:rPr>
                <w:sz w:val="20"/>
                <w:szCs w:val="20"/>
              </w:rPr>
              <w:t xml:space="preserve"> Placebo</w:t>
            </w:r>
          </w:p>
          <w:p w14:paraId="429134D1" w14:textId="77777777" w:rsidR="00FE291A" w:rsidRDefault="00C8738F">
            <w:pPr>
              <w:pStyle w:val="TableParagraph"/>
              <w:widowControl/>
              <w:suppressAutoHyphens/>
              <w:kinsoku w:val="0"/>
              <w:overflowPunct w:val="0"/>
              <w:rPr>
                <w:sz w:val="22"/>
              </w:rPr>
            </w:pPr>
            <w:r>
              <w:rPr>
                <w:sz w:val="20"/>
                <w:szCs w:val="20"/>
                <w:vertAlign w:val="superscript"/>
              </w:rPr>
              <w:t>d</w:t>
            </w:r>
            <w:r>
              <w:rPr>
                <w:sz w:val="20"/>
                <w:szCs w:val="20"/>
              </w:rPr>
              <w:t xml:space="preserve"> p &lt; 0,05 Adalimumab </w:t>
            </w:r>
            <w:r>
              <w:rPr>
                <w:i/>
                <w:sz w:val="20"/>
                <w:szCs w:val="20"/>
              </w:rPr>
              <w:t>versus</w:t>
            </w:r>
            <w:r>
              <w:rPr>
                <w:sz w:val="20"/>
                <w:szCs w:val="20"/>
              </w:rPr>
              <w:t xml:space="preserve"> Methotrexat</w:t>
            </w:r>
          </w:p>
        </w:tc>
      </w:tr>
    </w:tbl>
    <w:p w14:paraId="4C7C1E2F" w14:textId="77777777" w:rsidR="00FE291A" w:rsidRDefault="00FE291A">
      <w:pPr>
        <w:widowControl/>
        <w:kinsoku w:val="0"/>
        <w:overflowPunct w:val="0"/>
        <w:rPr>
          <w:sz w:val="22"/>
          <w:szCs w:val="22"/>
        </w:rPr>
      </w:pPr>
    </w:p>
    <w:p w14:paraId="509ED4F4" w14:textId="77777777" w:rsidR="00FE291A" w:rsidRDefault="00C8738F">
      <w:pPr>
        <w:pStyle w:val="BodyText"/>
        <w:widowControl/>
        <w:kinsoku w:val="0"/>
        <w:overflowPunct w:val="0"/>
        <w:ind w:left="0"/>
        <w:rPr>
          <w:lang w:val="de-DE"/>
        </w:rPr>
      </w:pPr>
      <w:r>
        <w:rPr>
          <w:lang w:val="de-DE"/>
        </w:rPr>
        <w:t>In der Psoriasisstudie I erfuhren 28 % der Patienten, die ein PASI-75-Ansprechen gezeigt hatten und in Woche 33 bei der erneuten Randomisierung der Placebogruppe zugeteilt worden waren, einen „Verlust des adäquaten Ansprechens” (PASI-Wert nach Woche 33 bzw. in oder vor Woche 52, der im Vergleich zum Studienbeginn zu einem geringeren Ansprechen als PASI-50 führte bei einer gleichzeitigen Zunahme des PASI-Wertes um mindestens 6 Punkte im Vergleich zu Woche 33). Im Vergleich dazu erfuhren 5 % der Patienten, die weiterhin Adalimumab erhielten (p &lt; 0,001), einen „Verlust des adäquaten Ansprechens”. Von den Patienten, welche nach der erneuten Randomisierung auf Placebo einen Verlust des adäquaten Ansprechens zeigten und anschließend in die offene Fortsetzungsphase eingeschlossen wurden, erzielten 38 % (25/66) bzw. 55 % (36/66) nach 12 bzw. 24 Wochen aktiver Therapie wieder ein PASI-75-Ansprechen.</w:t>
      </w:r>
    </w:p>
    <w:p w14:paraId="785C7359" w14:textId="77777777" w:rsidR="00FE291A" w:rsidRDefault="00FE291A">
      <w:pPr>
        <w:widowControl/>
        <w:kinsoku w:val="0"/>
        <w:overflowPunct w:val="0"/>
        <w:rPr>
          <w:sz w:val="22"/>
          <w:szCs w:val="22"/>
          <w:lang w:val="de-DE"/>
        </w:rPr>
      </w:pPr>
    </w:p>
    <w:p w14:paraId="0DC20DF4" w14:textId="77777777" w:rsidR="00FE291A" w:rsidRDefault="00C8738F">
      <w:pPr>
        <w:pStyle w:val="BodyText"/>
        <w:widowControl/>
        <w:kinsoku w:val="0"/>
        <w:overflowPunct w:val="0"/>
        <w:ind w:left="0"/>
        <w:rPr>
          <w:lang w:val="de-DE"/>
        </w:rPr>
      </w:pPr>
      <w:r>
        <w:rPr>
          <w:lang w:val="de-DE"/>
        </w:rPr>
        <w:t xml:space="preserve">Insgesamt 233 Patienten, die ein PASI-75-Ansprechen in Woche 16 und Woche 33 gezeigt hatten, erhielten in der Psoriasisstudie I für 52 Wochen eine Adalimumab-Dauertherapie und wurden mit Adalimumab in der offenen Fortsetzungsstudie weiterbehandelt. Das PASI-75-Ansprechen bzw. das PGA-Ansprechen, definiert als PGA „erscheinungsfrei“ oder „minimal“, war bei diesen Patienten nach weiteren 108 offenen Behandlungswochen (insgesamt 160 Wochen) 74,7 % bzw. 59,0 %. In einer </w:t>
      </w:r>
      <w:r>
        <w:rPr>
          <w:i/>
          <w:iCs/>
          <w:lang w:val="de-DE"/>
        </w:rPr>
        <w:t>Non-Responder-Imputation</w:t>
      </w:r>
      <w:r>
        <w:rPr>
          <w:lang w:val="de-DE"/>
        </w:rPr>
        <w:t xml:space="preserve">(NRI)-Analyse, in der alle Patienten als </w:t>
      </w:r>
      <w:r>
        <w:rPr>
          <w:i/>
          <w:iCs/>
          <w:lang w:val="de-DE"/>
        </w:rPr>
        <w:t xml:space="preserve">Non-Responder </w:t>
      </w:r>
      <w:r>
        <w:rPr>
          <w:lang w:val="de-DE"/>
        </w:rPr>
        <w:t>betrachtet wurden, die aus der Studie aufgrund von Nebenwirkungen oder mangelnder Wirksamkeit ausschieden oder bei denen die Dosis erhöht wurde, betrug bei diesen Patienten das PASI-75-Ansprechen bzw. das PGA-Ansprechen, definiert als PGA „erscheinungsfrei“ oder „minimal“, nach weiteren 108 Wochen der offenen Fortsetzungsbehandlung (insgesamt 160 Wochen) 69,6 % bzw. 55,7 %.</w:t>
      </w:r>
    </w:p>
    <w:p w14:paraId="689DFD6A" w14:textId="77777777" w:rsidR="00FE291A" w:rsidRDefault="00FE291A">
      <w:pPr>
        <w:widowControl/>
        <w:kinsoku w:val="0"/>
        <w:overflowPunct w:val="0"/>
        <w:rPr>
          <w:sz w:val="22"/>
          <w:szCs w:val="22"/>
          <w:lang w:val="de-DE"/>
        </w:rPr>
      </w:pPr>
    </w:p>
    <w:p w14:paraId="100FB90E" w14:textId="77777777" w:rsidR="00FE291A" w:rsidRDefault="00C8738F">
      <w:pPr>
        <w:pStyle w:val="BodyText"/>
        <w:widowControl/>
        <w:kinsoku w:val="0"/>
        <w:overflowPunct w:val="0"/>
        <w:ind w:left="0"/>
        <w:rPr>
          <w:lang w:val="de-DE"/>
        </w:rPr>
      </w:pPr>
      <w:r>
        <w:rPr>
          <w:lang w:val="de-DE"/>
        </w:rPr>
        <w:t xml:space="preserve">Insgesamt 347 Patienten, die dauerhaft ansprachen, nahmen an einer Analyse einer Behandlungsunterbrechung und -wiederaufnahme in einer offenen Fortsetzungsstudie teil. Während der Phase der Behandlungsunterbrechung kehrten die Psoriasissymptome im Verlauf der Zeit mit einer durchschnittlichen Rückfallzeit von etwa 5 Monaten zurück (Verminderung des PGA auf „mittelschwer“ oder schlechter). Keiner dieser Patienten erfuhr einen </w:t>
      </w:r>
      <w:r>
        <w:rPr>
          <w:i/>
          <w:iCs/>
          <w:lang w:val="de-DE"/>
        </w:rPr>
        <w:t>Rebound</w:t>
      </w:r>
      <w:r>
        <w:rPr>
          <w:lang w:val="de-DE"/>
        </w:rPr>
        <w:t>-Effekt während der Unterbrechungsphase. Insgesamt 76,5 % (218/285) der Patienten, die in die Phase eintraten, in der die Behandlung wiederaufgenommen wurde, hatten 16 Wochen nach Wiederaufnahme der Behandlung ein PGA-Ansprechen, definiert als PGA „erscheinungsfrei“ oder „minimal“, unabhängig davon, ob sie während des Absetzens einen Rückfall hatten (69,1 % [123/178] bzw. 88,8 % [95/107] für Patienten, die während der Phase der Behandlungsunterbrechung einen Rückfall erlitten bzw. keinen Rückfall hatten). Es wurde ein ähnliches Sicherheitsprofil in der Phase, in der die Behandlung wiederaufgenommen wurde, beobachtet wie vor der Behandlungsunterbrechung.</w:t>
      </w:r>
    </w:p>
    <w:p w14:paraId="463B16FE" w14:textId="77777777" w:rsidR="00FE291A" w:rsidRDefault="00FE291A">
      <w:pPr>
        <w:widowControl/>
        <w:kinsoku w:val="0"/>
        <w:overflowPunct w:val="0"/>
        <w:rPr>
          <w:sz w:val="22"/>
          <w:szCs w:val="22"/>
          <w:lang w:val="de-DE"/>
        </w:rPr>
      </w:pPr>
    </w:p>
    <w:p w14:paraId="63EDDDFF" w14:textId="77777777" w:rsidR="00FE291A" w:rsidRDefault="00C8738F">
      <w:pPr>
        <w:pStyle w:val="BodyText"/>
        <w:widowControl/>
        <w:kinsoku w:val="0"/>
        <w:overflowPunct w:val="0"/>
        <w:ind w:left="0"/>
        <w:rPr>
          <w:lang w:val="de-DE"/>
        </w:rPr>
      </w:pPr>
      <w:r>
        <w:rPr>
          <w:lang w:val="de-DE"/>
        </w:rPr>
        <w:t>Signifikante Verbesserungen des DLQI (</w:t>
      </w:r>
      <w:r>
        <w:rPr>
          <w:i/>
          <w:lang w:val="de-DE"/>
        </w:rPr>
        <w:t>Dermatology Life Quality Index</w:t>
      </w:r>
      <w:r>
        <w:rPr>
          <w:lang w:val="de-DE"/>
        </w:rPr>
        <w:t>) gegenüber dem Ausgangswert im Vergleich zu Placebo (Studien I und II) und Methotrexat (Studie II) wurden in Woche 16 festgestellt. In Studie I verbesserten sich die Summenwerte der körperlichen und mentalen SF-36-Komponenten im Vergleich zu Placebo ebenfalls signifikant.</w:t>
      </w:r>
    </w:p>
    <w:p w14:paraId="376A63AB" w14:textId="77777777" w:rsidR="00FE291A" w:rsidRDefault="00FE291A">
      <w:pPr>
        <w:widowControl/>
        <w:kinsoku w:val="0"/>
        <w:overflowPunct w:val="0"/>
        <w:rPr>
          <w:sz w:val="22"/>
          <w:szCs w:val="22"/>
          <w:lang w:val="de-DE"/>
        </w:rPr>
      </w:pPr>
    </w:p>
    <w:p w14:paraId="077E5D68" w14:textId="77777777" w:rsidR="00FE291A" w:rsidRDefault="00C8738F">
      <w:pPr>
        <w:pStyle w:val="BodyText"/>
        <w:widowControl/>
        <w:kinsoku w:val="0"/>
        <w:overflowPunct w:val="0"/>
        <w:ind w:left="0"/>
        <w:rPr>
          <w:lang w:val="de-DE"/>
        </w:rPr>
      </w:pPr>
      <w:r>
        <w:rPr>
          <w:lang w:val="de-DE"/>
        </w:rPr>
        <w:t>In einer offenen Fortsetzungsstudie mit Patienten, bei denen wegen eines PASI-Ansprechens von unter 50 % die Dosis von 40 mg jede zweite Woche auf 40 mg wöchentlich gesteigert wurde, erzielten 26,4 % (92/349) bzw. 37,8 % (132/349) der Patienten ein PASI-75-Ansprechen in Woche 12 bzw. 24.</w:t>
      </w:r>
    </w:p>
    <w:p w14:paraId="15D220CC" w14:textId="77777777" w:rsidR="00FE291A" w:rsidRDefault="00FE291A">
      <w:pPr>
        <w:widowControl/>
        <w:kinsoku w:val="0"/>
        <w:overflowPunct w:val="0"/>
        <w:rPr>
          <w:sz w:val="22"/>
          <w:szCs w:val="22"/>
          <w:lang w:val="de-DE"/>
        </w:rPr>
      </w:pPr>
    </w:p>
    <w:p w14:paraId="3940E68F" w14:textId="77777777" w:rsidR="00FE291A" w:rsidRDefault="00C8738F">
      <w:pPr>
        <w:pStyle w:val="BodyText"/>
        <w:widowControl/>
        <w:kinsoku w:val="0"/>
        <w:overflowPunct w:val="0"/>
        <w:ind w:left="0"/>
        <w:rPr>
          <w:lang w:val="de-DE"/>
        </w:rPr>
      </w:pPr>
      <w:r>
        <w:rPr>
          <w:lang w:val="de-DE"/>
        </w:rPr>
        <w:t xml:space="preserve">Die Psoriasisstudie III (REACH) verglich die Wirksamkeit und Sicherheit von Adalimumab </w:t>
      </w:r>
      <w:r>
        <w:rPr>
          <w:i/>
          <w:iCs/>
          <w:lang w:val="de-DE"/>
        </w:rPr>
        <w:t xml:space="preserve">versus </w:t>
      </w:r>
      <w:r>
        <w:rPr>
          <w:lang w:val="de-DE"/>
        </w:rPr>
        <w:t xml:space="preserve">Placebo an 72 Patienten mit mittelschwerer bis schwerer chronischer Plaque-Psoriasis und Hand- und/oder Fußpsoriasis. Die Patienten erhielten 16 Wochen lang nach einer Anfangsdosis von 80 mg Adalimumab jede zweite Woche 40 mg (beginnend eine Woche nach der Anfangsdosis) oder Placebo. In Woche 16 erreichte ein statistisch signifikant größerer Anteil an Patienten, die Adalimumab erhielten, den PGA „erscheinungsfrei“ oder „fast erscheinungsfrei“ für die Hände und/oder Füße im Vergleich zu Patienten, die Placebo erhielten (30,6 % </w:t>
      </w:r>
      <w:r>
        <w:rPr>
          <w:i/>
          <w:iCs/>
          <w:lang w:val="de-DE"/>
        </w:rPr>
        <w:t xml:space="preserve">versus </w:t>
      </w:r>
      <w:r>
        <w:rPr>
          <w:lang w:val="de-DE"/>
        </w:rPr>
        <w:t>4,3 % [p = 0,014]).</w:t>
      </w:r>
    </w:p>
    <w:p w14:paraId="09D9DB7D" w14:textId="77777777" w:rsidR="00FE291A" w:rsidRDefault="00FE291A">
      <w:pPr>
        <w:pStyle w:val="BodyText"/>
        <w:widowControl/>
        <w:kinsoku w:val="0"/>
        <w:overflowPunct w:val="0"/>
        <w:ind w:left="0"/>
        <w:rPr>
          <w:lang w:val="de-DE"/>
        </w:rPr>
      </w:pPr>
    </w:p>
    <w:p w14:paraId="05C5EE3B" w14:textId="77777777" w:rsidR="00FE291A" w:rsidRDefault="00C8738F">
      <w:pPr>
        <w:pStyle w:val="BodyText"/>
        <w:widowControl/>
        <w:kinsoku w:val="0"/>
        <w:overflowPunct w:val="0"/>
        <w:ind w:left="0"/>
        <w:rPr>
          <w:lang w:val="de-DE"/>
        </w:rPr>
      </w:pPr>
      <w:r>
        <w:rPr>
          <w:lang w:val="de-DE"/>
        </w:rPr>
        <w:t xml:space="preserve">Die Psoriasisstudie IV verglich die Wirksamkeit und Sicherheit von Adalimumab versus Placebo an 217 Erwachsenen mit mittelschwerer bis schwerer Nagel-Psoriasis. Nach einer Anfangsdosis von 80 mg Adalimumab erhielten die Patienten 26 Wochen lang jede zweite Woche 40 mg Adalimumab (beginnend eine Woche nach der Anfangsdosis) oder Placebo. Im Anschluss erhielten sie über 26 weitere Wochen eine offene Adalimumab-Behandlung. Die Nagel-Psoriasis wurde anhand des </w:t>
      </w:r>
      <w:r>
        <w:rPr>
          <w:i/>
          <w:lang w:val="de-DE"/>
        </w:rPr>
        <w:t>Modified Nail Psoriasis Severity Index</w:t>
      </w:r>
      <w:r>
        <w:rPr>
          <w:lang w:val="de-DE"/>
        </w:rPr>
        <w:t xml:space="preserve"> (mNAPSI), des </w:t>
      </w:r>
      <w:r>
        <w:rPr>
          <w:i/>
          <w:lang w:val="de-DE"/>
        </w:rPr>
        <w:t>Physician’s Global Assessment of Fingernail Psoriasis</w:t>
      </w:r>
      <w:r>
        <w:rPr>
          <w:lang w:val="de-DE"/>
        </w:rPr>
        <w:t xml:space="preserve"> (PGA-F) und des </w:t>
      </w:r>
      <w:r>
        <w:rPr>
          <w:i/>
          <w:lang w:val="de-DE"/>
        </w:rPr>
        <w:t>Nail Psoriasis Severity Index</w:t>
      </w:r>
      <w:r>
        <w:rPr>
          <w:lang w:val="de-DE"/>
        </w:rPr>
        <w:t xml:space="preserve"> (NAPSI) beurteilt (siehe Tabelle 18). Adalimumab zeigte einen therapeutischen Nutzen bei Nagel-Psoriasis-Patienten mit unterschiedlichem Ausmaß der Hautbeteiligung (KOF ≥ 10 % (60 % der Patienten) sowie KOF &lt; 10 % und ≥ 5 % (40 % der Patienten)).</w:t>
      </w:r>
    </w:p>
    <w:p w14:paraId="1550FA2B" w14:textId="77777777" w:rsidR="00FE291A" w:rsidRDefault="00FE291A">
      <w:pPr>
        <w:widowControl/>
        <w:kinsoku w:val="0"/>
        <w:overflowPunct w:val="0"/>
        <w:rPr>
          <w:sz w:val="22"/>
          <w:szCs w:val="22"/>
          <w:lang w:val="de-DE"/>
        </w:rPr>
      </w:pPr>
    </w:p>
    <w:p w14:paraId="5E9A07F4" w14:textId="77777777" w:rsidR="00FE291A" w:rsidRDefault="00C8738F">
      <w:pPr>
        <w:keepNext/>
        <w:rPr>
          <w:b/>
          <w:sz w:val="22"/>
          <w:szCs w:val="22"/>
          <w:lang w:val="de-DE"/>
        </w:rPr>
      </w:pPr>
      <w:r>
        <w:rPr>
          <w:b/>
          <w:sz w:val="22"/>
          <w:szCs w:val="22"/>
          <w:lang w:val="de-DE"/>
        </w:rPr>
        <w:t>Tabelle 18: Ergebnisse zur Wirksamkeit in der Psoriasisstudie IV nach 16, 26 und 52 Wochen</w:t>
      </w:r>
    </w:p>
    <w:p w14:paraId="56300EA8" w14:textId="77777777" w:rsidR="00FE291A" w:rsidRDefault="00FE291A">
      <w:pPr>
        <w:keepNext/>
        <w:rPr>
          <w:sz w:val="22"/>
          <w:szCs w:val="22"/>
          <w:lang w:val="de-DE"/>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610"/>
        <w:gridCol w:w="1042"/>
        <w:gridCol w:w="1451"/>
        <w:gridCol w:w="1101"/>
        <w:gridCol w:w="1451"/>
        <w:gridCol w:w="1813"/>
      </w:tblGrid>
      <w:tr w:rsidR="00FE291A" w14:paraId="2C943E81" w14:textId="77777777">
        <w:trPr>
          <w:cantSplit/>
          <w:tblHeader/>
        </w:trPr>
        <w:tc>
          <w:tcPr>
            <w:tcW w:w="2610" w:type="dxa"/>
            <w:vMerge w:val="restart"/>
          </w:tcPr>
          <w:p w14:paraId="0CAF15E8" w14:textId="77777777" w:rsidR="00FE291A" w:rsidRDefault="00C8738F">
            <w:pPr>
              <w:pStyle w:val="gtctablespaceafter"/>
              <w:keepNext/>
              <w:suppressAutoHyphens/>
              <w:spacing w:after="0"/>
              <w:rPr>
                <w:b/>
                <w:bCs/>
                <w:sz w:val="22"/>
                <w:szCs w:val="22"/>
              </w:rPr>
            </w:pPr>
            <w:r>
              <w:rPr>
                <w:b/>
                <w:bCs/>
                <w:sz w:val="22"/>
                <w:szCs w:val="22"/>
              </w:rPr>
              <w:t>Endpunkt</w:t>
            </w:r>
          </w:p>
        </w:tc>
        <w:tc>
          <w:tcPr>
            <w:tcW w:w="2493" w:type="dxa"/>
            <w:gridSpan w:val="2"/>
          </w:tcPr>
          <w:p w14:paraId="33E814B6" w14:textId="77777777" w:rsidR="00FE291A" w:rsidRDefault="00C8738F">
            <w:pPr>
              <w:pStyle w:val="gtctablespaceafter"/>
              <w:keepNext/>
              <w:suppressAutoHyphens/>
              <w:spacing w:after="0"/>
              <w:jc w:val="center"/>
              <w:rPr>
                <w:b/>
                <w:sz w:val="22"/>
                <w:szCs w:val="22"/>
              </w:rPr>
            </w:pPr>
            <w:r>
              <w:rPr>
                <w:b/>
                <w:sz w:val="22"/>
                <w:szCs w:val="22"/>
              </w:rPr>
              <w:t>Woche 16</w:t>
            </w:r>
          </w:p>
          <w:p w14:paraId="696F6321" w14:textId="77777777" w:rsidR="00FE291A" w:rsidRDefault="00C8738F">
            <w:pPr>
              <w:pStyle w:val="gtctablespaceafter"/>
              <w:keepNext/>
              <w:suppressAutoHyphens/>
              <w:spacing w:after="0"/>
              <w:jc w:val="center"/>
              <w:rPr>
                <w:b/>
                <w:sz w:val="22"/>
                <w:szCs w:val="22"/>
              </w:rPr>
            </w:pPr>
            <w:r>
              <w:rPr>
                <w:b/>
                <w:sz w:val="22"/>
                <w:szCs w:val="22"/>
              </w:rPr>
              <w:t>placebokontrolliert</w:t>
            </w:r>
          </w:p>
        </w:tc>
        <w:tc>
          <w:tcPr>
            <w:tcW w:w="2552" w:type="dxa"/>
            <w:gridSpan w:val="2"/>
          </w:tcPr>
          <w:p w14:paraId="713AE118" w14:textId="77777777" w:rsidR="00FE291A" w:rsidRDefault="00C8738F">
            <w:pPr>
              <w:pStyle w:val="gtctablespaceafter"/>
              <w:keepNext/>
              <w:suppressAutoHyphens/>
              <w:spacing w:after="0"/>
              <w:jc w:val="center"/>
              <w:rPr>
                <w:b/>
                <w:sz w:val="22"/>
                <w:szCs w:val="22"/>
              </w:rPr>
            </w:pPr>
            <w:r>
              <w:rPr>
                <w:b/>
                <w:sz w:val="22"/>
                <w:szCs w:val="22"/>
              </w:rPr>
              <w:t>Woche 26</w:t>
            </w:r>
          </w:p>
          <w:p w14:paraId="7ADA5C70" w14:textId="77777777" w:rsidR="00FE291A" w:rsidRDefault="00C8738F">
            <w:pPr>
              <w:pStyle w:val="gtctablespaceafter"/>
              <w:keepNext/>
              <w:suppressAutoHyphens/>
              <w:spacing w:after="0"/>
              <w:jc w:val="center"/>
              <w:rPr>
                <w:b/>
                <w:sz w:val="22"/>
                <w:szCs w:val="22"/>
              </w:rPr>
            </w:pPr>
            <w:r>
              <w:rPr>
                <w:b/>
                <w:sz w:val="22"/>
                <w:szCs w:val="22"/>
              </w:rPr>
              <w:t>placebokontrolliert</w:t>
            </w:r>
          </w:p>
        </w:tc>
        <w:tc>
          <w:tcPr>
            <w:tcW w:w="1813" w:type="dxa"/>
          </w:tcPr>
          <w:p w14:paraId="2619254E" w14:textId="77777777" w:rsidR="00FE291A" w:rsidRDefault="00C8738F">
            <w:pPr>
              <w:pStyle w:val="gtctablespaceafter"/>
              <w:keepNext/>
              <w:suppressAutoHyphens/>
              <w:spacing w:after="0"/>
              <w:jc w:val="center"/>
              <w:rPr>
                <w:b/>
                <w:sz w:val="22"/>
                <w:szCs w:val="22"/>
              </w:rPr>
            </w:pPr>
            <w:r>
              <w:rPr>
                <w:b/>
                <w:sz w:val="22"/>
                <w:szCs w:val="22"/>
              </w:rPr>
              <w:t>Woche 52</w:t>
            </w:r>
          </w:p>
          <w:p w14:paraId="2DB8FB7A" w14:textId="77777777" w:rsidR="00FE291A" w:rsidRDefault="00C8738F">
            <w:pPr>
              <w:pStyle w:val="gtctablespaceafter"/>
              <w:keepNext/>
              <w:suppressAutoHyphens/>
              <w:spacing w:after="0"/>
              <w:jc w:val="center"/>
              <w:rPr>
                <w:b/>
                <w:sz w:val="22"/>
                <w:szCs w:val="22"/>
              </w:rPr>
            </w:pPr>
            <w:r>
              <w:rPr>
                <w:b/>
                <w:sz w:val="22"/>
                <w:szCs w:val="22"/>
              </w:rPr>
              <w:t>offen</w:t>
            </w:r>
          </w:p>
        </w:tc>
      </w:tr>
      <w:tr w:rsidR="00FE291A" w:rsidRPr="002E6CD3" w14:paraId="48008D26" w14:textId="77777777">
        <w:trPr>
          <w:cantSplit/>
          <w:tblHeader/>
        </w:trPr>
        <w:tc>
          <w:tcPr>
            <w:tcW w:w="2610" w:type="dxa"/>
            <w:vMerge/>
          </w:tcPr>
          <w:p w14:paraId="4E2EA3C5" w14:textId="77777777" w:rsidR="00FE291A" w:rsidRDefault="00FE291A">
            <w:pPr>
              <w:pStyle w:val="gtctablespaceafter"/>
              <w:keepNext/>
              <w:suppressAutoHyphens/>
              <w:spacing w:after="0"/>
              <w:rPr>
                <w:sz w:val="22"/>
                <w:szCs w:val="22"/>
              </w:rPr>
            </w:pPr>
          </w:p>
        </w:tc>
        <w:tc>
          <w:tcPr>
            <w:tcW w:w="1042" w:type="dxa"/>
          </w:tcPr>
          <w:p w14:paraId="6E4D8C4A" w14:textId="77777777" w:rsidR="00FE291A" w:rsidRDefault="00C8738F">
            <w:pPr>
              <w:pStyle w:val="gtctablespaceafter"/>
              <w:keepNext/>
              <w:suppressAutoHyphens/>
              <w:spacing w:after="0"/>
              <w:jc w:val="center"/>
              <w:rPr>
                <w:b/>
                <w:bCs/>
                <w:sz w:val="22"/>
                <w:szCs w:val="22"/>
              </w:rPr>
            </w:pPr>
            <w:r>
              <w:rPr>
                <w:b/>
                <w:bCs/>
                <w:sz w:val="22"/>
                <w:szCs w:val="22"/>
              </w:rPr>
              <w:t>Placebo</w:t>
            </w:r>
            <w:r>
              <w:rPr>
                <w:b/>
                <w:bCs/>
                <w:sz w:val="22"/>
                <w:szCs w:val="22"/>
              </w:rPr>
              <w:br/>
              <w:t>n = 108</w:t>
            </w:r>
          </w:p>
        </w:tc>
        <w:tc>
          <w:tcPr>
            <w:tcW w:w="1451" w:type="dxa"/>
          </w:tcPr>
          <w:p w14:paraId="300BD6EA" w14:textId="77777777" w:rsidR="00FE291A" w:rsidRDefault="00C8738F">
            <w:pPr>
              <w:pStyle w:val="In-texttable"/>
              <w:suppressAutoHyphens/>
              <w:spacing w:line="240" w:lineRule="auto"/>
              <w:jc w:val="center"/>
              <w:rPr>
                <w:rFonts w:ascii="Times New Roman" w:hAnsi="Times New Roman"/>
                <w:b/>
                <w:bCs/>
                <w:sz w:val="22"/>
                <w:szCs w:val="22"/>
                <w:lang w:val="de-DE"/>
              </w:rPr>
            </w:pPr>
            <w:r>
              <w:rPr>
                <w:rFonts w:ascii="Times New Roman" w:hAnsi="Times New Roman"/>
                <w:b/>
                <w:bCs/>
                <w:sz w:val="22"/>
                <w:szCs w:val="22"/>
                <w:lang w:val="de-DE"/>
              </w:rPr>
              <w:t>Adalimumab</w:t>
            </w:r>
          </w:p>
          <w:p w14:paraId="5140955D" w14:textId="77777777" w:rsidR="00FE291A" w:rsidRDefault="00C8738F">
            <w:pPr>
              <w:pStyle w:val="gtctablespaceafter"/>
              <w:keepNext/>
              <w:suppressAutoHyphens/>
              <w:spacing w:after="0"/>
              <w:jc w:val="center"/>
              <w:rPr>
                <w:b/>
                <w:bCs/>
                <w:sz w:val="22"/>
                <w:szCs w:val="22"/>
              </w:rPr>
            </w:pPr>
            <w:r>
              <w:rPr>
                <w:b/>
                <w:bCs/>
                <w:sz w:val="22"/>
                <w:szCs w:val="22"/>
              </w:rPr>
              <w:t xml:space="preserve">40 mg jede zweite Woche </w:t>
            </w:r>
            <w:r>
              <w:rPr>
                <w:b/>
                <w:bCs/>
                <w:sz w:val="22"/>
                <w:szCs w:val="22"/>
              </w:rPr>
              <w:br/>
              <w:t>n = 109</w:t>
            </w:r>
          </w:p>
        </w:tc>
        <w:tc>
          <w:tcPr>
            <w:tcW w:w="1101" w:type="dxa"/>
          </w:tcPr>
          <w:p w14:paraId="35AF0021" w14:textId="77777777" w:rsidR="00FE291A" w:rsidRDefault="00C8738F">
            <w:pPr>
              <w:pStyle w:val="gtctablespaceafter"/>
              <w:keepNext/>
              <w:suppressAutoHyphens/>
              <w:spacing w:after="0"/>
              <w:jc w:val="center"/>
              <w:rPr>
                <w:b/>
                <w:bCs/>
                <w:sz w:val="22"/>
                <w:szCs w:val="22"/>
              </w:rPr>
            </w:pPr>
            <w:r>
              <w:rPr>
                <w:b/>
                <w:bCs/>
                <w:sz w:val="22"/>
                <w:szCs w:val="22"/>
              </w:rPr>
              <w:t>Placebo</w:t>
            </w:r>
            <w:r>
              <w:rPr>
                <w:b/>
                <w:bCs/>
                <w:sz w:val="22"/>
                <w:szCs w:val="22"/>
              </w:rPr>
              <w:br/>
              <w:t>n = 108</w:t>
            </w:r>
          </w:p>
        </w:tc>
        <w:tc>
          <w:tcPr>
            <w:tcW w:w="1451" w:type="dxa"/>
          </w:tcPr>
          <w:p w14:paraId="15A4C8AF" w14:textId="77777777" w:rsidR="00FE291A" w:rsidRDefault="00C8738F">
            <w:pPr>
              <w:pStyle w:val="In-texttable"/>
              <w:suppressAutoHyphens/>
              <w:spacing w:line="240" w:lineRule="auto"/>
              <w:jc w:val="center"/>
              <w:rPr>
                <w:rFonts w:ascii="Times New Roman" w:hAnsi="Times New Roman"/>
                <w:b/>
                <w:bCs/>
                <w:sz w:val="22"/>
                <w:szCs w:val="22"/>
                <w:lang w:val="de-DE"/>
              </w:rPr>
            </w:pPr>
            <w:r>
              <w:rPr>
                <w:rFonts w:ascii="Times New Roman" w:hAnsi="Times New Roman"/>
                <w:b/>
                <w:bCs/>
                <w:sz w:val="22"/>
                <w:szCs w:val="22"/>
                <w:lang w:val="de-DE"/>
              </w:rPr>
              <w:t>Adalimumab</w:t>
            </w:r>
          </w:p>
          <w:p w14:paraId="6DB39B1E" w14:textId="77777777" w:rsidR="00FE291A" w:rsidRDefault="00C8738F">
            <w:pPr>
              <w:pStyle w:val="gtctablespaceafter"/>
              <w:keepNext/>
              <w:suppressAutoHyphens/>
              <w:spacing w:after="0"/>
              <w:jc w:val="center"/>
              <w:rPr>
                <w:b/>
                <w:bCs/>
                <w:sz w:val="22"/>
                <w:szCs w:val="22"/>
              </w:rPr>
            </w:pPr>
            <w:r>
              <w:rPr>
                <w:b/>
                <w:bCs/>
                <w:sz w:val="22"/>
                <w:szCs w:val="22"/>
              </w:rPr>
              <w:t xml:space="preserve">40 mg jede zweite Woche </w:t>
            </w:r>
            <w:r>
              <w:rPr>
                <w:b/>
                <w:bCs/>
                <w:sz w:val="22"/>
                <w:szCs w:val="22"/>
              </w:rPr>
              <w:br/>
              <w:t>n = 109</w:t>
            </w:r>
          </w:p>
        </w:tc>
        <w:tc>
          <w:tcPr>
            <w:tcW w:w="1813" w:type="dxa"/>
          </w:tcPr>
          <w:p w14:paraId="1E52BAEC" w14:textId="77777777" w:rsidR="00FE291A" w:rsidRDefault="00C8738F">
            <w:pPr>
              <w:pStyle w:val="In-texttable"/>
              <w:suppressAutoHyphens/>
              <w:spacing w:line="240" w:lineRule="auto"/>
              <w:jc w:val="center"/>
              <w:rPr>
                <w:rFonts w:ascii="Times New Roman" w:hAnsi="Times New Roman"/>
                <w:b/>
                <w:bCs/>
                <w:sz w:val="22"/>
                <w:szCs w:val="22"/>
                <w:lang w:val="de-DE"/>
              </w:rPr>
            </w:pPr>
            <w:r>
              <w:rPr>
                <w:rFonts w:ascii="Times New Roman" w:hAnsi="Times New Roman"/>
                <w:b/>
                <w:bCs/>
                <w:sz w:val="22"/>
                <w:szCs w:val="22"/>
                <w:lang w:val="de-DE"/>
              </w:rPr>
              <w:t>Adalimumab</w:t>
            </w:r>
          </w:p>
          <w:p w14:paraId="66D9AE4C" w14:textId="77777777" w:rsidR="00FE291A" w:rsidRDefault="00C8738F">
            <w:pPr>
              <w:pStyle w:val="gtctablespaceafter"/>
              <w:keepNext/>
              <w:suppressAutoHyphens/>
              <w:spacing w:after="0"/>
              <w:jc w:val="center"/>
              <w:rPr>
                <w:b/>
                <w:bCs/>
                <w:sz w:val="22"/>
                <w:szCs w:val="22"/>
              </w:rPr>
            </w:pPr>
            <w:r>
              <w:rPr>
                <w:b/>
                <w:bCs/>
                <w:sz w:val="22"/>
                <w:szCs w:val="22"/>
              </w:rPr>
              <w:t xml:space="preserve">40 mg jede zweite Woche </w:t>
            </w:r>
            <w:r>
              <w:rPr>
                <w:b/>
                <w:bCs/>
                <w:sz w:val="22"/>
                <w:szCs w:val="22"/>
              </w:rPr>
              <w:br/>
              <w:t>n = 80</w:t>
            </w:r>
          </w:p>
        </w:tc>
      </w:tr>
      <w:tr w:rsidR="00FE291A" w14:paraId="1C1AD377" w14:textId="77777777">
        <w:trPr>
          <w:cantSplit/>
        </w:trPr>
        <w:tc>
          <w:tcPr>
            <w:tcW w:w="2610" w:type="dxa"/>
          </w:tcPr>
          <w:p w14:paraId="5833C817" w14:textId="77777777" w:rsidR="00FE291A" w:rsidRDefault="00C8738F">
            <w:pPr>
              <w:pStyle w:val="gtctablespaceafter"/>
              <w:suppressAutoHyphens/>
              <w:spacing w:after="0"/>
              <w:rPr>
                <w:sz w:val="22"/>
                <w:szCs w:val="22"/>
              </w:rPr>
            </w:pPr>
            <w:r>
              <w:rPr>
                <w:sz w:val="22"/>
                <w:szCs w:val="22"/>
              </w:rPr>
              <w:t>≥ mNAPSI 75 (%)</w:t>
            </w:r>
          </w:p>
        </w:tc>
        <w:tc>
          <w:tcPr>
            <w:tcW w:w="1042" w:type="dxa"/>
          </w:tcPr>
          <w:p w14:paraId="558FF9AA" w14:textId="77777777" w:rsidR="00FE291A" w:rsidRDefault="00C8738F">
            <w:pPr>
              <w:pStyle w:val="gtctablespaceafter"/>
              <w:suppressAutoHyphens/>
              <w:spacing w:after="0"/>
              <w:jc w:val="center"/>
              <w:rPr>
                <w:sz w:val="22"/>
                <w:szCs w:val="22"/>
              </w:rPr>
            </w:pPr>
            <w:r>
              <w:rPr>
                <w:sz w:val="22"/>
                <w:szCs w:val="22"/>
              </w:rPr>
              <w:t>2,9</w:t>
            </w:r>
          </w:p>
        </w:tc>
        <w:tc>
          <w:tcPr>
            <w:tcW w:w="1451" w:type="dxa"/>
          </w:tcPr>
          <w:p w14:paraId="0F69CA66" w14:textId="77777777" w:rsidR="00FE291A" w:rsidRDefault="00C8738F">
            <w:pPr>
              <w:pStyle w:val="gtctablespaceafter"/>
              <w:suppressAutoHyphens/>
              <w:spacing w:after="0"/>
              <w:jc w:val="center"/>
              <w:rPr>
                <w:sz w:val="22"/>
                <w:szCs w:val="22"/>
              </w:rPr>
            </w:pPr>
            <w:r>
              <w:rPr>
                <w:sz w:val="22"/>
                <w:szCs w:val="22"/>
              </w:rPr>
              <w:t>26,0</w:t>
            </w:r>
            <w:r>
              <w:rPr>
                <w:sz w:val="22"/>
                <w:szCs w:val="22"/>
                <w:vertAlign w:val="superscript"/>
              </w:rPr>
              <w:t>a</w:t>
            </w:r>
          </w:p>
        </w:tc>
        <w:tc>
          <w:tcPr>
            <w:tcW w:w="1101" w:type="dxa"/>
          </w:tcPr>
          <w:p w14:paraId="68866426" w14:textId="77777777" w:rsidR="00FE291A" w:rsidRDefault="00C8738F">
            <w:pPr>
              <w:suppressAutoHyphens/>
              <w:jc w:val="center"/>
              <w:rPr>
                <w:sz w:val="22"/>
                <w:szCs w:val="22"/>
                <w:lang w:val="de-DE"/>
              </w:rPr>
            </w:pPr>
            <w:r>
              <w:rPr>
                <w:sz w:val="22"/>
                <w:szCs w:val="22"/>
                <w:lang w:val="de-DE"/>
              </w:rPr>
              <w:t>3,4</w:t>
            </w:r>
          </w:p>
        </w:tc>
        <w:tc>
          <w:tcPr>
            <w:tcW w:w="1451" w:type="dxa"/>
          </w:tcPr>
          <w:p w14:paraId="06BCEF62" w14:textId="77777777" w:rsidR="00FE291A" w:rsidRDefault="00C8738F">
            <w:pPr>
              <w:suppressAutoHyphens/>
              <w:jc w:val="center"/>
              <w:rPr>
                <w:sz w:val="22"/>
                <w:szCs w:val="22"/>
                <w:lang w:val="de-DE"/>
              </w:rPr>
            </w:pPr>
            <w:r>
              <w:rPr>
                <w:sz w:val="22"/>
                <w:szCs w:val="22"/>
                <w:lang w:val="de-DE"/>
              </w:rPr>
              <w:t>46,6</w:t>
            </w:r>
            <w:r>
              <w:rPr>
                <w:sz w:val="22"/>
                <w:szCs w:val="22"/>
                <w:vertAlign w:val="superscript"/>
                <w:lang w:val="de-DE"/>
              </w:rPr>
              <w:t>a</w:t>
            </w:r>
          </w:p>
        </w:tc>
        <w:tc>
          <w:tcPr>
            <w:tcW w:w="1813" w:type="dxa"/>
          </w:tcPr>
          <w:p w14:paraId="19383375" w14:textId="77777777" w:rsidR="00FE291A" w:rsidRDefault="00C8738F">
            <w:pPr>
              <w:pStyle w:val="gtctablespaceafter"/>
              <w:suppressAutoHyphens/>
              <w:spacing w:after="0"/>
              <w:jc w:val="center"/>
              <w:rPr>
                <w:sz w:val="22"/>
                <w:szCs w:val="22"/>
              </w:rPr>
            </w:pPr>
            <w:r>
              <w:rPr>
                <w:sz w:val="22"/>
                <w:szCs w:val="22"/>
              </w:rPr>
              <w:t>65,0</w:t>
            </w:r>
          </w:p>
        </w:tc>
      </w:tr>
      <w:tr w:rsidR="00FE291A" w14:paraId="1C4BFBD3" w14:textId="77777777">
        <w:trPr>
          <w:cantSplit/>
        </w:trPr>
        <w:tc>
          <w:tcPr>
            <w:tcW w:w="2610" w:type="dxa"/>
          </w:tcPr>
          <w:p w14:paraId="4C2F4C67" w14:textId="77777777" w:rsidR="00FE291A" w:rsidRDefault="00C8738F">
            <w:pPr>
              <w:pStyle w:val="gtctablespaceafter"/>
              <w:suppressAutoHyphens/>
              <w:spacing w:after="0"/>
              <w:rPr>
                <w:sz w:val="22"/>
                <w:szCs w:val="22"/>
              </w:rPr>
            </w:pPr>
            <w:r>
              <w:rPr>
                <w:sz w:val="22"/>
                <w:szCs w:val="22"/>
              </w:rPr>
              <w:t>PGA-F erscheinungsfrei/minimal und Verbesserung um ≥ 2 Stufen (%)</w:t>
            </w:r>
          </w:p>
        </w:tc>
        <w:tc>
          <w:tcPr>
            <w:tcW w:w="1042" w:type="dxa"/>
          </w:tcPr>
          <w:p w14:paraId="4D92F2E5" w14:textId="77777777" w:rsidR="00FE291A" w:rsidRDefault="00C8738F">
            <w:pPr>
              <w:pStyle w:val="gtctablespaceafter"/>
              <w:suppressAutoHyphens/>
              <w:spacing w:after="0"/>
              <w:jc w:val="center"/>
              <w:rPr>
                <w:sz w:val="22"/>
                <w:szCs w:val="22"/>
              </w:rPr>
            </w:pPr>
            <w:r>
              <w:rPr>
                <w:sz w:val="22"/>
                <w:szCs w:val="22"/>
              </w:rPr>
              <w:t>2,9</w:t>
            </w:r>
          </w:p>
        </w:tc>
        <w:tc>
          <w:tcPr>
            <w:tcW w:w="1451" w:type="dxa"/>
          </w:tcPr>
          <w:p w14:paraId="197D0F1D" w14:textId="77777777" w:rsidR="00FE291A" w:rsidRDefault="00C8738F">
            <w:pPr>
              <w:pStyle w:val="gtctablespaceafter"/>
              <w:suppressAutoHyphens/>
              <w:spacing w:after="0"/>
              <w:jc w:val="center"/>
              <w:rPr>
                <w:sz w:val="22"/>
                <w:szCs w:val="22"/>
              </w:rPr>
            </w:pPr>
            <w:r>
              <w:rPr>
                <w:sz w:val="22"/>
                <w:szCs w:val="22"/>
              </w:rPr>
              <w:t>29,7</w:t>
            </w:r>
            <w:r>
              <w:rPr>
                <w:sz w:val="22"/>
                <w:szCs w:val="22"/>
                <w:vertAlign w:val="superscript"/>
              </w:rPr>
              <w:t>a</w:t>
            </w:r>
          </w:p>
        </w:tc>
        <w:tc>
          <w:tcPr>
            <w:tcW w:w="1101" w:type="dxa"/>
          </w:tcPr>
          <w:p w14:paraId="6DB98FCB" w14:textId="77777777" w:rsidR="00FE291A" w:rsidRDefault="00C8738F">
            <w:pPr>
              <w:suppressAutoHyphens/>
              <w:jc w:val="center"/>
              <w:rPr>
                <w:sz w:val="22"/>
                <w:szCs w:val="22"/>
                <w:lang w:val="de-DE"/>
              </w:rPr>
            </w:pPr>
            <w:r>
              <w:rPr>
                <w:sz w:val="22"/>
                <w:szCs w:val="22"/>
                <w:lang w:val="de-DE"/>
              </w:rPr>
              <w:t>6,9</w:t>
            </w:r>
          </w:p>
        </w:tc>
        <w:tc>
          <w:tcPr>
            <w:tcW w:w="1451" w:type="dxa"/>
          </w:tcPr>
          <w:p w14:paraId="02CE4ACC" w14:textId="77777777" w:rsidR="00FE291A" w:rsidRDefault="00C8738F">
            <w:pPr>
              <w:suppressAutoHyphens/>
              <w:jc w:val="center"/>
              <w:rPr>
                <w:sz w:val="22"/>
                <w:szCs w:val="22"/>
                <w:lang w:val="de-DE"/>
              </w:rPr>
            </w:pPr>
            <w:r>
              <w:rPr>
                <w:sz w:val="22"/>
                <w:szCs w:val="22"/>
                <w:lang w:val="de-DE"/>
              </w:rPr>
              <w:t>48,9</w:t>
            </w:r>
            <w:r>
              <w:rPr>
                <w:sz w:val="22"/>
                <w:szCs w:val="22"/>
                <w:vertAlign w:val="superscript"/>
                <w:lang w:val="de-DE"/>
              </w:rPr>
              <w:t>a</w:t>
            </w:r>
          </w:p>
        </w:tc>
        <w:tc>
          <w:tcPr>
            <w:tcW w:w="1813" w:type="dxa"/>
          </w:tcPr>
          <w:p w14:paraId="3F1824E3" w14:textId="77777777" w:rsidR="00FE291A" w:rsidRDefault="00C8738F">
            <w:pPr>
              <w:pStyle w:val="gtctablespaceafter"/>
              <w:suppressAutoHyphens/>
              <w:spacing w:after="0"/>
              <w:jc w:val="center"/>
              <w:rPr>
                <w:sz w:val="22"/>
                <w:szCs w:val="22"/>
              </w:rPr>
            </w:pPr>
            <w:r>
              <w:rPr>
                <w:sz w:val="22"/>
                <w:szCs w:val="22"/>
              </w:rPr>
              <w:t>61,3</w:t>
            </w:r>
          </w:p>
        </w:tc>
      </w:tr>
      <w:tr w:rsidR="00FE291A" w14:paraId="05E0C25A" w14:textId="77777777">
        <w:trPr>
          <w:cantSplit/>
        </w:trPr>
        <w:tc>
          <w:tcPr>
            <w:tcW w:w="2610" w:type="dxa"/>
          </w:tcPr>
          <w:p w14:paraId="2A089297" w14:textId="77777777" w:rsidR="00FE291A" w:rsidRDefault="00C8738F">
            <w:pPr>
              <w:pStyle w:val="gtctablespaceafter"/>
              <w:keepNext/>
              <w:suppressAutoHyphens/>
              <w:spacing w:after="0"/>
              <w:rPr>
                <w:sz w:val="22"/>
                <w:szCs w:val="22"/>
              </w:rPr>
            </w:pPr>
            <w:r>
              <w:rPr>
                <w:sz w:val="22"/>
                <w:szCs w:val="22"/>
              </w:rPr>
              <w:t>Prozentuale Veränderung des NAPSI bei allen Fingernägeln (%)</w:t>
            </w:r>
          </w:p>
        </w:tc>
        <w:tc>
          <w:tcPr>
            <w:tcW w:w="1042" w:type="dxa"/>
          </w:tcPr>
          <w:p w14:paraId="25EC6287" w14:textId="77777777" w:rsidR="00FE291A" w:rsidRDefault="00C8738F">
            <w:pPr>
              <w:pStyle w:val="gtctablespaceafter"/>
              <w:keepNext/>
              <w:suppressAutoHyphens/>
              <w:spacing w:after="0"/>
              <w:jc w:val="center"/>
              <w:rPr>
                <w:sz w:val="22"/>
                <w:szCs w:val="22"/>
              </w:rPr>
            </w:pPr>
            <w:r>
              <w:rPr>
                <w:sz w:val="22"/>
                <w:szCs w:val="22"/>
              </w:rPr>
              <w:t>-7,8</w:t>
            </w:r>
          </w:p>
        </w:tc>
        <w:tc>
          <w:tcPr>
            <w:tcW w:w="1451" w:type="dxa"/>
          </w:tcPr>
          <w:p w14:paraId="788CAD4E" w14:textId="77777777" w:rsidR="00FE291A" w:rsidRDefault="00C8738F">
            <w:pPr>
              <w:pStyle w:val="gtctablespaceafter"/>
              <w:keepNext/>
              <w:suppressAutoHyphens/>
              <w:spacing w:after="0"/>
              <w:jc w:val="center"/>
              <w:rPr>
                <w:sz w:val="22"/>
                <w:szCs w:val="22"/>
              </w:rPr>
            </w:pPr>
            <w:r>
              <w:rPr>
                <w:sz w:val="22"/>
                <w:szCs w:val="22"/>
              </w:rPr>
              <w:t>-44,2</w:t>
            </w:r>
            <w:r>
              <w:rPr>
                <w:sz w:val="22"/>
                <w:szCs w:val="22"/>
                <w:vertAlign w:val="superscript"/>
              </w:rPr>
              <w:t>a</w:t>
            </w:r>
          </w:p>
        </w:tc>
        <w:tc>
          <w:tcPr>
            <w:tcW w:w="1101" w:type="dxa"/>
          </w:tcPr>
          <w:p w14:paraId="47E1887D" w14:textId="77777777" w:rsidR="00FE291A" w:rsidRDefault="00C8738F">
            <w:pPr>
              <w:keepNext/>
              <w:suppressAutoHyphens/>
              <w:jc w:val="center"/>
              <w:rPr>
                <w:sz w:val="22"/>
                <w:szCs w:val="22"/>
                <w:lang w:val="de-DE"/>
              </w:rPr>
            </w:pPr>
            <w:r>
              <w:rPr>
                <w:sz w:val="22"/>
                <w:szCs w:val="22"/>
                <w:lang w:val="de-DE"/>
              </w:rPr>
              <w:t>-11,5</w:t>
            </w:r>
          </w:p>
        </w:tc>
        <w:tc>
          <w:tcPr>
            <w:tcW w:w="1451" w:type="dxa"/>
          </w:tcPr>
          <w:p w14:paraId="323E06B1" w14:textId="77777777" w:rsidR="00FE291A" w:rsidRDefault="00C8738F">
            <w:pPr>
              <w:keepNext/>
              <w:suppressAutoHyphens/>
              <w:jc w:val="center"/>
              <w:rPr>
                <w:sz w:val="22"/>
                <w:szCs w:val="22"/>
                <w:lang w:val="de-DE"/>
              </w:rPr>
            </w:pPr>
            <w:r>
              <w:rPr>
                <w:sz w:val="22"/>
                <w:szCs w:val="22"/>
                <w:lang w:val="de-DE"/>
              </w:rPr>
              <w:t>-56,2</w:t>
            </w:r>
            <w:r>
              <w:rPr>
                <w:sz w:val="22"/>
                <w:szCs w:val="22"/>
                <w:vertAlign w:val="superscript"/>
                <w:lang w:val="de-DE"/>
              </w:rPr>
              <w:t>a</w:t>
            </w:r>
          </w:p>
        </w:tc>
        <w:tc>
          <w:tcPr>
            <w:tcW w:w="1813" w:type="dxa"/>
          </w:tcPr>
          <w:p w14:paraId="109381A1" w14:textId="77777777" w:rsidR="00FE291A" w:rsidRDefault="00C8738F">
            <w:pPr>
              <w:pStyle w:val="gtctablespaceafter"/>
              <w:keepNext/>
              <w:suppressAutoHyphens/>
              <w:spacing w:after="0"/>
              <w:jc w:val="center"/>
              <w:rPr>
                <w:sz w:val="22"/>
                <w:szCs w:val="22"/>
              </w:rPr>
            </w:pPr>
            <w:r>
              <w:rPr>
                <w:sz w:val="22"/>
                <w:szCs w:val="22"/>
              </w:rPr>
              <w:t>-72,2</w:t>
            </w:r>
          </w:p>
        </w:tc>
      </w:tr>
      <w:tr w:rsidR="00FE291A" w:rsidRPr="00723069" w14:paraId="20FED072" w14:textId="77777777">
        <w:trPr>
          <w:cantSplit/>
        </w:trPr>
        <w:tc>
          <w:tcPr>
            <w:tcW w:w="9468" w:type="dxa"/>
            <w:gridSpan w:val="6"/>
          </w:tcPr>
          <w:p w14:paraId="1A8CA767" w14:textId="77777777" w:rsidR="00FE291A" w:rsidRDefault="00C8738F">
            <w:pPr>
              <w:pStyle w:val="gtctablespaceafter"/>
              <w:suppressAutoHyphens/>
              <w:spacing w:after="0"/>
              <w:rPr>
                <w:sz w:val="22"/>
                <w:szCs w:val="22"/>
              </w:rPr>
            </w:pPr>
            <w:r>
              <w:rPr>
                <w:sz w:val="22"/>
                <w:szCs w:val="22"/>
                <w:vertAlign w:val="superscript"/>
              </w:rPr>
              <w:t>a</w:t>
            </w:r>
            <w:r>
              <w:rPr>
                <w:sz w:val="22"/>
                <w:szCs w:val="22"/>
              </w:rPr>
              <w:t xml:space="preserve"> p &lt; 0,001, Adalimumab gegenüber Placebo </w:t>
            </w:r>
          </w:p>
        </w:tc>
      </w:tr>
    </w:tbl>
    <w:p w14:paraId="6A8F5777" w14:textId="77777777" w:rsidR="00FE291A" w:rsidRDefault="00FE291A">
      <w:pPr>
        <w:rPr>
          <w:sz w:val="22"/>
          <w:szCs w:val="22"/>
          <w:lang w:val="de-DE"/>
        </w:rPr>
      </w:pPr>
    </w:p>
    <w:p w14:paraId="181B56F6" w14:textId="77777777" w:rsidR="00FE291A" w:rsidRDefault="00C8738F">
      <w:pPr>
        <w:widowControl/>
        <w:kinsoku w:val="0"/>
        <w:overflowPunct w:val="0"/>
        <w:rPr>
          <w:sz w:val="22"/>
          <w:szCs w:val="22"/>
          <w:lang w:val="de-DE"/>
        </w:rPr>
      </w:pPr>
      <w:r>
        <w:rPr>
          <w:sz w:val="22"/>
          <w:szCs w:val="22"/>
          <w:lang w:val="de-DE"/>
        </w:rPr>
        <w:t>Die mit Adalimumab behandelten Patienten erreichten in Woche 26 statistisch signifikante Verbesserungen im DLQI verglichen mit Placebo.</w:t>
      </w:r>
    </w:p>
    <w:p w14:paraId="6BE3CFF7" w14:textId="77777777" w:rsidR="00FE291A" w:rsidRDefault="00FE291A">
      <w:pPr>
        <w:widowControl/>
        <w:kinsoku w:val="0"/>
        <w:overflowPunct w:val="0"/>
        <w:rPr>
          <w:sz w:val="22"/>
          <w:szCs w:val="22"/>
          <w:lang w:val="de-DE"/>
        </w:rPr>
      </w:pPr>
    </w:p>
    <w:p w14:paraId="1DAE2434" w14:textId="77777777" w:rsidR="00FE291A" w:rsidRDefault="00C8738F">
      <w:pPr>
        <w:keepNext/>
        <w:widowControl/>
        <w:kinsoku w:val="0"/>
        <w:overflowPunct w:val="0"/>
        <w:rPr>
          <w:sz w:val="22"/>
          <w:szCs w:val="22"/>
          <w:lang w:val="de-DE"/>
        </w:rPr>
      </w:pPr>
      <w:r>
        <w:rPr>
          <w:i/>
          <w:iCs/>
          <w:sz w:val="22"/>
          <w:szCs w:val="22"/>
          <w:lang w:val="de-DE"/>
        </w:rPr>
        <w:t>Hidradenitis suppurativa (Acne inversa)</w:t>
      </w:r>
    </w:p>
    <w:p w14:paraId="3CAFA0E7" w14:textId="77777777" w:rsidR="00FE291A" w:rsidRDefault="00FE291A">
      <w:pPr>
        <w:keepNext/>
        <w:widowControl/>
        <w:kinsoku w:val="0"/>
        <w:overflowPunct w:val="0"/>
        <w:rPr>
          <w:sz w:val="22"/>
          <w:szCs w:val="22"/>
          <w:lang w:val="de-DE"/>
        </w:rPr>
      </w:pPr>
    </w:p>
    <w:p w14:paraId="38BC98BB" w14:textId="77777777" w:rsidR="00FE291A" w:rsidRDefault="00C8738F">
      <w:pPr>
        <w:pStyle w:val="BodyText"/>
        <w:widowControl/>
        <w:kinsoku w:val="0"/>
        <w:overflowPunct w:val="0"/>
        <w:ind w:left="0"/>
        <w:rPr>
          <w:lang w:val="de-DE"/>
        </w:rPr>
      </w:pPr>
      <w:r>
        <w:rPr>
          <w:lang w:val="de-DE"/>
        </w:rPr>
        <w:t>Die Sicherheit und Wirksamkeit von Adalimumab wurden in randomisierten, doppelblinden, placebokontrollierten Studien und in einer offenen Fortsetzungsstudie an erwachsenen Patienten mit mittelschwerer bis schwerer Hidradenitis suppurativa (HS) untersucht. Diese Patienten wiesen eine Unverträglichkeit, eine Kontraindikation oder ein unzureichendes Ansprechen gegenüber einer systemischen antibiotischen Therapie nach einem mindestens 3</w:t>
      </w:r>
      <w:r>
        <w:rPr>
          <w:lang w:val="de-DE"/>
        </w:rPr>
        <w:noBreakHyphen/>
        <w:t>monatigen Behandlungsversuch auf. Die Patienten in den Studien HS-I und HS-II waren in Hurley-Stadium II oder III der Krankheit mit mindestens 3 Abszessen oder entzündlichen Knoten.</w:t>
      </w:r>
    </w:p>
    <w:p w14:paraId="363C1D78" w14:textId="77777777" w:rsidR="00FE291A" w:rsidRDefault="00FE291A">
      <w:pPr>
        <w:widowControl/>
        <w:kinsoku w:val="0"/>
        <w:overflowPunct w:val="0"/>
        <w:rPr>
          <w:sz w:val="22"/>
          <w:szCs w:val="22"/>
          <w:lang w:val="de-DE"/>
        </w:rPr>
      </w:pPr>
    </w:p>
    <w:p w14:paraId="3B434EC6" w14:textId="77777777" w:rsidR="00FE291A" w:rsidRDefault="00C8738F">
      <w:pPr>
        <w:pStyle w:val="BodyText"/>
        <w:widowControl/>
        <w:kinsoku w:val="0"/>
        <w:overflowPunct w:val="0"/>
        <w:ind w:left="0"/>
        <w:rPr>
          <w:lang w:val="de-DE"/>
        </w:rPr>
      </w:pPr>
      <w:r>
        <w:rPr>
          <w:lang w:val="de-DE"/>
        </w:rPr>
        <w:t>In der Studie HS-I (PIONEER I) wurden 307 Patienten in 2 Behandlungsperioden untersucht. In Periode A erhielten die Patienten Placebo oder eine Induktionsdosis von 160 mg Adalimumab in Woche 0, danach 80 mg in Woche 2 und ab Woche 4 bis Woche 11 40 mg wöchentlich. Eine gleichzeitige Behandlung mit Antibiotika war während der Studie nicht erlaubt. Nach einer 12-wöchigen Behandlung wurden die Patienten, die in Periode A Adalimumab erhalten hatten, in Periode B erneut in eine von drei Behandlungsgruppen randomisiert (Adalimumab 40 mg wöchentlich, Adalimumab 40 mg jede zweite Woche oder Placebo von Woche 12 bis Woche 35). Patienten, die in Periode A Placebo erhalten hatten, wurden einer Behandlung mit Adalimumab 40 mg wöchentlich in Periode B zugeteilt.</w:t>
      </w:r>
    </w:p>
    <w:p w14:paraId="2031D507" w14:textId="77777777" w:rsidR="00FE291A" w:rsidRDefault="00FE291A">
      <w:pPr>
        <w:widowControl/>
        <w:kinsoku w:val="0"/>
        <w:overflowPunct w:val="0"/>
        <w:rPr>
          <w:sz w:val="22"/>
          <w:szCs w:val="22"/>
          <w:lang w:val="de-DE"/>
        </w:rPr>
      </w:pPr>
    </w:p>
    <w:p w14:paraId="32C631E1" w14:textId="77777777" w:rsidR="00FE291A" w:rsidRDefault="00C8738F">
      <w:pPr>
        <w:pStyle w:val="BodyText"/>
        <w:widowControl/>
        <w:kinsoku w:val="0"/>
        <w:overflowPunct w:val="0"/>
        <w:ind w:left="0"/>
        <w:rPr>
          <w:lang w:val="de-DE"/>
        </w:rPr>
      </w:pPr>
      <w:r>
        <w:rPr>
          <w:lang w:val="de-DE"/>
        </w:rPr>
        <w:t>In der Studie HS-II (PIONEER II) wurden 326 Patienten in 2 Behandlungsperioden untersucht. In Periode A erhielten die Patienten Placebo oder eine Induktionsdosis von 160 mg Adalimumab in Woche 0, danach 80 mg in Woche 2 und ab Woche 4 bis Woche 11 40 mg wöchentlich. 19,3 % der Patienten erhielten während der Studie eine fortgesetzte Basistherapie mit oralen Antibiotika. Nach einer 12- wöchigen Behandlung wurden die Patienten, die in Periode A Adalimumab erhalten hatten, in Periode B erneut in eine von drei Behandlungsgruppen randomisiert (Adalimumab 40 mg wöchentlich, Adalimumab 40 mg jede zweite Woche oder Placebo von Woche 12 bis Woche 35). Patienten, die in Periode A Placebo erhalten hatten, wurden in Periode B der Placebogruppe zugeteilt.</w:t>
      </w:r>
    </w:p>
    <w:p w14:paraId="78745163" w14:textId="77777777" w:rsidR="00FE291A" w:rsidRDefault="00FE291A">
      <w:pPr>
        <w:pStyle w:val="BodyText"/>
        <w:widowControl/>
        <w:kinsoku w:val="0"/>
        <w:overflowPunct w:val="0"/>
        <w:ind w:left="0"/>
        <w:rPr>
          <w:lang w:val="de-DE"/>
        </w:rPr>
      </w:pPr>
    </w:p>
    <w:p w14:paraId="21633C33" w14:textId="77777777" w:rsidR="00FE291A" w:rsidRDefault="00C8738F">
      <w:pPr>
        <w:pStyle w:val="BodyText"/>
        <w:widowControl/>
        <w:kinsoku w:val="0"/>
        <w:overflowPunct w:val="0"/>
        <w:ind w:left="0"/>
        <w:rPr>
          <w:lang w:val="de-DE"/>
        </w:rPr>
      </w:pPr>
      <w:r>
        <w:rPr>
          <w:lang w:val="de-DE"/>
        </w:rPr>
        <w:t>Patienten, die an Studie HS-I und HS-II teilgenommen hatten, waren für die Aufnahme in eine offene Fortsetzungsstudie geeignet, in der 40 mg Adalimumab wöchentlich verabreicht wurden. Die durchschnittliche Exposition lag in allen Adalimumab-Populationen bei 762 Tagen. Während aller drei Studien wendeten die Patienten täglich eine topische antiseptische Waschlösung an.</w:t>
      </w:r>
    </w:p>
    <w:p w14:paraId="77094678" w14:textId="77777777" w:rsidR="00FE291A" w:rsidRDefault="00FE291A">
      <w:pPr>
        <w:widowControl/>
        <w:kinsoku w:val="0"/>
        <w:overflowPunct w:val="0"/>
        <w:rPr>
          <w:sz w:val="22"/>
          <w:szCs w:val="22"/>
          <w:lang w:val="de-DE"/>
        </w:rPr>
      </w:pPr>
    </w:p>
    <w:p w14:paraId="39E1508C" w14:textId="77777777" w:rsidR="00FE291A" w:rsidRDefault="00C8738F">
      <w:pPr>
        <w:keepNext/>
        <w:widowControl/>
        <w:kinsoku w:val="0"/>
        <w:overflowPunct w:val="0"/>
        <w:rPr>
          <w:sz w:val="22"/>
          <w:szCs w:val="22"/>
          <w:lang w:val="de-DE"/>
        </w:rPr>
      </w:pPr>
      <w:r>
        <w:rPr>
          <w:i/>
          <w:iCs/>
          <w:sz w:val="22"/>
          <w:szCs w:val="22"/>
          <w:u w:val="single"/>
          <w:lang w:val="de-DE"/>
        </w:rPr>
        <w:t>Klinisches Ansprechen</w:t>
      </w:r>
    </w:p>
    <w:p w14:paraId="13DBD484" w14:textId="77777777" w:rsidR="00FE291A" w:rsidRDefault="00FE291A">
      <w:pPr>
        <w:keepNext/>
        <w:widowControl/>
        <w:kinsoku w:val="0"/>
        <w:overflowPunct w:val="0"/>
        <w:rPr>
          <w:sz w:val="22"/>
          <w:szCs w:val="22"/>
          <w:lang w:val="de-DE"/>
        </w:rPr>
      </w:pPr>
    </w:p>
    <w:p w14:paraId="737494A1" w14:textId="77777777" w:rsidR="00FE291A" w:rsidRDefault="00C8738F">
      <w:pPr>
        <w:pStyle w:val="BodyText"/>
        <w:widowControl/>
        <w:kinsoku w:val="0"/>
        <w:overflowPunct w:val="0"/>
        <w:ind w:left="0"/>
        <w:rPr>
          <w:lang w:val="de-DE"/>
        </w:rPr>
      </w:pPr>
      <w:r>
        <w:rPr>
          <w:lang w:val="de-DE"/>
        </w:rPr>
        <w:t xml:space="preserve">Die Verringerung der entzündlichen Läsionen und die Prävention einer Verschlimmerung der Abszesse und dränierenden Fisteln wurden anhand des Hidradenitis Suppurativa Clinical Response beurteilt (HiSCR; eine mindestens 50 %ige Abnahme der Gesamtzahl an Abszessen und entzündlichen Knoten und keine Zunahme der Anzahl an Abszessen sowie der Anzahl an dränierenden Fisteln gegenüber </w:t>
      </w:r>
      <w:r>
        <w:rPr>
          <w:i/>
          <w:iCs/>
          <w:lang w:val="de-DE"/>
        </w:rPr>
        <w:t>Baseline</w:t>
      </w:r>
      <w:r>
        <w:rPr>
          <w:lang w:val="de-DE"/>
        </w:rPr>
        <w:t xml:space="preserve">). Die Verringerung der HS-bezogenen Hautschmerzen wurde mithilfe einer numerischen Bewertungsskala bei Patienten beurteilt, die auf einer Skala mit 11 Punkten zu Beginn der Studie einen </w:t>
      </w:r>
      <w:r>
        <w:rPr>
          <w:i/>
          <w:iCs/>
          <w:lang w:val="de-DE"/>
        </w:rPr>
        <w:t>Score</w:t>
      </w:r>
      <w:r>
        <w:rPr>
          <w:lang w:val="de-DE"/>
        </w:rPr>
        <w:t xml:space="preserve"> von 3 oder höher aufwiesen.</w:t>
      </w:r>
    </w:p>
    <w:p w14:paraId="5A76EC08" w14:textId="77777777" w:rsidR="00FE291A" w:rsidRDefault="00FE291A">
      <w:pPr>
        <w:widowControl/>
        <w:kinsoku w:val="0"/>
        <w:overflowPunct w:val="0"/>
        <w:rPr>
          <w:sz w:val="22"/>
          <w:szCs w:val="22"/>
          <w:lang w:val="de-DE"/>
        </w:rPr>
      </w:pPr>
    </w:p>
    <w:p w14:paraId="1F49DF60" w14:textId="77777777" w:rsidR="00FE291A" w:rsidRDefault="00C8738F">
      <w:pPr>
        <w:pStyle w:val="BodyText"/>
        <w:widowControl/>
        <w:kinsoku w:val="0"/>
        <w:overflowPunct w:val="0"/>
        <w:ind w:left="0"/>
        <w:rPr>
          <w:lang w:val="de-DE"/>
        </w:rPr>
      </w:pPr>
      <w:r>
        <w:rPr>
          <w:lang w:val="de-DE"/>
        </w:rPr>
        <w:t>Im Vergleich zu Placebo erreichte ein signifikant höherer Anteil der mit Adalimumab behandelten Patienten ein HiSCR-Ansprechen in Woche 12. In Woche 12 wies ein signifikant höherer Anteil an Patienten in Studie HS-II eine klinisch relevante Verringerung der HS-bezogenen Hautschmerzen auf (siehe Tabelle 19). Bei den mit Adalimumab behandelten Patienten war das Risiko eines Krankheitsschubes während der ersten 12 Behandlungswochen signifikant reduziert.</w:t>
      </w:r>
    </w:p>
    <w:p w14:paraId="700B3200" w14:textId="77777777" w:rsidR="00FE291A" w:rsidRDefault="00FE291A">
      <w:pPr>
        <w:widowControl/>
        <w:kinsoku w:val="0"/>
        <w:overflowPunct w:val="0"/>
        <w:rPr>
          <w:sz w:val="22"/>
          <w:szCs w:val="22"/>
          <w:lang w:val="de-DE"/>
        </w:rPr>
      </w:pPr>
    </w:p>
    <w:p w14:paraId="788A18D1" w14:textId="77777777" w:rsidR="00FE291A" w:rsidRDefault="00C8738F">
      <w:pPr>
        <w:pStyle w:val="Heading1"/>
        <w:keepNext/>
        <w:widowControl/>
        <w:kinsoku w:val="0"/>
        <w:overflowPunct w:val="0"/>
        <w:ind w:left="0"/>
        <w:rPr>
          <w:lang w:val="de-DE"/>
        </w:rPr>
      </w:pPr>
      <w:r>
        <w:rPr>
          <w:lang w:val="de-DE"/>
        </w:rPr>
        <w:t>Tabelle 19: Ergebnisse bezüglich Wirksamkeit nach 12 Wochen, Studie HS-I und HS-II</w:t>
      </w:r>
    </w:p>
    <w:p w14:paraId="64E6FCA4" w14:textId="77777777" w:rsidR="00FE291A" w:rsidRDefault="00FE291A">
      <w:pPr>
        <w:keepNext/>
        <w:widowControl/>
        <w:kinsoku w:val="0"/>
        <w:overflowPunct w:val="0"/>
        <w:rPr>
          <w:sz w:val="22"/>
          <w:lang w:val="de-DE"/>
        </w:rPr>
      </w:pPr>
    </w:p>
    <w:tbl>
      <w:tblPr>
        <w:tblW w:w="9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949"/>
        <w:gridCol w:w="1440"/>
        <w:gridCol w:w="1747"/>
        <w:gridCol w:w="1404"/>
        <w:gridCol w:w="1855"/>
      </w:tblGrid>
      <w:tr w:rsidR="00FE291A" w14:paraId="3CDBBC6C" w14:textId="77777777">
        <w:trPr>
          <w:cantSplit/>
          <w:tblHeader/>
        </w:trPr>
        <w:tc>
          <w:tcPr>
            <w:tcW w:w="2949" w:type="dxa"/>
            <w:vMerge w:val="restart"/>
          </w:tcPr>
          <w:p w14:paraId="0C76FD04" w14:textId="77777777" w:rsidR="00FE291A" w:rsidRDefault="00FE291A">
            <w:pPr>
              <w:keepNext/>
              <w:widowControl/>
              <w:suppressAutoHyphens/>
              <w:rPr>
                <w:sz w:val="22"/>
                <w:lang w:val="de-DE"/>
              </w:rPr>
            </w:pPr>
          </w:p>
        </w:tc>
        <w:tc>
          <w:tcPr>
            <w:tcW w:w="3187" w:type="dxa"/>
            <w:gridSpan w:val="2"/>
          </w:tcPr>
          <w:p w14:paraId="4BD54956" w14:textId="77777777" w:rsidR="00FE291A" w:rsidRDefault="00C8738F">
            <w:pPr>
              <w:pStyle w:val="TableParagraph"/>
              <w:keepNext/>
              <w:widowControl/>
              <w:suppressAutoHyphens/>
              <w:kinsoku w:val="0"/>
              <w:overflowPunct w:val="0"/>
              <w:jc w:val="center"/>
              <w:rPr>
                <w:sz w:val="22"/>
                <w:lang w:val="de-DE"/>
              </w:rPr>
            </w:pPr>
            <w:r>
              <w:rPr>
                <w:b/>
                <w:bCs/>
                <w:sz w:val="22"/>
                <w:szCs w:val="22"/>
                <w:lang w:val="de-DE"/>
              </w:rPr>
              <w:t>Studie HS-I</w:t>
            </w:r>
          </w:p>
        </w:tc>
        <w:tc>
          <w:tcPr>
            <w:tcW w:w="3259" w:type="dxa"/>
            <w:gridSpan w:val="2"/>
          </w:tcPr>
          <w:p w14:paraId="506B3BA3" w14:textId="77777777" w:rsidR="00FE291A" w:rsidRDefault="00C8738F">
            <w:pPr>
              <w:pStyle w:val="TableParagraph"/>
              <w:keepNext/>
              <w:widowControl/>
              <w:suppressAutoHyphens/>
              <w:kinsoku w:val="0"/>
              <w:overflowPunct w:val="0"/>
              <w:jc w:val="center"/>
              <w:rPr>
                <w:sz w:val="22"/>
                <w:lang w:val="de-DE"/>
              </w:rPr>
            </w:pPr>
            <w:r>
              <w:rPr>
                <w:b/>
                <w:bCs/>
                <w:sz w:val="22"/>
                <w:szCs w:val="22"/>
                <w:lang w:val="de-DE"/>
              </w:rPr>
              <w:t>Studie HS-II</w:t>
            </w:r>
          </w:p>
        </w:tc>
      </w:tr>
      <w:tr w:rsidR="00FE291A" w14:paraId="2CFCD858" w14:textId="77777777">
        <w:trPr>
          <w:cantSplit/>
          <w:tblHeader/>
        </w:trPr>
        <w:tc>
          <w:tcPr>
            <w:tcW w:w="2949" w:type="dxa"/>
            <w:vMerge/>
          </w:tcPr>
          <w:p w14:paraId="54D85DC4" w14:textId="77777777" w:rsidR="00FE291A" w:rsidRDefault="00FE291A">
            <w:pPr>
              <w:pStyle w:val="TableParagraph"/>
              <w:keepNext/>
              <w:widowControl/>
              <w:suppressAutoHyphens/>
              <w:kinsoku w:val="0"/>
              <w:overflowPunct w:val="0"/>
              <w:rPr>
                <w:sz w:val="22"/>
                <w:lang w:val="de-DE"/>
              </w:rPr>
            </w:pPr>
          </w:p>
        </w:tc>
        <w:tc>
          <w:tcPr>
            <w:tcW w:w="1440" w:type="dxa"/>
          </w:tcPr>
          <w:p w14:paraId="0B91FC93" w14:textId="77777777" w:rsidR="00FE291A" w:rsidRDefault="00FE291A">
            <w:pPr>
              <w:pStyle w:val="TableParagraph"/>
              <w:keepNext/>
              <w:widowControl/>
              <w:suppressAutoHyphens/>
              <w:kinsoku w:val="0"/>
              <w:overflowPunct w:val="0"/>
              <w:jc w:val="center"/>
              <w:rPr>
                <w:sz w:val="22"/>
                <w:szCs w:val="22"/>
                <w:lang w:val="de-DE"/>
              </w:rPr>
            </w:pPr>
          </w:p>
          <w:p w14:paraId="7A935B1B" w14:textId="77777777" w:rsidR="00FE291A" w:rsidRDefault="00C8738F">
            <w:pPr>
              <w:pStyle w:val="TableParagraph"/>
              <w:keepNext/>
              <w:widowControl/>
              <w:suppressAutoHyphens/>
              <w:kinsoku w:val="0"/>
              <w:overflowPunct w:val="0"/>
              <w:jc w:val="center"/>
              <w:rPr>
                <w:sz w:val="22"/>
                <w:szCs w:val="22"/>
                <w:lang w:val="de-DE"/>
              </w:rPr>
            </w:pPr>
            <w:r>
              <w:rPr>
                <w:b/>
                <w:bCs/>
                <w:sz w:val="22"/>
                <w:szCs w:val="22"/>
                <w:lang w:val="de-DE"/>
              </w:rPr>
              <w:t>Placebo</w:t>
            </w:r>
          </w:p>
        </w:tc>
        <w:tc>
          <w:tcPr>
            <w:tcW w:w="1747" w:type="dxa"/>
          </w:tcPr>
          <w:p w14:paraId="021B147F" w14:textId="77777777" w:rsidR="00FE291A" w:rsidRDefault="00C8738F">
            <w:pPr>
              <w:pStyle w:val="TableParagraph"/>
              <w:keepNext/>
              <w:widowControl/>
              <w:suppressAutoHyphens/>
              <w:kinsoku w:val="0"/>
              <w:overflowPunct w:val="0"/>
              <w:jc w:val="center"/>
              <w:rPr>
                <w:sz w:val="22"/>
                <w:szCs w:val="22"/>
                <w:lang w:val="de-DE"/>
              </w:rPr>
            </w:pPr>
            <w:r>
              <w:rPr>
                <w:b/>
                <w:bCs/>
                <w:sz w:val="22"/>
                <w:szCs w:val="22"/>
                <w:lang w:val="de-DE"/>
              </w:rPr>
              <w:t>40 mg Adalimumab wöchentlich</w:t>
            </w:r>
          </w:p>
        </w:tc>
        <w:tc>
          <w:tcPr>
            <w:tcW w:w="1404" w:type="dxa"/>
          </w:tcPr>
          <w:p w14:paraId="63EDFF03" w14:textId="77777777" w:rsidR="00FE291A" w:rsidRDefault="00FE291A">
            <w:pPr>
              <w:pStyle w:val="TableParagraph"/>
              <w:keepNext/>
              <w:widowControl/>
              <w:suppressAutoHyphens/>
              <w:kinsoku w:val="0"/>
              <w:overflowPunct w:val="0"/>
              <w:jc w:val="center"/>
              <w:rPr>
                <w:sz w:val="22"/>
                <w:szCs w:val="22"/>
                <w:lang w:val="de-DE"/>
              </w:rPr>
            </w:pPr>
          </w:p>
          <w:p w14:paraId="3C5CFCBF" w14:textId="77777777" w:rsidR="00FE291A" w:rsidRDefault="00C8738F">
            <w:pPr>
              <w:pStyle w:val="TableParagraph"/>
              <w:keepNext/>
              <w:widowControl/>
              <w:suppressAutoHyphens/>
              <w:kinsoku w:val="0"/>
              <w:overflowPunct w:val="0"/>
              <w:jc w:val="center"/>
              <w:rPr>
                <w:sz w:val="22"/>
                <w:szCs w:val="22"/>
                <w:lang w:val="de-DE"/>
              </w:rPr>
            </w:pPr>
            <w:r>
              <w:rPr>
                <w:b/>
                <w:bCs/>
                <w:sz w:val="22"/>
                <w:szCs w:val="22"/>
                <w:lang w:val="de-DE"/>
              </w:rPr>
              <w:t>Placebo</w:t>
            </w:r>
          </w:p>
        </w:tc>
        <w:tc>
          <w:tcPr>
            <w:tcW w:w="1855" w:type="dxa"/>
          </w:tcPr>
          <w:p w14:paraId="5658F005" w14:textId="77777777" w:rsidR="00FE291A" w:rsidRDefault="00C8738F">
            <w:pPr>
              <w:pStyle w:val="TableParagraph"/>
              <w:keepNext/>
              <w:widowControl/>
              <w:suppressAutoHyphens/>
              <w:kinsoku w:val="0"/>
              <w:overflowPunct w:val="0"/>
              <w:jc w:val="center"/>
              <w:rPr>
                <w:sz w:val="22"/>
                <w:szCs w:val="22"/>
                <w:lang w:val="de-DE"/>
              </w:rPr>
            </w:pPr>
            <w:r>
              <w:rPr>
                <w:b/>
                <w:bCs/>
                <w:sz w:val="22"/>
                <w:szCs w:val="22"/>
                <w:lang w:val="de-DE"/>
              </w:rPr>
              <w:t>40 mg Adalimumab wöchentlich</w:t>
            </w:r>
          </w:p>
        </w:tc>
      </w:tr>
      <w:tr w:rsidR="00FE291A" w14:paraId="60F10B06" w14:textId="77777777">
        <w:trPr>
          <w:cantSplit/>
        </w:trPr>
        <w:tc>
          <w:tcPr>
            <w:tcW w:w="2949" w:type="dxa"/>
          </w:tcPr>
          <w:p w14:paraId="7B046A5A" w14:textId="77777777" w:rsidR="00FE291A" w:rsidRDefault="00C8738F">
            <w:pPr>
              <w:pStyle w:val="TableParagraph"/>
              <w:keepNext/>
              <w:widowControl/>
              <w:suppressAutoHyphens/>
              <w:kinsoku w:val="0"/>
              <w:overflowPunct w:val="0"/>
              <w:ind w:left="182"/>
              <w:rPr>
                <w:sz w:val="22"/>
                <w:lang w:val="en-US"/>
              </w:rPr>
            </w:pPr>
            <w:r>
              <w:rPr>
                <w:sz w:val="22"/>
                <w:szCs w:val="22"/>
                <w:lang w:val="en-US"/>
              </w:rPr>
              <w:t>Hidradenitis Suppurativa Clinical Response (HiSCR)</w:t>
            </w:r>
            <w:r>
              <w:rPr>
                <w:sz w:val="22"/>
                <w:szCs w:val="22"/>
                <w:vertAlign w:val="superscript"/>
                <w:lang w:val="en-US"/>
              </w:rPr>
              <w:t>a</w:t>
            </w:r>
          </w:p>
        </w:tc>
        <w:tc>
          <w:tcPr>
            <w:tcW w:w="1440" w:type="dxa"/>
          </w:tcPr>
          <w:p w14:paraId="7370FC59"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N = 154</w:t>
            </w:r>
          </w:p>
          <w:p w14:paraId="508DD3B3" w14:textId="77777777" w:rsidR="00FE291A" w:rsidRDefault="00C8738F">
            <w:pPr>
              <w:pStyle w:val="TableParagraph"/>
              <w:keepNext/>
              <w:widowControl/>
              <w:suppressAutoHyphens/>
              <w:kinsoku w:val="0"/>
              <w:overflowPunct w:val="0"/>
              <w:jc w:val="center"/>
              <w:rPr>
                <w:sz w:val="22"/>
                <w:lang w:val="de-DE"/>
              </w:rPr>
            </w:pPr>
            <w:r>
              <w:rPr>
                <w:sz w:val="22"/>
                <w:szCs w:val="22"/>
                <w:lang w:val="de-DE"/>
              </w:rPr>
              <w:t>40 (26,0 %)</w:t>
            </w:r>
          </w:p>
        </w:tc>
        <w:tc>
          <w:tcPr>
            <w:tcW w:w="1747" w:type="dxa"/>
          </w:tcPr>
          <w:p w14:paraId="6BFF4D1F"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N = 153</w:t>
            </w:r>
          </w:p>
          <w:p w14:paraId="3C3E88F6" w14:textId="77777777" w:rsidR="00FE291A" w:rsidRDefault="00C8738F">
            <w:pPr>
              <w:pStyle w:val="TableParagraph"/>
              <w:keepNext/>
              <w:widowControl/>
              <w:suppressAutoHyphens/>
              <w:kinsoku w:val="0"/>
              <w:overflowPunct w:val="0"/>
              <w:jc w:val="center"/>
              <w:rPr>
                <w:sz w:val="22"/>
                <w:lang w:val="de-DE"/>
              </w:rPr>
            </w:pPr>
            <w:r>
              <w:rPr>
                <w:sz w:val="22"/>
                <w:szCs w:val="22"/>
                <w:lang w:val="de-DE"/>
              </w:rPr>
              <w:t>64 (41,8 %)</w:t>
            </w:r>
            <w:r>
              <w:rPr>
                <w:sz w:val="22"/>
                <w:szCs w:val="22"/>
                <w:vertAlign w:val="superscript"/>
                <w:lang w:val="de-DE"/>
              </w:rPr>
              <w:t>*</w:t>
            </w:r>
          </w:p>
        </w:tc>
        <w:tc>
          <w:tcPr>
            <w:tcW w:w="1404" w:type="dxa"/>
          </w:tcPr>
          <w:p w14:paraId="46191205"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N = 163</w:t>
            </w:r>
          </w:p>
          <w:p w14:paraId="4AD51CB0" w14:textId="77777777" w:rsidR="00FE291A" w:rsidRDefault="00C8738F">
            <w:pPr>
              <w:pStyle w:val="TableParagraph"/>
              <w:keepNext/>
              <w:widowControl/>
              <w:suppressAutoHyphens/>
              <w:kinsoku w:val="0"/>
              <w:overflowPunct w:val="0"/>
              <w:jc w:val="center"/>
              <w:rPr>
                <w:sz w:val="22"/>
                <w:lang w:val="de-DE"/>
              </w:rPr>
            </w:pPr>
            <w:r>
              <w:rPr>
                <w:sz w:val="22"/>
                <w:szCs w:val="22"/>
                <w:lang w:val="de-DE"/>
              </w:rPr>
              <w:t>45 (27,6 %)</w:t>
            </w:r>
          </w:p>
        </w:tc>
        <w:tc>
          <w:tcPr>
            <w:tcW w:w="1855" w:type="dxa"/>
          </w:tcPr>
          <w:p w14:paraId="6CBA61BA"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N = 163</w:t>
            </w:r>
          </w:p>
          <w:p w14:paraId="45441BF3" w14:textId="77777777" w:rsidR="00FE291A" w:rsidRDefault="00C8738F">
            <w:pPr>
              <w:pStyle w:val="TableParagraph"/>
              <w:keepNext/>
              <w:widowControl/>
              <w:suppressAutoHyphens/>
              <w:kinsoku w:val="0"/>
              <w:overflowPunct w:val="0"/>
              <w:jc w:val="center"/>
              <w:rPr>
                <w:sz w:val="22"/>
                <w:lang w:val="de-DE"/>
              </w:rPr>
            </w:pPr>
            <w:r>
              <w:rPr>
                <w:sz w:val="22"/>
                <w:szCs w:val="22"/>
                <w:lang w:val="de-DE"/>
              </w:rPr>
              <w:t>96 (58,9 %)</w:t>
            </w:r>
            <w:r>
              <w:rPr>
                <w:sz w:val="22"/>
                <w:szCs w:val="22"/>
                <w:vertAlign w:val="superscript"/>
                <w:lang w:val="de-DE"/>
              </w:rPr>
              <w:t>***</w:t>
            </w:r>
          </w:p>
        </w:tc>
      </w:tr>
      <w:tr w:rsidR="00FE291A" w14:paraId="36D00F7B" w14:textId="77777777">
        <w:trPr>
          <w:cantSplit/>
        </w:trPr>
        <w:tc>
          <w:tcPr>
            <w:tcW w:w="2949" w:type="dxa"/>
          </w:tcPr>
          <w:p w14:paraId="1A40C58A" w14:textId="77777777" w:rsidR="00FE291A" w:rsidRDefault="00C8738F">
            <w:pPr>
              <w:pStyle w:val="TableParagraph"/>
              <w:keepNext/>
              <w:widowControl/>
              <w:suppressAutoHyphens/>
              <w:kinsoku w:val="0"/>
              <w:overflowPunct w:val="0"/>
              <w:ind w:left="182"/>
              <w:rPr>
                <w:sz w:val="22"/>
                <w:lang w:val="de-DE"/>
              </w:rPr>
            </w:pPr>
            <w:r>
              <w:rPr>
                <w:sz w:val="22"/>
                <w:szCs w:val="22"/>
                <w:lang w:val="de-DE"/>
              </w:rPr>
              <w:t>≥ 30 %ige Verringerung der Hautschmerzen</w:t>
            </w:r>
            <w:r>
              <w:rPr>
                <w:sz w:val="22"/>
                <w:szCs w:val="22"/>
                <w:vertAlign w:val="superscript"/>
                <w:lang w:val="de-DE"/>
              </w:rPr>
              <w:t>b</w:t>
            </w:r>
          </w:p>
        </w:tc>
        <w:tc>
          <w:tcPr>
            <w:tcW w:w="1440" w:type="dxa"/>
          </w:tcPr>
          <w:p w14:paraId="41E7093D"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N = 109</w:t>
            </w:r>
          </w:p>
          <w:p w14:paraId="575A3549" w14:textId="77777777" w:rsidR="00FE291A" w:rsidRDefault="00C8738F">
            <w:pPr>
              <w:pStyle w:val="TableParagraph"/>
              <w:keepNext/>
              <w:widowControl/>
              <w:suppressAutoHyphens/>
              <w:kinsoku w:val="0"/>
              <w:overflowPunct w:val="0"/>
              <w:jc w:val="center"/>
              <w:rPr>
                <w:sz w:val="22"/>
                <w:lang w:val="de-DE"/>
              </w:rPr>
            </w:pPr>
            <w:r>
              <w:rPr>
                <w:sz w:val="22"/>
                <w:szCs w:val="22"/>
                <w:lang w:val="de-DE"/>
              </w:rPr>
              <w:t>27 (24,8 %)</w:t>
            </w:r>
          </w:p>
        </w:tc>
        <w:tc>
          <w:tcPr>
            <w:tcW w:w="1747" w:type="dxa"/>
          </w:tcPr>
          <w:p w14:paraId="3ABB2057"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N = 122</w:t>
            </w:r>
          </w:p>
          <w:p w14:paraId="37D475E2" w14:textId="77777777" w:rsidR="00FE291A" w:rsidRDefault="00C8738F">
            <w:pPr>
              <w:pStyle w:val="TableParagraph"/>
              <w:keepNext/>
              <w:widowControl/>
              <w:suppressAutoHyphens/>
              <w:kinsoku w:val="0"/>
              <w:overflowPunct w:val="0"/>
              <w:jc w:val="center"/>
              <w:rPr>
                <w:sz w:val="22"/>
                <w:lang w:val="de-DE"/>
              </w:rPr>
            </w:pPr>
            <w:r>
              <w:rPr>
                <w:sz w:val="22"/>
                <w:szCs w:val="22"/>
                <w:lang w:val="de-DE"/>
              </w:rPr>
              <w:t>34 (27,9 %)</w:t>
            </w:r>
          </w:p>
        </w:tc>
        <w:tc>
          <w:tcPr>
            <w:tcW w:w="1404" w:type="dxa"/>
          </w:tcPr>
          <w:p w14:paraId="6CBB357E"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N = 111</w:t>
            </w:r>
          </w:p>
          <w:p w14:paraId="65000D2B" w14:textId="77777777" w:rsidR="00FE291A" w:rsidRDefault="00C8738F">
            <w:pPr>
              <w:pStyle w:val="TableParagraph"/>
              <w:keepNext/>
              <w:widowControl/>
              <w:suppressAutoHyphens/>
              <w:kinsoku w:val="0"/>
              <w:overflowPunct w:val="0"/>
              <w:jc w:val="center"/>
              <w:rPr>
                <w:sz w:val="22"/>
                <w:lang w:val="de-DE"/>
              </w:rPr>
            </w:pPr>
            <w:r>
              <w:rPr>
                <w:sz w:val="22"/>
                <w:szCs w:val="22"/>
                <w:lang w:val="de-DE"/>
              </w:rPr>
              <w:t>23 (20,7 %)</w:t>
            </w:r>
          </w:p>
        </w:tc>
        <w:tc>
          <w:tcPr>
            <w:tcW w:w="1855" w:type="dxa"/>
          </w:tcPr>
          <w:p w14:paraId="4E062820"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N = 105</w:t>
            </w:r>
          </w:p>
          <w:p w14:paraId="5D3E36FA" w14:textId="77777777" w:rsidR="00FE291A" w:rsidRDefault="00C8738F">
            <w:pPr>
              <w:pStyle w:val="TableParagraph"/>
              <w:keepNext/>
              <w:widowControl/>
              <w:suppressAutoHyphens/>
              <w:kinsoku w:val="0"/>
              <w:overflowPunct w:val="0"/>
              <w:jc w:val="center"/>
              <w:rPr>
                <w:sz w:val="22"/>
                <w:lang w:val="de-DE"/>
              </w:rPr>
            </w:pPr>
            <w:r>
              <w:rPr>
                <w:sz w:val="22"/>
                <w:szCs w:val="22"/>
                <w:lang w:val="de-DE"/>
              </w:rPr>
              <w:t>48 (45,7 %)</w:t>
            </w:r>
            <w:r>
              <w:rPr>
                <w:sz w:val="22"/>
                <w:szCs w:val="22"/>
                <w:vertAlign w:val="superscript"/>
                <w:lang w:val="de-DE"/>
              </w:rPr>
              <w:t>***</w:t>
            </w:r>
          </w:p>
        </w:tc>
      </w:tr>
      <w:tr w:rsidR="00FE291A" w:rsidRPr="00723069" w14:paraId="61ECA170" w14:textId="77777777">
        <w:trPr>
          <w:cantSplit/>
        </w:trPr>
        <w:tc>
          <w:tcPr>
            <w:tcW w:w="9395" w:type="dxa"/>
            <w:gridSpan w:val="5"/>
            <w:tcBorders>
              <w:left w:val="nil"/>
              <w:bottom w:val="nil"/>
              <w:right w:val="nil"/>
            </w:tcBorders>
          </w:tcPr>
          <w:p w14:paraId="66EEA26B" w14:textId="77777777" w:rsidR="00FE291A" w:rsidRDefault="00C8738F">
            <w:pPr>
              <w:pStyle w:val="TableParagraph"/>
              <w:widowControl/>
              <w:suppressAutoHyphens/>
              <w:kinsoku w:val="0"/>
              <w:overflowPunct w:val="0"/>
              <w:rPr>
                <w:sz w:val="20"/>
                <w:szCs w:val="20"/>
                <w:lang w:val="de-DE"/>
              </w:rPr>
            </w:pPr>
            <w:r>
              <w:rPr>
                <w:sz w:val="20"/>
                <w:szCs w:val="20"/>
                <w:lang w:val="de-DE"/>
              </w:rPr>
              <w:t xml:space="preserve">* </w:t>
            </w:r>
            <w:r>
              <w:rPr>
                <w:iCs/>
                <w:sz w:val="20"/>
                <w:szCs w:val="20"/>
                <w:lang w:val="de-DE"/>
              </w:rPr>
              <w:t xml:space="preserve">p </w:t>
            </w:r>
            <w:r>
              <w:rPr>
                <w:sz w:val="20"/>
                <w:szCs w:val="20"/>
                <w:lang w:val="de-DE"/>
              </w:rPr>
              <w:t xml:space="preserve">&lt; 0,05, *** </w:t>
            </w:r>
            <w:r>
              <w:rPr>
                <w:iCs/>
                <w:sz w:val="20"/>
                <w:szCs w:val="20"/>
                <w:lang w:val="de-DE"/>
              </w:rPr>
              <w:t xml:space="preserve">p </w:t>
            </w:r>
            <w:r>
              <w:rPr>
                <w:sz w:val="20"/>
                <w:szCs w:val="20"/>
                <w:lang w:val="de-DE"/>
              </w:rPr>
              <w:t>&lt; 0,001, Adalimumab gegenüber Placebo</w:t>
            </w:r>
          </w:p>
          <w:p w14:paraId="6BD9E0AC" w14:textId="77777777" w:rsidR="00FE291A" w:rsidRDefault="00C8738F">
            <w:pPr>
              <w:pStyle w:val="ListParagraph"/>
              <w:widowControl/>
              <w:tabs>
                <w:tab w:val="left" w:pos="531"/>
              </w:tabs>
              <w:suppressAutoHyphens/>
              <w:kinsoku w:val="0"/>
              <w:overflowPunct w:val="0"/>
              <w:rPr>
                <w:sz w:val="20"/>
                <w:szCs w:val="20"/>
                <w:lang w:val="de-DE"/>
              </w:rPr>
            </w:pPr>
            <w:r>
              <w:rPr>
                <w:sz w:val="20"/>
                <w:szCs w:val="20"/>
                <w:vertAlign w:val="superscript"/>
                <w:lang w:val="de-DE"/>
              </w:rPr>
              <w:t>a</w:t>
            </w:r>
            <w:r>
              <w:rPr>
                <w:sz w:val="20"/>
                <w:szCs w:val="20"/>
                <w:lang w:val="de-DE"/>
              </w:rPr>
              <w:t xml:space="preserve"> Unter allen randomisierten Patienten</w:t>
            </w:r>
          </w:p>
          <w:p w14:paraId="208D25B7" w14:textId="77777777" w:rsidR="00FE291A" w:rsidRDefault="00C8738F">
            <w:pPr>
              <w:pStyle w:val="ListParagraph"/>
              <w:widowControl/>
              <w:tabs>
                <w:tab w:val="left" w:pos="531"/>
              </w:tabs>
              <w:suppressAutoHyphens/>
              <w:kinsoku w:val="0"/>
              <w:overflowPunct w:val="0"/>
              <w:rPr>
                <w:sz w:val="22"/>
                <w:lang w:val="de-DE"/>
              </w:rPr>
            </w:pPr>
            <w:r>
              <w:rPr>
                <w:sz w:val="20"/>
                <w:szCs w:val="20"/>
                <w:vertAlign w:val="superscript"/>
                <w:lang w:val="de-DE"/>
              </w:rPr>
              <w:t>b</w:t>
            </w:r>
            <w:r>
              <w:rPr>
                <w:sz w:val="20"/>
                <w:szCs w:val="20"/>
                <w:lang w:val="de-DE"/>
              </w:rPr>
              <w:t xml:space="preserve"> Unter den Patienten mit einer anfänglichen Einstufung der HS-bezogenen Hautschmerzen ≥ 3 auf Basis einer numerischen Bewertungsskala von 0 bis 10; 0 = keine Hautschmerzen, 10 = die schlimmsten vorstellbaren Hautschmerzen.</w:t>
            </w:r>
          </w:p>
        </w:tc>
      </w:tr>
    </w:tbl>
    <w:p w14:paraId="4DFA3C39" w14:textId="77777777" w:rsidR="00FE291A" w:rsidRDefault="00FE291A">
      <w:pPr>
        <w:pStyle w:val="BodyText"/>
        <w:widowControl/>
        <w:kinsoku w:val="0"/>
        <w:overflowPunct w:val="0"/>
        <w:ind w:left="0"/>
        <w:rPr>
          <w:lang w:val="de-DE"/>
        </w:rPr>
      </w:pPr>
    </w:p>
    <w:p w14:paraId="13E53E30" w14:textId="77777777" w:rsidR="00FE291A" w:rsidRDefault="00C8738F">
      <w:pPr>
        <w:pStyle w:val="BodyText"/>
        <w:widowControl/>
        <w:kinsoku w:val="0"/>
        <w:overflowPunct w:val="0"/>
        <w:ind w:left="0"/>
        <w:rPr>
          <w:lang w:val="de-DE"/>
        </w:rPr>
      </w:pPr>
      <w:r>
        <w:rPr>
          <w:lang w:val="de-DE"/>
        </w:rPr>
        <w:t>Die Behandlung mit Adalimumab 40 mg wöchentlich führte zu einer signifikanten Verringerung des Risikos einer Verschlimmerung von Abszessen und dränierenden Fisteln. Etwa doppelt so viele Patienten in der Placebogruppe wiesen im Vergleich zur Adalimumab-Gruppe in den ersten 12 Wochen der Studien HS-I und HS-II eine Verschlimmerung der Abszesse (23,0 % gegenüber 11,4 %) und dränierenden Fisteln (30,0 % gegenüber 13,9 %) auf.</w:t>
      </w:r>
    </w:p>
    <w:p w14:paraId="5C8F64FE" w14:textId="77777777" w:rsidR="00FE291A" w:rsidRDefault="00FE291A">
      <w:pPr>
        <w:widowControl/>
        <w:kinsoku w:val="0"/>
        <w:overflowPunct w:val="0"/>
        <w:rPr>
          <w:sz w:val="22"/>
          <w:szCs w:val="22"/>
          <w:lang w:val="de-DE"/>
        </w:rPr>
      </w:pPr>
    </w:p>
    <w:p w14:paraId="04224EE6" w14:textId="77777777" w:rsidR="00FE291A" w:rsidRDefault="00C8738F">
      <w:pPr>
        <w:widowControl/>
        <w:kinsoku w:val="0"/>
        <w:overflowPunct w:val="0"/>
        <w:rPr>
          <w:sz w:val="22"/>
          <w:szCs w:val="22"/>
          <w:lang w:val="de-DE"/>
        </w:rPr>
      </w:pPr>
      <w:r>
        <w:rPr>
          <w:sz w:val="22"/>
          <w:szCs w:val="22"/>
          <w:lang w:val="de-DE"/>
        </w:rPr>
        <w:t xml:space="preserve">In Woche 12 wurden gegenüber den Ausgangswerten im Vergleich zu Placebo größere Verbesserungen hinsichtlich der anhand des </w:t>
      </w:r>
      <w:r>
        <w:rPr>
          <w:i/>
          <w:iCs/>
          <w:sz w:val="22"/>
          <w:szCs w:val="22"/>
          <w:lang w:val="de-DE"/>
        </w:rPr>
        <w:t xml:space="preserve">Dermatology Life Quality Index </w:t>
      </w:r>
      <w:r>
        <w:rPr>
          <w:sz w:val="22"/>
          <w:szCs w:val="22"/>
          <w:lang w:val="de-DE"/>
        </w:rPr>
        <w:t xml:space="preserve">(DLQI; Studien HS-I und HS-II) gemessenen hautspezifischen gesundheitsbezogenen Lebensqualität, der anhand des </w:t>
      </w:r>
      <w:r>
        <w:rPr>
          <w:i/>
          <w:iCs/>
          <w:sz w:val="22"/>
          <w:szCs w:val="22"/>
          <w:lang w:val="de-DE"/>
        </w:rPr>
        <w:t xml:space="preserve">Treatment Satisfaction Questionnaire – Medication </w:t>
      </w:r>
      <w:r>
        <w:rPr>
          <w:sz w:val="22"/>
          <w:szCs w:val="22"/>
          <w:lang w:val="de-DE"/>
        </w:rPr>
        <w:t xml:space="preserve">(TSQM; Studie HS-I und HS-II) gemessenen allgemeinen Zufriedenheit der Patienten mit der medikamentösen Behandlung und der anhand des </w:t>
      </w:r>
      <w:r>
        <w:rPr>
          <w:i/>
          <w:iCs/>
          <w:sz w:val="22"/>
          <w:szCs w:val="22"/>
          <w:lang w:val="de-DE"/>
        </w:rPr>
        <w:t xml:space="preserve">Physical Component Summary Score </w:t>
      </w:r>
      <w:r>
        <w:rPr>
          <w:sz w:val="22"/>
          <w:szCs w:val="22"/>
          <w:lang w:val="de-DE"/>
        </w:rPr>
        <w:t>des SF-36-Fragebogens (Studie HS-I) gemessenen körperlichen Gesundheit festgestellt.</w:t>
      </w:r>
    </w:p>
    <w:p w14:paraId="3339933D" w14:textId="77777777" w:rsidR="00FE291A" w:rsidRDefault="00FE291A">
      <w:pPr>
        <w:widowControl/>
        <w:kinsoku w:val="0"/>
        <w:overflowPunct w:val="0"/>
        <w:rPr>
          <w:sz w:val="22"/>
          <w:szCs w:val="22"/>
          <w:lang w:val="de-DE"/>
        </w:rPr>
      </w:pPr>
    </w:p>
    <w:p w14:paraId="42D26227" w14:textId="77777777" w:rsidR="00FE291A" w:rsidRDefault="00C8738F">
      <w:pPr>
        <w:pStyle w:val="BodyText"/>
        <w:widowControl/>
        <w:kinsoku w:val="0"/>
        <w:overflowPunct w:val="0"/>
        <w:ind w:left="0"/>
        <w:rPr>
          <w:lang w:val="de-DE"/>
        </w:rPr>
      </w:pPr>
      <w:r>
        <w:rPr>
          <w:lang w:val="de-DE"/>
        </w:rPr>
        <w:t>Unter den Patienten, die in Woche 12 mindestens teilweise auf die Behandlung mit Adalimumab 40 mg wöchentlich angesprochen haben, war die HiSCR-Rate in Woche 36 höher bei Patienten, die weiterhin wöchentlich mit Adalimumab behandelt wurden, als bei Patienten, deren Dosisintervall auf jede zweite Woche reduziert wurde oder bei denen die Behandlung abgesetzt wurde (siehe Tabelle 20).</w:t>
      </w:r>
    </w:p>
    <w:p w14:paraId="1C0C4797" w14:textId="77777777" w:rsidR="00FE291A" w:rsidRDefault="00FE291A">
      <w:pPr>
        <w:pStyle w:val="BodyText"/>
        <w:widowControl/>
        <w:kinsoku w:val="0"/>
        <w:overflowPunct w:val="0"/>
        <w:ind w:left="0"/>
        <w:rPr>
          <w:lang w:val="de-DE"/>
        </w:rPr>
      </w:pPr>
    </w:p>
    <w:p w14:paraId="1E232208" w14:textId="77777777" w:rsidR="00FE291A" w:rsidRDefault="00C8738F">
      <w:pPr>
        <w:pStyle w:val="Heading1"/>
        <w:keepNext/>
        <w:widowControl/>
        <w:kinsoku w:val="0"/>
        <w:overflowPunct w:val="0"/>
        <w:ind w:left="0"/>
        <w:rPr>
          <w:lang w:val="de-DE"/>
        </w:rPr>
      </w:pPr>
      <w:r>
        <w:rPr>
          <w:lang w:val="de-DE"/>
        </w:rPr>
        <w:t>Tabelle 20: Anteil der Patienten</w:t>
      </w:r>
      <w:r>
        <w:rPr>
          <w:vertAlign w:val="superscript"/>
          <w:lang w:val="de-DE"/>
        </w:rPr>
        <w:t>a</w:t>
      </w:r>
      <w:r>
        <w:rPr>
          <w:lang w:val="de-DE"/>
        </w:rPr>
        <w:t xml:space="preserve"> unter wöchentlicher Behandlung mit Adalimumab in Woche 12, die nach Neuzuweisung der Behandlung HiSCR</w:t>
      </w:r>
      <w:r>
        <w:rPr>
          <w:vertAlign w:val="superscript"/>
          <w:lang w:val="de-DE"/>
        </w:rPr>
        <w:t>b</w:t>
      </w:r>
      <w:r>
        <w:rPr>
          <w:lang w:val="de-DE"/>
        </w:rPr>
        <w:t xml:space="preserve"> in Woche 24 und 36 erreichten</w:t>
      </w:r>
    </w:p>
    <w:p w14:paraId="44DD4CE5" w14:textId="77777777" w:rsidR="00FE291A" w:rsidRDefault="00FE291A">
      <w:pPr>
        <w:keepNext/>
        <w:widowControl/>
        <w:kinsoku w:val="0"/>
        <w:overflowPunct w:val="0"/>
        <w:rPr>
          <w:sz w:val="22"/>
          <w:lang w:val="de-DE"/>
        </w:rPr>
      </w:pPr>
    </w:p>
    <w:tbl>
      <w:tblPr>
        <w:tblW w:w="0" w:type="auto"/>
        <w:tblLayout w:type="fixed"/>
        <w:tblCellMar>
          <w:top w:w="28" w:type="dxa"/>
          <w:bottom w:w="28" w:type="dxa"/>
        </w:tblCellMar>
        <w:tblLook w:val="04A0" w:firstRow="1" w:lastRow="0" w:firstColumn="1" w:lastColumn="0" w:noHBand="0" w:noVBand="1"/>
      </w:tblPr>
      <w:tblGrid>
        <w:gridCol w:w="1438"/>
        <w:gridCol w:w="2531"/>
        <w:gridCol w:w="2694"/>
        <w:gridCol w:w="2409"/>
      </w:tblGrid>
      <w:tr w:rsidR="00FE291A" w14:paraId="102EDA5F" w14:textId="77777777">
        <w:trPr>
          <w:cantSplit/>
          <w:tblHeader/>
        </w:trPr>
        <w:tc>
          <w:tcPr>
            <w:tcW w:w="1438" w:type="dxa"/>
            <w:tcBorders>
              <w:top w:val="single" w:sz="4" w:space="0" w:color="000000"/>
              <w:left w:val="single" w:sz="4" w:space="0" w:color="000000"/>
              <w:bottom w:val="single" w:sz="4" w:space="0" w:color="000000"/>
              <w:right w:val="single" w:sz="4" w:space="0" w:color="000000"/>
            </w:tcBorders>
          </w:tcPr>
          <w:p w14:paraId="78DBCBAC" w14:textId="77777777" w:rsidR="00FE291A" w:rsidRDefault="00FE291A">
            <w:pPr>
              <w:keepNext/>
              <w:widowControl/>
              <w:suppressAutoHyphens/>
              <w:rPr>
                <w:sz w:val="22"/>
                <w:szCs w:val="22"/>
                <w:lang w:val="de-DE"/>
              </w:rPr>
            </w:pPr>
          </w:p>
        </w:tc>
        <w:tc>
          <w:tcPr>
            <w:tcW w:w="2531" w:type="dxa"/>
            <w:tcBorders>
              <w:top w:val="single" w:sz="4" w:space="0" w:color="000000"/>
              <w:left w:val="single" w:sz="4" w:space="0" w:color="000000"/>
              <w:bottom w:val="single" w:sz="4" w:space="0" w:color="000000"/>
              <w:right w:val="single" w:sz="4" w:space="0" w:color="000000"/>
            </w:tcBorders>
          </w:tcPr>
          <w:p w14:paraId="23218790" w14:textId="77777777" w:rsidR="00FE291A" w:rsidRDefault="00C8738F">
            <w:pPr>
              <w:pStyle w:val="TableParagraph"/>
              <w:keepNext/>
              <w:widowControl/>
              <w:suppressAutoHyphens/>
              <w:kinsoku w:val="0"/>
              <w:overflowPunct w:val="0"/>
              <w:jc w:val="center"/>
              <w:rPr>
                <w:sz w:val="22"/>
                <w:szCs w:val="22"/>
                <w:lang w:val="de-DE"/>
              </w:rPr>
            </w:pPr>
            <w:r>
              <w:rPr>
                <w:b/>
                <w:bCs/>
                <w:sz w:val="22"/>
                <w:szCs w:val="22"/>
                <w:lang w:val="de-DE"/>
              </w:rPr>
              <w:t>Placebo (Behandlungs- abbruch)</w:t>
            </w:r>
          </w:p>
          <w:p w14:paraId="585A5F60" w14:textId="77777777" w:rsidR="00FE291A" w:rsidRDefault="00C8738F">
            <w:pPr>
              <w:pStyle w:val="TableParagraph"/>
              <w:keepNext/>
              <w:widowControl/>
              <w:suppressAutoHyphens/>
              <w:kinsoku w:val="0"/>
              <w:overflowPunct w:val="0"/>
              <w:jc w:val="center"/>
              <w:rPr>
                <w:sz w:val="22"/>
                <w:szCs w:val="22"/>
                <w:lang w:val="de-DE"/>
              </w:rPr>
            </w:pPr>
            <w:r>
              <w:rPr>
                <w:b/>
                <w:bCs/>
                <w:sz w:val="22"/>
                <w:szCs w:val="22"/>
                <w:lang w:val="de-DE"/>
              </w:rPr>
              <w:t>N = 73</w:t>
            </w:r>
          </w:p>
        </w:tc>
        <w:tc>
          <w:tcPr>
            <w:tcW w:w="2694" w:type="dxa"/>
            <w:tcBorders>
              <w:top w:val="single" w:sz="4" w:space="0" w:color="000000"/>
              <w:left w:val="single" w:sz="4" w:space="0" w:color="000000"/>
              <w:bottom w:val="single" w:sz="4" w:space="0" w:color="000000"/>
              <w:right w:val="single" w:sz="4" w:space="0" w:color="000000"/>
            </w:tcBorders>
          </w:tcPr>
          <w:p w14:paraId="1E09CB55" w14:textId="77777777" w:rsidR="00FE291A" w:rsidRDefault="00C8738F">
            <w:pPr>
              <w:pStyle w:val="TableParagraph"/>
              <w:keepNext/>
              <w:widowControl/>
              <w:suppressAutoHyphens/>
              <w:kinsoku w:val="0"/>
              <w:overflowPunct w:val="0"/>
              <w:jc w:val="center"/>
              <w:rPr>
                <w:b/>
                <w:bCs/>
                <w:sz w:val="22"/>
                <w:szCs w:val="22"/>
                <w:lang w:val="de-DE"/>
              </w:rPr>
            </w:pPr>
            <w:r>
              <w:rPr>
                <w:b/>
                <w:bCs/>
                <w:sz w:val="22"/>
                <w:szCs w:val="22"/>
                <w:lang w:val="de-DE"/>
              </w:rPr>
              <w:t>Adalimumab 40 mg jede zweite Woche</w:t>
            </w:r>
          </w:p>
          <w:p w14:paraId="78CA2D1B" w14:textId="77777777" w:rsidR="00FE291A" w:rsidRDefault="00C8738F">
            <w:pPr>
              <w:pStyle w:val="TableParagraph"/>
              <w:keepNext/>
              <w:widowControl/>
              <w:suppressAutoHyphens/>
              <w:kinsoku w:val="0"/>
              <w:overflowPunct w:val="0"/>
              <w:jc w:val="center"/>
              <w:rPr>
                <w:sz w:val="22"/>
                <w:szCs w:val="22"/>
                <w:lang w:val="de-DE"/>
              </w:rPr>
            </w:pPr>
            <w:r>
              <w:rPr>
                <w:b/>
                <w:bCs/>
                <w:sz w:val="22"/>
                <w:szCs w:val="22"/>
                <w:lang w:val="de-DE"/>
              </w:rPr>
              <w:t>N = 70</w:t>
            </w:r>
          </w:p>
        </w:tc>
        <w:tc>
          <w:tcPr>
            <w:tcW w:w="2409" w:type="dxa"/>
            <w:tcBorders>
              <w:top w:val="single" w:sz="4" w:space="0" w:color="000000"/>
              <w:left w:val="single" w:sz="4" w:space="0" w:color="000000"/>
              <w:bottom w:val="single" w:sz="4" w:space="0" w:color="000000"/>
              <w:right w:val="single" w:sz="4" w:space="0" w:color="000000"/>
            </w:tcBorders>
          </w:tcPr>
          <w:p w14:paraId="7F314B9B" w14:textId="77777777" w:rsidR="00FE291A" w:rsidRDefault="00C8738F">
            <w:pPr>
              <w:pStyle w:val="TableParagraph"/>
              <w:keepNext/>
              <w:widowControl/>
              <w:suppressAutoHyphens/>
              <w:kinsoku w:val="0"/>
              <w:overflowPunct w:val="0"/>
              <w:jc w:val="center"/>
              <w:rPr>
                <w:sz w:val="22"/>
                <w:szCs w:val="22"/>
                <w:lang w:val="de-DE"/>
              </w:rPr>
            </w:pPr>
            <w:r>
              <w:rPr>
                <w:b/>
                <w:bCs/>
                <w:sz w:val="22"/>
                <w:szCs w:val="22"/>
                <w:lang w:val="de-DE"/>
              </w:rPr>
              <w:t>Adalimumab 40 mg wöchentlich</w:t>
            </w:r>
          </w:p>
          <w:p w14:paraId="212E819B" w14:textId="77777777" w:rsidR="00FE291A" w:rsidRDefault="00C8738F">
            <w:pPr>
              <w:pStyle w:val="TableParagraph"/>
              <w:keepNext/>
              <w:widowControl/>
              <w:suppressAutoHyphens/>
              <w:kinsoku w:val="0"/>
              <w:overflowPunct w:val="0"/>
              <w:jc w:val="center"/>
              <w:rPr>
                <w:sz w:val="22"/>
                <w:szCs w:val="22"/>
                <w:lang w:val="de-DE"/>
              </w:rPr>
            </w:pPr>
            <w:r>
              <w:rPr>
                <w:b/>
                <w:bCs/>
                <w:sz w:val="22"/>
                <w:szCs w:val="22"/>
                <w:lang w:val="de-DE"/>
              </w:rPr>
              <w:t>N = 70</w:t>
            </w:r>
          </w:p>
        </w:tc>
      </w:tr>
      <w:tr w:rsidR="00FE291A" w14:paraId="54941384" w14:textId="77777777">
        <w:trPr>
          <w:cantSplit/>
        </w:trPr>
        <w:tc>
          <w:tcPr>
            <w:tcW w:w="1438" w:type="dxa"/>
            <w:tcBorders>
              <w:top w:val="single" w:sz="4" w:space="0" w:color="000000"/>
              <w:left w:val="single" w:sz="4" w:space="0" w:color="000000"/>
              <w:bottom w:val="single" w:sz="4" w:space="0" w:color="000000"/>
              <w:right w:val="single" w:sz="4" w:space="0" w:color="000000"/>
            </w:tcBorders>
          </w:tcPr>
          <w:p w14:paraId="707C37CA" w14:textId="77777777" w:rsidR="00FE291A" w:rsidRDefault="00C8738F">
            <w:pPr>
              <w:pStyle w:val="TableParagraph"/>
              <w:widowControl/>
              <w:suppressAutoHyphens/>
              <w:kinsoku w:val="0"/>
              <w:overflowPunct w:val="0"/>
              <w:rPr>
                <w:sz w:val="22"/>
                <w:szCs w:val="22"/>
                <w:lang w:val="de-DE"/>
              </w:rPr>
            </w:pPr>
            <w:r>
              <w:rPr>
                <w:sz w:val="22"/>
                <w:szCs w:val="22"/>
                <w:lang w:val="de-DE"/>
              </w:rPr>
              <w:t>Woche 24</w:t>
            </w:r>
          </w:p>
        </w:tc>
        <w:tc>
          <w:tcPr>
            <w:tcW w:w="2531" w:type="dxa"/>
            <w:tcBorders>
              <w:top w:val="single" w:sz="4" w:space="0" w:color="000000"/>
              <w:left w:val="single" w:sz="4" w:space="0" w:color="000000"/>
              <w:bottom w:val="single" w:sz="4" w:space="0" w:color="000000"/>
              <w:right w:val="single" w:sz="4" w:space="0" w:color="000000"/>
            </w:tcBorders>
          </w:tcPr>
          <w:p w14:paraId="687532F2"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24 (32,9 %)</w:t>
            </w:r>
          </w:p>
        </w:tc>
        <w:tc>
          <w:tcPr>
            <w:tcW w:w="2694" w:type="dxa"/>
            <w:tcBorders>
              <w:top w:val="single" w:sz="4" w:space="0" w:color="000000"/>
              <w:left w:val="single" w:sz="4" w:space="0" w:color="000000"/>
              <w:bottom w:val="single" w:sz="4" w:space="0" w:color="000000"/>
              <w:right w:val="single" w:sz="4" w:space="0" w:color="000000"/>
            </w:tcBorders>
          </w:tcPr>
          <w:p w14:paraId="733063C6"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36 (51,4 %)</w:t>
            </w:r>
          </w:p>
        </w:tc>
        <w:tc>
          <w:tcPr>
            <w:tcW w:w="2409" w:type="dxa"/>
            <w:tcBorders>
              <w:top w:val="single" w:sz="4" w:space="0" w:color="000000"/>
              <w:left w:val="single" w:sz="4" w:space="0" w:color="000000"/>
              <w:bottom w:val="single" w:sz="4" w:space="0" w:color="000000"/>
              <w:right w:val="single" w:sz="4" w:space="0" w:color="000000"/>
            </w:tcBorders>
          </w:tcPr>
          <w:p w14:paraId="2270986B"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40 (57,1 %)</w:t>
            </w:r>
          </w:p>
        </w:tc>
      </w:tr>
      <w:tr w:rsidR="00FE291A" w14:paraId="2571407B" w14:textId="77777777">
        <w:trPr>
          <w:cantSplit/>
        </w:trPr>
        <w:tc>
          <w:tcPr>
            <w:tcW w:w="1438" w:type="dxa"/>
            <w:tcBorders>
              <w:top w:val="single" w:sz="4" w:space="0" w:color="000000"/>
              <w:left w:val="single" w:sz="4" w:space="0" w:color="000000"/>
              <w:bottom w:val="single" w:sz="4" w:space="0" w:color="auto"/>
              <w:right w:val="single" w:sz="4" w:space="0" w:color="000000"/>
            </w:tcBorders>
          </w:tcPr>
          <w:p w14:paraId="4FBD9634" w14:textId="77777777" w:rsidR="00FE291A" w:rsidRDefault="00C8738F">
            <w:pPr>
              <w:pStyle w:val="TableParagraph"/>
              <w:widowControl/>
              <w:suppressAutoHyphens/>
              <w:kinsoku w:val="0"/>
              <w:overflowPunct w:val="0"/>
              <w:rPr>
                <w:sz w:val="22"/>
                <w:szCs w:val="22"/>
                <w:lang w:val="de-DE"/>
              </w:rPr>
            </w:pPr>
            <w:r>
              <w:rPr>
                <w:sz w:val="22"/>
                <w:szCs w:val="22"/>
                <w:lang w:val="de-DE"/>
              </w:rPr>
              <w:t>Woche 36</w:t>
            </w:r>
          </w:p>
        </w:tc>
        <w:tc>
          <w:tcPr>
            <w:tcW w:w="2531" w:type="dxa"/>
            <w:tcBorders>
              <w:top w:val="single" w:sz="4" w:space="0" w:color="000000"/>
              <w:left w:val="single" w:sz="4" w:space="0" w:color="000000"/>
              <w:bottom w:val="single" w:sz="4" w:space="0" w:color="auto"/>
              <w:right w:val="single" w:sz="4" w:space="0" w:color="000000"/>
            </w:tcBorders>
          </w:tcPr>
          <w:p w14:paraId="37382E45"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22 (30,1 %)</w:t>
            </w:r>
          </w:p>
        </w:tc>
        <w:tc>
          <w:tcPr>
            <w:tcW w:w="2694" w:type="dxa"/>
            <w:tcBorders>
              <w:top w:val="single" w:sz="4" w:space="0" w:color="000000"/>
              <w:left w:val="single" w:sz="4" w:space="0" w:color="000000"/>
              <w:bottom w:val="single" w:sz="4" w:space="0" w:color="auto"/>
              <w:right w:val="single" w:sz="4" w:space="0" w:color="000000"/>
            </w:tcBorders>
          </w:tcPr>
          <w:p w14:paraId="0153DDB2"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28 (40,0 %)</w:t>
            </w:r>
          </w:p>
        </w:tc>
        <w:tc>
          <w:tcPr>
            <w:tcW w:w="2409" w:type="dxa"/>
            <w:tcBorders>
              <w:top w:val="single" w:sz="4" w:space="0" w:color="000000"/>
              <w:left w:val="single" w:sz="4" w:space="0" w:color="000000"/>
              <w:bottom w:val="single" w:sz="4" w:space="0" w:color="auto"/>
              <w:right w:val="single" w:sz="4" w:space="0" w:color="000000"/>
            </w:tcBorders>
          </w:tcPr>
          <w:p w14:paraId="096C93DD"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39 (55,7 %)</w:t>
            </w:r>
          </w:p>
        </w:tc>
      </w:tr>
      <w:tr w:rsidR="00FE291A" w:rsidRPr="00723069" w14:paraId="65617282" w14:textId="77777777">
        <w:trPr>
          <w:cantSplit/>
        </w:trPr>
        <w:tc>
          <w:tcPr>
            <w:tcW w:w="9072" w:type="dxa"/>
            <w:gridSpan w:val="4"/>
            <w:tcBorders>
              <w:top w:val="single" w:sz="4" w:space="0" w:color="auto"/>
            </w:tcBorders>
          </w:tcPr>
          <w:p w14:paraId="04C380B2" w14:textId="77777777" w:rsidR="00FE291A" w:rsidRDefault="00C8738F">
            <w:pPr>
              <w:pStyle w:val="ListParagraph"/>
              <w:widowControl/>
              <w:suppressAutoHyphens/>
              <w:kinsoku w:val="0"/>
              <w:overflowPunct w:val="0"/>
              <w:rPr>
                <w:sz w:val="20"/>
                <w:szCs w:val="20"/>
                <w:lang w:val="de-DE"/>
              </w:rPr>
            </w:pPr>
            <w:r>
              <w:rPr>
                <w:sz w:val="20"/>
                <w:szCs w:val="20"/>
                <w:vertAlign w:val="superscript"/>
                <w:lang w:val="de-DE"/>
              </w:rPr>
              <w:t>a</w:t>
            </w:r>
            <w:r>
              <w:rPr>
                <w:sz w:val="20"/>
                <w:szCs w:val="20"/>
                <w:lang w:val="de-DE"/>
              </w:rPr>
              <w:t xml:space="preserve"> Patienten mit einem mindestens teilweisen Ansprechen auf 40 mg Adalimumab wöchentlich nach 12 Behandlungswochen</w:t>
            </w:r>
          </w:p>
          <w:p w14:paraId="5B2CEBDD" w14:textId="77777777" w:rsidR="00FE291A" w:rsidRDefault="00C8738F">
            <w:pPr>
              <w:pStyle w:val="ListParagraph"/>
              <w:widowControl/>
              <w:tabs>
                <w:tab w:val="left" w:pos="542"/>
              </w:tabs>
              <w:suppressAutoHyphens/>
              <w:kinsoku w:val="0"/>
              <w:overflowPunct w:val="0"/>
              <w:rPr>
                <w:sz w:val="20"/>
                <w:szCs w:val="20"/>
                <w:lang w:val="de-DE"/>
              </w:rPr>
            </w:pPr>
            <w:r>
              <w:rPr>
                <w:sz w:val="20"/>
                <w:szCs w:val="20"/>
                <w:vertAlign w:val="superscript"/>
                <w:lang w:val="de-DE"/>
              </w:rPr>
              <w:t>b</w:t>
            </w:r>
            <w:r>
              <w:rPr>
                <w:sz w:val="20"/>
                <w:szCs w:val="20"/>
                <w:lang w:val="de-DE"/>
              </w:rPr>
              <w:t xml:space="preserve"> Patienten, die die im Prüfplan festgelegten Kriterien im Hinblick auf einen Verlust des Ansprechens oder keine Verbesserung erfüllten, mussten aus den Studien ausscheiden und wurden als </w:t>
            </w:r>
            <w:r>
              <w:rPr>
                <w:i/>
                <w:iCs/>
                <w:sz w:val="20"/>
                <w:szCs w:val="20"/>
                <w:lang w:val="de-DE"/>
              </w:rPr>
              <w:t xml:space="preserve">Non-Responder </w:t>
            </w:r>
            <w:r>
              <w:rPr>
                <w:sz w:val="20"/>
                <w:szCs w:val="20"/>
                <w:lang w:val="de-DE"/>
              </w:rPr>
              <w:t>gewertet.</w:t>
            </w:r>
          </w:p>
        </w:tc>
      </w:tr>
    </w:tbl>
    <w:p w14:paraId="6672D910" w14:textId="77777777" w:rsidR="00FE291A" w:rsidRDefault="00FE291A">
      <w:pPr>
        <w:widowControl/>
        <w:kinsoku w:val="0"/>
        <w:overflowPunct w:val="0"/>
        <w:rPr>
          <w:sz w:val="22"/>
          <w:szCs w:val="22"/>
          <w:lang w:val="de-DE"/>
        </w:rPr>
      </w:pPr>
    </w:p>
    <w:p w14:paraId="5EFE33F8" w14:textId="77777777" w:rsidR="00FE291A" w:rsidRDefault="00C8738F">
      <w:pPr>
        <w:pStyle w:val="BodyText"/>
        <w:widowControl/>
        <w:kinsoku w:val="0"/>
        <w:overflowPunct w:val="0"/>
        <w:ind w:left="0"/>
        <w:rPr>
          <w:lang w:val="de-DE"/>
        </w:rPr>
      </w:pPr>
      <w:r>
        <w:rPr>
          <w:lang w:val="de-DE"/>
        </w:rPr>
        <w:t>Unter den Patienten, die in Woche 12 mindestens teilweise auf die Behandlung angesprochen haben und die weiterhin wöchentlich mit Adalimumab behandelt wurden, betrug die HiSCR-Rate in Woche 48 68,3 % und in Woche 96 65,1 %. Bei einer langfristigen Behandlung mit Adalimumab 40 mg wöchentlich über 96 Wochen wurden keine neuen Erkenntnisse zur Sicherheit identifiziert.</w:t>
      </w:r>
    </w:p>
    <w:p w14:paraId="591CA648" w14:textId="77777777" w:rsidR="00FE291A" w:rsidRDefault="00FE291A">
      <w:pPr>
        <w:widowControl/>
        <w:kinsoku w:val="0"/>
        <w:overflowPunct w:val="0"/>
        <w:rPr>
          <w:sz w:val="22"/>
          <w:szCs w:val="22"/>
          <w:lang w:val="de-DE"/>
        </w:rPr>
      </w:pPr>
    </w:p>
    <w:p w14:paraId="3B23F54B" w14:textId="77777777" w:rsidR="00FE291A" w:rsidRDefault="00C8738F">
      <w:pPr>
        <w:pStyle w:val="BodyText"/>
        <w:widowControl/>
        <w:kinsoku w:val="0"/>
        <w:overflowPunct w:val="0"/>
        <w:ind w:left="0"/>
        <w:rPr>
          <w:lang w:val="de-DE"/>
        </w:rPr>
      </w:pPr>
      <w:r>
        <w:rPr>
          <w:lang w:val="de-DE"/>
        </w:rPr>
        <w:t>Unter den Patienten in den Studien HS-I und HS-II, deren Behandlung mit Adalimumab in Woche 12 abgesetzt wurde, war die HiSCR-Rate 12 Wochen nach Wiederaufnahme der Behandlung mit Adalimumab 40 mg wöchentlich vergleichbar mit der Rate vor dem Absetzen der Behandlung (56,0 %).</w:t>
      </w:r>
    </w:p>
    <w:p w14:paraId="6D860F9E" w14:textId="77777777" w:rsidR="00FE291A" w:rsidRDefault="00FE291A">
      <w:pPr>
        <w:widowControl/>
        <w:kinsoku w:val="0"/>
        <w:overflowPunct w:val="0"/>
        <w:rPr>
          <w:sz w:val="22"/>
          <w:szCs w:val="22"/>
          <w:lang w:val="de-DE"/>
        </w:rPr>
      </w:pPr>
    </w:p>
    <w:p w14:paraId="4B120447" w14:textId="77777777" w:rsidR="00FE291A" w:rsidRDefault="00C8738F">
      <w:pPr>
        <w:keepNext/>
        <w:widowControl/>
        <w:kinsoku w:val="0"/>
        <w:overflowPunct w:val="0"/>
        <w:rPr>
          <w:i/>
          <w:sz w:val="22"/>
          <w:szCs w:val="22"/>
          <w:lang w:val="de-DE"/>
        </w:rPr>
      </w:pPr>
      <w:r>
        <w:rPr>
          <w:i/>
          <w:iCs/>
          <w:sz w:val="22"/>
          <w:szCs w:val="22"/>
          <w:lang w:val="de-DE"/>
        </w:rPr>
        <w:t>Morbus Crohn</w:t>
      </w:r>
    </w:p>
    <w:p w14:paraId="0D3AF695" w14:textId="77777777" w:rsidR="00FE291A" w:rsidRDefault="00FE291A">
      <w:pPr>
        <w:keepNext/>
        <w:widowControl/>
        <w:kinsoku w:val="0"/>
        <w:overflowPunct w:val="0"/>
        <w:rPr>
          <w:sz w:val="22"/>
          <w:szCs w:val="22"/>
          <w:lang w:val="de-DE"/>
        </w:rPr>
      </w:pPr>
    </w:p>
    <w:p w14:paraId="2A125CFD" w14:textId="77777777" w:rsidR="00FE291A" w:rsidRDefault="00C8738F">
      <w:pPr>
        <w:pStyle w:val="BodyText"/>
        <w:widowControl/>
        <w:kinsoku w:val="0"/>
        <w:overflowPunct w:val="0"/>
        <w:ind w:left="0"/>
        <w:rPr>
          <w:lang w:val="de-DE"/>
        </w:rPr>
      </w:pPr>
      <w:r>
        <w:rPr>
          <w:lang w:val="de-DE"/>
        </w:rPr>
        <w:t>Die Sicherheit und Wirksamkeit von Adalimumab wurden bei über 1 500 Patienten mit mittelschwerem bis schwerem, aktivem Morbus Crohn (</w:t>
      </w:r>
      <w:r>
        <w:rPr>
          <w:i/>
          <w:iCs/>
          <w:lang w:val="de-DE"/>
        </w:rPr>
        <w:t xml:space="preserve">Crohn’s Disease Activity Index </w:t>
      </w:r>
      <w:r>
        <w:rPr>
          <w:lang w:val="de-DE"/>
        </w:rPr>
        <w:t>(CDAI) ≥ 220 und ≤ 450) in randomisierten, doppelblinden, placebokontrollierten Studien untersucht. Eine Begleitmedikation in gleichbleibender Dosierung mit Aminosalicylaten, Kortikosteroiden und/oder Immunsuppressiva war erlaubt, und bei 80 % der Patienten wurde mindestens eines dieser Medikamente fortgeführt.</w:t>
      </w:r>
    </w:p>
    <w:p w14:paraId="1D862BDB" w14:textId="77777777" w:rsidR="00FE291A" w:rsidRDefault="00FE291A">
      <w:pPr>
        <w:widowControl/>
        <w:kinsoku w:val="0"/>
        <w:overflowPunct w:val="0"/>
        <w:rPr>
          <w:sz w:val="22"/>
          <w:szCs w:val="22"/>
          <w:lang w:val="de-DE"/>
        </w:rPr>
      </w:pPr>
    </w:p>
    <w:p w14:paraId="3F4D3126" w14:textId="77777777" w:rsidR="00FE291A" w:rsidRDefault="00C8738F">
      <w:pPr>
        <w:pStyle w:val="BodyText"/>
        <w:widowControl/>
        <w:kinsoku w:val="0"/>
        <w:overflowPunct w:val="0"/>
        <w:ind w:left="0"/>
        <w:rPr>
          <w:lang w:val="de-DE"/>
        </w:rPr>
      </w:pPr>
      <w:r>
        <w:rPr>
          <w:lang w:val="de-DE"/>
        </w:rPr>
        <w:t>Die Induktion einer klinischen Remission (definiert als CDAI &lt; 150) wurde in zwei Studien, MC- Studie I (CLASSIC I) und MC-Studie II (GAIN), untersucht. In der MC-Studie I wurden 299 Patienten, die zuvor nicht mit einem TNF-Antagonisten behandelt wurden, in eine von vier Behandlungsgruppen randomisiert: Placebo in Woche 0 und 2, 160 mg Adalimumab in Woche 0 und 80 mg in Woche 2, 80 mg in Woche 0 und 40 mg in Woche 2 sowie 40 mg in Woche 0 und 20 mg in Woche 2. In der MC-Studie II wurden 325 Patienten, die nicht mehr ausreichend auf Infliximab ansprachen oder eine Unverträglichkeit gegenüber Infliximab zeigten, randomisiert und erhielten entweder 160 mg Adalimumab in Woche 0 und 80 mg in Woche 2 oder Placebo in Woche 0 und 2. Patienten, bei denen sich primär keine Wirkung zeigte, wurden aus diesen Studien ausgeschlossen und nicht weiter untersucht.</w:t>
      </w:r>
    </w:p>
    <w:p w14:paraId="0F634850" w14:textId="77777777" w:rsidR="00FE291A" w:rsidRDefault="00FE291A">
      <w:pPr>
        <w:widowControl/>
        <w:kinsoku w:val="0"/>
        <w:overflowPunct w:val="0"/>
        <w:rPr>
          <w:sz w:val="22"/>
          <w:szCs w:val="22"/>
          <w:lang w:val="de-DE"/>
        </w:rPr>
      </w:pPr>
    </w:p>
    <w:p w14:paraId="6ED9DFCE" w14:textId="77777777" w:rsidR="00FE291A" w:rsidRDefault="00C8738F">
      <w:pPr>
        <w:pStyle w:val="BodyText"/>
        <w:widowControl/>
        <w:kinsoku w:val="0"/>
        <w:overflowPunct w:val="0"/>
        <w:ind w:left="0"/>
        <w:rPr>
          <w:lang w:val="de-DE"/>
        </w:rPr>
      </w:pPr>
      <w:r>
        <w:rPr>
          <w:lang w:val="de-DE"/>
        </w:rPr>
        <w:t>Der Erhalt der klinischen Remission wurde in der MC-Studie III (CHARM) untersucht. In der offenen Induktionsphase der MC-Studie III erhielten 854 Patienten 80 mg in Woche 0 und 40 mg in Woche 2. In Woche 4 wurden die Patienten randomisiert und erhielten entweder 40 mg alle zwei Wochen, 40 mg jede Woche oder Placebo über den gesamten Studienzeitraum von 56 Wochen. Patienten, die auf die Therapie ansprachen (Minderung des CDAI ≥ 70), wurden in Woche 4 stratifiziert und unabhängig von denen, die bis Woche 4 noch keine Wirkung zeigten, analysiert. Ein Ausschleichen der Kortikosteroide war ab der 8. Woche erlaubt.</w:t>
      </w:r>
    </w:p>
    <w:p w14:paraId="376BCB43" w14:textId="77777777" w:rsidR="00FE291A" w:rsidRDefault="00FE291A">
      <w:pPr>
        <w:widowControl/>
        <w:kinsoku w:val="0"/>
        <w:overflowPunct w:val="0"/>
        <w:rPr>
          <w:sz w:val="22"/>
          <w:szCs w:val="22"/>
          <w:lang w:val="de-DE"/>
        </w:rPr>
      </w:pPr>
    </w:p>
    <w:p w14:paraId="3D6192B2" w14:textId="77777777" w:rsidR="00FE291A" w:rsidRDefault="00C8738F">
      <w:pPr>
        <w:pStyle w:val="BodyText"/>
        <w:widowControl/>
        <w:kinsoku w:val="0"/>
        <w:overflowPunct w:val="0"/>
        <w:ind w:left="0"/>
        <w:rPr>
          <w:lang w:val="de-DE"/>
        </w:rPr>
      </w:pPr>
      <w:r>
        <w:rPr>
          <w:lang w:val="de-DE"/>
        </w:rPr>
        <w:t>Die Induktion der Remissions- und Ansprechraten für die MC-Studie I und die MC-Studie II sind in Tabelle</w:t>
      </w:r>
      <w:r>
        <w:rPr>
          <w:rFonts w:ascii="Cambria" w:eastAsia="Cambria" w:hAnsi="Cambria"/>
          <w:lang w:val="de-DE"/>
        </w:rPr>
        <w:t> </w:t>
      </w:r>
      <w:r>
        <w:rPr>
          <w:lang w:val="de-DE"/>
        </w:rPr>
        <w:t>21 aufgeführt.</w:t>
      </w:r>
    </w:p>
    <w:p w14:paraId="634589D5" w14:textId="77777777" w:rsidR="00FE291A" w:rsidRDefault="00FE291A">
      <w:pPr>
        <w:pStyle w:val="BodyText"/>
        <w:widowControl/>
        <w:kinsoku w:val="0"/>
        <w:overflowPunct w:val="0"/>
        <w:ind w:left="0"/>
        <w:rPr>
          <w:lang w:val="de-DE"/>
        </w:rPr>
      </w:pPr>
    </w:p>
    <w:p w14:paraId="7DC5A20B" w14:textId="77777777" w:rsidR="00FE291A" w:rsidRDefault="00C8738F">
      <w:pPr>
        <w:keepNext/>
        <w:widowControl/>
        <w:kinsoku w:val="0"/>
        <w:overflowPunct w:val="0"/>
        <w:rPr>
          <w:sz w:val="22"/>
          <w:szCs w:val="22"/>
          <w:lang w:val="de-DE"/>
        </w:rPr>
      </w:pPr>
      <w:r>
        <w:rPr>
          <w:b/>
          <w:bCs/>
          <w:sz w:val="22"/>
          <w:szCs w:val="22"/>
          <w:lang w:val="de-DE"/>
        </w:rPr>
        <w:t>Tabelle 21: Induktion der klinischen Remission und des Ansprechens (Prozent der Patienten)</w:t>
      </w:r>
    </w:p>
    <w:p w14:paraId="21E66EE4" w14:textId="77777777" w:rsidR="00FE291A" w:rsidRDefault="00FE291A">
      <w:pPr>
        <w:keepNext/>
        <w:widowControl/>
        <w:kinsoku w:val="0"/>
        <w:overflowPunct w:val="0"/>
        <w:rPr>
          <w:sz w:val="22"/>
          <w:lang w:val="de-DE"/>
        </w:rPr>
      </w:pPr>
    </w:p>
    <w:tbl>
      <w:tblPr>
        <w:tblW w:w="9237" w:type="dxa"/>
        <w:tblLayout w:type="fixed"/>
        <w:tblCellMar>
          <w:top w:w="28" w:type="dxa"/>
          <w:bottom w:w="28" w:type="dxa"/>
        </w:tblCellMar>
        <w:tblLook w:val="04A0" w:firstRow="1" w:lastRow="0" w:firstColumn="1" w:lastColumn="0" w:noHBand="0" w:noVBand="1"/>
      </w:tblPr>
      <w:tblGrid>
        <w:gridCol w:w="2356"/>
        <w:gridCol w:w="1013"/>
        <w:gridCol w:w="1559"/>
        <w:gridCol w:w="1559"/>
        <w:gridCol w:w="1134"/>
        <w:gridCol w:w="1616"/>
      </w:tblGrid>
      <w:tr w:rsidR="00FE291A" w:rsidRPr="00723069" w14:paraId="77D52718" w14:textId="77777777">
        <w:trPr>
          <w:cantSplit/>
          <w:tblHeader/>
        </w:trPr>
        <w:tc>
          <w:tcPr>
            <w:tcW w:w="2356" w:type="dxa"/>
            <w:tcBorders>
              <w:top w:val="single" w:sz="4" w:space="0" w:color="000000"/>
              <w:left w:val="single" w:sz="4" w:space="0" w:color="000000"/>
              <w:bottom w:val="single" w:sz="4" w:space="0" w:color="000000"/>
              <w:right w:val="single" w:sz="4" w:space="0" w:color="000000"/>
            </w:tcBorders>
          </w:tcPr>
          <w:p w14:paraId="2038F413" w14:textId="77777777" w:rsidR="00FE291A" w:rsidRDefault="00FE291A">
            <w:pPr>
              <w:keepNext/>
              <w:widowControl/>
              <w:suppressAutoHyphens/>
              <w:rPr>
                <w:sz w:val="22"/>
                <w:lang w:val="de-DE"/>
              </w:rPr>
            </w:pPr>
          </w:p>
        </w:tc>
        <w:tc>
          <w:tcPr>
            <w:tcW w:w="4131" w:type="dxa"/>
            <w:gridSpan w:val="3"/>
            <w:tcBorders>
              <w:top w:val="single" w:sz="4" w:space="0" w:color="000000"/>
              <w:left w:val="single" w:sz="4" w:space="0" w:color="000000"/>
              <w:bottom w:val="single" w:sz="4" w:space="0" w:color="000000"/>
              <w:right w:val="single" w:sz="4" w:space="0" w:color="000000"/>
            </w:tcBorders>
          </w:tcPr>
          <w:p w14:paraId="43F84F2C" w14:textId="77777777" w:rsidR="00FE291A" w:rsidRDefault="00C8738F">
            <w:pPr>
              <w:pStyle w:val="TableParagraph"/>
              <w:keepNext/>
              <w:widowControl/>
              <w:suppressAutoHyphens/>
              <w:kinsoku w:val="0"/>
              <w:overflowPunct w:val="0"/>
              <w:rPr>
                <w:sz w:val="22"/>
                <w:lang w:val="it-IT"/>
              </w:rPr>
            </w:pPr>
            <w:r>
              <w:rPr>
                <w:b/>
                <w:bCs/>
                <w:sz w:val="22"/>
                <w:szCs w:val="22"/>
                <w:lang w:val="it-IT"/>
              </w:rPr>
              <w:t>MC-Studie I: Infliximab-naive Patienten</w:t>
            </w:r>
          </w:p>
        </w:tc>
        <w:tc>
          <w:tcPr>
            <w:tcW w:w="2750" w:type="dxa"/>
            <w:gridSpan w:val="2"/>
            <w:tcBorders>
              <w:top w:val="single" w:sz="4" w:space="0" w:color="000000"/>
              <w:left w:val="single" w:sz="4" w:space="0" w:color="000000"/>
              <w:bottom w:val="single" w:sz="4" w:space="0" w:color="000000"/>
              <w:right w:val="single" w:sz="4" w:space="0" w:color="000000"/>
            </w:tcBorders>
          </w:tcPr>
          <w:p w14:paraId="280235C2" w14:textId="77777777" w:rsidR="00FE291A" w:rsidRDefault="00C8738F">
            <w:pPr>
              <w:pStyle w:val="TableParagraph"/>
              <w:keepNext/>
              <w:widowControl/>
              <w:suppressAutoHyphens/>
              <w:kinsoku w:val="0"/>
              <w:overflowPunct w:val="0"/>
              <w:rPr>
                <w:sz w:val="22"/>
                <w:lang w:val="de-DE"/>
              </w:rPr>
            </w:pPr>
            <w:r>
              <w:rPr>
                <w:b/>
                <w:bCs/>
                <w:sz w:val="22"/>
                <w:szCs w:val="22"/>
                <w:lang w:val="de-DE"/>
              </w:rPr>
              <w:t>MC-Studie II: Infliximab- erfahrene Patienten</w:t>
            </w:r>
          </w:p>
        </w:tc>
      </w:tr>
      <w:tr w:rsidR="00FE291A" w14:paraId="0A896A4A" w14:textId="77777777">
        <w:trPr>
          <w:cantSplit/>
          <w:tblHeader/>
        </w:trPr>
        <w:tc>
          <w:tcPr>
            <w:tcW w:w="2356" w:type="dxa"/>
            <w:tcBorders>
              <w:top w:val="single" w:sz="4" w:space="0" w:color="000000"/>
              <w:left w:val="single" w:sz="4" w:space="0" w:color="000000"/>
              <w:bottom w:val="single" w:sz="4" w:space="0" w:color="000000"/>
              <w:right w:val="single" w:sz="4" w:space="0" w:color="000000"/>
            </w:tcBorders>
          </w:tcPr>
          <w:p w14:paraId="4749B8D5" w14:textId="77777777" w:rsidR="00FE291A" w:rsidRDefault="00FE291A">
            <w:pPr>
              <w:keepNext/>
              <w:widowControl/>
              <w:suppressAutoHyphens/>
              <w:rPr>
                <w:sz w:val="22"/>
                <w:lang w:val="de-DE"/>
              </w:rPr>
            </w:pPr>
          </w:p>
        </w:tc>
        <w:tc>
          <w:tcPr>
            <w:tcW w:w="1013" w:type="dxa"/>
            <w:tcBorders>
              <w:top w:val="single" w:sz="4" w:space="0" w:color="000000"/>
              <w:left w:val="single" w:sz="4" w:space="0" w:color="000000"/>
              <w:bottom w:val="single" w:sz="4" w:space="0" w:color="000000"/>
              <w:right w:val="single" w:sz="4" w:space="0" w:color="000000"/>
            </w:tcBorders>
          </w:tcPr>
          <w:p w14:paraId="7244999E" w14:textId="77777777" w:rsidR="00FE291A" w:rsidRDefault="00C8738F">
            <w:pPr>
              <w:pStyle w:val="TableParagraph"/>
              <w:keepNext/>
              <w:widowControl/>
              <w:suppressAutoHyphens/>
              <w:kinsoku w:val="0"/>
              <w:overflowPunct w:val="0"/>
              <w:jc w:val="center"/>
              <w:rPr>
                <w:sz w:val="22"/>
                <w:szCs w:val="22"/>
                <w:lang w:val="de-DE"/>
              </w:rPr>
            </w:pPr>
            <w:r>
              <w:rPr>
                <w:b/>
                <w:bCs/>
                <w:sz w:val="22"/>
                <w:szCs w:val="22"/>
                <w:lang w:val="de-DE"/>
              </w:rPr>
              <w:t>Placebo</w:t>
            </w:r>
          </w:p>
          <w:p w14:paraId="4CC64539" w14:textId="77777777" w:rsidR="00FE291A" w:rsidRDefault="00C8738F">
            <w:pPr>
              <w:pStyle w:val="TableParagraph"/>
              <w:keepNext/>
              <w:widowControl/>
              <w:suppressAutoHyphens/>
              <w:kinsoku w:val="0"/>
              <w:overflowPunct w:val="0"/>
              <w:jc w:val="center"/>
              <w:rPr>
                <w:sz w:val="22"/>
                <w:lang w:val="de-DE"/>
              </w:rPr>
            </w:pPr>
            <w:r>
              <w:rPr>
                <w:b/>
                <w:bCs/>
                <w:sz w:val="22"/>
                <w:szCs w:val="22"/>
                <w:lang w:val="de-DE"/>
              </w:rPr>
              <w:t>N = 74</w:t>
            </w:r>
          </w:p>
        </w:tc>
        <w:tc>
          <w:tcPr>
            <w:tcW w:w="1559" w:type="dxa"/>
            <w:tcBorders>
              <w:top w:val="single" w:sz="4" w:space="0" w:color="000000"/>
              <w:left w:val="single" w:sz="4" w:space="0" w:color="000000"/>
              <w:bottom w:val="single" w:sz="4" w:space="0" w:color="000000"/>
              <w:right w:val="single" w:sz="4" w:space="0" w:color="000000"/>
            </w:tcBorders>
          </w:tcPr>
          <w:p w14:paraId="6D5A7B3D" w14:textId="77777777" w:rsidR="00FE291A" w:rsidRDefault="00C8738F">
            <w:pPr>
              <w:pStyle w:val="TableParagraph"/>
              <w:keepNext/>
              <w:widowControl/>
              <w:suppressAutoHyphens/>
              <w:kinsoku w:val="0"/>
              <w:overflowPunct w:val="0"/>
              <w:jc w:val="center"/>
              <w:rPr>
                <w:b/>
                <w:bCs/>
                <w:sz w:val="22"/>
                <w:szCs w:val="22"/>
                <w:lang w:val="de-DE"/>
              </w:rPr>
            </w:pPr>
            <w:r>
              <w:rPr>
                <w:b/>
                <w:bCs/>
                <w:sz w:val="22"/>
                <w:szCs w:val="22"/>
                <w:lang w:val="de-DE"/>
              </w:rPr>
              <w:t>Adalimumab 80/40 mg</w:t>
            </w:r>
          </w:p>
          <w:p w14:paraId="4336C3B4" w14:textId="77777777" w:rsidR="00FE291A" w:rsidRDefault="00C8738F">
            <w:pPr>
              <w:pStyle w:val="TableParagraph"/>
              <w:keepNext/>
              <w:widowControl/>
              <w:suppressAutoHyphens/>
              <w:kinsoku w:val="0"/>
              <w:overflowPunct w:val="0"/>
              <w:jc w:val="center"/>
              <w:rPr>
                <w:sz w:val="22"/>
                <w:lang w:val="de-DE"/>
              </w:rPr>
            </w:pPr>
            <w:r>
              <w:rPr>
                <w:b/>
                <w:bCs/>
                <w:sz w:val="22"/>
                <w:szCs w:val="22"/>
                <w:lang w:val="de-DE"/>
              </w:rPr>
              <w:t>N = 75</w:t>
            </w:r>
          </w:p>
        </w:tc>
        <w:tc>
          <w:tcPr>
            <w:tcW w:w="1559" w:type="dxa"/>
            <w:tcBorders>
              <w:top w:val="single" w:sz="4" w:space="0" w:color="000000"/>
              <w:left w:val="single" w:sz="4" w:space="0" w:color="000000"/>
              <w:bottom w:val="single" w:sz="4" w:space="0" w:color="000000"/>
              <w:right w:val="single" w:sz="4" w:space="0" w:color="000000"/>
            </w:tcBorders>
          </w:tcPr>
          <w:p w14:paraId="26FEA3A3" w14:textId="77777777" w:rsidR="00FE291A" w:rsidRDefault="00C8738F">
            <w:pPr>
              <w:pStyle w:val="TableParagraph"/>
              <w:keepNext/>
              <w:widowControl/>
              <w:suppressAutoHyphens/>
              <w:kinsoku w:val="0"/>
              <w:overflowPunct w:val="0"/>
              <w:jc w:val="center"/>
              <w:rPr>
                <w:b/>
                <w:bCs/>
                <w:sz w:val="22"/>
                <w:szCs w:val="22"/>
                <w:lang w:val="de-DE"/>
              </w:rPr>
            </w:pPr>
            <w:r>
              <w:rPr>
                <w:b/>
                <w:bCs/>
                <w:sz w:val="22"/>
                <w:szCs w:val="22"/>
                <w:lang w:val="de-DE"/>
              </w:rPr>
              <w:t>Adalimumab 160/80 mg</w:t>
            </w:r>
          </w:p>
          <w:p w14:paraId="11D8767D" w14:textId="77777777" w:rsidR="00FE291A" w:rsidRDefault="00C8738F">
            <w:pPr>
              <w:pStyle w:val="TableParagraph"/>
              <w:keepNext/>
              <w:widowControl/>
              <w:suppressAutoHyphens/>
              <w:kinsoku w:val="0"/>
              <w:overflowPunct w:val="0"/>
              <w:jc w:val="center"/>
              <w:rPr>
                <w:sz w:val="22"/>
                <w:lang w:val="de-DE"/>
              </w:rPr>
            </w:pPr>
            <w:r>
              <w:rPr>
                <w:b/>
                <w:bCs/>
                <w:sz w:val="22"/>
                <w:szCs w:val="22"/>
                <w:lang w:val="de-DE"/>
              </w:rPr>
              <w:t>N = 76</w:t>
            </w:r>
          </w:p>
        </w:tc>
        <w:tc>
          <w:tcPr>
            <w:tcW w:w="1134" w:type="dxa"/>
            <w:tcBorders>
              <w:top w:val="single" w:sz="4" w:space="0" w:color="000000"/>
              <w:left w:val="single" w:sz="4" w:space="0" w:color="000000"/>
              <w:bottom w:val="single" w:sz="4" w:space="0" w:color="000000"/>
              <w:right w:val="single" w:sz="4" w:space="0" w:color="000000"/>
            </w:tcBorders>
          </w:tcPr>
          <w:p w14:paraId="38465DD2" w14:textId="77777777" w:rsidR="00FE291A" w:rsidRDefault="00C8738F">
            <w:pPr>
              <w:pStyle w:val="TableParagraph"/>
              <w:keepNext/>
              <w:widowControl/>
              <w:suppressAutoHyphens/>
              <w:kinsoku w:val="0"/>
              <w:overflowPunct w:val="0"/>
              <w:jc w:val="center"/>
              <w:rPr>
                <w:sz w:val="22"/>
                <w:szCs w:val="22"/>
                <w:lang w:val="de-DE"/>
              </w:rPr>
            </w:pPr>
            <w:r>
              <w:rPr>
                <w:b/>
                <w:bCs/>
                <w:sz w:val="22"/>
                <w:szCs w:val="22"/>
                <w:lang w:val="de-DE"/>
              </w:rPr>
              <w:t>Placebo</w:t>
            </w:r>
          </w:p>
          <w:p w14:paraId="7E8A14E8" w14:textId="77777777" w:rsidR="00FE291A" w:rsidRDefault="00C8738F">
            <w:pPr>
              <w:pStyle w:val="TableParagraph"/>
              <w:keepNext/>
              <w:widowControl/>
              <w:suppressAutoHyphens/>
              <w:kinsoku w:val="0"/>
              <w:overflowPunct w:val="0"/>
              <w:jc w:val="center"/>
              <w:rPr>
                <w:sz w:val="22"/>
                <w:lang w:val="de-DE"/>
              </w:rPr>
            </w:pPr>
            <w:r>
              <w:rPr>
                <w:b/>
                <w:bCs/>
                <w:sz w:val="22"/>
                <w:szCs w:val="22"/>
                <w:lang w:val="de-DE"/>
              </w:rPr>
              <w:t>N = 166</w:t>
            </w:r>
          </w:p>
        </w:tc>
        <w:tc>
          <w:tcPr>
            <w:tcW w:w="1616" w:type="dxa"/>
            <w:tcBorders>
              <w:top w:val="single" w:sz="4" w:space="0" w:color="000000"/>
              <w:left w:val="single" w:sz="4" w:space="0" w:color="000000"/>
              <w:bottom w:val="single" w:sz="4" w:space="0" w:color="000000"/>
              <w:right w:val="single" w:sz="4" w:space="0" w:color="000000"/>
            </w:tcBorders>
          </w:tcPr>
          <w:p w14:paraId="1250FD66" w14:textId="77777777" w:rsidR="00FE291A" w:rsidRDefault="00C8738F">
            <w:pPr>
              <w:pStyle w:val="TableParagraph"/>
              <w:keepNext/>
              <w:widowControl/>
              <w:suppressAutoHyphens/>
              <w:kinsoku w:val="0"/>
              <w:overflowPunct w:val="0"/>
              <w:jc w:val="center"/>
              <w:rPr>
                <w:b/>
                <w:bCs/>
                <w:sz w:val="22"/>
                <w:szCs w:val="22"/>
                <w:lang w:val="de-DE"/>
              </w:rPr>
            </w:pPr>
            <w:r>
              <w:rPr>
                <w:b/>
                <w:bCs/>
                <w:sz w:val="22"/>
                <w:szCs w:val="22"/>
                <w:lang w:val="de-DE"/>
              </w:rPr>
              <w:t>Adalimumab 160/80 mg</w:t>
            </w:r>
          </w:p>
          <w:p w14:paraId="4815E1EF" w14:textId="77777777" w:rsidR="00FE291A" w:rsidRDefault="00C8738F">
            <w:pPr>
              <w:pStyle w:val="TableParagraph"/>
              <w:keepNext/>
              <w:widowControl/>
              <w:suppressAutoHyphens/>
              <w:kinsoku w:val="0"/>
              <w:overflowPunct w:val="0"/>
              <w:jc w:val="center"/>
              <w:rPr>
                <w:sz w:val="22"/>
                <w:lang w:val="de-DE"/>
              </w:rPr>
            </w:pPr>
            <w:r>
              <w:rPr>
                <w:b/>
                <w:bCs/>
                <w:sz w:val="22"/>
                <w:szCs w:val="22"/>
                <w:lang w:val="de-DE"/>
              </w:rPr>
              <w:t>N = 159</w:t>
            </w:r>
          </w:p>
        </w:tc>
      </w:tr>
      <w:tr w:rsidR="00FE291A" w14:paraId="4AB5ED86" w14:textId="77777777">
        <w:trPr>
          <w:cantSplit/>
        </w:trPr>
        <w:tc>
          <w:tcPr>
            <w:tcW w:w="9237" w:type="dxa"/>
            <w:gridSpan w:val="6"/>
            <w:tcBorders>
              <w:top w:val="single" w:sz="4" w:space="0" w:color="000000"/>
              <w:left w:val="single" w:sz="4" w:space="0" w:color="000000"/>
              <w:bottom w:val="single" w:sz="4" w:space="0" w:color="000000"/>
              <w:right w:val="single" w:sz="4" w:space="0" w:color="000000"/>
            </w:tcBorders>
            <w:vAlign w:val="center"/>
          </w:tcPr>
          <w:p w14:paraId="54BF51E7" w14:textId="77777777" w:rsidR="00FE291A" w:rsidRDefault="00C8738F">
            <w:pPr>
              <w:widowControl/>
              <w:suppressAutoHyphens/>
              <w:rPr>
                <w:sz w:val="22"/>
                <w:lang w:val="de-DE"/>
              </w:rPr>
            </w:pPr>
            <w:r>
              <w:rPr>
                <w:sz w:val="22"/>
                <w:szCs w:val="22"/>
                <w:lang w:val="de-DE"/>
              </w:rPr>
              <w:t>Woche 4</w:t>
            </w:r>
          </w:p>
        </w:tc>
      </w:tr>
      <w:tr w:rsidR="00FE291A" w14:paraId="5DA0B744" w14:textId="77777777">
        <w:trPr>
          <w:cantSplit/>
        </w:trPr>
        <w:tc>
          <w:tcPr>
            <w:tcW w:w="2356" w:type="dxa"/>
            <w:tcBorders>
              <w:top w:val="single" w:sz="4" w:space="0" w:color="000000"/>
              <w:left w:val="single" w:sz="4" w:space="0" w:color="000000"/>
              <w:bottom w:val="single" w:sz="4" w:space="0" w:color="000000"/>
              <w:right w:val="single" w:sz="4" w:space="0" w:color="000000"/>
            </w:tcBorders>
          </w:tcPr>
          <w:p w14:paraId="40660904" w14:textId="77777777" w:rsidR="00FE291A" w:rsidRDefault="00C8738F">
            <w:pPr>
              <w:pStyle w:val="TableParagraph"/>
              <w:widowControl/>
              <w:suppressAutoHyphens/>
              <w:kinsoku w:val="0"/>
              <w:overflowPunct w:val="0"/>
              <w:rPr>
                <w:sz w:val="22"/>
                <w:lang w:val="de-DE"/>
              </w:rPr>
            </w:pPr>
            <w:r>
              <w:rPr>
                <w:sz w:val="22"/>
                <w:szCs w:val="22"/>
                <w:lang w:val="de-DE"/>
              </w:rPr>
              <w:t>Klinische Remission</w:t>
            </w:r>
          </w:p>
        </w:tc>
        <w:tc>
          <w:tcPr>
            <w:tcW w:w="1013" w:type="dxa"/>
            <w:tcBorders>
              <w:top w:val="single" w:sz="4" w:space="0" w:color="000000"/>
              <w:left w:val="single" w:sz="4" w:space="0" w:color="000000"/>
              <w:bottom w:val="single" w:sz="4" w:space="0" w:color="000000"/>
              <w:right w:val="single" w:sz="4" w:space="0" w:color="000000"/>
            </w:tcBorders>
          </w:tcPr>
          <w:p w14:paraId="2574C867" w14:textId="77777777" w:rsidR="00FE291A" w:rsidRDefault="00C8738F">
            <w:pPr>
              <w:pStyle w:val="TableParagraph"/>
              <w:widowControl/>
              <w:suppressAutoHyphens/>
              <w:kinsoku w:val="0"/>
              <w:overflowPunct w:val="0"/>
              <w:jc w:val="center"/>
              <w:rPr>
                <w:sz w:val="22"/>
                <w:lang w:val="de-DE"/>
              </w:rPr>
            </w:pPr>
            <w:r>
              <w:rPr>
                <w:sz w:val="22"/>
                <w:szCs w:val="22"/>
                <w:lang w:val="de-DE"/>
              </w:rPr>
              <w:t>12 %</w:t>
            </w:r>
          </w:p>
        </w:tc>
        <w:tc>
          <w:tcPr>
            <w:tcW w:w="1559" w:type="dxa"/>
            <w:tcBorders>
              <w:top w:val="single" w:sz="4" w:space="0" w:color="000000"/>
              <w:left w:val="single" w:sz="4" w:space="0" w:color="000000"/>
              <w:bottom w:val="single" w:sz="4" w:space="0" w:color="000000"/>
              <w:right w:val="single" w:sz="4" w:space="0" w:color="000000"/>
            </w:tcBorders>
          </w:tcPr>
          <w:p w14:paraId="0C38EB1E" w14:textId="77777777" w:rsidR="00FE291A" w:rsidRDefault="00C8738F">
            <w:pPr>
              <w:pStyle w:val="TableParagraph"/>
              <w:widowControl/>
              <w:suppressAutoHyphens/>
              <w:kinsoku w:val="0"/>
              <w:overflowPunct w:val="0"/>
              <w:jc w:val="center"/>
              <w:rPr>
                <w:sz w:val="22"/>
                <w:lang w:val="de-DE"/>
              </w:rPr>
            </w:pPr>
            <w:r>
              <w:rPr>
                <w:sz w:val="22"/>
                <w:szCs w:val="22"/>
                <w:lang w:val="de-DE"/>
              </w:rPr>
              <w:t>24 %</w:t>
            </w:r>
          </w:p>
        </w:tc>
        <w:tc>
          <w:tcPr>
            <w:tcW w:w="1559" w:type="dxa"/>
            <w:tcBorders>
              <w:top w:val="single" w:sz="4" w:space="0" w:color="000000"/>
              <w:left w:val="single" w:sz="4" w:space="0" w:color="000000"/>
              <w:bottom w:val="single" w:sz="4" w:space="0" w:color="000000"/>
              <w:right w:val="single" w:sz="4" w:space="0" w:color="000000"/>
            </w:tcBorders>
          </w:tcPr>
          <w:p w14:paraId="7EA08D40"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36 %*</w:t>
            </w:r>
          </w:p>
        </w:tc>
        <w:tc>
          <w:tcPr>
            <w:tcW w:w="1134" w:type="dxa"/>
            <w:tcBorders>
              <w:top w:val="single" w:sz="4" w:space="0" w:color="000000"/>
              <w:left w:val="single" w:sz="4" w:space="0" w:color="000000"/>
              <w:bottom w:val="single" w:sz="4" w:space="0" w:color="000000"/>
              <w:right w:val="single" w:sz="4" w:space="0" w:color="000000"/>
            </w:tcBorders>
          </w:tcPr>
          <w:p w14:paraId="7057C8A8" w14:textId="77777777" w:rsidR="00FE291A" w:rsidRDefault="00C8738F">
            <w:pPr>
              <w:pStyle w:val="TableParagraph"/>
              <w:widowControl/>
              <w:suppressAutoHyphens/>
              <w:kinsoku w:val="0"/>
              <w:overflowPunct w:val="0"/>
              <w:jc w:val="center"/>
              <w:rPr>
                <w:sz w:val="22"/>
                <w:lang w:val="de-DE"/>
              </w:rPr>
            </w:pPr>
            <w:r>
              <w:rPr>
                <w:sz w:val="22"/>
                <w:szCs w:val="22"/>
                <w:lang w:val="de-DE"/>
              </w:rPr>
              <w:t>7 %</w:t>
            </w:r>
          </w:p>
        </w:tc>
        <w:tc>
          <w:tcPr>
            <w:tcW w:w="1616" w:type="dxa"/>
            <w:tcBorders>
              <w:top w:val="single" w:sz="4" w:space="0" w:color="000000"/>
              <w:left w:val="single" w:sz="4" w:space="0" w:color="000000"/>
              <w:bottom w:val="single" w:sz="4" w:space="0" w:color="000000"/>
              <w:right w:val="single" w:sz="4" w:space="0" w:color="000000"/>
            </w:tcBorders>
          </w:tcPr>
          <w:p w14:paraId="72B9D156"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21 %*</w:t>
            </w:r>
          </w:p>
        </w:tc>
      </w:tr>
      <w:tr w:rsidR="00FE291A" w14:paraId="2737ED7D" w14:textId="77777777">
        <w:trPr>
          <w:cantSplit/>
        </w:trPr>
        <w:tc>
          <w:tcPr>
            <w:tcW w:w="2356" w:type="dxa"/>
            <w:tcBorders>
              <w:top w:val="single" w:sz="4" w:space="0" w:color="000000"/>
              <w:left w:val="single" w:sz="4" w:space="0" w:color="000000"/>
              <w:bottom w:val="single" w:sz="4" w:space="0" w:color="000000"/>
              <w:right w:val="single" w:sz="4" w:space="0" w:color="000000"/>
            </w:tcBorders>
          </w:tcPr>
          <w:p w14:paraId="79A3A29C" w14:textId="77777777" w:rsidR="00FE291A" w:rsidRDefault="00C8738F">
            <w:pPr>
              <w:pStyle w:val="TableParagraph"/>
              <w:keepNext/>
              <w:widowControl/>
              <w:suppressAutoHyphens/>
              <w:kinsoku w:val="0"/>
              <w:overflowPunct w:val="0"/>
              <w:rPr>
                <w:sz w:val="22"/>
                <w:lang w:val="de-DE"/>
              </w:rPr>
            </w:pPr>
            <w:r>
              <w:rPr>
                <w:sz w:val="22"/>
                <w:szCs w:val="22"/>
                <w:lang w:val="de-DE"/>
              </w:rPr>
              <w:t>Klinisches Ansprechen (CR-100)</w:t>
            </w:r>
          </w:p>
        </w:tc>
        <w:tc>
          <w:tcPr>
            <w:tcW w:w="1013" w:type="dxa"/>
            <w:tcBorders>
              <w:top w:val="single" w:sz="4" w:space="0" w:color="000000"/>
              <w:left w:val="single" w:sz="4" w:space="0" w:color="000000"/>
              <w:bottom w:val="single" w:sz="4" w:space="0" w:color="000000"/>
              <w:right w:val="single" w:sz="4" w:space="0" w:color="000000"/>
            </w:tcBorders>
          </w:tcPr>
          <w:p w14:paraId="15A244FE" w14:textId="77777777" w:rsidR="00FE291A" w:rsidRDefault="00C8738F">
            <w:pPr>
              <w:pStyle w:val="TableParagraph"/>
              <w:keepNext/>
              <w:widowControl/>
              <w:suppressAutoHyphens/>
              <w:kinsoku w:val="0"/>
              <w:overflowPunct w:val="0"/>
              <w:jc w:val="center"/>
              <w:rPr>
                <w:sz w:val="22"/>
                <w:lang w:val="de-DE"/>
              </w:rPr>
            </w:pPr>
            <w:r>
              <w:rPr>
                <w:sz w:val="22"/>
                <w:szCs w:val="22"/>
                <w:lang w:val="de-DE"/>
              </w:rPr>
              <w:t>24 %</w:t>
            </w:r>
          </w:p>
        </w:tc>
        <w:tc>
          <w:tcPr>
            <w:tcW w:w="1559" w:type="dxa"/>
            <w:tcBorders>
              <w:top w:val="single" w:sz="4" w:space="0" w:color="000000"/>
              <w:left w:val="single" w:sz="4" w:space="0" w:color="000000"/>
              <w:bottom w:val="single" w:sz="4" w:space="0" w:color="000000"/>
              <w:right w:val="single" w:sz="4" w:space="0" w:color="000000"/>
            </w:tcBorders>
          </w:tcPr>
          <w:p w14:paraId="0D3D83BE" w14:textId="77777777" w:rsidR="00FE291A" w:rsidRDefault="00C8738F">
            <w:pPr>
              <w:pStyle w:val="TableParagraph"/>
              <w:keepNext/>
              <w:widowControl/>
              <w:suppressAutoHyphens/>
              <w:kinsoku w:val="0"/>
              <w:overflowPunct w:val="0"/>
              <w:jc w:val="center"/>
              <w:rPr>
                <w:sz w:val="22"/>
                <w:lang w:val="de-DE"/>
              </w:rPr>
            </w:pPr>
            <w:r>
              <w:rPr>
                <w:sz w:val="22"/>
                <w:szCs w:val="22"/>
                <w:lang w:val="de-DE"/>
              </w:rPr>
              <w:t>37 %</w:t>
            </w:r>
          </w:p>
        </w:tc>
        <w:tc>
          <w:tcPr>
            <w:tcW w:w="1559" w:type="dxa"/>
            <w:tcBorders>
              <w:top w:val="single" w:sz="4" w:space="0" w:color="000000"/>
              <w:left w:val="single" w:sz="4" w:space="0" w:color="000000"/>
              <w:bottom w:val="single" w:sz="4" w:space="0" w:color="000000"/>
              <w:right w:val="single" w:sz="4" w:space="0" w:color="000000"/>
            </w:tcBorders>
          </w:tcPr>
          <w:p w14:paraId="0BF3BDBC" w14:textId="77777777" w:rsidR="00FE291A" w:rsidRDefault="00C8738F">
            <w:pPr>
              <w:pStyle w:val="TableParagraph"/>
              <w:keepNext/>
              <w:widowControl/>
              <w:suppressAutoHyphens/>
              <w:kinsoku w:val="0"/>
              <w:overflowPunct w:val="0"/>
              <w:jc w:val="center"/>
              <w:rPr>
                <w:sz w:val="22"/>
                <w:lang w:val="de-DE"/>
              </w:rPr>
            </w:pPr>
            <w:r>
              <w:rPr>
                <w:sz w:val="22"/>
                <w:szCs w:val="22"/>
                <w:lang w:val="de-DE"/>
              </w:rPr>
              <w:t>49 %**</w:t>
            </w:r>
          </w:p>
        </w:tc>
        <w:tc>
          <w:tcPr>
            <w:tcW w:w="1134" w:type="dxa"/>
            <w:tcBorders>
              <w:top w:val="single" w:sz="4" w:space="0" w:color="000000"/>
              <w:left w:val="single" w:sz="4" w:space="0" w:color="000000"/>
              <w:bottom w:val="single" w:sz="4" w:space="0" w:color="000000"/>
              <w:right w:val="single" w:sz="4" w:space="0" w:color="000000"/>
            </w:tcBorders>
          </w:tcPr>
          <w:p w14:paraId="20C28122" w14:textId="77777777" w:rsidR="00FE291A" w:rsidRDefault="00C8738F">
            <w:pPr>
              <w:pStyle w:val="TableParagraph"/>
              <w:keepNext/>
              <w:widowControl/>
              <w:suppressAutoHyphens/>
              <w:kinsoku w:val="0"/>
              <w:overflowPunct w:val="0"/>
              <w:jc w:val="center"/>
              <w:rPr>
                <w:sz w:val="22"/>
                <w:lang w:val="de-DE"/>
              </w:rPr>
            </w:pPr>
            <w:r>
              <w:rPr>
                <w:sz w:val="22"/>
                <w:szCs w:val="22"/>
                <w:lang w:val="de-DE"/>
              </w:rPr>
              <w:t>25 %</w:t>
            </w:r>
          </w:p>
        </w:tc>
        <w:tc>
          <w:tcPr>
            <w:tcW w:w="1616" w:type="dxa"/>
            <w:tcBorders>
              <w:top w:val="single" w:sz="4" w:space="0" w:color="000000"/>
              <w:left w:val="single" w:sz="4" w:space="0" w:color="000000"/>
              <w:bottom w:val="single" w:sz="4" w:space="0" w:color="000000"/>
              <w:right w:val="single" w:sz="4" w:space="0" w:color="000000"/>
            </w:tcBorders>
          </w:tcPr>
          <w:p w14:paraId="60E0B2CB"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38 %**</w:t>
            </w:r>
          </w:p>
        </w:tc>
      </w:tr>
    </w:tbl>
    <w:p w14:paraId="279EA2C9" w14:textId="77777777" w:rsidR="00FE291A" w:rsidRDefault="00C8738F">
      <w:pPr>
        <w:pStyle w:val="BodyText"/>
        <w:widowControl/>
        <w:kinsoku w:val="0"/>
        <w:overflowPunct w:val="0"/>
        <w:ind w:left="0"/>
        <w:rPr>
          <w:sz w:val="20"/>
          <w:szCs w:val="20"/>
          <w:lang w:val="de-DE"/>
        </w:rPr>
      </w:pPr>
      <w:r>
        <w:rPr>
          <w:sz w:val="20"/>
          <w:szCs w:val="20"/>
          <w:lang w:val="de-DE"/>
        </w:rPr>
        <w:t xml:space="preserve">Alle p-Werte beziehen sich auf den paarweisen Vergleich der Zahlen für Adalimumab </w:t>
      </w:r>
      <w:r>
        <w:rPr>
          <w:i/>
          <w:iCs/>
          <w:sz w:val="20"/>
          <w:szCs w:val="20"/>
          <w:lang w:val="de-DE"/>
        </w:rPr>
        <w:t>versu</w:t>
      </w:r>
      <w:r>
        <w:rPr>
          <w:i/>
          <w:sz w:val="20"/>
          <w:szCs w:val="20"/>
          <w:lang w:val="de-DE"/>
        </w:rPr>
        <w:t>s</w:t>
      </w:r>
      <w:r>
        <w:rPr>
          <w:sz w:val="20"/>
          <w:szCs w:val="20"/>
          <w:lang w:val="de-DE"/>
        </w:rPr>
        <w:t xml:space="preserve"> Placebo</w:t>
      </w:r>
    </w:p>
    <w:p w14:paraId="0BD7D2B6" w14:textId="77777777" w:rsidR="00FE291A" w:rsidRDefault="00C8738F">
      <w:pPr>
        <w:pStyle w:val="BodyText"/>
        <w:keepNext/>
        <w:widowControl/>
        <w:tabs>
          <w:tab w:val="left" w:pos="578"/>
        </w:tabs>
        <w:kinsoku w:val="0"/>
        <w:overflowPunct w:val="0"/>
        <w:ind w:left="0"/>
        <w:rPr>
          <w:sz w:val="20"/>
          <w:szCs w:val="20"/>
          <w:lang w:val="de-DE"/>
        </w:rPr>
      </w:pPr>
      <w:r>
        <w:rPr>
          <w:sz w:val="20"/>
          <w:szCs w:val="20"/>
          <w:lang w:val="de-DE"/>
        </w:rPr>
        <w:t>* p &lt; 0,001</w:t>
      </w:r>
    </w:p>
    <w:p w14:paraId="71BB53DA" w14:textId="77777777" w:rsidR="00FE291A" w:rsidRDefault="00C8738F">
      <w:pPr>
        <w:widowControl/>
        <w:tabs>
          <w:tab w:val="left" w:pos="578"/>
        </w:tabs>
        <w:kinsoku w:val="0"/>
        <w:overflowPunct w:val="0"/>
        <w:rPr>
          <w:sz w:val="20"/>
          <w:szCs w:val="20"/>
          <w:lang w:val="de-DE"/>
        </w:rPr>
      </w:pPr>
      <w:r>
        <w:rPr>
          <w:sz w:val="20"/>
          <w:szCs w:val="20"/>
          <w:lang w:val="de-DE"/>
        </w:rPr>
        <w:t>** p &lt; 0,01</w:t>
      </w:r>
    </w:p>
    <w:p w14:paraId="3A8CB3D4" w14:textId="77777777" w:rsidR="00FE291A" w:rsidRDefault="00FE291A">
      <w:pPr>
        <w:widowControl/>
        <w:kinsoku w:val="0"/>
        <w:overflowPunct w:val="0"/>
        <w:rPr>
          <w:sz w:val="22"/>
          <w:szCs w:val="22"/>
          <w:lang w:val="de-DE"/>
        </w:rPr>
      </w:pPr>
    </w:p>
    <w:p w14:paraId="42DB9991" w14:textId="77777777" w:rsidR="00FE291A" w:rsidRDefault="00C8738F">
      <w:pPr>
        <w:pStyle w:val="BodyText"/>
        <w:widowControl/>
        <w:kinsoku w:val="0"/>
        <w:overflowPunct w:val="0"/>
        <w:ind w:left="0"/>
        <w:rPr>
          <w:lang w:val="de-DE"/>
        </w:rPr>
      </w:pPr>
      <w:r>
        <w:rPr>
          <w:lang w:val="de-DE"/>
        </w:rPr>
        <w:t>Die Remissionsraten in Woche 8 für die Induktionsdosierung mit 160/80 mg und mit 80/40 mg waren vergleichbar, unter der Dosierung mit 160/80 mg wurden häufiger Nebenwirkungen beobachtet.</w:t>
      </w:r>
    </w:p>
    <w:p w14:paraId="7D9F2970" w14:textId="77777777" w:rsidR="00FE291A" w:rsidRDefault="00FE291A">
      <w:pPr>
        <w:widowControl/>
        <w:kinsoku w:val="0"/>
        <w:overflowPunct w:val="0"/>
        <w:rPr>
          <w:sz w:val="22"/>
          <w:szCs w:val="22"/>
          <w:lang w:val="de-DE"/>
        </w:rPr>
      </w:pPr>
    </w:p>
    <w:p w14:paraId="5E059EC1" w14:textId="77777777" w:rsidR="00FE291A" w:rsidRDefault="00C8738F">
      <w:pPr>
        <w:pStyle w:val="BodyText"/>
        <w:widowControl/>
        <w:kinsoku w:val="0"/>
        <w:overflowPunct w:val="0"/>
        <w:ind w:left="0"/>
        <w:rPr>
          <w:lang w:val="de-DE"/>
        </w:rPr>
      </w:pPr>
      <w:r>
        <w:rPr>
          <w:lang w:val="de-DE"/>
        </w:rPr>
        <w:t>In Woche 4 zeigten in der MC-Studie III 58 % (499/854) der Patienten ein klinisches Ansprechen und wurden in der primären Analyse erfasst. Von diesen Patienten mit klinischem Ansprechen in Woche 4 hatten 48 % bereits zuvor TNF-Antagonisten erhalten. Die Raten der anhaltenden Remission und des Ansprechens sind in Tabelle 22 aufgeführt. Die Ergebnisse zur klinischen Remission waren weitgehend konstant, unabhängig davon, ob früher bereits ein TNF-Antagonist verabreicht wurde.</w:t>
      </w:r>
    </w:p>
    <w:p w14:paraId="18A82FB4" w14:textId="77777777" w:rsidR="00FE291A" w:rsidRDefault="00FE291A">
      <w:pPr>
        <w:widowControl/>
        <w:kinsoku w:val="0"/>
        <w:overflowPunct w:val="0"/>
        <w:rPr>
          <w:sz w:val="22"/>
          <w:szCs w:val="22"/>
          <w:lang w:val="de-DE"/>
        </w:rPr>
      </w:pPr>
    </w:p>
    <w:p w14:paraId="073ABADA" w14:textId="77777777" w:rsidR="00FE291A" w:rsidRDefault="00C8738F">
      <w:pPr>
        <w:pStyle w:val="BodyText"/>
        <w:widowControl/>
        <w:kinsoku w:val="0"/>
        <w:overflowPunct w:val="0"/>
        <w:ind w:left="0"/>
        <w:rPr>
          <w:lang w:val="de-DE"/>
        </w:rPr>
      </w:pPr>
      <w:r>
        <w:rPr>
          <w:lang w:val="de-DE"/>
        </w:rPr>
        <w:t>Adalimumab verringerte im Vergleich zu Placebo krankheitsbezogene Klinikaufenthalte und Operationen in Woche 56 signifikant.</w:t>
      </w:r>
    </w:p>
    <w:p w14:paraId="731EE1FB" w14:textId="77777777" w:rsidR="00FE291A" w:rsidRDefault="00FE291A">
      <w:pPr>
        <w:widowControl/>
        <w:kinsoku w:val="0"/>
        <w:overflowPunct w:val="0"/>
        <w:rPr>
          <w:sz w:val="22"/>
          <w:szCs w:val="22"/>
          <w:lang w:val="de-DE"/>
        </w:rPr>
      </w:pPr>
    </w:p>
    <w:p w14:paraId="02D06182" w14:textId="77777777" w:rsidR="00FE291A" w:rsidRDefault="00C8738F">
      <w:pPr>
        <w:pStyle w:val="Heading1"/>
        <w:keepNext/>
        <w:widowControl/>
        <w:kinsoku w:val="0"/>
        <w:overflowPunct w:val="0"/>
        <w:ind w:left="0"/>
        <w:rPr>
          <w:lang w:val="de-DE"/>
        </w:rPr>
      </w:pPr>
      <w:r>
        <w:rPr>
          <w:lang w:val="de-DE"/>
        </w:rPr>
        <w:t>Tabelle 22: Aufrechterhaltung der klinischen Remission und des Ansprechens (Prozent der Patienten)</w:t>
      </w:r>
    </w:p>
    <w:p w14:paraId="0F396D81" w14:textId="77777777" w:rsidR="00FE291A" w:rsidRDefault="00FE291A">
      <w:pPr>
        <w:keepNext/>
        <w:widowControl/>
        <w:kinsoku w:val="0"/>
        <w:overflowPunct w:val="0"/>
        <w:rPr>
          <w:sz w:val="22"/>
          <w:lang w:val="de-DE"/>
        </w:rPr>
      </w:pPr>
    </w:p>
    <w:tbl>
      <w:tblPr>
        <w:tblW w:w="9393" w:type="dxa"/>
        <w:tblLayout w:type="fixed"/>
        <w:tblCellMar>
          <w:top w:w="28" w:type="dxa"/>
          <w:bottom w:w="28" w:type="dxa"/>
        </w:tblCellMar>
        <w:tblLook w:val="04A0" w:firstRow="1" w:lastRow="0" w:firstColumn="1" w:lastColumn="0" w:noHBand="0" w:noVBand="1"/>
      </w:tblPr>
      <w:tblGrid>
        <w:gridCol w:w="3853"/>
        <w:gridCol w:w="1752"/>
        <w:gridCol w:w="1928"/>
        <w:gridCol w:w="1860"/>
      </w:tblGrid>
      <w:tr w:rsidR="00FE291A" w14:paraId="14335B32" w14:textId="77777777">
        <w:trPr>
          <w:cantSplit/>
          <w:tblHeader/>
        </w:trPr>
        <w:tc>
          <w:tcPr>
            <w:tcW w:w="3853" w:type="dxa"/>
            <w:tcBorders>
              <w:top w:val="single" w:sz="4" w:space="0" w:color="000000"/>
              <w:left w:val="single" w:sz="4" w:space="0" w:color="000000"/>
              <w:bottom w:val="single" w:sz="4" w:space="0" w:color="000000"/>
              <w:right w:val="single" w:sz="4" w:space="0" w:color="000000"/>
            </w:tcBorders>
          </w:tcPr>
          <w:p w14:paraId="292AA6F6" w14:textId="77777777" w:rsidR="00FE291A" w:rsidRDefault="00FE291A">
            <w:pPr>
              <w:keepNext/>
              <w:widowControl/>
              <w:suppressAutoHyphens/>
              <w:rPr>
                <w:sz w:val="22"/>
                <w:szCs w:val="22"/>
                <w:lang w:val="de-DE"/>
              </w:rPr>
            </w:pPr>
          </w:p>
        </w:tc>
        <w:tc>
          <w:tcPr>
            <w:tcW w:w="1752" w:type="dxa"/>
            <w:tcBorders>
              <w:top w:val="single" w:sz="4" w:space="0" w:color="000000"/>
              <w:left w:val="single" w:sz="4" w:space="0" w:color="000000"/>
              <w:bottom w:val="single" w:sz="4" w:space="0" w:color="000000"/>
              <w:right w:val="single" w:sz="4" w:space="0" w:color="000000"/>
            </w:tcBorders>
          </w:tcPr>
          <w:p w14:paraId="64540594" w14:textId="77777777" w:rsidR="00FE291A" w:rsidRDefault="00C8738F">
            <w:pPr>
              <w:pStyle w:val="TableParagraph"/>
              <w:keepNext/>
              <w:widowControl/>
              <w:suppressAutoHyphens/>
              <w:kinsoku w:val="0"/>
              <w:overflowPunct w:val="0"/>
              <w:jc w:val="center"/>
              <w:rPr>
                <w:sz w:val="22"/>
                <w:szCs w:val="22"/>
                <w:lang w:val="de-DE"/>
              </w:rPr>
            </w:pPr>
            <w:r>
              <w:rPr>
                <w:b/>
                <w:bCs/>
                <w:sz w:val="22"/>
                <w:szCs w:val="22"/>
                <w:lang w:val="de-DE"/>
              </w:rPr>
              <w:t>Placebo</w:t>
            </w:r>
          </w:p>
        </w:tc>
        <w:tc>
          <w:tcPr>
            <w:tcW w:w="1928" w:type="dxa"/>
            <w:tcBorders>
              <w:top w:val="single" w:sz="4" w:space="0" w:color="000000"/>
              <w:left w:val="single" w:sz="4" w:space="0" w:color="000000"/>
              <w:bottom w:val="single" w:sz="4" w:space="0" w:color="000000"/>
              <w:right w:val="single" w:sz="4" w:space="0" w:color="000000"/>
            </w:tcBorders>
          </w:tcPr>
          <w:p w14:paraId="0666F348" w14:textId="77777777" w:rsidR="00FE291A" w:rsidRDefault="00C8738F">
            <w:pPr>
              <w:pStyle w:val="TableParagraph"/>
              <w:keepNext/>
              <w:widowControl/>
              <w:suppressAutoHyphens/>
              <w:kinsoku w:val="0"/>
              <w:overflowPunct w:val="0"/>
              <w:jc w:val="center"/>
              <w:rPr>
                <w:b/>
                <w:bCs/>
                <w:sz w:val="22"/>
                <w:szCs w:val="22"/>
                <w:lang w:val="de-DE"/>
              </w:rPr>
            </w:pPr>
            <w:r>
              <w:rPr>
                <w:b/>
                <w:bCs/>
                <w:sz w:val="22"/>
                <w:szCs w:val="22"/>
                <w:lang w:val="de-DE"/>
              </w:rPr>
              <w:t>40 mg Adalimumab</w:t>
            </w:r>
          </w:p>
          <w:p w14:paraId="368FD5F1" w14:textId="77777777" w:rsidR="00FE291A" w:rsidRDefault="00C8738F">
            <w:pPr>
              <w:pStyle w:val="TableParagraph"/>
              <w:keepNext/>
              <w:widowControl/>
              <w:suppressAutoHyphens/>
              <w:kinsoku w:val="0"/>
              <w:overflowPunct w:val="0"/>
              <w:jc w:val="center"/>
              <w:rPr>
                <w:b/>
                <w:bCs/>
                <w:sz w:val="22"/>
                <w:szCs w:val="22"/>
                <w:lang w:val="de-DE"/>
              </w:rPr>
            </w:pPr>
            <w:r>
              <w:rPr>
                <w:b/>
                <w:bCs/>
                <w:sz w:val="22"/>
                <w:szCs w:val="22"/>
                <w:lang w:val="de-DE"/>
              </w:rPr>
              <w:t xml:space="preserve">jede zweite </w:t>
            </w:r>
          </w:p>
          <w:p w14:paraId="470F4EA6" w14:textId="77777777" w:rsidR="00FE291A" w:rsidRDefault="00C8738F">
            <w:pPr>
              <w:pStyle w:val="TableParagraph"/>
              <w:keepNext/>
              <w:widowControl/>
              <w:suppressAutoHyphens/>
              <w:kinsoku w:val="0"/>
              <w:overflowPunct w:val="0"/>
              <w:jc w:val="center"/>
              <w:rPr>
                <w:sz w:val="22"/>
                <w:szCs w:val="22"/>
                <w:lang w:val="de-DE"/>
              </w:rPr>
            </w:pPr>
            <w:r>
              <w:rPr>
                <w:b/>
                <w:bCs/>
                <w:sz w:val="22"/>
                <w:szCs w:val="22"/>
                <w:lang w:val="de-DE"/>
              </w:rPr>
              <w:t>Woche</w:t>
            </w:r>
          </w:p>
        </w:tc>
        <w:tc>
          <w:tcPr>
            <w:tcW w:w="1860" w:type="dxa"/>
            <w:tcBorders>
              <w:top w:val="single" w:sz="4" w:space="0" w:color="000000"/>
              <w:left w:val="single" w:sz="4" w:space="0" w:color="000000"/>
              <w:bottom w:val="single" w:sz="4" w:space="0" w:color="000000"/>
              <w:right w:val="single" w:sz="4" w:space="0" w:color="000000"/>
            </w:tcBorders>
          </w:tcPr>
          <w:p w14:paraId="314916D0" w14:textId="77777777" w:rsidR="00FE291A" w:rsidRDefault="00C8738F">
            <w:pPr>
              <w:pStyle w:val="TableParagraph"/>
              <w:keepNext/>
              <w:widowControl/>
              <w:suppressAutoHyphens/>
              <w:kinsoku w:val="0"/>
              <w:overflowPunct w:val="0"/>
              <w:jc w:val="center"/>
              <w:rPr>
                <w:b/>
                <w:bCs/>
                <w:sz w:val="22"/>
                <w:szCs w:val="22"/>
                <w:lang w:val="de-DE"/>
              </w:rPr>
            </w:pPr>
            <w:r>
              <w:rPr>
                <w:b/>
                <w:bCs/>
                <w:sz w:val="22"/>
                <w:szCs w:val="22"/>
                <w:lang w:val="de-DE"/>
              </w:rPr>
              <w:t>40 mg Adalimumab</w:t>
            </w:r>
          </w:p>
          <w:p w14:paraId="5BFD019A" w14:textId="77777777" w:rsidR="00FE291A" w:rsidRDefault="00C8738F">
            <w:pPr>
              <w:pStyle w:val="TableParagraph"/>
              <w:keepNext/>
              <w:widowControl/>
              <w:suppressAutoHyphens/>
              <w:kinsoku w:val="0"/>
              <w:overflowPunct w:val="0"/>
              <w:jc w:val="center"/>
              <w:rPr>
                <w:b/>
                <w:bCs/>
                <w:sz w:val="22"/>
                <w:szCs w:val="22"/>
                <w:lang w:val="de-DE"/>
              </w:rPr>
            </w:pPr>
            <w:r>
              <w:rPr>
                <w:b/>
                <w:bCs/>
                <w:sz w:val="22"/>
                <w:szCs w:val="22"/>
                <w:lang w:val="de-DE"/>
              </w:rPr>
              <w:t>jede Woche</w:t>
            </w:r>
          </w:p>
        </w:tc>
      </w:tr>
      <w:tr w:rsidR="00FE291A" w14:paraId="08DD099A" w14:textId="77777777">
        <w:trPr>
          <w:cantSplit/>
        </w:trPr>
        <w:tc>
          <w:tcPr>
            <w:tcW w:w="3853" w:type="dxa"/>
            <w:tcBorders>
              <w:top w:val="single" w:sz="4" w:space="0" w:color="000000"/>
              <w:left w:val="single" w:sz="4" w:space="0" w:color="000000"/>
              <w:bottom w:val="single" w:sz="4" w:space="0" w:color="000000"/>
              <w:right w:val="single" w:sz="4" w:space="0" w:color="000000"/>
            </w:tcBorders>
          </w:tcPr>
          <w:p w14:paraId="113E565F" w14:textId="77777777" w:rsidR="00FE291A" w:rsidRDefault="00C8738F">
            <w:pPr>
              <w:pStyle w:val="TableParagraph"/>
              <w:keepNext/>
              <w:widowControl/>
              <w:suppressAutoHyphens/>
              <w:kinsoku w:val="0"/>
              <w:overflowPunct w:val="0"/>
              <w:rPr>
                <w:sz w:val="22"/>
                <w:szCs w:val="22"/>
                <w:lang w:val="de-DE"/>
              </w:rPr>
            </w:pPr>
            <w:r>
              <w:rPr>
                <w:b/>
                <w:bCs/>
                <w:sz w:val="22"/>
                <w:szCs w:val="22"/>
                <w:lang w:val="de-DE"/>
              </w:rPr>
              <w:t>Woche 26</w:t>
            </w:r>
          </w:p>
        </w:tc>
        <w:tc>
          <w:tcPr>
            <w:tcW w:w="1752" w:type="dxa"/>
            <w:tcBorders>
              <w:top w:val="single" w:sz="4" w:space="0" w:color="000000"/>
              <w:left w:val="single" w:sz="4" w:space="0" w:color="000000"/>
              <w:bottom w:val="single" w:sz="4" w:space="0" w:color="000000"/>
              <w:right w:val="single" w:sz="4" w:space="0" w:color="000000"/>
            </w:tcBorders>
          </w:tcPr>
          <w:p w14:paraId="1F843FBF" w14:textId="77777777" w:rsidR="00FE291A" w:rsidRDefault="00C8738F">
            <w:pPr>
              <w:pStyle w:val="TableParagraph"/>
              <w:keepNext/>
              <w:widowControl/>
              <w:suppressAutoHyphens/>
              <w:kinsoku w:val="0"/>
              <w:overflowPunct w:val="0"/>
              <w:jc w:val="center"/>
              <w:rPr>
                <w:sz w:val="22"/>
                <w:szCs w:val="22"/>
                <w:lang w:val="de-DE"/>
              </w:rPr>
            </w:pPr>
            <w:r>
              <w:rPr>
                <w:b/>
                <w:bCs/>
                <w:sz w:val="22"/>
                <w:szCs w:val="22"/>
                <w:lang w:val="de-DE"/>
              </w:rPr>
              <w:t>N = 170</w:t>
            </w:r>
          </w:p>
        </w:tc>
        <w:tc>
          <w:tcPr>
            <w:tcW w:w="1928" w:type="dxa"/>
            <w:tcBorders>
              <w:top w:val="single" w:sz="4" w:space="0" w:color="000000"/>
              <w:left w:val="single" w:sz="4" w:space="0" w:color="000000"/>
              <w:bottom w:val="single" w:sz="4" w:space="0" w:color="000000"/>
              <w:right w:val="single" w:sz="4" w:space="0" w:color="000000"/>
            </w:tcBorders>
          </w:tcPr>
          <w:p w14:paraId="2F8E55EF" w14:textId="77777777" w:rsidR="00FE291A" w:rsidRDefault="00C8738F">
            <w:pPr>
              <w:pStyle w:val="TableParagraph"/>
              <w:keepNext/>
              <w:widowControl/>
              <w:suppressAutoHyphens/>
              <w:kinsoku w:val="0"/>
              <w:overflowPunct w:val="0"/>
              <w:jc w:val="center"/>
              <w:rPr>
                <w:sz w:val="22"/>
                <w:szCs w:val="22"/>
                <w:lang w:val="de-DE"/>
              </w:rPr>
            </w:pPr>
            <w:r>
              <w:rPr>
                <w:b/>
                <w:bCs/>
                <w:sz w:val="22"/>
                <w:szCs w:val="22"/>
                <w:lang w:val="de-DE"/>
              </w:rPr>
              <w:t>N =</w:t>
            </w:r>
            <w:r>
              <w:rPr>
                <w:b/>
                <w:bCs/>
                <w:sz w:val="22"/>
                <w:szCs w:val="22"/>
                <w:lang w:val="de-DE" w:eastAsia="zh-TW"/>
              </w:rPr>
              <w:t> </w:t>
            </w:r>
            <w:r>
              <w:rPr>
                <w:b/>
                <w:bCs/>
                <w:sz w:val="22"/>
                <w:szCs w:val="22"/>
                <w:lang w:val="de-DE"/>
              </w:rPr>
              <w:t>172</w:t>
            </w:r>
          </w:p>
        </w:tc>
        <w:tc>
          <w:tcPr>
            <w:tcW w:w="1860" w:type="dxa"/>
            <w:tcBorders>
              <w:top w:val="single" w:sz="4" w:space="0" w:color="000000"/>
              <w:left w:val="single" w:sz="4" w:space="0" w:color="000000"/>
              <w:bottom w:val="single" w:sz="4" w:space="0" w:color="000000"/>
              <w:right w:val="single" w:sz="4" w:space="0" w:color="000000"/>
            </w:tcBorders>
          </w:tcPr>
          <w:p w14:paraId="0283799C" w14:textId="77777777" w:rsidR="00FE291A" w:rsidRDefault="00C8738F">
            <w:pPr>
              <w:pStyle w:val="TableParagraph"/>
              <w:keepNext/>
              <w:widowControl/>
              <w:suppressAutoHyphens/>
              <w:kinsoku w:val="0"/>
              <w:overflowPunct w:val="0"/>
              <w:jc w:val="center"/>
              <w:rPr>
                <w:sz w:val="22"/>
                <w:szCs w:val="22"/>
                <w:lang w:val="de-DE"/>
              </w:rPr>
            </w:pPr>
            <w:r>
              <w:rPr>
                <w:b/>
                <w:bCs/>
                <w:sz w:val="22"/>
                <w:szCs w:val="22"/>
                <w:lang w:val="de-DE"/>
              </w:rPr>
              <w:t>N = 157</w:t>
            </w:r>
          </w:p>
        </w:tc>
      </w:tr>
      <w:tr w:rsidR="00FE291A" w14:paraId="26D25816" w14:textId="77777777">
        <w:trPr>
          <w:cantSplit/>
        </w:trPr>
        <w:tc>
          <w:tcPr>
            <w:tcW w:w="3853" w:type="dxa"/>
            <w:tcBorders>
              <w:top w:val="single" w:sz="4" w:space="0" w:color="000000"/>
              <w:left w:val="single" w:sz="4" w:space="0" w:color="000000"/>
              <w:bottom w:val="single" w:sz="4" w:space="0" w:color="000000"/>
              <w:right w:val="single" w:sz="4" w:space="0" w:color="000000"/>
            </w:tcBorders>
          </w:tcPr>
          <w:p w14:paraId="22C607B4" w14:textId="77777777" w:rsidR="00FE291A" w:rsidRDefault="00C8738F">
            <w:pPr>
              <w:pStyle w:val="TableParagraph"/>
              <w:keepNext/>
              <w:widowControl/>
              <w:suppressAutoHyphens/>
              <w:kinsoku w:val="0"/>
              <w:overflowPunct w:val="0"/>
              <w:rPr>
                <w:sz w:val="22"/>
                <w:szCs w:val="22"/>
                <w:lang w:val="de-DE"/>
              </w:rPr>
            </w:pPr>
            <w:r>
              <w:rPr>
                <w:sz w:val="22"/>
                <w:szCs w:val="22"/>
                <w:lang w:val="de-DE"/>
              </w:rPr>
              <w:t>Klinische Remission</w:t>
            </w:r>
          </w:p>
        </w:tc>
        <w:tc>
          <w:tcPr>
            <w:tcW w:w="1752" w:type="dxa"/>
            <w:tcBorders>
              <w:top w:val="single" w:sz="4" w:space="0" w:color="000000"/>
              <w:left w:val="single" w:sz="4" w:space="0" w:color="000000"/>
              <w:bottom w:val="single" w:sz="4" w:space="0" w:color="000000"/>
              <w:right w:val="single" w:sz="4" w:space="0" w:color="000000"/>
            </w:tcBorders>
          </w:tcPr>
          <w:p w14:paraId="22225C0D"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17 %</w:t>
            </w:r>
          </w:p>
        </w:tc>
        <w:tc>
          <w:tcPr>
            <w:tcW w:w="1928" w:type="dxa"/>
            <w:tcBorders>
              <w:top w:val="single" w:sz="4" w:space="0" w:color="000000"/>
              <w:left w:val="single" w:sz="4" w:space="0" w:color="000000"/>
              <w:bottom w:val="single" w:sz="4" w:space="0" w:color="000000"/>
              <w:right w:val="single" w:sz="4" w:space="0" w:color="000000"/>
            </w:tcBorders>
          </w:tcPr>
          <w:p w14:paraId="1B3216E2"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40 %*</w:t>
            </w:r>
          </w:p>
        </w:tc>
        <w:tc>
          <w:tcPr>
            <w:tcW w:w="1860" w:type="dxa"/>
            <w:tcBorders>
              <w:top w:val="single" w:sz="4" w:space="0" w:color="000000"/>
              <w:left w:val="single" w:sz="4" w:space="0" w:color="000000"/>
              <w:bottom w:val="single" w:sz="4" w:space="0" w:color="000000"/>
              <w:right w:val="single" w:sz="4" w:space="0" w:color="000000"/>
            </w:tcBorders>
          </w:tcPr>
          <w:p w14:paraId="6BA4A81D"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47 %*</w:t>
            </w:r>
          </w:p>
        </w:tc>
      </w:tr>
      <w:tr w:rsidR="00FE291A" w14:paraId="63CD8BF7" w14:textId="77777777">
        <w:trPr>
          <w:cantSplit/>
        </w:trPr>
        <w:tc>
          <w:tcPr>
            <w:tcW w:w="3853" w:type="dxa"/>
            <w:tcBorders>
              <w:top w:val="single" w:sz="4" w:space="0" w:color="000000"/>
              <w:left w:val="single" w:sz="4" w:space="0" w:color="000000"/>
              <w:bottom w:val="single" w:sz="4" w:space="0" w:color="000000"/>
              <w:right w:val="single" w:sz="4" w:space="0" w:color="000000"/>
            </w:tcBorders>
          </w:tcPr>
          <w:p w14:paraId="6E8A034E" w14:textId="77777777" w:rsidR="00FE291A" w:rsidRDefault="00C8738F">
            <w:pPr>
              <w:pStyle w:val="TableParagraph"/>
              <w:keepNext/>
              <w:widowControl/>
              <w:suppressAutoHyphens/>
              <w:kinsoku w:val="0"/>
              <w:overflowPunct w:val="0"/>
              <w:rPr>
                <w:sz w:val="22"/>
                <w:szCs w:val="22"/>
                <w:lang w:val="de-DE"/>
              </w:rPr>
            </w:pPr>
            <w:r>
              <w:rPr>
                <w:sz w:val="22"/>
                <w:szCs w:val="22"/>
                <w:lang w:val="de-DE"/>
              </w:rPr>
              <w:t>Klinisches Ansprechen (CR-100)</w:t>
            </w:r>
          </w:p>
        </w:tc>
        <w:tc>
          <w:tcPr>
            <w:tcW w:w="1752" w:type="dxa"/>
            <w:tcBorders>
              <w:top w:val="single" w:sz="4" w:space="0" w:color="000000"/>
              <w:left w:val="single" w:sz="4" w:space="0" w:color="000000"/>
              <w:bottom w:val="single" w:sz="4" w:space="0" w:color="000000"/>
              <w:right w:val="single" w:sz="4" w:space="0" w:color="000000"/>
            </w:tcBorders>
          </w:tcPr>
          <w:p w14:paraId="3FADB3D5"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27 %</w:t>
            </w:r>
          </w:p>
        </w:tc>
        <w:tc>
          <w:tcPr>
            <w:tcW w:w="1928" w:type="dxa"/>
            <w:tcBorders>
              <w:top w:val="single" w:sz="4" w:space="0" w:color="000000"/>
              <w:left w:val="single" w:sz="4" w:space="0" w:color="000000"/>
              <w:bottom w:val="single" w:sz="4" w:space="0" w:color="000000"/>
              <w:right w:val="single" w:sz="4" w:space="0" w:color="000000"/>
            </w:tcBorders>
          </w:tcPr>
          <w:p w14:paraId="05D8CCD2"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52 %*</w:t>
            </w:r>
          </w:p>
        </w:tc>
        <w:tc>
          <w:tcPr>
            <w:tcW w:w="1860" w:type="dxa"/>
            <w:tcBorders>
              <w:top w:val="single" w:sz="4" w:space="0" w:color="000000"/>
              <w:left w:val="single" w:sz="4" w:space="0" w:color="000000"/>
              <w:bottom w:val="single" w:sz="4" w:space="0" w:color="000000"/>
              <w:right w:val="single" w:sz="4" w:space="0" w:color="000000"/>
            </w:tcBorders>
          </w:tcPr>
          <w:p w14:paraId="693650FB"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52 %*</w:t>
            </w:r>
          </w:p>
        </w:tc>
      </w:tr>
      <w:tr w:rsidR="00FE291A" w14:paraId="1211A207" w14:textId="77777777">
        <w:trPr>
          <w:cantSplit/>
        </w:trPr>
        <w:tc>
          <w:tcPr>
            <w:tcW w:w="3853" w:type="dxa"/>
            <w:tcBorders>
              <w:top w:val="single" w:sz="4" w:space="0" w:color="000000"/>
              <w:left w:val="single" w:sz="4" w:space="0" w:color="000000"/>
              <w:bottom w:val="single" w:sz="4" w:space="0" w:color="000000"/>
              <w:right w:val="single" w:sz="4" w:space="0" w:color="000000"/>
            </w:tcBorders>
          </w:tcPr>
          <w:p w14:paraId="5F7F7A50" w14:textId="77777777" w:rsidR="00FE291A" w:rsidRDefault="00C8738F">
            <w:pPr>
              <w:pStyle w:val="TableParagraph"/>
              <w:widowControl/>
              <w:suppressAutoHyphens/>
              <w:kinsoku w:val="0"/>
              <w:overflowPunct w:val="0"/>
              <w:rPr>
                <w:sz w:val="22"/>
                <w:szCs w:val="22"/>
                <w:lang w:val="de-DE"/>
              </w:rPr>
            </w:pPr>
            <w:r>
              <w:rPr>
                <w:sz w:val="22"/>
                <w:szCs w:val="22"/>
                <w:lang w:val="de-DE"/>
              </w:rPr>
              <w:t>Patienten in steroidfreier Remission</w:t>
            </w:r>
          </w:p>
          <w:p w14:paraId="38844B5F" w14:textId="77777777" w:rsidR="00FE291A" w:rsidRDefault="00C8738F">
            <w:pPr>
              <w:pStyle w:val="TableParagraph"/>
              <w:widowControl/>
              <w:suppressAutoHyphens/>
              <w:kinsoku w:val="0"/>
              <w:overflowPunct w:val="0"/>
              <w:rPr>
                <w:sz w:val="22"/>
                <w:szCs w:val="22"/>
                <w:lang w:val="de-DE"/>
              </w:rPr>
            </w:pPr>
            <w:r>
              <w:rPr>
                <w:sz w:val="22"/>
                <w:szCs w:val="22"/>
                <w:lang w:val="de-DE"/>
              </w:rPr>
              <w:t xml:space="preserve">für </w:t>
            </w:r>
            <w:r>
              <w:rPr>
                <w:sz w:val="22"/>
                <w:szCs w:val="22"/>
                <w:lang w:val="de-DE" w:eastAsia="en-GB"/>
              </w:rPr>
              <w:t>≥</w:t>
            </w:r>
            <w:r>
              <w:rPr>
                <w:sz w:val="22"/>
                <w:szCs w:val="22"/>
                <w:lang w:val="de-DE"/>
              </w:rPr>
              <w:t> 90 Tage</w:t>
            </w:r>
            <w:r>
              <w:rPr>
                <w:sz w:val="22"/>
                <w:szCs w:val="22"/>
                <w:vertAlign w:val="superscript"/>
                <w:lang w:val="de-DE"/>
              </w:rPr>
              <w:t>a</w:t>
            </w:r>
          </w:p>
        </w:tc>
        <w:tc>
          <w:tcPr>
            <w:tcW w:w="1752" w:type="dxa"/>
            <w:tcBorders>
              <w:top w:val="single" w:sz="4" w:space="0" w:color="000000"/>
              <w:left w:val="single" w:sz="4" w:space="0" w:color="000000"/>
              <w:bottom w:val="single" w:sz="4" w:space="0" w:color="000000"/>
              <w:right w:val="single" w:sz="4" w:space="0" w:color="000000"/>
            </w:tcBorders>
          </w:tcPr>
          <w:p w14:paraId="464C3C1A"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3 % (2/66)</w:t>
            </w:r>
          </w:p>
        </w:tc>
        <w:tc>
          <w:tcPr>
            <w:tcW w:w="1928" w:type="dxa"/>
            <w:tcBorders>
              <w:top w:val="single" w:sz="4" w:space="0" w:color="000000"/>
              <w:left w:val="single" w:sz="4" w:space="0" w:color="000000"/>
              <w:bottom w:val="single" w:sz="4" w:space="0" w:color="000000"/>
              <w:right w:val="single" w:sz="4" w:space="0" w:color="000000"/>
            </w:tcBorders>
          </w:tcPr>
          <w:p w14:paraId="75AA7AF2"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19 % (11/58)**</w:t>
            </w:r>
          </w:p>
        </w:tc>
        <w:tc>
          <w:tcPr>
            <w:tcW w:w="1860" w:type="dxa"/>
            <w:tcBorders>
              <w:top w:val="single" w:sz="4" w:space="0" w:color="000000"/>
              <w:left w:val="single" w:sz="4" w:space="0" w:color="000000"/>
              <w:bottom w:val="single" w:sz="4" w:space="0" w:color="000000"/>
              <w:right w:val="single" w:sz="4" w:space="0" w:color="000000"/>
            </w:tcBorders>
          </w:tcPr>
          <w:p w14:paraId="283B9D63" w14:textId="77777777" w:rsidR="00FE291A" w:rsidRDefault="00C8738F">
            <w:pPr>
              <w:pStyle w:val="TableParagraph"/>
              <w:widowControl/>
              <w:suppressAutoHyphens/>
              <w:kinsoku w:val="0"/>
              <w:overflowPunct w:val="0"/>
              <w:jc w:val="center"/>
              <w:rPr>
                <w:sz w:val="22"/>
                <w:szCs w:val="22"/>
                <w:lang w:val="de-DE"/>
              </w:rPr>
            </w:pPr>
            <w:r>
              <w:rPr>
                <w:sz w:val="22"/>
                <w:szCs w:val="22"/>
                <w:lang w:val="de-DE"/>
              </w:rPr>
              <w:t>15 % (11/74)**</w:t>
            </w:r>
          </w:p>
        </w:tc>
      </w:tr>
      <w:tr w:rsidR="00FE291A" w14:paraId="0C0FE029" w14:textId="77777777">
        <w:trPr>
          <w:cantSplit/>
        </w:trPr>
        <w:tc>
          <w:tcPr>
            <w:tcW w:w="3853" w:type="dxa"/>
            <w:tcBorders>
              <w:top w:val="single" w:sz="4" w:space="0" w:color="000000"/>
              <w:left w:val="single" w:sz="4" w:space="0" w:color="000000"/>
              <w:bottom w:val="single" w:sz="4" w:space="0" w:color="000000"/>
              <w:right w:val="single" w:sz="4" w:space="0" w:color="000000"/>
            </w:tcBorders>
          </w:tcPr>
          <w:p w14:paraId="4981AFD3" w14:textId="77777777" w:rsidR="00FE291A" w:rsidRDefault="00C8738F">
            <w:pPr>
              <w:pStyle w:val="TableParagraph"/>
              <w:keepNext/>
              <w:widowControl/>
              <w:suppressAutoHyphens/>
              <w:kinsoku w:val="0"/>
              <w:overflowPunct w:val="0"/>
              <w:rPr>
                <w:sz w:val="22"/>
                <w:szCs w:val="22"/>
                <w:lang w:val="de-DE"/>
              </w:rPr>
            </w:pPr>
            <w:r>
              <w:rPr>
                <w:b/>
                <w:bCs/>
                <w:sz w:val="22"/>
                <w:szCs w:val="22"/>
                <w:lang w:val="de-DE"/>
              </w:rPr>
              <w:t>Woche 56</w:t>
            </w:r>
          </w:p>
        </w:tc>
        <w:tc>
          <w:tcPr>
            <w:tcW w:w="1752" w:type="dxa"/>
            <w:tcBorders>
              <w:top w:val="single" w:sz="4" w:space="0" w:color="000000"/>
              <w:left w:val="single" w:sz="4" w:space="0" w:color="000000"/>
              <w:bottom w:val="single" w:sz="4" w:space="0" w:color="000000"/>
              <w:right w:val="single" w:sz="4" w:space="0" w:color="000000"/>
            </w:tcBorders>
          </w:tcPr>
          <w:p w14:paraId="0F42FDDC" w14:textId="77777777" w:rsidR="00FE291A" w:rsidRDefault="00C8738F">
            <w:pPr>
              <w:pStyle w:val="TableParagraph"/>
              <w:keepNext/>
              <w:widowControl/>
              <w:suppressAutoHyphens/>
              <w:kinsoku w:val="0"/>
              <w:overflowPunct w:val="0"/>
              <w:jc w:val="center"/>
              <w:rPr>
                <w:sz w:val="22"/>
                <w:szCs w:val="22"/>
                <w:lang w:val="de-DE"/>
              </w:rPr>
            </w:pPr>
            <w:r>
              <w:rPr>
                <w:b/>
                <w:bCs/>
                <w:sz w:val="22"/>
                <w:szCs w:val="22"/>
                <w:lang w:val="de-DE"/>
              </w:rPr>
              <w:t>N = 170</w:t>
            </w:r>
          </w:p>
        </w:tc>
        <w:tc>
          <w:tcPr>
            <w:tcW w:w="1928" w:type="dxa"/>
            <w:tcBorders>
              <w:top w:val="single" w:sz="4" w:space="0" w:color="000000"/>
              <w:left w:val="single" w:sz="4" w:space="0" w:color="000000"/>
              <w:bottom w:val="single" w:sz="4" w:space="0" w:color="000000"/>
              <w:right w:val="single" w:sz="4" w:space="0" w:color="000000"/>
            </w:tcBorders>
          </w:tcPr>
          <w:p w14:paraId="181189FC" w14:textId="77777777" w:rsidR="00FE291A" w:rsidRDefault="00C8738F">
            <w:pPr>
              <w:pStyle w:val="TableParagraph"/>
              <w:keepNext/>
              <w:widowControl/>
              <w:suppressAutoHyphens/>
              <w:kinsoku w:val="0"/>
              <w:overflowPunct w:val="0"/>
              <w:jc w:val="center"/>
              <w:rPr>
                <w:sz w:val="22"/>
                <w:szCs w:val="22"/>
                <w:lang w:val="de-DE"/>
              </w:rPr>
            </w:pPr>
            <w:r>
              <w:rPr>
                <w:b/>
                <w:bCs/>
                <w:sz w:val="22"/>
                <w:szCs w:val="22"/>
                <w:lang w:val="de-DE"/>
              </w:rPr>
              <w:t>N = 172</w:t>
            </w:r>
          </w:p>
        </w:tc>
        <w:tc>
          <w:tcPr>
            <w:tcW w:w="1860" w:type="dxa"/>
            <w:tcBorders>
              <w:top w:val="single" w:sz="4" w:space="0" w:color="000000"/>
              <w:left w:val="single" w:sz="4" w:space="0" w:color="000000"/>
              <w:bottom w:val="single" w:sz="4" w:space="0" w:color="000000"/>
              <w:right w:val="single" w:sz="4" w:space="0" w:color="000000"/>
            </w:tcBorders>
          </w:tcPr>
          <w:p w14:paraId="73E750B3" w14:textId="77777777" w:rsidR="00FE291A" w:rsidRDefault="00C8738F">
            <w:pPr>
              <w:pStyle w:val="TableParagraph"/>
              <w:keepNext/>
              <w:widowControl/>
              <w:suppressAutoHyphens/>
              <w:kinsoku w:val="0"/>
              <w:overflowPunct w:val="0"/>
              <w:jc w:val="center"/>
              <w:rPr>
                <w:sz w:val="22"/>
                <w:szCs w:val="22"/>
                <w:lang w:val="de-DE"/>
              </w:rPr>
            </w:pPr>
            <w:r>
              <w:rPr>
                <w:b/>
                <w:bCs/>
                <w:sz w:val="22"/>
                <w:szCs w:val="22"/>
                <w:lang w:val="de-DE"/>
              </w:rPr>
              <w:t>N = 157</w:t>
            </w:r>
          </w:p>
        </w:tc>
      </w:tr>
      <w:tr w:rsidR="00FE291A" w14:paraId="14EB9E34" w14:textId="77777777">
        <w:trPr>
          <w:cantSplit/>
        </w:trPr>
        <w:tc>
          <w:tcPr>
            <w:tcW w:w="3853" w:type="dxa"/>
            <w:tcBorders>
              <w:top w:val="single" w:sz="4" w:space="0" w:color="000000"/>
              <w:left w:val="single" w:sz="4" w:space="0" w:color="000000"/>
              <w:bottom w:val="single" w:sz="4" w:space="0" w:color="000000"/>
              <w:right w:val="single" w:sz="4" w:space="0" w:color="000000"/>
            </w:tcBorders>
          </w:tcPr>
          <w:p w14:paraId="5817458E" w14:textId="77777777" w:rsidR="00FE291A" w:rsidRDefault="00C8738F">
            <w:pPr>
              <w:pStyle w:val="TableParagraph"/>
              <w:keepNext/>
              <w:widowControl/>
              <w:suppressAutoHyphens/>
              <w:kinsoku w:val="0"/>
              <w:overflowPunct w:val="0"/>
              <w:rPr>
                <w:sz w:val="22"/>
                <w:szCs w:val="22"/>
                <w:lang w:val="de-DE"/>
              </w:rPr>
            </w:pPr>
            <w:r>
              <w:rPr>
                <w:sz w:val="22"/>
                <w:szCs w:val="22"/>
                <w:lang w:val="de-DE"/>
              </w:rPr>
              <w:t>Klinische Remission</w:t>
            </w:r>
          </w:p>
        </w:tc>
        <w:tc>
          <w:tcPr>
            <w:tcW w:w="1752" w:type="dxa"/>
            <w:tcBorders>
              <w:top w:val="single" w:sz="4" w:space="0" w:color="000000"/>
              <w:left w:val="single" w:sz="4" w:space="0" w:color="000000"/>
              <w:bottom w:val="single" w:sz="4" w:space="0" w:color="000000"/>
              <w:right w:val="single" w:sz="4" w:space="0" w:color="000000"/>
            </w:tcBorders>
          </w:tcPr>
          <w:p w14:paraId="0FD44F6D"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12 %</w:t>
            </w:r>
          </w:p>
        </w:tc>
        <w:tc>
          <w:tcPr>
            <w:tcW w:w="1928" w:type="dxa"/>
            <w:tcBorders>
              <w:top w:val="single" w:sz="4" w:space="0" w:color="000000"/>
              <w:left w:val="single" w:sz="4" w:space="0" w:color="000000"/>
              <w:bottom w:val="single" w:sz="4" w:space="0" w:color="000000"/>
              <w:right w:val="single" w:sz="4" w:space="0" w:color="000000"/>
            </w:tcBorders>
          </w:tcPr>
          <w:p w14:paraId="5EF7BF38"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36 %*</w:t>
            </w:r>
          </w:p>
        </w:tc>
        <w:tc>
          <w:tcPr>
            <w:tcW w:w="1860" w:type="dxa"/>
            <w:tcBorders>
              <w:top w:val="single" w:sz="4" w:space="0" w:color="000000"/>
              <w:left w:val="single" w:sz="4" w:space="0" w:color="000000"/>
              <w:bottom w:val="single" w:sz="4" w:space="0" w:color="000000"/>
              <w:right w:val="single" w:sz="4" w:space="0" w:color="000000"/>
            </w:tcBorders>
          </w:tcPr>
          <w:p w14:paraId="616FB124"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41 %*</w:t>
            </w:r>
          </w:p>
        </w:tc>
      </w:tr>
      <w:tr w:rsidR="00FE291A" w14:paraId="7C5ED6BB" w14:textId="77777777">
        <w:trPr>
          <w:cantSplit/>
        </w:trPr>
        <w:tc>
          <w:tcPr>
            <w:tcW w:w="3853" w:type="dxa"/>
            <w:tcBorders>
              <w:top w:val="single" w:sz="4" w:space="0" w:color="000000"/>
              <w:left w:val="single" w:sz="4" w:space="0" w:color="000000"/>
              <w:bottom w:val="single" w:sz="4" w:space="0" w:color="000000"/>
              <w:right w:val="single" w:sz="4" w:space="0" w:color="000000"/>
            </w:tcBorders>
          </w:tcPr>
          <w:p w14:paraId="2E20E87D" w14:textId="77777777" w:rsidR="00FE291A" w:rsidRDefault="00C8738F">
            <w:pPr>
              <w:pStyle w:val="TableParagraph"/>
              <w:keepNext/>
              <w:widowControl/>
              <w:suppressAutoHyphens/>
              <w:kinsoku w:val="0"/>
              <w:overflowPunct w:val="0"/>
              <w:rPr>
                <w:sz w:val="22"/>
                <w:szCs w:val="22"/>
                <w:lang w:val="de-DE"/>
              </w:rPr>
            </w:pPr>
            <w:r>
              <w:rPr>
                <w:sz w:val="22"/>
                <w:szCs w:val="22"/>
                <w:lang w:val="de-DE"/>
              </w:rPr>
              <w:t>Klinisches Ansprechen (CR-100)</w:t>
            </w:r>
          </w:p>
        </w:tc>
        <w:tc>
          <w:tcPr>
            <w:tcW w:w="1752" w:type="dxa"/>
            <w:tcBorders>
              <w:top w:val="single" w:sz="4" w:space="0" w:color="000000"/>
              <w:left w:val="single" w:sz="4" w:space="0" w:color="000000"/>
              <w:bottom w:val="single" w:sz="4" w:space="0" w:color="000000"/>
              <w:right w:val="single" w:sz="4" w:space="0" w:color="000000"/>
            </w:tcBorders>
          </w:tcPr>
          <w:p w14:paraId="3F83D4B5"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17 %</w:t>
            </w:r>
          </w:p>
        </w:tc>
        <w:tc>
          <w:tcPr>
            <w:tcW w:w="1928" w:type="dxa"/>
            <w:tcBorders>
              <w:top w:val="single" w:sz="4" w:space="0" w:color="000000"/>
              <w:left w:val="single" w:sz="4" w:space="0" w:color="000000"/>
              <w:bottom w:val="single" w:sz="4" w:space="0" w:color="000000"/>
              <w:right w:val="single" w:sz="4" w:space="0" w:color="000000"/>
            </w:tcBorders>
          </w:tcPr>
          <w:p w14:paraId="3F8400AA"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41 %*</w:t>
            </w:r>
          </w:p>
        </w:tc>
        <w:tc>
          <w:tcPr>
            <w:tcW w:w="1860" w:type="dxa"/>
            <w:tcBorders>
              <w:top w:val="single" w:sz="4" w:space="0" w:color="000000"/>
              <w:left w:val="single" w:sz="4" w:space="0" w:color="000000"/>
              <w:bottom w:val="single" w:sz="4" w:space="0" w:color="000000"/>
              <w:right w:val="single" w:sz="4" w:space="0" w:color="000000"/>
            </w:tcBorders>
          </w:tcPr>
          <w:p w14:paraId="461A5C97"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48 %*</w:t>
            </w:r>
          </w:p>
        </w:tc>
      </w:tr>
      <w:tr w:rsidR="00FE291A" w14:paraId="3D5F2619" w14:textId="77777777">
        <w:trPr>
          <w:cantSplit/>
        </w:trPr>
        <w:tc>
          <w:tcPr>
            <w:tcW w:w="3853" w:type="dxa"/>
            <w:tcBorders>
              <w:top w:val="single" w:sz="4" w:space="0" w:color="000000"/>
              <w:left w:val="single" w:sz="4" w:space="0" w:color="000000"/>
              <w:bottom w:val="single" w:sz="4" w:space="0" w:color="000000"/>
              <w:right w:val="single" w:sz="4" w:space="0" w:color="000000"/>
            </w:tcBorders>
          </w:tcPr>
          <w:p w14:paraId="5D60C7E1" w14:textId="77777777" w:rsidR="00FE291A" w:rsidRDefault="00C8738F">
            <w:pPr>
              <w:pStyle w:val="TableParagraph"/>
              <w:keepNext/>
              <w:widowControl/>
              <w:suppressAutoHyphens/>
              <w:kinsoku w:val="0"/>
              <w:overflowPunct w:val="0"/>
              <w:rPr>
                <w:sz w:val="22"/>
                <w:szCs w:val="22"/>
                <w:lang w:val="de-DE"/>
              </w:rPr>
            </w:pPr>
            <w:r>
              <w:rPr>
                <w:sz w:val="22"/>
                <w:szCs w:val="22"/>
                <w:lang w:val="de-DE"/>
              </w:rPr>
              <w:t>Patienten in steroidfreier Remission</w:t>
            </w:r>
          </w:p>
          <w:p w14:paraId="64E0FDFE" w14:textId="77777777" w:rsidR="00FE291A" w:rsidRDefault="00C8738F">
            <w:pPr>
              <w:pStyle w:val="TableParagraph"/>
              <w:keepNext/>
              <w:widowControl/>
              <w:suppressAutoHyphens/>
              <w:kinsoku w:val="0"/>
              <w:overflowPunct w:val="0"/>
              <w:rPr>
                <w:sz w:val="22"/>
                <w:szCs w:val="22"/>
                <w:lang w:val="de-DE"/>
              </w:rPr>
            </w:pPr>
            <w:r>
              <w:rPr>
                <w:sz w:val="22"/>
                <w:szCs w:val="22"/>
                <w:lang w:val="de-DE"/>
              </w:rPr>
              <w:t xml:space="preserve">für </w:t>
            </w:r>
            <w:r>
              <w:rPr>
                <w:sz w:val="22"/>
                <w:szCs w:val="22"/>
                <w:lang w:val="de-DE" w:eastAsia="en-GB"/>
              </w:rPr>
              <w:t>≥</w:t>
            </w:r>
            <w:r>
              <w:rPr>
                <w:sz w:val="22"/>
                <w:szCs w:val="22"/>
                <w:lang w:val="de-DE"/>
              </w:rPr>
              <w:t> 90 Tage</w:t>
            </w:r>
            <w:r>
              <w:rPr>
                <w:sz w:val="22"/>
                <w:szCs w:val="22"/>
                <w:vertAlign w:val="superscript"/>
                <w:lang w:val="de-DE"/>
              </w:rPr>
              <w:t>a</w:t>
            </w:r>
          </w:p>
        </w:tc>
        <w:tc>
          <w:tcPr>
            <w:tcW w:w="1752" w:type="dxa"/>
            <w:tcBorders>
              <w:top w:val="single" w:sz="4" w:space="0" w:color="000000"/>
              <w:left w:val="single" w:sz="4" w:space="0" w:color="000000"/>
              <w:bottom w:val="single" w:sz="4" w:space="0" w:color="000000"/>
              <w:right w:val="single" w:sz="4" w:space="0" w:color="000000"/>
            </w:tcBorders>
          </w:tcPr>
          <w:p w14:paraId="267CF1C3"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5 % (3/66)</w:t>
            </w:r>
          </w:p>
        </w:tc>
        <w:tc>
          <w:tcPr>
            <w:tcW w:w="1928" w:type="dxa"/>
            <w:tcBorders>
              <w:top w:val="single" w:sz="4" w:space="0" w:color="000000"/>
              <w:left w:val="single" w:sz="4" w:space="0" w:color="000000"/>
              <w:bottom w:val="single" w:sz="4" w:space="0" w:color="000000"/>
              <w:right w:val="single" w:sz="4" w:space="0" w:color="000000"/>
            </w:tcBorders>
          </w:tcPr>
          <w:p w14:paraId="22537C51"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29 % (17/58)*</w:t>
            </w:r>
          </w:p>
        </w:tc>
        <w:tc>
          <w:tcPr>
            <w:tcW w:w="1860" w:type="dxa"/>
            <w:tcBorders>
              <w:top w:val="single" w:sz="4" w:space="0" w:color="000000"/>
              <w:left w:val="single" w:sz="4" w:space="0" w:color="000000"/>
              <w:bottom w:val="single" w:sz="4" w:space="0" w:color="000000"/>
              <w:right w:val="single" w:sz="4" w:space="0" w:color="000000"/>
            </w:tcBorders>
          </w:tcPr>
          <w:p w14:paraId="77D4E4EC" w14:textId="77777777" w:rsidR="00FE291A" w:rsidRDefault="00C8738F">
            <w:pPr>
              <w:pStyle w:val="TableParagraph"/>
              <w:keepNext/>
              <w:widowControl/>
              <w:suppressAutoHyphens/>
              <w:kinsoku w:val="0"/>
              <w:overflowPunct w:val="0"/>
              <w:jc w:val="center"/>
              <w:rPr>
                <w:sz w:val="22"/>
                <w:szCs w:val="22"/>
                <w:lang w:val="de-DE"/>
              </w:rPr>
            </w:pPr>
            <w:r>
              <w:rPr>
                <w:sz w:val="22"/>
                <w:szCs w:val="22"/>
                <w:lang w:val="de-DE"/>
              </w:rPr>
              <w:t>20 % (15/74)**</w:t>
            </w:r>
          </w:p>
        </w:tc>
      </w:tr>
    </w:tbl>
    <w:p w14:paraId="06456A5F" w14:textId="77777777" w:rsidR="00FE291A" w:rsidRDefault="00C8738F">
      <w:pPr>
        <w:pStyle w:val="BodyText"/>
        <w:widowControl/>
        <w:tabs>
          <w:tab w:val="left" w:pos="578"/>
        </w:tabs>
        <w:kinsoku w:val="0"/>
        <w:overflowPunct w:val="0"/>
        <w:ind w:left="0"/>
        <w:rPr>
          <w:sz w:val="20"/>
          <w:szCs w:val="20"/>
          <w:lang w:val="de-DE"/>
        </w:rPr>
      </w:pPr>
      <w:r>
        <w:rPr>
          <w:sz w:val="20"/>
          <w:szCs w:val="20"/>
          <w:lang w:val="de-DE"/>
        </w:rPr>
        <w:t xml:space="preserve">* p &lt; 0,001 bezogen auf den paarweisen Vergleich der Zahlen für Adalimumab </w:t>
      </w:r>
      <w:r>
        <w:rPr>
          <w:i/>
          <w:iCs/>
          <w:sz w:val="20"/>
          <w:szCs w:val="20"/>
          <w:lang w:val="de-DE"/>
        </w:rPr>
        <w:t xml:space="preserve">versus </w:t>
      </w:r>
      <w:r>
        <w:rPr>
          <w:sz w:val="20"/>
          <w:szCs w:val="20"/>
          <w:lang w:val="de-DE"/>
        </w:rPr>
        <w:t>Placebo</w:t>
      </w:r>
    </w:p>
    <w:p w14:paraId="300E7775" w14:textId="77777777" w:rsidR="00FE291A" w:rsidRDefault="00C8738F">
      <w:pPr>
        <w:pStyle w:val="BodyText"/>
        <w:keepNext/>
        <w:widowControl/>
        <w:tabs>
          <w:tab w:val="left" w:pos="578"/>
        </w:tabs>
        <w:kinsoku w:val="0"/>
        <w:overflowPunct w:val="0"/>
        <w:ind w:left="0"/>
        <w:rPr>
          <w:sz w:val="20"/>
          <w:szCs w:val="20"/>
          <w:lang w:val="de-DE"/>
        </w:rPr>
      </w:pPr>
      <w:r>
        <w:rPr>
          <w:sz w:val="20"/>
          <w:szCs w:val="20"/>
          <w:lang w:val="de-DE"/>
        </w:rPr>
        <w:t xml:space="preserve">** p &lt; 0,02 bezogen auf den paarweisen Vergleich der Zahlen für Adalimumab </w:t>
      </w:r>
      <w:r>
        <w:rPr>
          <w:i/>
          <w:iCs/>
          <w:sz w:val="20"/>
          <w:szCs w:val="20"/>
          <w:lang w:val="de-DE"/>
        </w:rPr>
        <w:t xml:space="preserve">versus </w:t>
      </w:r>
      <w:r>
        <w:rPr>
          <w:sz w:val="20"/>
          <w:szCs w:val="20"/>
          <w:lang w:val="de-DE"/>
        </w:rPr>
        <w:t>Placebo</w:t>
      </w:r>
    </w:p>
    <w:p w14:paraId="36099F24" w14:textId="77777777" w:rsidR="00FE291A" w:rsidRDefault="00C8738F">
      <w:pPr>
        <w:pStyle w:val="BodyText"/>
        <w:widowControl/>
        <w:tabs>
          <w:tab w:val="left" w:pos="578"/>
          <w:tab w:val="right" w:pos="9209"/>
        </w:tabs>
        <w:kinsoku w:val="0"/>
        <w:overflowPunct w:val="0"/>
        <w:ind w:left="0"/>
        <w:rPr>
          <w:lang w:val="de-DE"/>
        </w:rPr>
      </w:pPr>
      <w:r>
        <w:rPr>
          <w:sz w:val="20"/>
          <w:szCs w:val="20"/>
          <w:vertAlign w:val="superscript"/>
          <w:lang w:val="de-DE"/>
        </w:rPr>
        <w:t>a</w:t>
      </w:r>
      <w:r>
        <w:rPr>
          <w:sz w:val="20"/>
          <w:szCs w:val="20"/>
          <w:lang w:val="de-DE"/>
        </w:rPr>
        <w:t xml:space="preserve"> Von den Patienten, die Kortikosteroide zu Beginn erhalten haben</w:t>
      </w:r>
    </w:p>
    <w:p w14:paraId="2A2B078A" w14:textId="77777777" w:rsidR="00FE291A" w:rsidRDefault="00FE291A">
      <w:pPr>
        <w:pStyle w:val="BodyText"/>
        <w:widowControl/>
        <w:kinsoku w:val="0"/>
        <w:overflowPunct w:val="0"/>
        <w:ind w:left="0"/>
        <w:rPr>
          <w:lang w:val="de-DE"/>
        </w:rPr>
      </w:pPr>
    </w:p>
    <w:p w14:paraId="4FCCFC58" w14:textId="77777777" w:rsidR="00FE291A" w:rsidRDefault="00C8738F">
      <w:pPr>
        <w:pStyle w:val="BodyText"/>
        <w:widowControl/>
        <w:kinsoku w:val="0"/>
        <w:overflowPunct w:val="0"/>
        <w:ind w:left="0"/>
        <w:rPr>
          <w:lang w:val="de-DE"/>
        </w:rPr>
      </w:pPr>
      <w:r>
        <w:rPr>
          <w:lang w:val="de-DE"/>
        </w:rPr>
        <w:t>Bei den Patienten, die bis Woche 4 nicht angesprochen hatten, zeigte sich bei 43 % der mit Adalimumab behandelten Patienten in Woche 12 eine Wirkung im Vergleich zu 30 % der Placebopatienten. Diese Ergebnisse lassen vermuten, dass einige Patienten, die bis Woche 4 noch nicht auf die Therapie angesprochen haben, von einer Weiterführung der Erhaltungstherapie bis Woche 12 profitieren. Eine Fortsetzung der Therapie über die 12. Woche hinaus zeigte keine signifikant höhere Ansprechrate (siehe Abschnitt 4.2).</w:t>
      </w:r>
    </w:p>
    <w:p w14:paraId="05F99330" w14:textId="77777777" w:rsidR="00FE291A" w:rsidRDefault="00FE291A">
      <w:pPr>
        <w:widowControl/>
        <w:kinsoku w:val="0"/>
        <w:overflowPunct w:val="0"/>
        <w:rPr>
          <w:sz w:val="22"/>
          <w:szCs w:val="22"/>
          <w:lang w:val="de-DE"/>
        </w:rPr>
      </w:pPr>
    </w:p>
    <w:p w14:paraId="52905C66" w14:textId="77777777" w:rsidR="00FE291A" w:rsidRDefault="00C8738F">
      <w:pPr>
        <w:pStyle w:val="BodyText"/>
        <w:widowControl/>
        <w:kinsoku w:val="0"/>
        <w:overflowPunct w:val="0"/>
        <w:ind w:left="0"/>
        <w:jc w:val="both"/>
        <w:rPr>
          <w:lang w:val="de-DE"/>
        </w:rPr>
      </w:pPr>
      <w:r>
        <w:rPr>
          <w:lang w:val="de-DE"/>
        </w:rPr>
        <w:t>117 von 276 Patienten aus der MC-Studie I und 272 von 777 aus den MC-Studien II und III wurden mindestens 3 Jahre in einer offenen Studie mit Adalimumab weiterbehandelt. 88 bzw. 189 Patienten blieben weiterhin in klinischer Remission. Ein klinisches Ansprechen (CR-100) wurde bei 102 bzw. 233 Patienten erhalten.</w:t>
      </w:r>
    </w:p>
    <w:p w14:paraId="0735853B" w14:textId="77777777" w:rsidR="00FE291A" w:rsidRDefault="00FE291A">
      <w:pPr>
        <w:widowControl/>
        <w:kinsoku w:val="0"/>
        <w:overflowPunct w:val="0"/>
        <w:rPr>
          <w:sz w:val="22"/>
          <w:szCs w:val="22"/>
          <w:lang w:val="de-DE"/>
        </w:rPr>
      </w:pPr>
    </w:p>
    <w:p w14:paraId="2B44E98C" w14:textId="77777777" w:rsidR="00FE291A" w:rsidRDefault="00C8738F">
      <w:pPr>
        <w:keepNext/>
        <w:widowControl/>
        <w:kinsoku w:val="0"/>
        <w:overflowPunct w:val="0"/>
        <w:rPr>
          <w:sz w:val="22"/>
          <w:szCs w:val="22"/>
          <w:lang w:val="de-DE"/>
        </w:rPr>
      </w:pPr>
      <w:r>
        <w:rPr>
          <w:i/>
          <w:iCs/>
          <w:sz w:val="22"/>
          <w:szCs w:val="22"/>
          <w:u w:val="single"/>
          <w:lang w:val="de-DE"/>
        </w:rPr>
        <w:t>Lebensqualität</w:t>
      </w:r>
    </w:p>
    <w:p w14:paraId="0DC073C8" w14:textId="77777777" w:rsidR="00FE291A" w:rsidRDefault="00FE291A">
      <w:pPr>
        <w:keepNext/>
        <w:widowControl/>
        <w:kinsoku w:val="0"/>
        <w:overflowPunct w:val="0"/>
        <w:rPr>
          <w:sz w:val="22"/>
          <w:szCs w:val="22"/>
          <w:lang w:val="de-DE"/>
        </w:rPr>
      </w:pPr>
    </w:p>
    <w:p w14:paraId="2B2683EB" w14:textId="77777777" w:rsidR="00FE291A" w:rsidRDefault="00C8738F">
      <w:pPr>
        <w:widowControl/>
        <w:kinsoku w:val="0"/>
        <w:overflowPunct w:val="0"/>
        <w:rPr>
          <w:sz w:val="22"/>
          <w:szCs w:val="22"/>
          <w:lang w:val="de-DE"/>
        </w:rPr>
      </w:pPr>
      <w:r>
        <w:rPr>
          <w:sz w:val="22"/>
          <w:szCs w:val="22"/>
          <w:lang w:val="de-DE"/>
        </w:rPr>
        <w:t>In der MC-Studie I und der MC-Studie II zeigte sich eine statistisch signifikante Verbesserung im krankheitsspezifischen IBDQ (</w:t>
      </w:r>
      <w:r>
        <w:rPr>
          <w:i/>
          <w:iCs/>
          <w:sz w:val="22"/>
          <w:szCs w:val="22"/>
          <w:lang w:val="de-DE"/>
        </w:rPr>
        <w:t>Inflammatory-Bowel-Disease-Questionnaire</w:t>
      </w:r>
      <w:r>
        <w:rPr>
          <w:sz w:val="22"/>
          <w:szCs w:val="22"/>
          <w:lang w:val="de-DE"/>
        </w:rPr>
        <w:t>)-Gesamtscore in Woche 4 bei Patienten, die in die Adalimumab-Gruppen 80/40 mg und 160/80 mg randomisiert wurden, im Vergleich zur Placebogruppe. Dasselbe zeigte sich in der MC-Studie III in Woche 26 und 56 in den Adalimumab-Behandlungsgruppen im Vergleich zur Placebogruppe.</w:t>
      </w:r>
    </w:p>
    <w:p w14:paraId="7F9F940D" w14:textId="77777777" w:rsidR="00FE291A" w:rsidRDefault="00FE291A">
      <w:pPr>
        <w:pStyle w:val="BodyText"/>
        <w:widowControl/>
        <w:kinsoku w:val="0"/>
        <w:overflowPunct w:val="0"/>
        <w:ind w:left="0"/>
        <w:rPr>
          <w:lang w:val="de-DE"/>
        </w:rPr>
      </w:pPr>
    </w:p>
    <w:p w14:paraId="27FFB414" w14:textId="77777777" w:rsidR="00FE291A" w:rsidRDefault="00C8738F">
      <w:pPr>
        <w:keepNext/>
        <w:keepLines/>
        <w:widowControl/>
        <w:kinsoku w:val="0"/>
        <w:overflowPunct w:val="0"/>
        <w:rPr>
          <w:sz w:val="22"/>
          <w:szCs w:val="22"/>
          <w:lang w:val="de-DE"/>
        </w:rPr>
      </w:pPr>
      <w:r>
        <w:rPr>
          <w:i/>
          <w:iCs/>
          <w:sz w:val="22"/>
          <w:szCs w:val="22"/>
          <w:lang w:val="de-DE"/>
        </w:rPr>
        <w:t>Colitis ulcerosa</w:t>
      </w:r>
    </w:p>
    <w:p w14:paraId="17AC38C3" w14:textId="77777777" w:rsidR="00FE291A" w:rsidRDefault="00FE291A">
      <w:pPr>
        <w:keepNext/>
        <w:keepLines/>
        <w:widowControl/>
        <w:kinsoku w:val="0"/>
        <w:overflowPunct w:val="0"/>
        <w:rPr>
          <w:sz w:val="22"/>
          <w:szCs w:val="22"/>
          <w:lang w:val="de-DE"/>
        </w:rPr>
      </w:pPr>
    </w:p>
    <w:p w14:paraId="450A4DFB" w14:textId="77777777" w:rsidR="00FE291A" w:rsidRDefault="00C8738F">
      <w:pPr>
        <w:pStyle w:val="BodyText"/>
        <w:keepNext/>
        <w:keepLines/>
        <w:widowControl/>
        <w:kinsoku w:val="0"/>
        <w:overflowPunct w:val="0"/>
        <w:ind w:left="0"/>
        <w:rPr>
          <w:lang w:val="de-DE"/>
        </w:rPr>
      </w:pPr>
      <w:r>
        <w:rPr>
          <w:lang w:val="de-DE"/>
        </w:rPr>
        <w:t>Die Sicherheit und Wirksamkeit von Adalimumab-Mehrfachdosen wurden bei erwachsenen Patienten mit mittelschwerer bis schwerer aktiver Colitis ulcerosa (</w:t>
      </w:r>
      <w:r>
        <w:rPr>
          <w:i/>
          <w:iCs/>
          <w:lang w:val="de-DE"/>
        </w:rPr>
        <w:t>Mayo-Score</w:t>
      </w:r>
      <w:r>
        <w:rPr>
          <w:lang w:val="de-DE"/>
        </w:rPr>
        <w:t xml:space="preserve"> 6 bis 12 mit Endoskopie-</w:t>
      </w:r>
      <w:r>
        <w:rPr>
          <w:i/>
          <w:iCs/>
          <w:lang w:val="de-DE"/>
        </w:rPr>
        <w:t>Subscore</w:t>
      </w:r>
      <w:r>
        <w:rPr>
          <w:lang w:val="de-DE"/>
        </w:rPr>
        <w:t xml:space="preserve"> 2 bis 3) in randomisierten, doppelblinden, placebokontrollierten Studien untersucht.</w:t>
      </w:r>
    </w:p>
    <w:p w14:paraId="375E786A" w14:textId="77777777" w:rsidR="00FE291A" w:rsidRDefault="00FE291A">
      <w:pPr>
        <w:widowControl/>
        <w:kinsoku w:val="0"/>
        <w:overflowPunct w:val="0"/>
        <w:rPr>
          <w:sz w:val="22"/>
          <w:szCs w:val="22"/>
          <w:lang w:val="de-DE"/>
        </w:rPr>
      </w:pPr>
    </w:p>
    <w:p w14:paraId="3E3E595E" w14:textId="77777777" w:rsidR="00FE291A" w:rsidRDefault="00C8738F">
      <w:pPr>
        <w:pStyle w:val="BodyText"/>
        <w:widowControl/>
        <w:kinsoku w:val="0"/>
        <w:overflowPunct w:val="0"/>
        <w:ind w:left="0"/>
        <w:rPr>
          <w:lang w:val="de-DE"/>
        </w:rPr>
      </w:pPr>
      <w:r>
        <w:rPr>
          <w:lang w:val="de-DE"/>
        </w:rPr>
        <w:t xml:space="preserve">In der UC-I-Studie wurden 390 Patienten, die gegenüber TNF-Antagonisten naiv waren, randomisiert: Sie erhielten entweder Placebo in Woche 0 und 2, 160 mg Adalimumab in Woche 0, gefolgt von 80 mg in Woche 2 oder 80 mg Adalimumab in Woche 0, gefolgt von 40 mg in Woche 2. Nach Woche 2 erhielten die Patienten in beiden Adalimumab-Armen jede zweite Woche 40 mg. Eine klinische Remission (definiert als </w:t>
      </w:r>
      <w:r>
        <w:rPr>
          <w:i/>
          <w:iCs/>
          <w:lang w:val="de-DE"/>
        </w:rPr>
        <w:t>Mayo-Score</w:t>
      </w:r>
      <w:r>
        <w:rPr>
          <w:lang w:val="de-DE"/>
        </w:rPr>
        <w:t xml:space="preserve"> ≤ 2 mit keinem </w:t>
      </w:r>
      <w:r>
        <w:rPr>
          <w:i/>
          <w:iCs/>
          <w:lang w:val="de-DE"/>
        </w:rPr>
        <w:t>Subscore</w:t>
      </w:r>
      <w:r>
        <w:rPr>
          <w:lang w:val="de-DE"/>
        </w:rPr>
        <w:t xml:space="preserve"> &gt; 1) wurde in Woche 8 bewertet.</w:t>
      </w:r>
    </w:p>
    <w:p w14:paraId="78F74356" w14:textId="77777777" w:rsidR="00FE291A" w:rsidRDefault="00FE291A">
      <w:pPr>
        <w:widowControl/>
        <w:kinsoku w:val="0"/>
        <w:overflowPunct w:val="0"/>
        <w:rPr>
          <w:sz w:val="22"/>
          <w:szCs w:val="22"/>
          <w:lang w:val="de-DE"/>
        </w:rPr>
      </w:pPr>
    </w:p>
    <w:p w14:paraId="40DF326D" w14:textId="77777777" w:rsidR="00FE291A" w:rsidRDefault="00C8738F">
      <w:pPr>
        <w:pStyle w:val="BodyText"/>
        <w:widowControl/>
        <w:kinsoku w:val="0"/>
        <w:overflowPunct w:val="0"/>
        <w:ind w:left="0"/>
        <w:rPr>
          <w:lang w:val="de-DE"/>
        </w:rPr>
      </w:pPr>
      <w:r>
        <w:rPr>
          <w:lang w:val="de-DE"/>
        </w:rPr>
        <w:t>In der UC-II-Studie erhielten 248 Patienten 160 mg Adalimumab in Woche 0, 80 mg in Woche 2 und danach jede zweite Woche 40 mg, und 246 Patienten erhielten Placebo. Die klinischen Ergebnisse wurden auf Einleitung einer Remission in Woche 8 und Bestehen der Remission in Woche 52 bewertet.</w:t>
      </w:r>
    </w:p>
    <w:p w14:paraId="4D9E66EC" w14:textId="77777777" w:rsidR="00FE291A" w:rsidRDefault="00FE291A">
      <w:pPr>
        <w:widowControl/>
        <w:kinsoku w:val="0"/>
        <w:overflowPunct w:val="0"/>
        <w:rPr>
          <w:sz w:val="22"/>
          <w:szCs w:val="22"/>
          <w:lang w:val="de-DE"/>
        </w:rPr>
      </w:pPr>
    </w:p>
    <w:p w14:paraId="50DF5814" w14:textId="77777777" w:rsidR="00FE291A" w:rsidRDefault="00C8738F">
      <w:pPr>
        <w:pStyle w:val="BodyText"/>
        <w:widowControl/>
        <w:kinsoku w:val="0"/>
        <w:overflowPunct w:val="0"/>
        <w:ind w:left="0"/>
        <w:rPr>
          <w:lang w:val="de-DE"/>
        </w:rPr>
      </w:pPr>
      <w:r>
        <w:rPr>
          <w:lang w:val="de-DE"/>
        </w:rPr>
        <w:t>Eine klinische Remission zu einem statistisch signifikanten größeren Prozentsatz gegenüber Placebo erreichten Patienten mit einer Induktionsdosis von 160/80 mg Adalimumab in Woche 8 in der UC-I-Studie (18 % unter Adalimumab vs. 9 % unter Placebo; p = 0,031) und UC-II-Studie (17 % unter Adalimumab vs. 9 % unter Placebo; p = 0,019). In der UC-II-Studie waren unter Adalimumab-Behandlung 21/41 (51 %) Patienten, die in Woche 8 in Remission waren, in Woche 52 in Remission.</w:t>
      </w:r>
    </w:p>
    <w:p w14:paraId="2342EA22" w14:textId="77777777" w:rsidR="00FE291A" w:rsidRDefault="00FE291A">
      <w:pPr>
        <w:widowControl/>
        <w:kinsoku w:val="0"/>
        <w:overflowPunct w:val="0"/>
        <w:rPr>
          <w:sz w:val="22"/>
          <w:szCs w:val="22"/>
          <w:lang w:val="de-DE"/>
        </w:rPr>
      </w:pPr>
    </w:p>
    <w:p w14:paraId="591CDF49" w14:textId="77777777" w:rsidR="00FE291A" w:rsidRDefault="00C8738F">
      <w:pPr>
        <w:pStyle w:val="BodyText"/>
        <w:widowControl/>
        <w:kinsoku w:val="0"/>
        <w:overflowPunct w:val="0"/>
        <w:ind w:left="0"/>
        <w:rPr>
          <w:lang w:val="de-DE"/>
        </w:rPr>
      </w:pPr>
      <w:r>
        <w:rPr>
          <w:lang w:val="de-DE"/>
        </w:rPr>
        <w:t>Tabelle 23 zeigt die Ergebnisse aus der gesamten Population von UC-II-Studie.</w:t>
      </w:r>
    </w:p>
    <w:p w14:paraId="43AED18E" w14:textId="77777777" w:rsidR="00FE291A" w:rsidRDefault="00FE291A">
      <w:pPr>
        <w:widowControl/>
        <w:kinsoku w:val="0"/>
        <w:overflowPunct w:val="0"/>
        <w:rPr>
          <w:sz w:val="22"/>
          <w:szCs w:val="22"/>
          <w:lang w:val="de-DE"/>
        </w:rPr>
      </w:pPr>
    </w:p>
    <w:p w14:paraId="24AA0CDA" w14:textId="77777777" w:rsidR="00FE291A" w:rsidRDefault="00C8738F">
      <w:pPr>
        <w:pStyle w:val="Heading1"/>
        <w:keepNext/>
        <w:keepLines/>
        <w:widowControl/>
        <w:kinsoku w:val="0"/>
        <w:overflowPunct w:val="0"/>
        <w:ind w:left="0"/>
        <w:rPr>
          <w:lang w:val="de-DE"/>
        </w:rPr>
      </w:pPr>
      <w:r>
        <w:rPr>
          <w:lang w:val="de-DE"/>
        </w:rPr>
        <w:t>Tabelle 23: Ansprechen, Remission und Mukosaheilung in der UC-II-Studie (prozentualer Anteil der Patienten)</w:t>
      </w:r>
    </w:p>
    <w:p w14:paraId="2ABBDFFD" w14:textId="77777777" w:rsidR="00FE291A" w:rsidRDefault="00FE291A">
      <w:pPr>
        <w:keepNext/>
        <w:widowControl/>
        <w:kinsoku w:val="0"/>
        <w:overflowPunct w:val="0"/>
        <w:rPr>
          <w:sz w:val="22"/>
          <w:szCs w:val="2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810"/>
        <w:gridCol w:w="1843"/>
        <w:gridCol w:w="2268"/>
      </w:tblGrid>
      <w:tr w:rsidR="00FE291A" w:rsidRPr="00723069" w14:paraId="598DCFF6" w14:textId="77777777">
        <w:trPr>
          <w:cantSplit/>
          <w:tblHeader/>
        </w:trPr>
        <w:tc>
          <w:tcPr>
            <w:tcW w:w="4810" w:type="dxa"/>
          </w:tcPr>
          <w:p w14:paraId="048CA9C2" w14:textId="77777777" w:rsidR="00FE291A" w:rsidRDefault="00FE291A">
            <w:pPr>
              <w:pStyle w:val="BodyText"/>
              <w:keepNext/>
              <w:widowControl/>
              <w:suppressAutoHyphens/>
              <w:ind w:left="0"/>
              <w:rPr>
                <w:lang w:val="de-DE"/>
              </w:rPr>
            </w:pPr>
          </w:p>
        </w:tc>
        <w:tc>
          <w:tcPr>
            <w:tcW w:w="1843" w:type="dxa"/>
          </w:tcPr>
          <w:p w14:paraId="23591779" w14:textId="77777777" w:rsidR="00FE291A" w:rsidRDefault="00C8738F">
            <w:pPr>
              <w:pStyle w:val="BodyText"/>
              <w:keepNext/>
              <w:widowControl/>
              <w:suppressAutoHyphens/>
              <w:ind w:left="0"/>
              <w:jc w:val="center"/>
              <w:rPr>
                <w:lang w:val="de-DE"/>
              </w:rPr>
            </w:pPr>
            <w:r>
              <w:rPr>
                <w:b/>
                <w:lang w:val="de-DE"/>
              </w:rPr>
              <w:t>Placebo</w:t>
            </w:r>
          </w:p>
        </w:tc>
        <w:tc>
          <w:tcPr>
            <w:tcW w:w="2268" w:type="dxa"/>
          </w:tcPr>
          <w:p w14:paraId="2BE645F0" w14:textId="77777777" w:rsidR="00FE291A" w:rsidRDefault="00C8738F">
            <w:pPr>
              <w:keepNext/>
              <w:widowControl/>
              <w:suppressAutoHyphens/>
              <w:jc w:val="center"/>
              <w:rPr>
                <w:b/>
                <w:bCs/>
                <w:sz w:val="22"/>
                <w:szCs w:val="22"/>
                <w:lang w:val="de-DE" w:eastAsia="en-US"/>
              </w:rPr>
            </w:pPr>
            <w:r>
              <w:rPr>
                <w:b/>
                <w:bCs/>
                <w:sz w:val="22"/>
                <w:szCs w:val="22"/>
                <w:lang w:val="de-DE" w:eastAsia="en-US"/>
              </w:rPr>
              <w:t xml:space="preserve">Adalimumab </w:t>
            </w:r>
          </w:p>
          <w:p w14:paraId="3C15DEE1" w14:textId="77777777" w:rsidR="00FE291A" w:rsidRDefault="00C8738F">
            <w:pPr>
              <w:keepNext/>
              <w:widowControl/>
              <w:suppressAutoHyphens/>
              <w:jc w:val="center"/>
              <w:rPr>
                <w:b/>
                <w:bCs/>
                <w:sz w:val="22"/>
                <w:szCs w:val="22"/>
                <w:lang w:val="de-DE" w:eastAsia="en-US"/>
              </w:rPr>
            </w:pPr>
            <w:r>
              <w:rPr>
                <w:b/>
                <w:bCs/>
                <w:sz w:val="22"/>
                <w:szCs w:val="22"/>
                <w:lang w:val="de-DE" w:eastAsia="en-US"/>
              </w:rPr>
              <w:t>40 mg</w:t>
            </w:r>
          </w:p>
          <w:p w14:paraId="2E143DA6" w14:textId="77777777" w:rsidR="00FE291A" w:rsidRDefault="00C8738F">
            <w:pPr>
              <w:pStyle w:val="BodyText"/>
              <w:keepNext/>
              <w:widowControl/>
              <w:suppressAutoHyphens/>
              <w:ind w:left="0"/>
              <w:jc w:val="center"/>
              <w:rPr>
                <w:lang w:val="de-DE"/>
              </w:rPr>
            </w:pPr>
            <w:r>
              <w:rPr>
                <w:b/>
                <w:bCs/>
                <w:lang w:val="de-DE" w:eastAsia="en-US"/>
              </w:rPr>
              <w:t>jede zweite Woche</w:t>
            </w:r>
          </w:p>
        </w:tc>
      </w:tr>
      <w:tr w:rsidR="00FE291A" w14:paraId="21D74472" w14:textId="77777777">
        <w:trPr>
          <w:cantSplit/>
        </w:trPr>
        <w:tc>
          <w:tcPr>
            <w:tcW w:w="4810" w:type="dxa"/>
          </w:tcPr>
          <w:p w14:paraId="306FF539" w14:textId="77777777" w:rsidR="00FE291A" w:rsidRDefault="00C8738F">
            <w:pPr>
              <w:pStyle w:val="BodyText"/>
              <w:widowControl/>
              <w:suppressAutoHyphens/>
              <w:ind w:left="0"/>
              <w:rPr>
                <w:lang w:val="de-DE"/>
              </w:rPr>
            </w:pPr>
            <w:r>
              <w:rPr>
                <w:lang w:val="de-DE" w:eastAsia="en-US"/>
              </w:rPr>
              <w:t>Woche</w:t>
            </w:r>
            <w:r>
              <w:rPr>
                <w:lang w:val="de-DE"/>
              </w:rPr>
              <w:t xml:space="preserve"> 52</w:t>
            </w:r>
          </w:p>
        </w:tc>
        <w:tc>
          <w:tcPr>
            <w:tcW w:w="1843" w:type="dxa"/>
          </w:tcPr>
          <w:p w14:paraId="521F51EA" w14:textId="77777777" w:rsidR="00FE291A" w:rsidRDefault="00C8738F">
            <w:pPr>
              <w:pStyle w:val="BodyText"/>
              <w:widowControl/>
              <w:suppressAutoHyphens/>
              <w:ind w:left="0"/>
              <w:jc w:val="center"/>
              <w:rPr>
                <w:lang w:val="de-DE"/>
              </w:rPr>
            </w:pPr>
            <w:r>
              <w:rPr>
                <w:b/>
                <w:bCs/>
                <w:lang w:val="de-DE" w:eastAsia="en-US"/>
              </w:rPr>
              <w:t>N = 246</w:t>
            </w:r>
          </w:p>
        </w:tc>
        <w:tc>
          <w:tcPr>
            <w:tcW w:w="2268" w:type="dxa"/>
          </w:tcPr>
          <w:p w14:paraId="16965F6B" w14:textId="77777777" w:rsidR="00FE291A" w:rsidRDefault="00C8738F">
            <w:pPr>
              <w:pStyle w:val="BodyText"/>
              <w:widowControl/>
              <w:suppressAutoHyphens/>
              <w:ind w:left="0"/>
              <w:jc w:val="center"/>
              <w:rPr>
                <w:lang w:val="de-DE"/>
              </w:rPr>
            </w:pPr>
            <w:r>
              <w:rPr>
                <w:b/>
                <w:bCs/>
                <w:lang w:val="de-DE" w:eastAsia="en-US"/>
              </w:rPr>
              <w:t>N = 248</w:t>
            </w:r>
          </w:p>
        </w:tc>
      </w:tr>
      <w:tr w:rsidR="00FE291A" w14:paraId="0DE50A74" w14:textId="77777777">
        <w:trPr>
          <w:cantSplit/>
        </w:trPr>
        <w:tc>
          <w:tcPr>
            <w:tcW w:w="4810" w:type="dxa"/>
          </w:tcPr>
          <w:p w14:paraId="5A698235" w14:textId="77777777" w:rsidR="00FE291A" w:rsidRDefault="00C8738F">
            <w:pPr>
              <w:pStyle w:val="BodyText"/>
              <w:widowControl/>
              <w:suppressAutoHyphens/>
              <w:ind w:left="0"/>
              <w:rPr>
                <w:lang w:val="de-DE"/>
              </w:rPr>
            </w:pPr>
            <w:r>
              <w:rPr>
                <w:lang w:val="de-DE" w:eastAsia="en-US"/>
              </w:rPr>
              <w:t>Klinisches Ansprechen</w:t>
            </w:r>
          </w:p>
        </w:tc>
        <w:tc>
          <w:tcPr>
            <w:tcW w:w="1843" w:type="dxa"/>
          </w:tcPr>
          <w:p w14:paraId="1CB51F52" w14:textId="77777777" w:rsidR="00FE291A" w:rsidRDefault="00C8738F">
            <w:pPr>
              <w:pStyle w:val="BodyText"/>
              <w:widowControl/>
              <w:suppressAutoHyphens/>
              <w:ind w:left="0"/>
              <w:jc w:val="center"/>
              <w:rPr>
                <w:lang w:val="de-DE"/>
              </w:rPr>
            </w:pPr>
            <w:r>
              <w:rPr>
                <w:lang w:val="de-DE"/>
              </w:rPr>
              <w:t>18 %</w:t>
            </w:r>
          </w:p>
        </w:tc>
        <w:tc>
          <w:tcPr>
            <w:tcW w:w="2268" w:type="dxa"/>
          </w:tcPr>
          <w:p w14:paraId="6B7F4E20" w14:textId="77777777" w:rsidR="00FE291A" w:rsidRDefault="00C8738F">
            <w:pPr>
              <w:pStyle w:val="BodyText"/>
              <w:widowControl/>
              <w:suppressAutoHyphens/>
              <w:ind w:left="0"/>
              <w:jc w:val="center"/>
              <w:rPr>
                <w:lang w:val="de-DE"/>
              </w:rPr>
            </w:pPr>
            <w:r>
              <w:rPr>
                <w:lang w:val="de-DE"/>
              </w:rPr>
              <w:t>30 %*</w:t>
            </w:r>
          </w:p>
        </w:tc>
      </w:tr>
      <w:tr w:rsidR="00FE291A" w14:paraId="1CC70DDB" w14:textId="77777777">
        <w:trPr>
          <w:cantSplit/>
        </w:trPr>
        <w:tc>
          <w:tcPr>
            <w:tcW w:w="4810" w:type="dxa"/>
          </w:tcPr>
          <w:p w14:paraId="26CEBC1D" w14:textId="77777777" w:rsidR="00FE291A" w:rsidRDefault="00C8738F">
            <w:pPr>
              <w:pStyle w:val="BodyText"/>
              <w:widowControl/>
              <w:suppressAutoHyphens/>
              <w:ind w:left="0"/>
              <w:rPr>
                <w:lang w:val="de-DE"/>
              </w:rPr>
            </w:pPr>
            <w:r>
              <w:rPr>
                <w:lang w:val="de-DE" w:eastAsia="en-US"/>
              </w:rPr>
              <w:t>Klinische Remission</w:t>
            </w:r>
          </w:p>
        </w:tc>
        <w:tc>
          <w:tcPr>
            <w:tcW w:w="1843" w:type="dxa"/>
          </w:tcPr>
          <w:p w14:paraId="6413724F" w14:textId="77777777" w:rsidR="00FE291A" w:rsidRDefault="00C8738F">
            <w:pPr>
              <w:pStyle w:val="BodyText"/>
              <w:widowControl/>
              <w:suppressAutoHyphens/>
              <w:ind w:left="0"/>
              <w:jc w:val="center"/>
              <w:rPr>
                <w:lang w:val="de-DE"/>
              </w:rPr>
            </w:pPr>
            <w:r>
              <w:rPr>
                <w:lang w:val="de-DE"/>
              </w:rPr>
              <w:t>9 %</w:t>
            </w:r>
          </w:p>
        </w:tc>
        <w:tc>
          <w:tcPr>
            <w:tcW w:w="2268" w:type="dxa"/>
          </w:tcPr>
          <w:p w14:paraId="59152F5E" w14:textId="77777777" w:rsidR="00FE291A" w:rsidRDefault="00C8738F">
            <w:pPr>
              <w:pStyle w:val="BodyText"/>
              <w:widowControl/>
              <w:suppressAutoHyphens/>
              <w:ind w:left="0"/>
              <w:jc w:val="center"/>
              <w:rPr>
                <w:lang w:val="de-DE"/>
              </w:rPr>
            </w:pPr>
            <w:r>
              <w:rPr>
                <w:lang w:val="de-DE"/>
              </w:rPr>
              <w:t>17 %*</w:t>
            </w:r>
          </w:p>
        </w:tc>
      </w:tr>
      <w:tr w:rsidR="00FE291A" w14:paraId="083B86D5" w14:textId="77777777">
        <w:trPr>
          <w:cantSplit/>
        </w:trPr>
        <w:tc>
          <w:tcPr>
            <w:tcW w:w="4810" w:type="dxa"/>
          </w:tcPr>
          <w:p w14:paraId="1B6B42D5" w14:textId="77777777" w:rsidR="00FE291A" w:rsidRDefault="00C8738F">
            <w:pPr>
              <w:pStyle w:val="BodyText"/>
              <w:widowControl/>
              <w:suppressAutoHyphens/>
              <w:ind w:left="0"/>
              <w:rPr>
                <w:lang w:val="de-DE"/>
              </w:rPr>
            </w:pPr>
            <w:r>
              <w:rPr>
                <w:lang w:val="de-DE" w:eastAsia="en-US"/>
              </w:rPr>
              <w:t>Mukosaheilung</w:t>
            </w:r>
          </w:p>
        </w:tc>
        <w:tc>
          <w:tcPr>
            <w:tcW w:w="1843" w:type="dxa"/>
          </w:tcPr>
          <w:p w14:paraId="7CEFA8A9" w14:textId="77777777" w:rsidR="00FE291A" w:rsidRDefault="00C8738F">
            <w:pPr>
              <w:pStyle w:val="BodyText"/>
              <w:widowControl/>
              <w:suppressAutoHyphens/>
              <w:ind w:left="0"/>
              <w:jc w:val="center"/>
              <w:rPr>
                <w:lang w:val="de-DE"/>
              </w:rPr>
            </w:pPr>
            <w:r>
              <w:rPr>
                <w:lang w:val="de-DE"/>
              </w:rPr>
              <w:t>15 %</w:t>
            </w:r>
          </w:p>
        </w:tc>
        <w:tc>
          <w:tcPr>
            <w:tcW w:w="2268" w:type="dxa"/>
          </w:tcPr>
          <w:p w14:paraId="11265FF2" w14:textId="77777777" w:rsidR="00FE291A" w:rsidRDefault="00C8738F">
            <w:pPr>
              <w:pStyle w:val="BodyText"/>
              <w:widowControl/>
              <w:suppressAutoHyphens/>
              <w:ind w:left="0"/>
              <w:jc w:val="center"/>
              <w:rPr>
                <w:lang w:val="de-DE"/>
              </w:rPr>
            </w:pPr>
            <w:r>
              <w:rPr>
                <w:lang w:val="de-DE"/>
              </w:rPr>
              <w:t>25 %*</w:t>
            </w:r>
          </w:p>
        </w:tc>
      </w:tr>
      <w:tr w:rsidR="00FE291A" w14:paraId="540E8FE5" w14:textId="77777777">
        <w:trPr>
          <w:cantSplit/>
        </w:trPr>
        <w:tc>
          <w:tcPr>
            <w:tcW w:w="4810" w:type="dxa"/>
          </w:tcPr>
          <w:p w14:paraId="6EB04A88" w14:textId="77777777" w:rsidR="00FE291A" w:rsidRDefault="00C8738F">
            <w:pPr>
              <w:pStyle w:val="BodyText"/>
              <w:widowControl/>
              <w:suppressAutoHyphens/>
              <w:ind w:left="0"/>
              <w:rPr>
                <w:lang w:val="de-DE"/>
              </w:rPr>
            </w:pPr>
            <w:r>
              <w:rPr>
                <w:lang w:val="de-DE" w:eastAsia="en-US"/>
              </w:rPr>
              <w:t>Steroidfreie Remission für ≥ 90 Tage</w:t>
            </w:r>
            <w:r>
              <w:rPr>
                <w:vertAlign w:val="superscript"/>
                <w:lang w:val="de-DE" w:eastAsia="en-US"/>
              </w:rPr>
              <w:t>a</w:t>
            </w:r>
          </w:p>
        </w:tc>
        <w:tc>
          <w:tcPr>
            <w:tcW w:w="1843" w:type="dxa"/>
          </w:tcPr>
          <w:p w14:paraId="7C28233C" w14:textId="77777777" w:rsidR="00FE291A" w:rsidRDefault="00C8738F">
            <w:pPr>
              <w:pStyle w:val="BodyText"/>
              <w:widowControl/>
              <w:suppressAutoHyphens/>
              <w:ind w:left="0"/>
              <w:jc w:val="center"/>
              <w:rPr>
                <w:lang w:val="de-DE"/>
              </w:rPr>
            </w:pPr>
            <w:r>
              <w:rPr>
                <w:lang w:val="de-DE"/>
              </w:rPr>
              <w:t>6 %</w:t>
            </w:r>
          </w:p>
          <w:p w14:paraId="2ADCC14A" w14:textId="77777777" w:rsidR="00FE291A" w:rsidRDefault="00C8738F">
            <w:pPr>
              <w:pStyle w:val="BodyText"/>
              <w:widowControl/>
              <w:suppressAutoHyphens/>
              <w:ind w:left="0"/>
              <w:jc w:val="center"/>
              <w:rPr>
                <w:lang w:val="de-DE"/>
              </w:rPr>
            </w:pPr>
            <w:r>
              <w:rPr>
                <w:lang w:val="de-DE"/>
              </w:rPr>
              <w:t>(</w:t>
            </w:r>
            <w:r>
              <w:rPr>
                <w:lang w:val="de-DE" w:eastAsia="en-US"/>
              </w:rPr>
              <w:t>N = 140</w:t>
            </w:r>
            <w:r>
              <w:rPr>
                <w:lang w:val="de-DE"/>
              </w:rPr>
              <w:t>)</w:t>
            </w:r>
          </w:p>
        </w:tc>
        <w:tc>
          <w:tcPr>
            <w:tcW w:w="2268" w:type="dxa"/>
          </w:tcPr>
          <w:p w14:paraId="71EFFD89" w14:textId="77777777" w:rsidR="00FE291A" w:rsidRDefault="00C8738F">
            <w:pPr>
              <w:pStyle w:val="BodyText"/>
              <w:widowControl/>
              <w:suppressAutoHyphens/>
              <w:ind w:left="0"/>
              <w:jc w:val="center"/>
              <w:rPr>
                <w:lang w:val="de-DE"/>
              </w:rPr>
            </w:pPr>
            <w:r>
              <w:rPr>
                <w:lang w:val="de-DE"/>
              </w:rPr>
              <w:t>13 %*</w:t>
            </w:r>
          </w:p>
          <w:p w14:paraId="1EDE5FD1" w14:textId="77777777" w:rsidR="00FE291A" w:rsidRDefault="00C8738F">
            <w:pPr>
              <w:pStyle w:val="BodyText"/>
              <w:widowControl/>
              <w:suppressAutoHyphens/>
              <w:ind w:left="0"/>
              <w:jc w:val="center"/>
              <w:rPr>
                <w:lang w:val="de-DE"/>
              </w:rPr>
            </w:pPr>
            <w:r>
              <w:rPr>
                <w:lang w:val="de-DE"/>
              </w:rPr>
              <w:t>(</w:t>
            </w:r>
            <w:r>
              <w:rPr>
                <w:lang w:val="de-DE" w:eastAsia="en-US"/>
              </w:rPr>
              <w:t>N</w:t>
            </w:r>
            <w:r>
              <w:rPr>
                <w:lang w:val="de-DE" w:eastAsia="zh-TW"/>
              </w:rPr>
              <w:t> </w:t>
            </w:r>
            <w:r>
              <w:rPr>
                <w:lang w:val="de-DE" w:eastAsia="en-US"/>
              </w:rPr>
              <w:t>= 150</w:t>
            </w:r>
            <w:r>
              <w:rPr>
                <w:lang w:val="de-DE"/>
              </w:rPr>
              <w:t>)</w:t>
            </w:r>
          </w:p>
        </w:tc>
      </w:tr>
      <w:tr w:rsidR="00FE291A" w14:paraId="18473CB1" w14:textId="77777777">
        <w:trPr>
          <w:cantSplit/>
        </w:trPr>
        <w:tc>
          <w:tcPr>
            <w:tcW w:w="4810" w:type="dxa"/>
          </w:tcPr>
          <w:p w14:paraId="4DB31C28" w14:textId="77777777" w:rsidR="00FE291A" w:rsidRDefault="00C8738F">
            <w:pPr>
              <w:widowControl/>
              <w:tabs>
                <w:tab w:val="left" w:pos="3684"/>
                <w:tab w:val="left" w:pos="7961"/>
              </w:tabs>
              <w:suppressAutoHyphens/>
              <w:kinsoku w:val="0"/>
              <w:overflowPunct w:val="0"/>
              <w:rPr>
                <w:bCs/>
                <w:sz w:val="22"/>
                <w:szCs w:val="22"/>
                <w:lang w:val="de-DE"/>
              </w:rPr>
            </w:pPr>
            <w:r>
              <w:rPr>
                <w:sz w:val="22"/>
                <w:szCs w:val="22"/>
                <w:lang w:val="de-DE" w:eastAsia="en-US"/>
              </w:rPr>
              <w:t>Woche 8 und 52</w:t>
            </w:r>
          </w:p>
        </w:tc>
        <w:tc>
          <w:tcPr>
            <w:tcW w:w="1843" w:type="dxa"/>
          </w:tcPr>
          <w:p w14:paraId="6B4C0DCF" w14:textId="77777777" w:rsidR="00FE291A" w:rsidRDefault="00FE291A">
            <w:pPr>
              <w:widowControl/>
              <w:tabs>
                <w:tab w:val="left" w:pos="3684"/>
                <w:tab w:val="left" w:pos="7961"/>
              </w:tabs>
              <w:suppressAutoHyphens/>
              <w:kinsoku w:val="0"/>
              <w:overflowPunct w:val="0"/>
              <w:jc w:val="center"/>
              <w:rPr>
                <w:bCs/>
                <w:sz w:val="22"/>
                <w:szCs w:val="22"/>
                <w:lang w:val="de-DE"/>
              </w:rPr>
            </w:pPr>
          </w:p>
        </w:tc>
        <w:tc>
          <w:tcPr>
            <w:tcW w:w="2268" w:type="dxa"/>
          </w:tcPr>
          <w:p w14:paraId="5FBAB1E3" w14:textId="77777777" w:rsidR="00FE291A" w:rsidRDefault="00FE291A">
            <w:pPr>
              <w:widowControl/>
              <w:tabs>
                <w:tab w:val="left" w:pos="3684"/>
                <w:tab w:val="left" w:pos="7961"/>
              </w:tabs>
              <w:suppressAutoHyphens/>
              <w:kinsoku w:val="0"/>
              <w:overflowPunct w:val="0"/>
              <w:jc w:val="center"/>
              <w:rPr>
                <w:bCs/>
                <w:sz w:val="22"/>
                <w:szCs w:val="22"/>
                <w:lang w:val="de-DE"/>
              </w:rPr>
            </w:pPr>
          </w:p>
        </w:tc>
      </w:tr>
      <w:tr w:rsidR="00FE291A" w14:paraId="776118DA" w14:textId="77777777">
        <w:trPr>
          <w:cantSplit/>
        </w:trPr>
        <w:tc>
          <w:tcPr>
            <w:tcW w:w="4810" w:type="dxa"/>
          </w:tcPr>
          <w:p w14:paraId="7FF00300" w14:textId="77777777" w:rsidR="00FE291A" w:rsidRDefault="00C8738F">
            <w:pPr>
              <w:pStyle w:val="BodyText"/>
              <w:widowControl/>
              <w:suppressAutoHyphens/>
              <w:ind w:left="0"/>
              <w:rPr>
                <w:lang w:val="de-DE"/>
              </w:rPr>
            </w:pPr>
            <w:r>
              <w:rPr>
                <w:lang w:val="de-DE" w:eastAsia="en-US"/>
              </w:rPr>
              <w:t>Anhaltendes Ansprechen</w:t>
            </w:r>
          </w:p>
        </w:tc>
        <w:tc>
          <w:tcPr>
            <w:tcW w:w="1843" w:type="dxa"/>
          </w:tcPr>
          <w:p w14:paraId="35B019C0" w14:textId="77777777" w:rsidR="00FE291A" w:rsidRDefault="00C8738F">
            <w:pPr>
              <w:pStyle w:val="BodyText"/>
              <w:widowControl/>
              <w:suppressAutoHyphens/>
              <w:ind w:left="0"/>
              <w:jc w:val="center"/>
              <w:rPr>
                <w:lang w:val="de-DE"/>
              </w:rPr>
            </w:pPr>
            <w:r>
              <w:rPr>
                <w:lang w:val="de-DE"/>
              </w:rPr>
              <w:t>12 %</w:t>
            </w:r>
          </w:p>
        </w:tc>
        <w:tc>
          <w:tcPr>
            <w:tcW w:w="2268" w:type="dxa"/>
          </w:tcPr>
          <w:p w14:paraId="3FD8B33E" w14:textId="77777777" w:rsidR="00FE291A" w:rsidRDefault="00C8738F">
            <w:pPr>
              <w:pStyle w:val="BodyText"/>
              <w:widowControl/>
              <w:suppressAutoHyphens/>
              <w:ind w:left="0"/>
              <w:jc w:val="center"/>
              <w:rPr>
                <w:lang w:val="de-DE"/>
              </w:rPr>
            </w:pPr>
            <w:r>
              <w:rPr>
                <w:lang w:val="de-DE"/>
              </w:rPr>
              <w:t>24 %**</w:t>
            </w:r>
          </w:p>
        </w:tc>
      </w:tr>
      <w:tr w:rsidR="00FE291A" w14:paraId="0A51BE60" w14:textId="77777777">
        <w:trPr>
          <w:cantSplit/>
        </w:trPr>
        <w:tc>
          <w:tcPr>
            <w:tcW w:w="4810" w:type="dxa"/>
          </w:tcPr>
          <w:p w14:paraId="63036066" w14:textId="77777777" w:rsidR="00FE291A" w:rsidRDefault="00C8738F">
            <w:pPr>
              <w:pStyle w:val="BodyText"/>
              <w:widowControl/>
              <w:suppressAutoHyphens/>
              <w:ind w:left="0"/>
              <w:rPr>
                <w:lang w:val="de-DE"/>
              </w:rPr>
            </w:pPr>
            <w:r>
              <w:rPr>
                <w:lang w:val="de-DE" w:eastAsia="en-US"/>
              </w:rPr>
              <w:t>Anhaltende Remission</w:t>
            </w:r>
          </w:p>
        </w:tc>
        <w:tc>
          <w:tcPr>
            <w:tcW w:w="1843" w:type="dxa"/>
          </w:tcPr>
          <w:p w14:paraId="139616FA" w14:textId="77777777" w:rsidR="00FE291A" w:rsidRDefault="00C8738F">
            <w:pPr>
              <w:pStyle w:val="BodyText"/>
              <w:widowControl/>
              <w:suppressAutoHyphens/>
              <w:ind w:left="0"/>
              <w:jc w:val="center"/>
              <w:rPr>
                <w:lang w:val="de-DE"/>
              </w:rPr>
            </w:pPr>
            <w:r>
              <w:rPr>
                <w:lang w:val="de-DE"/>
              </w:rPr>
              <w:t>4 %</w:t>
            </w:r>
          </w:p>
        </w:tc>
        <w:tc>
          <w:tcPr>
            <w:tcW w:w="2268" w:type="dxa"/>
          </w:tcPr>
          <w:p w14:paraId="7FFC3A33" w14:textId="77777777" w:rsidR="00FE291A" w:rsidRDefault="00C8738F">
            <w:pPr>
              <w:pStyle w:val="BodyText"/>
              <w:widowControl/>
              <w:suppressAutoHyphens/>
              <w:ind w:left="0"/>
              <w:jc w:val="center"/>
              <w:rPr>
                <w:lang w:val="de-DE"/>
              </w:rPr>
            </w:pPr>
            <w:r>
              <w:rPr>
                <w:lang w:val="de-DE"/>
              </w:rPr>
              <w:t>8 %*</w:t>
            </w:r>
          </w:p>
        </w:tc>
      </w:tr>
      <w:tr w:rsidR="00FE291A" w14:paraId="51D1DA35" w14:textId="77777777">
        <w:trPr>
          <w:cantSplit/>
        </w:trPr>
        <w:tc>
          <w:tcPr>
            <w:tcW w:w="4810" w:type="dxa"/>
          </w:tcPr>
          <w:p w14:paraId="7D01287C" w14:textId="77777777" w:rsidR="00FE291A" w:rsidRDefault="00C8738F">
            <w:pPr>
              <w:pStyle w:val="BodyText"/>
              <w:keepNext/>
              <w:widowControl/>
              <w:suppressAutoHyphens/>
              <w:ind w:left="0"/>
              <w:rPr>
                <w:lang w:val="de-DE"/>
              </w:rPr>
            </w:pPr>
            <w:r>
              <w:rPr>
                <w:lang w:val="de-DE" w:eastAsia="en-US"/>
              </w:rPr>
              <w:t>Anhaltende Mukosaheilung</w:t>
            </w:r>
          </w:p>
        </w:tc>
        <w:tc>
          <w:tcPr>
            <w:tcW w:w="1843" w:type="dxa"/>
          </w:tcPr>
          <w:p w14:paraId="307B256B" w14:textId="77777777" w:rsidR="00FE291A" w:rsidRDefault="00C8738F">
            <w:pPr>
              <w:pStyle w:val="BodyText"/>
              <w:widowControl/>
              <w:suppressAutoHyphens/>
              <w:ind w:left="0"/>
              <w:jc w:val="center"/>
              <w:rPr>
                <w:lang w:val="de-DE"/>
              </w:rPr>
            </w:pPr>
            <w:r>
              <w:rPr>
                <w:lang w:val="de-DE"/>
              </w:rPr>
              <w:t>11 %</w:t>
            </w:r>
          </w:p>
        </w:tc>
        <w:tc>
          <w:tcPr>
            <w:tcW w:w="2268" w:type="dxa"/>
          </w:tcPr>
          <w:p w14:paraId="7F5743D2" w14:textId="77777777" w:rsidR="00FE291A" w:rsidRDefault="00C8738F">
            <w:pPr>
              <w:pStyle w:val="BodyText"/>
              <w:widowControl/>
              <w:suppressAutoHyphens/>
              <w:ind w:left="0"/>
              <w:jc w:val="center"/>
              <w:rPr>
                <w:lang w:val="de-DE"/>
              </w:rPr>
            </w:pPr>
            <w:r>
              <w:rPr>
                <w:lang w:val="de-DE"/>
              </w:rPr>
              <w:t>19 %*</w:t>
            </w:r>
          </w:p>
        </w:tc>
      </w:tr>
    </w:tbl>
    <w:p w14:paraId="7AACF419" w14:textId="77777777" w:rsidR="00FE291A" w:rsidRDefault="00C8738F">
      <w:pPr>
        <w:keepNext/>
        <w:widowControl/>
        <w:rPr>
          <w:sz w:val="20"/>
          <w:szCs w:val="20"/>
          <w:lang w:val="de-DE"/>
        </w:rPr>
      </w:pPr>
      <w:r>
        <w:rPr>
          <w:sz w:val="20"/>
          <w:szCs w:val="20"/>
          <w:lang w:val="de-DE"/>
        </w:rPr>
        <w:t xml:space="preserve">Klinische Remission bedeutet </w:t>
      </w:r>
      <w:r>
        <w:rPr>
          <w:i/>
          <w:iCs/>
          <w:sz w:val="20"/>
          <w:szCs w:val="20"/>
          <w:lang w:val="de-DE"/>
        </w:rPr>
        <w:t>Mayo-Score</w:t>
      </w:r>
      <w:r>
        <w:rPr>
          <w:sz w:val="20"/>
          <w:szCs w:val="20"/>
          <w:lang w:val="de-DE"/>
        </w:rPr>
        <w:t xml:space="preserve"> </w:t>
      </w:r>
      <w:r>
        <w:rPr>
          <w:rFonts w:eastAsia="TimesNewRomanPSMT"/>
          <w:sz w:val="20"/>
          <w:szCs w:val="20"/>
          <w:lang w:val="de-DE"/>
        </w:rPr>
        <w:t xml:space="preserve">≤ </w:t>
      </w:r>
      <w:r>
        <w:rPr>
          <w:sz w:val="20"/>
          <w:szCs w:val="20"/>
          <w:lang w:val="de-DE"/>
        </w:rPr>
        <w:t xml:space="preserve">2 mit keinem </w:t>
      </w:r>
      <w:r>
        <w:rPr>
          <w:i/>
          <w:iCs/>
          <w:sz w:val="20"/>
          <w:szCs w:val="20"/>
          <w:lang w:val="de-DE"/>
        </w:rPr>
        <w:t>Subscore</w:t>
      </w:r>
      <w:r>
        <w:rPr>
          <w:sz w:val="20"/>
          <w:szCs w:val="20"/>
          <w:lang w:val="de-DE"/>
        </w:rPr>
        <w:t xml:space="preserve"> &gt; 1;</w:t>
      </w:r>
    </w:p>
    <w:p w14:paraId="581D62E9" w14:textId="77777777" w:rsidR="00FE291A" w:rsidRDefault="00C8738F">
      <w:pPr>
        <w:keepNext/>
        <w:widowControl/>
        <w:rPr>
          <w:sz w:val="20"/>
          <w:szCs w:val="20"/>
          <w:lang w:val="de-DE"/>
        </w:rPr>
      </w:pPr>
      <w:r>
        <w:rPr>
          <w:sz w:val="20"/>
          <w:szCs w:val="20"/>
          <w:lang w:val="de-DE"/>
        </w:rPr>
        <w:t xml:space="preserve">Klinisches Ansprechen bedeutet eine Abnahme im </w:t>
      </w:r>
      <w:r>
        <w:rPr>
          <w:i/>
          <w:iCs/>
          <w:sz w:val="20"/>
          <w:szCs w:val="20"/>
          <w:lang w:val="de-DE"/>
        </w:rPr>
        <w:t>Mayo-Score</w:t>
      </w:r>
      <w:r>
        <w:rPr>
          <w:sz w:val="20"/>
          <w:szCs w:val="20"/>
          <w:lang w:val="de-DE"/>
        </w:rPr>
        <w:t xml:space="preserve"> gegenüber Studienbeginn um </w:t>
      </w:r>
      <w:r>
        <w:rPr>
          <w:rFonts w:eastAsia="TimesNewRomanPSMT"/>
          <w:sz w:val="20"/>
          <w:szCs w:val="20"/>
          <w:lang w:val="de-DE"/>
        </w:rPr>
        <w:t>≥ </w:t>
      </w:r>
      <w:r>
        <w:rPr>
          <w:sz w:val="20"/>
          <w:szCs w:val="20"/>
          <w:lang w:val="de-DE"/>
        </w:rPr>
        <w:t xml:space="preserve">3 </w:t>
      </w:r>
      <w:r>
        <w:rPr>
          <w:rFonts w:eastAsia="TimesNewRomanPSMT"/>
          <w:sz w:val="20"/>
          <w:szCs w:val="20"/>
          <w:lang w:val="de-DE"/>
        </w:rPr>
        <w:t>Punkte und ≥ </w:t>
      </w:r>
      <w:r>
        <w:rPr>
          <w:sz w:val="20"/>
          <w:szCs w:val="20"/>
          <w:lang w:val="de-DE"/>
        </w:rPr>
        <w:t>30 % plus eine Abnahme im rektalen Blutungs-</w:t>
      </w:r>
      <w:r>
        <w:rPr>
          <w:rFonts w:eastAsia="TimesNewRomanPSMT"/>
          <w:i/>
          <w:iCs/>
          <w:sz w:val="20"/>
          <w:szCs w:val="20"/>
          <w:lang w:val="de-DE"/>
        </w:rPr>
        <w:t>Subscore</w:t>
      </w:r>
      <w:r>
        <w:rPr>
          <w:rFonts w:eastAsia="TimesNewRomanPSMT"/>
          <w:sz w:val="20"/>
          <w:szCs w:val="20"/>
          <w:lang w:val="de-DE"/>
        </w:rPr>
        <w:t xml:space="preserve"> [RBS] ≥ </w:t>
      </w:r>
      <w:r>
        <w:rPr>
          <w:sz w:val="20"/>
          <w:szCs w:val="20"/>
          <w:lang w:val="de-DE"/>
        </w:rPr>
        <w:t>1 oder einen absoluten RBS von 0 oder 1;</w:t>
      </w:r>
    </w:p>
    <w:p w14:paraId="7A6859FC" w14:textId="77777777" w:rsidR="00FE291A" w:rsidRDefault="00C8738F">
      <w:pPr>
        <w:keepNext/>
        <w:widowControl/>
        <w:rPr>
          <w:sz w:val="20"/>
          <w:szCs w:val="20"/>
          <w:lang w:val="de-DE"/>
        </w:rPr>
      </w:pPr>
      <w:r>
        <w:rPr>
          <w:sz w:val="20"/>
          <w:szCs w:val="20"/>
          <w:lang w:val="de-DE"/>
        </w:rPr>
        <w:t xml:space="preserve">* p &lt; 0,05 für Adalimumab </w:t>
      </w:r>
      <w:r>
        <w:rPr>
          <w:i/>
          <w:iCs/>
          <w:sz w:val="20"/>
          <w:szCs w:val="20"/>
          <w:lang w:val="de-DE"/>
        </w:rPr>
        <w:t xml:space="preserve">versus </w:t>
      </w:r>
      <w:r>
        <w:rPr>
          <w:sz w:val="20"/>
          <w:szCs w:val="20"/>
          <w:lang w:val="de-DE"/>
        </w:rPr>
        <w:t>Placebo paarweiser Vergleich der Anteile</w:t>
      </w:r>
    </w:p>
    <w:p w14:paraId="1051147B" w14:textId="77777777" w:rsidR="00FE291A" w:rsidRDefault="00C8738F">
      <w:pPr>
        <w:keepNext/>
        <w:widowControl/>
        <w:rPr>
          <w:sz w:val="20"/>
          <w:szCs w:val="20"/>
          <w:lang w:val="de-DE"/>
        </w:rPr>
      </w:pPr>
      <w:r>
        <w:rPr>
          <w:sz w:val="20"/>
          <w:szCs w:val="20"/>
          <w:lang w:val="de-DE"/>
        </w:rPr>
        <w:t xml:space="preserve">** p &lt; 0,001 für Adalimumab </w:t>
      </w:r>
      <w:r>
        <w:rPr>
          <w:i/>
          <w:iCs/>
          <w:sz w:val="20"/>
          <w:szCs w:val="20"/>
          <w:lang w:val="de-DE"/>
        </w:rPr>
        <w:t xml:space="preserve">versus </w:t>
      </w:r>
      <w:r>
        <w:rPr>
          <w:sz w:val="20"/>
          <w:szCs w:val="20"/>
          <w:lang w:val="de-DE"/>
        </w:rPr>
        <w:t>Placebo paarweiser Vergleich der Anteile</w:t>
      </w:r>
    </w:p>
    <w:p w14:paraId="118B76F2" w14:textId="77777777" w:rsidR="00FE291A" w:rsidRDefault="00C8738F">
      <w:pPr>
        <w:keepNext/>
        <w:widowControl/>
        <w:kinsoku w:val="0"/>
        <w:overflowPunct w:val="0"/>
        <w:rPr>
          <w:sz w:val="20"/>
          <w:szCs w:val="20"/>
          <w:lang w:val="de-DE"/>
        </w:rPr>
      </w:pPr>
      <w:r>
        <w:rPr>
          <w:sz w:val="20"/>
          <w:szCs w:val="20"/>
          <w:vertAlign w:val="superscript"/>
          <w:lang w:val="de-DE"/>
        </w:rPr>
        <w:t>a</w:t>
      </w:r>
      <w:r>
        <w:rPr>
          <w:sz w:val="20"/>
          <w:szCs w:val="20"/>
          <w:lang w:val="de-DE"/>
        </w:rPr>
        <w:t xml:space="preserve"> Verabreichung</w:t>
      </w:r>
      <w:r>
        <w:rPr>
          <w:sz w:val="22"/>
          <w:szCs w:val="22"/>
          <w:lang w:val="de-DE"/>
        </w:rPr>
        <w:t xml:space="preserve"> </w:t>
      </w:r>
      <w:r>
        <w:rPr>
          <w:sz w:val="20"/>
          <w:szCs w:val="20"/>
          <w:lang w:val="de-DE"/>
        </w:rPr>
        <w:t>von Kortikosteroiden zu Studienbeginn</w:t>
      </w:r>
    </w:p>
    <w:p w14:paraId="2E5EE799" w14:textId="77777777" w:rsidR="00FE291A" w:rsidRDefault="00FE291A">
      <w:pPr>
        <w:pStyle w:val="BodyText"/>
        <w:widowControl/>
        <w:kinsoku w:val="0"/>
        <w:overflowPunct w:val="0"/>
        <w:ind w:left="0"/>
        <w:rPr>
          <w:lang w:val="de-DE"/>
        </w:rPr>
      </w:pPr>
    </w:p>
    <w:p w14:paraId="09E7AF94" w14:textId="77777777" w:rsidR="00FE291A" w:rsidRDefault="00C8738F">
      <w:pPr>
        <w:pStyle w:val="BodyText"/>
        <w:widowControl/>
        <w:kinsoku w:val="0"/>
        <w:overflowPunct w:val="0"/>
        <w:ind w:left="0"/>
        <w:rPr>
          <w:lang w:val="de-DE"/>
        </w:rPr>
      </w:pPr>
      <w:r>
        <w:rPr>
          <w:lang w:val="de-DE"/>
        </w:rPr>
        <w:t>Von den Patienten mit einem Ansprechen in Woche 8 sprachen in Woche 52 47 % an, waren 29 % in Remission, hatten 41 % eine Mukosaheilung und waren 20 % in steroidfreier Remission für ≥ 90 Tage.</w:t>
      </w:r>
    </w:p>
    <w:p w14:paraId="18476FD3" w14:textId="77777777" w:rsidR="00FE291A" w:rsidRDefault="00FE291A">
      <w:pPr>
        <w:pStyle w:val="BodyText"/>
        <w:widowControl/>
        <w:kinsoku w:val="0"/>
        <w:overflowPunct w:val="0"/>
        <w:ind w:left="0"/>
        <w:rPr>
          <w:lang w:val="de-DE"/>
        </w:rPr>
      </w:pPr>
    </w:p>
    <w:p w14:paraId="0799A7D4" w14:textId="77777777" w:rsidR="00FE291A" w:rsidRDefault="00C8738F">
      <w:pPr>
        <w:pStyle w:val="BodyText"/>
        <w:widowControl/>
        <w:kinsoku w:val="0"/>
        <w:overflowPunct w:val="0"/>
        <w:ind w:left="0"/>
        <w:rPr>
          <w:lang w:val="de-DE"/>
        </w:rPr>
      </w:pPr>
      <w:r>
        <w:rPr>
          <w:lang w:val="de-DE"/>
        </w:rPr>
        <w:t>Bei annähernd 40 % Patienten der UC-II-Studie hatte zuvor die Anti-TNF-Behandlung mit Infliximab versagt. Die Wirksamkeit von Adalimumab war bei diesen Patienten im Vergleich zu Patienten, die Anti-TNF naiv waren, verringert. Unter den Patienten, bei denen zuvor eine Anti-TNF-Behandlung versagt hatte, wurde bei 3 % der Patienten, die Placebo erhalten hatten, und bei 10 % der Patienten, die Adalimumab erhalten hatten, in Woche 52 eine Remission erreicht.</w:t>
      </w:r>
    </w:p>
    <w:p w14:paraId="2CC83002" w14:textId="77777777" w:rsidR="00FE291A" w:rsidRDefault="00FE291A">
      <w:pPr>
        <w:widowControl/>
        <w:kinsoku w:val="0"/>
        <w:overflowPunct w:val="0"/>
        <w:rPr>
          <w:sz w:val="22"/>
          <w:szCs w:val="22"/>
          <w:lang w:val="de-DE"/>
        </w:rPr>
      </w:pPr>
    </w:p>
    <w:p w14:paraId="16E674DA" w14:textId="77777777" w:rsidR="00FE291A" w:rsidRDefault="00C8738F">
      <w:pPr>
        <w:pStyle w:val="BodyText"/>
        <w:widowControl/>
        <w:kinsoku w:val="0"/>
        <w:overflowPunct w:val="0"/>
        <w:ind w:left="0"/>
        <w:rPr>
          <w:lang w:val="de-DE"/>
        </w:rPr>
      </w:pPr>
      <w:r>
        <w:rPr>
          <w:lang w:val="de-DE"/>
        </w:rPr>
        <w:t xml:space="preserve">Patienten aus den UC-I- und UC-II-Studien hatten die Möglichkeit, an einer offenen Langzeit- Fortsetzungsstudie (UC-III) teilzunehmen. Nach Behandlung mit Adalimumab über 3 Jahre waren 75 % (301/402) nach </w:t>
      </w:r>
      <w:r>
        <w:rPr>
          <w:i/>
          <w:iCs/>
          <w:lang w:val="de-DE"/>
        </w:rPr>
        <w:t>Partial-Mayo-Score</w:t>
      </w:r>
      <w:r>
        <w:rPr>
          <w:lang w:val="de-DE"/>
        </w:rPr>
        <w:t xml:space="preserve"> weiterhin in klinischer Remission.</w:t>
      </w:r>
    </w:p>
    <w:p w14:paraId="221D848C" w14:textId="77777777" w:rsidR="00FE291A" w:rsidRDefault="00FE291A">
      <w:pPr>
        <w:widowControl/>
        <w:kinsoku w:val="0"/>
        <w:overflowPunct w:val="0"/>
        <w:rPr>
          <w:sz w:val="22"/>
          <w:szCs w:val="22"/>
          <w:lang w:val="de-DE"/>
        </w:rPr>
      </w:pPr>
    </w:p>
    <w:p w14:paraId="6172AEEC" w14:textId="77777777" w:rsidR="00FE291A" w:rsidRDefault="00C8738F">
      <w:pPr>
        <w:keepNext/>
        <w:widowControl/>
        <w:kinsoku w:val="0"/>
        <w:overflowPunct w:val="0"/>
        <w:rPr>
          <w:sz w:val="22"/>
          <w:szCs w:val="22"/>
          <w:lang w:val="de-DE"/>
        </w:rPr>
      </w:pPr>
      <w:r>
        <w:rPr>
          <w:i/>
          <w:iCs/>
          <w:sz w:val="22"/>
          <w:szCs w:val="22"/>
          <w:u w:val="single"/>
          <w:lang w:val="de-DE"/>
        </w:rPr>
        <w:t>Hospitalisierungsraten</w:t>
      </w:r>
    </w:p>
    <w:p w14:paraId="07AD7931" w14:textId="77777777" w:rsidR="00FE291A" w:rsidRDefault="00FE291A">
      <w:pPr>
        <w:keepNext/>
        <w:widowControl/>
        <w:kinsoku w:val="0"/>
        <w:overflowPunct w:val="0"/>
        <w:rPr>
          <w:sz w:val="22"/>
          <w:szCs w:val="22"/>
          <w:lang w:val="de-DE"/>
        </w:rPr>
      </w:pPr>
    </w:p>
    <w:p w14:paraId="250EFE08" w14:textId="77777777" w:rsidR="00FE291A" w:rsidRDefault="00C8738F">
      <w:pPr>
        <w:pStyle w:val="BodyText"/>
        <w:widowControl/>
        <w:kinsoku w:val="0"/>
        <w:overflowPunct w:val="0"/>
        <w:ind w:left="0"/>
        <w:rPr>
          <w:lang w:val="de-DE"/>
        </w:rPr>
      </w:pPr>
      <w:r>
        <w:rPr>
          <w:lang w:val="de-DE"/>
        </w:rPr>
        <w:t>Innerhalb der 52 Wochen der Studien UC-I und UC-II wurden für den Adalimumab-Behandlungsarm im Vergleich zum Placeboarm niedrigere Raten bezüglich allgemeiner sowie Colitis-ulcerosa-bedingter Krankenhausaufenthalte beobachtet. Die Zahl an allgemeinen Hospitalisierungen betrug in der Adalimumab-Behandlungsgruppe 0,18 pro Patientenjahr gegenüber 0,26 pro Patientenjahr in der Placebogruppe, und die entsprechenden Zahlen für Colitis-ulcerosa-verursachte Hospitalisierungen waren 0,12 pro Patientenjahr gegenüber 0,22 pro Patientenjahr.</w:t>
      </w:r>
    </w:p>
    <w:p w14:paraId="4B343958" w14:textId="77777777" w:rsidR="00FE291A" w:rsidRDefault="00FE291A">
      <w:pPr>
        <w:widowControl/>
        <w:kinsoku w:val="0"/>
        <w:overflowPunct w:val="0"/>
        <w:rPr>
          <w:sz w:val="22"/>
          <w:szCs w:val="22"/>
          <w:lang w:val="de-DE"/>
        </w:rPr>
      </w:pPr>
    </w:p>
    <w:p w14:paraId="2D88C6E7" w14:textId="77777777" w:rsidR="00FE291A" w:rsidRDefault="00C8738F">
      <w:pPr>
        <w:keepNext/>
        <w:widowControl/>
        <w:kinsoku w:val="0"/>
        <w:overflowPunct w:val="0"/>
        <w:rPr>
          <w:sz w:val="22"/>
          <w:szCs w:val="22"/>
          <w:lang w:val="de-DE"/>
        </w:rPr>
      </w:pPr>
      <w:r>
        <w:rPr>
          <w:i/>
          <w:iCs/>
          <w:sz w:val="22"/>
          <w:szCs w:val="22"/>
          <w:u w:val="single"/>
          <w:lang w:val="de-DE"/>
        </w:rPr>
        <w:t>Lebensqualität</w:t>
      </w:r>
    </w:p>
    <w:p w14:paraId="73434EE7" w14:textId="77777777" w:rsidR="00FE291A" w:rsidRDefault="00FE291A">
      <w:pPr>
        <w:keepNext/>
        <w:widowControl/>
        <w:kinsoku w:val="0"/>
        <w:overflowPunct w:val="0"/>
        <w:rPr>
          <w:sz w:val="22"/>
          <w:szCs w:val="22"/>
          <w:lang w:val="de-DE"/>
        </w:rPr>
      </w:pPr>
    </w:p>
    <w:p w14:paraId="7836DC97" w14:textId="77777777" w:rsidR="00FE291A" w:rsidRDefault="00C8738F">
      <w:pPr>
        <w:pStyle w:val="BodyText"/>
        <w:widowControl/>
        <w:kinsoku w:val="0"/>
        <w:overflowPunct w:val="0"/>
        <w:ind w:left="0"/>
        <w:rPr>
          <w:lang w:val="de-DE"/>
        </w:rPr>
      </w:pPr>
      <w:r>
        <w:rPr>
          <w:lang w:val="de-DE"/>
        </w:rPr>
        <w:t xml:space="preserve">In der Studie UC-II resultierte die Behandlung mit Adalimumab in einer Verbesserung des </w:t>
      </w:r>
      <w:r>
        <w:rPr>
          <w:i/>
          <w:iCs/>
          <w:lang w:val="de-DE"/>
        </w:rPr>
        <w:t xml:space="preserve">Inflammatory-Bowel-Disease-Questionnaire </w:t>
      </w:r>
      <w:r>
        <w:rPr>
          <w:lang w:val="de-DE"/>
        </w:rPr>
        <w:t>(IBDQ)-</w:t>
      </w:r>
      <w:r>
        <w:rPr>
          <w:i/>
          <w:iCs/>
          <w:lang w:val="de-DE"/>
        </w:rPr>
        <w:t>Score</w:t>
      </w:r>
      <w:r>
        <w:rPr>
          <w:lang w:val="de-DE"/>
        </w:rPr>
        <w:t xml:space="preserve">. </w:t>
      </w:r>
    </w:p>
    <w:p w14:paraId="6BB9839D" w14:textId="77777777" w:rsidR="00FE291A" w:rsidRDefault="00FE291A">
      <w:pPr>
        <w:widowControl/>
        <w:kinsoku w:val="0"/>
        <w:overflowPunct w:val="0"/>
        <w:rPr>
          <w:i/>
          <w:iCs/>
          <w:sz w:val="22"/>
          <w:szCs w:val="22"/>
          <w:lang w:val="de-DE"/>
        </w:rPr>
      </w:pPr>
    </w:p>
    <w:p w14:paraId="46FB1A7E" w14:textId="77777777" w:rsidR="00FE291A" w:rsidRDefault="00C8738F">
      <w:pPr>
        <w:widowControl/>
        <w:kinsoku w:val="0"/>
        <w:overflowPunct w:val="0"/>
        <w:rPr>
          <w:sz w:val="22"/>
          <w:szCs w:val="22"/>
          <w:lang w:val="de-DE"/>
        </w:rPr>
      </w:pPr>
      <w:r>
        <w:rPr>
          <w:i/>
          <w:iCs/>
          <w:sz w:val="22"/>
          <w:szCs w:val="22"/>
          <w:lang w:val="de-DE"/>
        </w:rPr>
        <w:t>Uveitis</w:t>
      </w:r>
    </w:p>
    <w:p w14:paraId="2A342260" w14:textId="77777777" w:rsidR="00FE291A" w:rsidRDefault="00FE291A">
      <w:pPr>
        <w:pStyle w:val="BodyText"/>
        <w:widowControl/>
        <w:kinsoku w:val="0"/>
        <w:overflowPunct w:val="0"/>
        <w:ind w:left="0"/>
        <w:rPr>
          <w:lang w:val="de-DE"/>
        </w:rPr>
      </w:pPr>
    </w:p>
    <w:p w14:paraId="2D17851B" w14:textId="77777777" w:rsidR="00FE291A" w:rsidRDefault="00C8738F">
      <w:pPr>
        <w:pStyle w:val="BodyText"/>
        <w:widowControl/>
        <w:kinsoku w:val="0"/>
        <w:overflowPunct w:val="0"/>
        <w:ind w:left="0"/>
        <w:rPr>
          <w:lang w:val="de-DE"/>
        </w:rPr>
      </w:pPr>
      <w:r>
        <w:rPr>
          <w:lang w:val="de-DE"/>
        </w:rPr>
        <w:t>Die Sicherheit und Wirksamkeit von Adalimumab wurden in zwei randomisierten, doppelmaskierten, placebokontrollierten Studien (UV I und II) bei erwachsenen Patienten mit nicht infektiöser Uveitis intermedia, Uveitis posterior und Panuveitis beurteilt, ausgenommen Patienten mit isolierter Uveitis anterior. Die Patienten erhielten Placebo oder eine Induktionsdosis von 80 mg Adalimumab, gefolgt von 40 mg alle zwei Wochen, beginnend eine Woche nach der Induktionsdosis. Eine Begleitmedikation in gleichbleibender Dosierung mit einem nicht biologischen Immunsuppressivum war erlaubt.</w:t>
      </w:r>
    </w:p>
    <w:p w14:paraId="7A5A3A8A" w14:textId="77777777" w:rsidR="00FE291A" w:rsidRDefault="00FE291A">
      <w:pPr>
        <w:widowControl/>
        <w:kinsoku w:val="0"/>
        <w:overflowPunct w:val="0"/>
        <w:rPr>
          <w:sz w:val="22"/>
          <w:szCs w:val="22"/>
          <w:lang w:val="de-DE"/>
        </w:rPr>
      </w:pPr>
    </w:p>
    <w:p w14:paraId="7284C940" w14:textId="77777777" w:rsidR="00FE291A" w:rsidRDefault="00C8738F">
      <w:pPr>
        <w:pStyle w:val="BodyText"/>
        <w:widowControl/>
        <w:kinsoku w:val="0"/>
        <w:overflowPunct w:val="0"/>
        <w:ind w:left="0"/>
        <w:rPr>
          <w:lang w:val="de-DE"/>
        </w:rPr>
      </w:pPr>
      <w:r>
        <w:rPr>
          <w:lang w:val="de-DE"/>
        </w:rPr>
        <w:t>In der Studie UV I wurden 217 Patienten untersucht, die trotz Behandlung mit Kortikosteroiden (Prednison oral in einer Dosierung von 10 bis 60 mg/Tag) eine aktive Uveitis aufwiesen. Alle Patienten erhielten bei Eintritt in die Studie 2 Wochen lang eine standardisierte Prednison-Dosis von 60 mg/Tag. Darauf folgte eine verpflichtende Steroidausschleichung, sodass die Kortikosteroide bis Woche 15 vollständig abgesetzt waren.</w:t>
      </w:r>
    </w:p>
    <w:p w14:paraId="6B2985AC" w14:textId="77777777" w:rsidR="00FE291A" w:rsidRDefault="00FE291A">
      <w:pPr>
        <w:widowControl/>
        <w:kinsoku w:val="0"/>
        <w:overflowPunct w:val="0"/>
        <w:rPr>
          <w:sz w:val="22"/>
          <w:szCs w:val="22"/>
          <w:lang w:val="de-DE"/>
        </w:rPr>
      </w:pPr>
    </w:p>
    <w:p w14:paraId="32FA0734" w14:textId="77777777" w:rsidR="00FE291A" w:rsidRDefault="00C8738F">
      <w:pPr>
        <w:pStyle w:val="BodyText"/>
        <w:widowControl/>
        <w:kinsoku w:val="0"/>
        <w:overflowPunct w:val="0"/>
        <w:ind w:left="0"/>
        <w:rPr>
          <w:lang w:val="de-DE"/>
        </w:rPr>
      </w:pPr>
      <w:r>
        <w:rPr>
          <w:lang w:val="de-DE"/>
        </w:rPr>
        <w:t xml:space="preserve">In der Studie UV II wurden 226 Patienten mit inaktiver Uveitis untersucht, die bei </w:t>
      </w:r>
      <w:r>
        <w:rPr>
          <w:i/>
          <w:iCs/>
          <w:lang w:val="de-DE"/>
        </w:rPr>
        <w:t>Baseline</w:t>
      </w:r>
      <w:r>
        <w:rPr>
          <w:lang w:val="de-DE"/>
        </w:rPr>
        <w:t xml:space="preserve"> zur Kontrolle ihrer Erkrankung dauerhaft mit Kortikosteroiden behandelt werden mussten (Prednison oral 10 bis 35 mg/Tag). Danach folgte eine verpflichtende Steroidausschleichung, sodass die Kortikosteroide bis Woche 19 vollständig abgesetzt waren.</w:t>
      </w:r>
    </w:p>
    <w:p w14:paraId="3CF32923" w14:textId="77777777" w:rsidR="00FE291A" w:rsidRDefault="00FE291A">
      <w:pPr>
        <w:widowControl/>
        <w:kinsoku w:val="0"/>
        <w:overflowPunct w:val="0"/>
        <w:rPr>
          <w:sz w:val="22"/>
          <w:szCs w:val="22"/>
          <w:lang w:val="de-DE"/>
        </w:rPr>
      </w:pPr>
    </w:p>
    <w:p w14:paraId="577DF5FC" w14:textId="77777777" w:rsidR="00FE291A" w:rsidRDefault="00C8738F">
      <w:pPr>
        <w:pStyle w:val="BodyText"/>
        <w:widowControl/>
        <w:kinsoku w:val="0"/>
        <w:overflowPunct w:val="0"/>
        <w:ind w:left="0"/>
        <w:rPr>
          <w:lang w:val="de-DE"/>
        </w:rPr>
      </w:pPr>
      <w:r>
        <w:rPr>
          <w:lang w:val="de-DE"/>
        </w:rPr>
        <w:t>Der primäre Wirksamkeitsendpunkt beider Studien war die „Dauer bis zum Behandlungsversagen“. Das Behandlungsversagen wurde definiert durch eine Verschlechterung in einer der vier Komponenten: entzündliche Läsionen der Ader- und Netzhaut und/oder entzündliche Gefäßläsionen der Netzhaut, Grad der Vorderkammerzellen, Grad der Glaskörpertrübung und bestkorrigierter Visus (</w:t>
      </w:r>
      <w:r>
        <w:rPr>
          <w:i/>
          <w:lang w:val="de-DE"/>
        </w:rPr>
        <w:t>best corrected visual acuity</w:t>
      </w:r>
      <w:r>
        <w:rPr>
          <w:lang w:val="de-DE"/>
        </w:rPr>
        <w:t>, BCVA).</w:t>
      </w:r>
    </w:p>
    <w:p w14:paraId="1652AF53" w14:textId="77777777" w:rsidR="00FE291A" w:rsidRDefault="00FE291A">
      <w:pPr>
        <w:pStyle w:val="BodyText"/>
        <w:widowControl/>
        <w:kinsoku w:val="0"/>
        <w:overflowPunct w:val="0"/>
        <w:ind w:left="0"/>
        <w:rPr>
          <w:lang w:val="de-DE"/>
        </w:rPr>
      </w:pPr>
    </w:p>
    <w:p w14:paraId="7D1CB068" w14:textId="77777777" w:rsidR="00FE291A" w:rsidRDefault="00C8738F">
      <w:pPr>
        <w:pStyle w:val="BodyText"/>
        <w:widowControl/>
        <w:kinsoku w:val="0"/>
        <w:overflowPunct w:val="0"/>
        <w:ind w:left="0"/>
        <w:rPr>
          <w:lang w:val="de-DE"/>
        </w:rPr>
      </w:pPr>
      <w:r>
        <w:rPr>
          <w:lang w:val="de-DE"/>
        </w:rPr>
        <w:t>Die Patienten, die die Studien UV I und UV II abgeschlossen hatten, konnten in eine unkontrollierte Langzeit-Fortsetzungsstudie mit einer ursprünglich geplanten Dauer von 78 Wochen eingeschlossen werden. Die Patienten durften die Studienmedikation über die Woche 78 hinaus fortsetzen, bis sie Zugang zu Adalimumab hatten.</w:t>
      </w:r>
    </w:p>
    <w:p w14:paraId="50A87AE5" w14:textId="77777777" w:rsidR="00FE291A" w:rsidRDefault="00FE291A">
      <w:pPr>
        <w:widowControl/>
        <w:kinsoku w:val="0"/>
        <w:overflowPunct w:val="0"/>
        <w:rPr>
          <w:sz w:val="22"/>
          <w:szCs w:val="22"/>
          <w:lang w:val="de-DE"/>
        </w:rPr>
      </w:pPr>
    </w:p>
    <w:p w14:paraId="6A7F796E" w14:textId="77777777" w:rsidR="00FE291A" w:rsidRDefault="00C8738F">
      <w:pPr>
        <w:keepNext/>
        <w:widowControl/>
        <w:kinsoku w:val="0"/>
        <w:overflowPunct w:val="0"/>
        <w:rPr>
          <w:sz w:val="22"/>
          <w:szCs w:val="22"/>
          <w:lang w:val="de-DE"/>
        </w:rPr>
      </w:pPr>
      <w:r>
        <w:rPr>
          <w:i/>
          <w:iCs/>
          <w:sz w:val="22"/>
          <w:szCs w:val="22"/>
          <w:u w:val="single"/>
          <w:lang w:val="de-DE"/>
        </w:rPr>
        <w:t>Klinisches Ansprechen</w:t>
      </w:r>
    </w:p>
    <w:p w14:paraId="376273C9" w14:textId="77777777" w:rsidR="00FE291A" w:rsidRDefault="00FE291A">
      <w:pPr>
        <w:widowControl/>
        <w:kinsoku w:val="0"/>
        <w:overflowPunct w:val="0"/>
        <w:rPr>
          <w:sz w:val="22"/>
          <w:szCs w:val="22"/>
          <w:lang w:val="de-DE"/>
        </w:rPr>
      </w:pPr>
    </w:p>
    <w:p w14:paraId="5700C567" w14:textId="77777777" w:rsidR="00FE291A" w:rsidRDefault="00C8738F">
      <w:pPr>
        <w:pStyle w:val="BodyText"/>
        <w:widowControl/>
        <w:kinsoku w:val="0"/>
        <w:overflowPunct w:val="0"/>
        <w:ind w:left="0"/>
        <w:rPr>
          <w:lang w:val="de-DE"/>
        </w:rPr>
      </w:pPr>
      <w:r>
        <w:rPr>
          <w:lang w:val="de-DE"/>
        </w:rPr>
        <w:t>Die Ergebnisse aus beiden Studien zeigten eine statistisch signifikante Reduktion des Risikos eines Behandlungsversagens bei Patienten unter Behandlung mit Adalimumab gegenüber Patienten, die Placebo erhielten (siehe Tabelle 24). Beide Studien zeigten im Vergleich zu Placebo eine frühzeitig einsetzende und anhaltende Auswirkung von Adalimumab auf die Rate an Behandlungsversagen (siehe Abbildung 2).</w:t>
      </w:r>
    </w:p>
    <w:p w14:paraId="53A1E306" w14:textId="77777777" w:rsidR="00FE291A" w:rsidRDefault="00FE291A">
      <w:pPr>
        <w:widowControl/>
        <w:kinsoku w:val="0"/>
        <w:overflowPunct w:val="0"/>
        <w:rPr>
          <w:sz w:val="22"/>
          <w:szCs w:val="26"/>
          <w:lang w:val="de-DE"/>
        </w:rPr>
      </w:pPr>
    </w:p>
    <w:p w14:paraId="048F3885" w14:textId="77777777" w:rsidR="00FE291A" w:rsidRDefault="00C8738F">
      <w:pPr>
        <w:pStyle w:val="Heading1"/>
        <w:keepNext/>
        <w:keepLines/>
        <w:widowControl/>
        <w:kinsoku w:val="0"/>
        <w:overflowPunct w:val="0"/>
        <w:ind w:left="0"/>
        <w:rPr>
          <w:lang w:val="de-DE"/>
        </w:rPr>
      </w:pPr>
      <w:r>
        <w:rPr>
          <w:lang w:val="de-DE"/>
        </w:rPr>
        <w:t>Tabelle 24: Dauer bis zum Behandlungsversagen in den Studien UV I und UV II</w:t>
      </w:r>
    </w:p>
    <w:p w14:paraId="057809E8" w14:textId="77777777" w:rsidR="00FE291A" w:rsidRDefault="00FE291A">
      <w:pPr>
        <w:keepNext/>
        <w:keepLines/>
        <w:widowControl/>
        <w:kinsoku w:val="0"/>
        <w:overflowPunct w:val="0"/>
        <w:rPr>
          <w:sz w:val="26"/>
          <w:szCs w:val="26"/>
          <w:lang w:val="de-DE"/>
        </w:rPr>
      </w:pPr>
    </w:p>
    <w:tbl>
      <w:tblPr>
        <w:tblW w:w="9254" w:type="dxa"/>
        <w:tblLayout w:type="fixed"/>
        <w:tblCellMar>
          <w:top w:w="28" w:type="dxa"/>
          <w:bottom w:w="28" w:type="dxa"/>
        </w:tblCellMar>
        <w:tblLook w:val="04A0" w:firstRow="1" w:lastRow="0" w:firstColumn="1" w:lastColumn="0" w:noHBand="0" w:noVBand="1"/>
      </w:tblPr>
      <w:tblGrid>
        <w:gridCol w:w="2231"/>
        <w:gridCol w:w="806"/>
        <w:gridCol w:w="1250"/>
        <w:gridCol w:w="1809"/>
        <w:gridCol w:w="992"/>
        <w:gridCol w:w="992"/>
        <w:gridCol w:w="1174"/>
      </w:tblGrid>
      <w:tr w:rsidR="00FE291A" w14:paraId="39344B5F" w14:textId="77777777">
        <w:trPr>
          <w:cantSplit/>
          <w:tblHeader/>
        </w:trPr>
        <w:tc>
          <w:tcPr>
            <w:tcW w:w="2231" w:type="dxa"/>
            <w:tcBorders>
              <w:top w:val="single" w:sz="4" w:space="0" w:color="auto"/>
              <w:left w:val="single" w:sz="4" w:space="0" w:color="auto"/>
              <w:bottom w:val="single" w:sz="4" w:space="0" w:color="auto"/>
              <w:right w:val="single" w:sz="4" w:space="0" w:color="auto"/>
            </w:tcBorders>
          </w:tcPr>
          <w:p w14:paraId="6920B69C" w14:textId="77777777" w:rsidR="00FE291A" w:rsidRDefault="00C8738F">
            <w:pPr>
              <w:keepNext/>
              <w:widowControl/>
              <w:suppressAutoHyphens/>
              <w:kinsoku w:val="0"/>
              <w:overflowPunct w:val="0"/>
              <w:rPr>
                <w:b/>
                <w:bCs/>
                <w:sz w:val="22"/>
                <w:szCs w:val="22"/>
                <w:lang w:val="de-DE" w:eastAsia="en-US"/>
              </w:rPr>
            </w:pPr>
            <w:r>
              <w:rPr>
                <w:b/>
                <w:bCs/>
                <w:sz w:val="22"/>
                <w:szCs w:val="22"/>
                <w:lang w:val="de-DE" w:eastAsia="en-US"/>
              </w:rPr>
              <w:t>Auswertung</w:t>
            </w:r>
          </w:p>
          <w:p w14:paraId="270A7AC1" w14:textId="77777777" w:rsidR="00FE291A" w:rsidRDefault="00C8738F">
            <w:pPr>
              <w:keepNext/>
              <w:widowControl/>
              <w:suppressAutoHyphens/>
              <w:kinsoku w:val="0"/>
              <w:overflowPunct w:val="0"/>
              <w:rPr>
                <w:sz w:val="22"/>
                <w:szCs w:val="22"/>
                <w:lang w:val="de-DE"/>
              </w:rPr>
            </w:pPr>
            <w:r>
              <w:rPr>
                <w:b/>
                <w:bCs/>
                <w:sz w:val="22"/>
                <w:szCs w:val="22"/>
                <w:lang w:val="de-DE" w:eastAsia="en-US"/>
              </w:rPr>
              <w:t>Behandlung</w:t>
            </w:r>
          </w:p>
        </w:tc>
        <w:tc>
          <w:tcPr>
            <w:tcW w:w="806" w:type="dxa"/>
            <w:tcBorders>
              <w:top w:val="single" w:sz="4" w:space="0" w:color="auto"/>
              <w:left w:val="single" w:sz="4" w:space="0" w:color="auto"/>
              <w:bottom w:val="single" w:sz="4" w:space="0" w:color="auto"/>
              <w:right w:val="single" w:sz="4" w:space="0" w:color="auto"/>
            </w:tcBorders>
          </w:tcPr>
          <w:p w14:paraId="58141029" w14:textId="77777777" w:rsidR="00FE291A" w:rsidRDefault="00C8738F">
            <w:pPr>
              <w:keepNext/>
              <w:widowControl/>
              <w:suppressAutoHyphens/>
              <w:kinsoku w:val="0"/>
              <w:overflowPunct w:val="0"/>
              <w:jc w:val="center"/>
              <w:rPr>
                <w:sz w:val="22"/>
                <w:szCs w:val="22"/>
                <w:lang w:val="de-DE"/>
              </w:rPr>
            </w:pPr>
            <w:r>
              <w:rPr>
                <w:b/>
                <w:bCs/>
                <w:sz w:val="22"/>
                <w:szCs w:val="22"/>
                <w:lang w:val="de-DE" w:eastAsia="en-US"/>
              </w:rPr>
              <w:t>N</w:t>
            </w:r>
          </w:p>
        </w:tc>
        <w:tc>
          <w:tcPr>
            <w:tcW w:w="1250" w:type="dxa"/>
            <w:tcBorders>
              <w:top w:val="single" w:sz="4" w:space="0" w:color="auto"/>
              <w:left w:val="single" w:sz="4" w:space="0" w:color="auto"/>
              <w:bottom w:val="single" w:sz="4" w:space="0" w:color="auto"/>
              <w:right w:val="single" w:sz="4" w:space="0" w:color="auto"/>
            </w:tcBorders>
          </w:tcPr>
          <w:p w14:paraId="14BCCAC4" w14:textId="77777777" w:rsidR="00FE291A" w:rsidRDefault="00C8738F">
            <w:pPr>
              <w:keepNext/>
              <w:widowControl/>
              <w:suppressAutoHyphens/>
              <w:jc w:val="center"/>
              <w:rPr>
                <w:b/>
                <w:bCs/>
                <w:sz w:val="22"/>
                <w:szCs w:val="22"/>
                <w:lang w:val="de-DE" w:eastAsia="en-US"/>
              </w:rPr>
            </w:pPr>
            <w:r>
              <w:rPr>
                <w:b/>
                <w:bCs/>
                <w:sz w:val="22"/>
                <w:szCs w:val="22"/>
                <w:lang w:val="de-DE" w:eastAsia="en-US"/>
              </w:rPr>
              <w:t>Versagen</w:t>
            </w:r>
          </w:p>
          <w:p w14:paraId="29BB7AD3" w14:textId="77777777" w:rsidR="00FE291A" w:rsidRDefault="00C8738F">
            <w:pPr>
              <w:keepNext/>
              <w:widowControl/>
              <w:suppressAutoHyphens/>
              <w:kinsoku w:val="0"/>
              <w:overflowPunct w:val="0"/>
              <w:jc w:val="center"/>
              <w:rPr>
                <w:sz w:val="22"/>
                <w:szCs w:val="22"/>
                <w:lang w:val="de-DE"/>
              </w:rPr>
            </w:pPr>
            <w:r>
              <w:rPr>
                <w:b/>
                <w:bCs/>
                <w:sz w:val="22"/>
                <w:szCs w:val="22"/>
                <w:lang w:val="de-DE" w:eastAsia="en-US"/>
              </w:rPr>
              <w:t>N (%)</w:t>
            </w:r>
          </w:p>
        </w:tc>
        <w:tc>
          <w:tcPr>
            <w:tcW w:w="1809" w:type="dxa"/>
            <w:tcBorders>
              <w:top w:val="single" w:sz="4" w:space="0" w:color="auto"/>
              <w:left w:val="single" w:sz="4" w:space="0" w:color="auto"/>
              <w:bottom w:val="single" w:sz="4" w:space="0" w:color="auto"/>
              <w:right w:val="single" w:sz="4" w:space="0" w:color="auto"/>
            </w:tcBorders>
          </w:tcPr>
          <w:p w14:paraId="1863BE48" w14:textId="77777777" w:rsidR="00FE291A" w:rsidRDefault="00C8738F">
            <w:pPr>
              <w:keepNext/>
              <w:widowControl/>
              <w:suppressAutoHyphens/>
              <w:jc w:val="center"/>
              <w:rPr>
                <w:b/>
                <w:bCs/>
                <w:sz w:val="22"/>
                <w:szCs w:val="22"/>
                <w:lang w:val="de-DE" w:eastAsia="en-US"/>
              </w:rPr>
            </w:pPr>
            <w:r>
              <w:rPr>
                <w:b/>
                <w:bCs/>
                <w:sz w:val="22"/>
                <w:szCs w:val="22"/>
                <w:lang w:val="de-DE" w:eastAsia="en-US"/>
              </w:rPr>
              <w:t>Dauer (Median)</w:t>
            </w:r>
          </w:p>
          <w:p w14:paraId="45878A86" w14:textId="77777777" w:rsidR="00FE291A" w:rsidRDefault="00C8738F">
            <w:pPr>
              <w:keepNext/>
              <w:widowControl/>
              <w:suppressAutoHyphens/>
              <w:kinsoku w:val="0"/>
              <w:overflowPunct w:val="0"/>
              <w:jc w:val="center"/>
              <w:rPr>
                <w:b/>
                <w:bCs/>
                <w:sz w:val="22"/>
                <w:szCs w:val="22"/>
                <w:lang w:val="de-DE" w:eastAsia="en-US"/>
              </w:rPr>
            </w:pPr>
            <w:r>
              <w:rPr>
                <w:b/>
                <w:bCs/>
                <w:sz w:val="22"/>
                <w:szCs w:val="22"/>
                <w:lang w:val="de-DE" w:eastAsia="en-US"/>
              </w:rPr>
              <w:t>bis zum Versagen (Monate)</w:t>
            </w:r>
          </w:p>
          <w:p w14:paraId="7BDA239F" w14:textId="77777777" w:rsidR="00FE291A" w:rsidRDefault="00FE291A">
            <w:pPr>
              <w:keepNext/>
              <w:widowControl/>
              <w:suppressAutoHyphens/>
              <w:kinsoku w:val="0"/>
              <w:overflowPunct w:val="0"/>
              <w:jc w:val="center"/>
              <w:rPr>
                <w:sz w:val="22"/>
                <w:szCs w:val="22"/>
                <w:lang w:val="de-DE"/>
              </w:rPr>
            </w:pPr>
          </w:p>
        </w:tc>
        <w:tc>
          <w:tcPr>
            <w:tcW w:w="992" w:type="dxa"/>
            <w:tcBorders>
              <w:top w:val="single" w:sz="4" w:space="0" w:color="auto"/>
              <w:left w:val="single" w:sz="4" w:space="0" w:color="auto"/>
              <w:bottom w:val="single" w:sz="4" w:space="0" w:color="auto"/>
              <w:right w:val="single" w:sz="4" w:space="0" w:color="auto"/>
            </w:tcBorders>
          </w:tcPr>
          <w:p w14:paraId="7A958F02" w14:textId="77777777" w:rsidR="00FE291A" w:rsidRDefault="00C8738F">
            <w:pPr>
              <w:keepNext/>
              <w:widowControl/>
              <w:suppressAutoHyphens/>
              <w:kinsoku w:val="0"/>
              <w:overflowPunct w:val="0"/>
              <w:jc w:val="center"/>
              <w:rPr>
                <w:sz w:val="22"/>
                <w:szCs w:val="22"/>
                <w:lang w:val="de-DE"/>
              </w:rPr>
            </w:pPr>
            <w:r>
              <w:rPr>
                <w:b/>
                <w:bCs/>
                <w:sz w:val="22"/>
                <w:szCs w:val="22"/>
                <w:lang w:val="de-DE" w:eastAsia="en-US"/>
              </w:rPr>
              <w:t>HR</w:t>
            </w:r>
            <w:r>
              <w:rPr>
                <w:b/>
                <w:bCs/>
                <w:sz w:val="22"/>
                <w:szCs w:val="22"/>
                <w:vertAlign w:val="superscript"/>
                <w:lang w:val="de-DE" w:eastAsia="en-US"/>
              </w:rPr>
              <w:t>a</w:t>
            </w:r>
          </w:p>
        </w:tc>
        <w:tc>
          <w:tcPr>
            <w:tcW w:w="992" w:type="dxa"/>
            <w:tcBorders>
              <w:top w:val="single" w:sz="4" w:space="0" w:color="auto"/>
              <w:left w:val="single" w:sz="4" w:space="0" w:color="auto"/>
              <w:bottom w:val="single" w:sz="4" w:space="0" w:color="auto"/>
              <w:right w:val="single" w:sz="4" w:space="0" w:color="auto"/>
            </w:tcBorders>
          </w:tcPr>
          <w:p w14:paraId="569C307E" w14:textId="77777777" w:rsidR="00FE291A" w:rsidRDefault="00C8738F">
            <w:pPr>
              <w:keepNext/>
              <w:widowControl/>
              <w:suppressAutoHyphens/>
              <w:rPr>
                <w:b/>
                <w:bCs/>
                <w:sz w:val="22"/>
                <w:szCs w:val="22"/>
                <w:lang w:val="de-DE" w:eastAsia="en-US"/>
              </w:rPr>
            </w:pPr>
            <w:r>
              <w:rPr>
                <w:b/>
                <w:bCs/>
                <w:sz w:val="22"/>
                <w:szCs w:val="22"/>
                <w:lang w:val="de-DE" w:eastAsia="en-US"/>
              </w:rPr>
              <w:t>95 % KI</w:t>
            </w:r>
          </w:p>
          <w:p w14:paraId="40FD39D9" w14:textId="77777777" w:rsidR="00FE291A" w:rsidRDefault="00C8738F">
            <w:pPr>
              <w:keepNext/>
              <w:widowControl/>
              <w:suppressAutoHyphens/>
              <w:kinsoku w:val="0"/>
              <w:overflowPunct w:val="0"/>
              <w:jc w:val="center"/>
              <w:rPr>
                <w:sz w:val="22"/>
                <w:szCs w:val="22"/>
                <w:lang w:val="de-DE"/>
              </w:rPr>
            </w:pPr>
            <w:r>
              <w:rPr>
                <w:b/>
                <w:bCs/>
                <w:sz w:val="22"/>
                <w:szCs w:val="22"/>
                <w:lang w:val="de-DE" w:eastAsia="en-US"/>
              </w:rPr>
              <w:t>für HR</w:t>
            </w:r>
            <w:r>
              <w:rPr>
                <w:b/>
                <w:bCs/>
                <w:sz w:val="22"/>
                <w:szCs w:val="22"/>
                <w:vertAlign w:val="superscript"/>
                <w:lang w:val="de-DE" w:eastAsia="en-US"/>
              </w:rPr>
              <w:t>a</w:t>
            </w:r>
          </w:p>
        </w:tc>
        <w:tc>
          <w:tcPr>
            <w:tcW w:w="1174" w:type="dxa"/>
            <w:tcBorders>
              <w:top w:val="single" w:sz="4" w:space="0" w:color="auto"/>
              <w:left w:val="single" w:sz="4" w:space="0" w:color="auto"/>
              <w:bottom w:val="single" w:sz="4" w:space="0" w:color="auto"/>
              <w:right w:val="single" w:sz="4" w:space="0" w:color="auto"/>
            </w:tcBorders>
          </w:tcPr>
          <w:p w14:paraId="4DA11F22" w14:textId="77777777" w:rsidR="00FE291A" w:rsidRDefault="00C8738F">
            <w:pPr>
              <w:keepNext/>
              <w:widowControl/>
              <w:suppressAutoHyphens/>
              <w:kinsoku w:val="0"/>
              <w:overflowPunct w:val="0"/>
              <w:jc w:val="center"/>
              <w:rPr>
                <w:sz w:val="22"/>
                <w:szCs w:val="22"/>
                <w:lang w:val="de-DE"/>
              </w:rPr>
            </w:pPr>
            <w:r>
              <w:rPr>
                <w:b/>
                <w:bCs/>
                <w:i/>
                <w:sz w:val="22"/>
                <w:szCs w:val="22"/>
                <w:lang w:val="de-DE" w:eastAsia="en-US"/>
              </w:rPr>
              <w:t>p</w:t>
            </w:r>
            <w:r>
              <w:rPr>
                <w:b/>
                <w:bCs/>
                <w:sz w:val="22"/>
                <w:szCs w:val="22"/>
                <w:lang w:val="de-DE" w:eastAsia="en-US"/>
              </w:rPr>
              <w:t>-Wert</w:t>
            </w:r>
            <w:r>
              <w:rPr>
                <w:bCs/>
                <w:sz w:val="22"/>
                <w:szCs w:val="22"/>
                <w:vertAlign w:val="superscript"/>
                <w:lang w:val="de-DE" w:eastAsia="en-US"/>
              </w:rPr>
              <w:t>b</w:t>
            </w:r>
          </w:p>
        </w:tc>
      </w:tr>
      <w:tr w:rsidR="00FE291A" w:rsidRPr="00723069" w14:paraId="7110ECFB" w14:textId="77777777">
        <w:trPr>
          <w:cantSplit/>
        </w:trPr>
        <w:tc>
          <w:tcPr>
            <w:tcW w:w="9254" w:type="dxa"/>
            <w:gridSpan w:val="7"/>
            <w:tcBorders>
              <w:top w:val="single" w:sz="4" w:space="0" w:color="auto"/>
              <w:left w:val="single" w:sz="4" w:space="0" w:color="auto"/>
              <w:right w:val="single" w:sz="4" w:space="0" w:color="auto"/>
            </w:tcBorders>
          </w:tcPr>
          <w:p w14:paraId="263C4432" w14:textId="77777777" w:rsidR="00FE291A" w:rsidRDefault="00C8738F">
            <w:pPr>
              <w:keepNext/>
              <w:widowControl/>
              <w:suppressAutoHyphens/>
              <w:kinsoku w:val="0"/>
              <w:overflowPunct w:val="0"/>
              <w:rPr>
                <w:sz w:val="22"/>
                <w:szCs w:val="22"/>
                <w:lang w:val="de-DE"/>
              </w:rPr>
            </w:pPr>
            <w:r>
              <w:rPr>
                <w:b/>
                <w:bCs/>
                <w:sz w:val="22"/>
                <w:szCs w:val="22"/>
                <w:lang w:val="de-DE" w:eastAsia="en-US"/>
              </w:rPr>
              <w:t>Dauer bis zum Behandlungsversagen in oder nach Woche 6 in der Studie UV I</w:t>
            </w:r>
          </w:p>
        </w:tc>
      </w:tr>
      <w:tr w:rsidR="00FE291A" w14:paraId="55F377EC" w14:textId="77777777">
        <w:trPr>
          <w:cantSplit/>
        </w:trPr>
        <w:tc>
          <w:tcPr>
            <w:tcW w:w="9254" w:type="dxa"/>
            <w:gridSpan w:val="7"/>
            <w:tcBorders>
              <w:left w:val="single" w:sz="4" w:space="0" w:color="auto"/>
              <w:bottom w:val="single" w:sz="4" w:space="0" w:color="auto"/>
              <w:right w:val="single" w:sz="4" w:space="0" w:color="auto"/>
            </w:tcBorders>
          </w:tcPr>
          <w:p w14:paraId="31604994" w14:textId="77777777" w:rsidR="00FE291A" w:rsidRDefault="00C8738F">
            <w:pPr>
              <w:keepNext/>
              <w:widowControl/>
              <w:suppressAutoHyphens/>
              <w:kinsoku w:val="0"/>
              <w:overflowPunct w:val="0"/>
              <w:rPr>
                <w:sz w:val="22"/>
                <w:szCs w:val="22"/>
                <w:lang w:val="de-DE"/>
              </w:rPr>
            </w:pPr>
            <w:r>
              <w:rPr>
                <w:sz w:val="22"/>
                <w:szCs w:val="22"/>
                <w:lang w:val="de-DE" w:eastAsia="en-US"/>
              </w:rPr>
              <w:t>Primäre Auswertung (ITT)</w:t>
            </w:r>
          </w:p>
        </w:tc>
      </w:tr>
      <w:tr w:rsidR="00FE291A" w14:paraId="25FA7C9D" w14:textId="77777777">
        <w:trPr>
          <w:cantSplit/>
        </w:trPr>
        <w:tc>
          <w:tcPr>
            <w:tcW w:w="2231" w:type="dxa"/>
            <w:tcBorders>
              <w:top w:val="single" w:sz="4" w:space="0" w:color="auto"/>
              <w:left w:val="single" w:sz="4" w:space="0" w:color="auto"/>
              <w:bottom w:val="single" w:sz="4" w:space="0" w:color="auto"/>
              <w:right w:val="single" w:sz="4" w:space="0" w:color="auto"/>
            </w:tcBorders>
          </w:tcPr>
          <w:p w14:paraId="784C8BAC" w14:textId="77777777" w:rsidR="00FE291A" w:rsidRDefault="00C8738F">
            <w:pPr>
              <w:keepNext/>
              <w:widowControl/>
              <w:suppressAutoHyphens/>
              <w:kinsoku w:val="0"/>
              <w:overflowPunct w:val="0"/>
              <w:rPr>
                <w:sz w:val="22"/>
                <w:szCs w:val="22"/>
                <w:lang w:val="de-DE"/>
              </w:rPr>
            </w:pPr>
            <w:r>
              <w:rPr>
                <w:sz w:val="22"/>
                <w:szCs w:val="22"/>
                <w:lang w:val="de-DE" w:eastAsia="en-US"/>
              </w:rPr>
              <w:t>Placebo</w:t>
            </w:r>
          </w:p>
        </w:tc>
        <w:tc>
          <w:tcPr>
            <w:tcW w:w="806" w:type="dxa"/>
            <w:tcBorders>
              <w:top w:val="single" w:sz="4" w:space="0" w:color="auto"/>
              <w:left w:val="single" w:sz="4" w:space="0" w:color="auto"/>
              <w:bottom w:val="single" w:sz="4" w:space="0" w:color="auto"/>
              <w:right w:val="single" w:sz="4" w:space="0" w:color="auto"/>
            </w:tcBorders>
          </w:tcPr>
          <w:p w14:paraId="2B9737C0" w14:textId="77777777" w:rsidR="00FE291A" w:rsidRDefault="00C8738F">
            <w:pPr>
              <w:keepNext/>
              <w:widowControl/>
              <w:suppressAutoHyphens/>
              <w:kinsoku w:val="0"/>
              <w:overflowPunct w:val="0"/>
              <w:jc w:val="center"/>
              <w:rPr>
                <w:sz w:val="22"/>
                <w:szCs w:val="22"/>
                <w:lang w:val="de-DE"/>
              </w:rPr>
            </w:pPr>
            <w:r>
              <w:rPr>
                <w:sz w:val="22"/>
                <w:szCs w:val="22"/>
                <w:lang w:val="de-DE" w:eastAsia="en-US"/>
              </w:rPr>
              <w:t>107</w:t>
            </w:r>
          </w:p>
        </w:tc>
        <w:tc>
          <w:tcPr>
            <w:tcW w:w="1250" w:type="dxa"/>
            <w:tcBorders>
              <w:top w:val="single" w:sz="4" w:space="0" w:color="auto"/>
              <w:left w:val="single" w:sz="4" w:space="0" w:color="auto"/>
              <w:bottom w:val="single" w:sz="4" w:space="0" w:color="auto"/>
              <w:right w:val="single" w:sz="4" w:space="0" w:color="auto"/>
            </w:tcBorders>
          </w:tcPr>
          <w:p w14:paraId="63429ABD" w14:textId="77777777" w:rsidR="00FE291A" w:rsidRDefault="00C8738F">
            <w:pPr>
              <w:keepNext/>
              <w:widowControl/>
              <w:suppressAutoHyphens/>
              <w:kinsoku w:val="0"/>
              <w:overflowPunct w:val="0"/>
              <w:jc w:val="center"/>
              <w:rPr>
                <w:sz w:val="22"/>
                <w:szCs w:val="22"/>
                <w:lang w:val="de-DE"/>
              </w:rPr>
            </w:pPr>
            <w:r>
              <w:rPr>
                <w:sz w:val="22"/>
                <w:szCs w:val="22"/>
                <w:lang w:val="de-DE" w:eastAsia="en-US"/>
              </w:rPr>
              <w:t>84 (78,5)</w:t>
            </w:r>
          </w:p>
        </w:tc>
        <w:tc>
          <w:tcPr>
            <w:tcW w:w="1809" w:type="dxa"/>
            <w:tcBorders>
              <w:top w:val="single" w:sz="4" w:space="0" w:color="auto"/>
              <w:left w:val="single" w:sz="4" w:space="0" w:color="auto"/>
              <w:bottom w:val="single" w:sz="4" w:space="0" w:color="auto"/>
              <w:right w:val="single" w:sz="4" w:space="0" w:color="auto"/>
            </w:tcBorders>
          </w:tcPr>
          <w:p w14:paraId="0D372446" w14:textId="77777777" w:rsidR="00FE291A" w:rsidRDefault="00C8738F">
            <w:pPr>
              <w:keepNext/>
              <w:widowControl/>
              <w:suppressAutoHyphens/>
              <w:kinsoku w:val="0"/>
              <w:overflowPunct w:val="0"/>
              <w:rPr>
                <w:sz w:val="22"/>
                <w:szCs w:val="22"/>
                <w:lang w:val="de-DE"/>
              </w:rPr>
            </w:pPr>
            <w:r>
              <w:rPr>
                <w:sz w:val="22"/>
                <w:szCs w:val="22"/>
                <w:lang w:val="de-DE" w:eastAsia="en-US"/>
              </w:rPr>
              <w:t>3,0</w:t>
            </w:r>
          </w:p>
        </w:tc>
        <w:tc>
          <w:tcPr>
            <w:tcW w:w="992" w:type="dxa"/>
            <w:tcBorders>
              <w:top w:val="single" w:sz="4" w:space="0" w:color="auto"/>
              <w:left w:val="single" w:sz="4" w:space="0" w:color="auto"/>
              <w:bottom w:val="single" w:sz="4" w:space="0" w:color="auto"/>
              <w:right w:val="single" w:sz="4" w:space="0" w:color="auto"/>
            </w:tcBorders>
          </w:tcPr>
          <w:p w14:paraId="17773C37" w14:textId="77777777" w:rsidR="00FE291A" w:rsidRDefault="00C8738F">
            <w:pPr>
              <w:keepNext/>
              <w:widowControl/>
              <w:suppressAutoHyphens/>
              <w:kinsoku w:val="0"/>
              <w:overflowPunct w:val="0"/>
              <w:rPr>
                <w:sz w:val="22"/>
                <w:szCs w:val="22"/>
                <w:lang w:val="de-DE"/>
              </w:rPr>
            </w:pPr>
            <w:r>
              <w:rPr>
                <w:sz w:val="22"/>
                <w:szCs w:val="22"/>
                <w:lang w:val="de-DE" w:eastAsia="en-US"/>
              </w:rPr>
              <w:t>--</w:t>
            </w:r>
          </w:p>
        </w:tc>
        <w:tc>
          <w:tcPr>
            <w:tcW w:w="992" w:type="dxa"/>
            <w:tcBorders>
              <w:top w:val="single" w:sz="4" w:space="0" w:color="auto"/>
              <w:left w:val="single" w:sz="4" w:space="0" w:color="auto"/>
              <w:bottom w:val="single" w:sz="4" w:space="0" w:color="auto"/>
              <w:right w:val="single" w:sz="4" w:space="0" w:color="auto"/>
            </w:tcBorders>
          </w:tcPr>
          <w:p w14:paraId="544DD8F4" w14:textId="77777777" w:rsidR="00FE291A" w:rsidRDefault="00C8738F">
            <w:pPr>
              <w:keepNext/>
              <w:widowControl/>
              <w:suppressAutoHyphens/>
              <w:kinsoku w:val="0"/>
              <w:overflowPunct w:val="0"/>
              <w:rPr>
                <w:sz w:val="22"/>
                <w:szCs w:val="22"/>
                <w:lang w:val="de-DE"/>
              </w:rPr>
            </w:pPr>
            <w:r>
              <w:rPr>
                <w:sz w:val="22"/>
                <w:szCs w:val="22"/>
                <w:lang w:val="de-DE" w:eastAsia="en-US"/>
              </w:rPr>
              <w:t>--</w:t>
            </w:r>
          </w:p>
        </w:tc>
        <w:tc>
          <w:tcPr>
            <w:tcW w:w="1174" w:type="dxa"/>
            <w:tcBorders>
              <w:top w:val="single" w:sz="4" w:space="0" w:color="auto"/>
              <w:left w:val="single" w:sz="4" w:space="0" w:color="auto"/>
              <w:bottom w:val="single" w:sz="4" w:space="0" w:color="auto"/>
              <w:right w:val="single" w:sz="4" w:space="0" w:color="auto"/>
            </w:tcBorders>
          </w:tcPr>
          <w:p w14:paraId="4988F3B7" w14:textId="77777777" w:rsidR="00FE291A" w:rsidRDefault="00C8738F">
            <w:pPr>
              <w:keepNext/>
              <w:widowControl/>
              <w:suppressAutoHyphens/>
              <w:kinsoku w:val="0"/>
              <w:overflowPunct w:val="0"/>
              <w:rPr>
                <w:sz w:val="22"/>
                <w:szCs w:val="22"/>
                <w:lang w:val="de-DE"/>
              </w:rPr>
            </w:pPr>
            <w:r>
              <w:rPr>
                <w:sz w:val="22"/>
                <w:szCs w:val="22"/>
                <w:lang w:val="de-DE" w:eastAsia="en-US"/>
              </w:rPr>
              <w:t>--</w:t>
            </w:r>
          </w:p>
        </w:tc>
      </w:tr>
      <w:tr w:rsidR="00FE291A" w14:paraId="0E70A815" w14:textId="77777777">
        <w:trPr>
          <w:cantSplit/>
        </w:trPr>
        <w:tc>
          <w:tcPr>
            <w:tcW w:w="2231" w:type="dxa"/>
            <w:tcBorders>
              <w:top w:val="single" w:sz="4" w:space="0" w:color="auto"/>
              <w:left w:val="single" w:sz="4" w:space="0" w:color="auto"/>
              <w:bottom w:val="single" w:sz="4" w:space="0" w:color="auto"/>
              <w:right w:val="single" w:sz="4" w:space="0" w:color="auto"/>
            </w:tcBorders>
          </w:tcPr>
          <w:p w14:paraId="158B514E" w14:textId="77777777" w:rsidR="00FE291A" w:rsidRDefault="00C8738F">
            <w:pPr>
              <w:widowControl/>
              <w:suppressAutoHyphens/>
              <w:kinsoku w:val="0"/>
              <w:overflowPunct w:val="0"/>
              <w:rPr>
                <w:sz w:val="22"/>
                <w:szCs w:val="22"/>
                <w:lang w:val="de-DE"/>
              </w:rPr>
            </w:pPr>
            <w:r>
              <w:rPr>
                <w:sz w:val="22"/>
                <w:szCs w:val="22"/>
                <w:lang w:val="de-DE" w:eastAsia="en-US"/>
              </w:rPr>
              <w:t>Adalimumab</w:t>
            </w:r>
          </w:p>
        </w:tc>
        <w:tc>
          <w:tcPr>
            <w:tcW w:w="806" w:type="dxa"/>
            <w:tcBorders>
              <w:top w:val="single" w:sz="4" w:space="0" w:color="auto"/>
              <w:left w:val="single" w:sz="4" w:space="0" w:color="auto"/>
              <w:bottom w:val="single" w:sz="4" w:space="0" w:color="auto"/>
              <w:right w:val="single" w:sz="4" w:space="0" w:color="auto"/>
            </w:tcBorders>
          </w:tcPr>
          <w:p w14:paraId="1CBACEA4" w14:textId="77777777" w:rsidR="00FE291A" w:rsidRDefault="00C8738F">
            <w:pPr>
              <w:widowControl/>
              <w:suppressAutoHyphens/>
              <w:kinsoku w:val="0"/>
              <w:overflowPunct w:val="0"/>
              <w:jc w:val="center"/>
              <w:rPr>
                <w:sz w:val="22"/>
                <w:szCs w:val="22"/>
                <w:lang w:val="de-DE"/>
              </w:rPr>
            </w:pPr>
            <w:r>
              <w:rPr>
                <w:sz w:val="22"/>
                <w:szCs w:val="22"/>
                <w:lang w:val="de-DE" w:eastAsia="en-US"/>
              </w:rPr>
              <w:t>110</w:t>
            </w:r>
          </w:p>
        </w:tc>
        <w:tc>
          <w:tcPr>
            <w:tcW w:w="1250" w:type="dxa"/>
            <w:tcBorders>
              <w:top w:val="single" w:sz="4" w:space="0" w:color="auto"/>
              <w:left w:val="single" w:sz="4" w:space="0" w:color="auto"/>
              <w:bottom w:val="single" w:sz="4" w:space="0" w:color="auto"/>
              <w:right w:val="single" w:sz="4" w:space="0" w:color="auto"/>
            </w:tcBorders>
          </w:tcPr>
          <w:p w14:paraId="459630FC" w14:textId="77777777" w:rsidR="00FE291A" w:rsidRDefault="00C8738F">
            <w:pPr>
              <w:widowControl/>
              <w:suppressAutoHyphens/>
              <w:kinsoku w:val="0"/>
              <w:overflowPunct w:val="0"/>
              <w:jc w:val="center"/>
              <w:rPr>
                <w:sz w:val="22"/>
                <w:szCs w:val="22"/>
                <w:lang w:val="de-DE"/>
              </w:rPr>
            </w:pPr>
            <w:r>
              <w:rPr>
                <w:sz w:val="22"/>
                <w:szCs w:val="22"/>
                <w:lang w:val="de-DE" w:eastAsia="en-US"/>
              </w:rPr>
              <w:t>60 (54,5)</w:t>
            </w:r>
          </w:p>
        </w:tc>
        <w:tc>
          <w:tcPr>
            <w:tcW w:w="1809" w:type="dxa"/>
            <w:tcBorders>
              <w:top w:val="single" w:sz="4" w:space="0" w:color="auto"/>
              <w:left w:val="single" w:sz="4" w:space="0" w:color="auto"/>
              <w:bottom w:val="single" w:sz="4" w:space="0" w:color="auto"/>
              <w:right w:val="single" w:sz="4" w:space="0" w:color="auto"/>
            </w:tcBorders>
          </w:tcPr>
          <w:p w14:paraId="2DE2115C" w14:textId="77777777" w:rsidR="00FE291A" w:rsidRDefault="00C8738F">
            <w:pPr>
              <w:widowControl/>
              <w:suppressAutoHyphens/>
              <w:kinsoku w:val="0"/>
              <w:overflowPunct w:val="0"/>
              <w:rPr>
                <w:sz w:val="22"/>
                <w:szCs w:val="22"/>
                <w:lang w:val="de-DE"/>
              </w:rPr>
            </w:pPr>
            <w:r>
              <w:rPr>
                <w:sz w:val="22"/>
                <w:szCs w:val="22"/>
                <w:lang w:val="de-DE" w:eastAsia="en-US"/>
              </w:rPr>
              <w:t>5,6</w:t>
            </w:r>
          </w:p>
        </w:tc>
        <w:tc>
          <w:tcPr>
            <w:tcW w:w="992" w:type="dxa"/>
            <w:tcBorders>
              <w:top w:val="single" w:sz="4" w:space="0" w:color="auto"/>
              <w:left w:val="single" w:sz="4" w:space="0" w:color="auto"/>
              <w:bottom w:val="single" w:sz="4" w:space="0" w:color="auto"/>
              <w:right w:val="single" w:sz="4" w:space="0" w:color="auto"/>
            </w:tcBorders>
          </w:tcPr>
          <w:p w14:paraId="54C0B9C8" w14:textId="77777777" w:rsidR="00FE291A" w:rsidRDefault="00C8738F">
            <w:pPr>
              <w:widowControl/>
              <w:suppressAutoHyphens/>
              <w:kinsoku w:val="0"/>
              <w:overflowPunct w:val="0"/>
              <w:rPr>
                <w:sz w:val="22"/>
                <w:szCs w:val="22"/>
                <w:lang w:val="de-DE"/>
              </w:rPr>
            </w:pPr>
            <w:r>
              <w:rPr>
                <w:sz w:val="22"/>
                <w:szCs w:val="22"/>
                <w:lang w:val="de-DE" w:eastAsia="en-US"/>
              </w:rPr>
              <w:t>0,50</w:t>
            </w:r>
          </w:p>
        </w:tc>
        <w:tc>
          <w:tcPr>
            <w:tcW w:w="992" w:type="dxa"/>
            <w:tcBorders>
              <w:top w:val="single" w:sz="4" w:space="0" w:color="auto"/>
              <w:left w:val="single" w:sz="4" w:space="0" w:color="auto"/>
              <w:bottom w:val="single" w:sz="4" w:space="0" w:color="auto"/>
              <w:right w:val="single" w:sz="4" w:space="0" w:color="auto"/>
            </w:tcBorders>
          </w:tcPr>
          <w:p w14:paraId="00A412D0" w14:textId="77777777" w:rsidR="00FE291A" w:rsidRDefault="00C8738F">
            <w:pPr>
              <w:widowControl/>
              <w:suppressAutoHyphens/>
              <w:kinsoku w:val="0"/>
              <w:overflowPunct w:val="0"/>
              <w:rPr>
                <w:sz w:val="22"/>
                <w:szCs w:val="22"/>
                <w:lang w:val="de-DE"/>
              </w:rPr>
            </w:pPr>
            <w:r>
              <w:rPr>
                <w:sz w:val="22"/>
                <w:szCs w:val="22"/>
                <w:lang w:val="de-DE" w:eastAsia="en-US"/>
              </w:rPr>
              <w:t>0,36; 0,70</w:t>
            </w:r>
          </w:p>
        </w:tc>
        <w:tc>
          <w:tcPr>
            <w:tcW w:w="1174" w:type="dxa"/>
            <w:tcBorders>
              <w:top w:val="single" w:sz="4" w:space="0" w:color="auto"/>
              <w:left w:val="single" w:sz="4" w:space="0" w:color="auto"/>
              <w:bottom w:val="single" w:sz="4" w:space="0" w:color="auto"/>
              <w:right w:val="single" w:sz="4" w:space="0" w:color="auto"/>
            </w:tcBorders>
          </w:tcPr>
          <w:p w14:paraId="31727148" w14:textId="77777777" w:rsidR="00FE291A" w:rsidRDefault="00C8738F">
            <w:pPr>
              <w:widowControl/>
              <w:suppressAutoHyphens/>
              <w:kinsoku w:val="0"/>
              <w:overflowPunct w:val="0"/>
              <w:rPr>
                <w:sz w:val="22"/>
                <w:szCs w:val="22"/>
                <w:lang w:val="de-DE"/>
              </w:rPr>
            </w:pPr>
            <w:r>
              <w:rPr>
                <w:sz w:val="22"/>
                <w:szCs w:val="22"/>
                <w:lang w:val="de-DE" w:eastAsia="en-US"/>
              </w:rPr>
              <w:t>&lt; 0,001</w:t>
            </w:r>
          </w:p>
        </w:tc>
      </w:tr>
      <w:tr w:rsidR="00FE291A" w:rsidRPr="00723069" w14:paraId="273ACB40" w14:textId="77777777">
        <w:trPr>
          <w:cantSplit/>
        </w:trPr>
        <w:tc>
          <w:tcPr>
            <w:tcW w:w="9254" w:type="dxa"/>
            <w:gridSpan w:val="7"/>
            <w:tcBorders>
              <w:top w:val="single" w:sz="4" w:space="0" w:color="auto"/>
              <w:left w:val="single" w:sz="4" w:space="0" w:color="auto"/>
              <w:right w:val="single" w:sz="4" w:space="0" w:color="auto"/>
            </w:tcBorders>
          </w:tcPr>
          <w:p w14:paraId="12ECF334" w14:textId="77777777" w:rsidR="00FE291A" w:rsidRDefault="00C8738F">
            <w:pPr>
              <w:keepNext/>
              <w:widowControl/>
              <w:suppressAutoHyphens/>
              <w:kinsoku w:val="0"/>
              <w:overflowPunct w:val="0"/>
              <w:rPr>
                <w:sz w:val="22"/>
                <w:szCs w:val="22"/>
                <w:lang w:val="de-DE"/>
              </w:rPr>
            </w:pPr>
            <w:r>
              <w:rPr>
                <w:b/>
                <w:bCs/>
                <w:sz w:val="22"/>
                <w:szCs w:val="22"/>
                <w:lang w:val="de-DE" w:eastAsia="en-US"/>
              </w:rPr>
              <w:t>Dauer bis zum Behandlungsversagen in oder nach Woche 2 in der Studie UV II</w:t>
            </w:r>
          </w:p>
        </w:tc>
      </w:tr>
      <w:tr w:rsidR="00FE291A" w14:paraId="6E696218" w14:textId="77777777">
        <w:trPr>
          <w:cantSplit/>
        </w:trPr>
        <w:tc>
          <w:tcPr>
            <w:tcW w:w="9254" w:type="dxa"/>
            <w:gridSpan w:val="7"/>
            <w:tcBorders>
              <w:left w:val="single" w:sz="4" w:space="0" w:color="auto"/>
              <w:bottom w:val="single" w:sz="4" w:space="0" w:color="auto"/>
              <w:right w:val="single" w:sz="4" w:space="0" w:color="auto"/>
            </w:tcBorders>
          </w:tcPr>
          <w:p w14:paraId="15941EAC" w14:textId="77777777" w:rsidR="00FE291A" w:rsidRDefault="00C8738F">
            <w:pPr>
              <w:keepNext/>
              <w:widowControl/>
              <w:suppressAutoHyphens/>
              <w:kinsoku w:val="0"/>
              <w:overflowPunct w:val="0"/>
              <w:rPr>
                <w:sz w:val="22"/>
                <w:szCs w:val="22"/>
                <w:lang w:val="de-DE"/>
              </w:rPr>
            </w:pPr>
            <w:r>
              <w:rPr>
                <w:sz w:val="22"/>
                <w:szCs w:val="22"/>
                <w:lang w:val="de-DE" w:eastAsia="en-US"/>
              </w:rPr>
              <w:t>Primäre Auswertung (ITT)</w:t>
            </w:r>
          </w:p>
        </w:tc>
      </w:tr>
      <w:tr w:rsidR="00FE291A" w14:paraId="6A08F236" w14:textId="77777777">
        <w:trPr>
          <w:cantSplit/>
        </w:trPr>
        <w:tc>
          <w:tcPr>
            <w:tcW w:w="2231" w:type="dxa"/>
            <w:tcBorders>
              <w:top w:val="single" w:sz="4" w:space="0" w:color="auto"/>
              <w:left w:val="single" w:sz="4" w:space="0" w:color="auto"/>
              <w:bottom w:val="single" w:sz="4" w:space="0" w:color="auto"/>
              <w:right w:val="single" w:sz="4" w:space="0" w:color="auto"/>
            </w:tcBorders>
          </w:tcPr>
          <w:p w14:paraId="5BE51E5A" w14:textId="77777777" w:rsidR="00FE291A" w:rsidRDefault="00C8738F">
            <w:pPr>
              <w:keepNext/>
              <w:widowControl/>
              <w:suppressAutoHyphens/>
              <w:kinsoku w:val="0"/>
              <w:overflowPunct w:val="0"/>
              <w:rPr>
                <w:sz w:val="22"/>
                <w:szCs w:val="22"/>
                <w:lang w:val="de-DE"/>
              </w:rPr>
            </w:pPr>
            <w:r>
              <w:rPr>
                <w:sz w:val="22"/>
                <w:szCs w:val="22"/>
                <w:lang w:val="de-DE" w:eastAsia="en-US"/>
              </w:rPr>
              <w:t>Placebo</w:t>
            </w:r>
          </w:p>
        </w:tc>
        <w:tc>
          <w:tcPr>
            <w:tcW w:w="806" w:type="dxa"/>
            <w:tcBorders>
              <w:top w:val="single" w:sz="4" w:space="0" w:color="auto"/>
              <w:left w:val="single" w:sz="4" w:space="0" w:color="auto"/>
              <w:bottom w:val="single" w:sz="4" w:space="0" w:color="auto"/>
              <w:right w:val="single" w:sz="4" w:space="0" w:color="auto"/>
            </w:tcBorders>
          </w:tcPr>
          <w:p w14:paraId="7FCA4D04" w14:textId="77777777" w:rsidR="00FE291A" w:rsidRDefault="00C8738F">
            <w:pPr>
              <w:keepNext/>
              <w:widowControl/>
              <w:suppressAutoHyphens/>
              <w:kinsoku w:val="0"/>
              <w:overflowPunct w:val="0"/>
              <w:rPr>
                <w:sz w:val="22"/>
                <w:szCs w:val="22"/>
                <w:lang w:val="de-DE"/>
              </w:rPr>
            </w:pPr>
            <w:r>
              <w:rPr>
                <w:sz w:val="22"/>
                <w:szCs w:val="22"/>
                <w:lang w:val="de-DE" w:eastAsia="en-US"/>
              </w:rPr>
              <w:t>111</w:t>
            </w:r>
          </w:p>
        </w:tc>
        <w:tc>
          <w:tcPr>
            <w:tcW w:w="1250" w:type="dxa"/>
            <w:tcBorders>
              <w:top w:val="single" w:sz="4" w:space="0" w:color="auto"/>
              <w:left w:val="single" w:sz="4" w:space="0" w:color="auto"/>
              <w:bottom w:val="single" w:sz="4" w:space="0" w:color="auto"/>
              <w:right w:val="single" w:sz="4" w:space="0" w:color="auto"/>
            </w:tcBorders>
          </w:tcPr>
          <w:p w14:paraId="0EF988FE" w14:textId="77777777" w:rsidR="00FE291A" w:rsidRDefault="00C8738F">
            <w:pPr>
              <w:keepNext/>
              <w:widowControl/>
              <w:suppressAutoHyphens/>
              <w:kinsoku w:val="0"/>
              <w:overflowPunct w:val="0"/>
              <w:rPr>
                <w:sz w:val="22"/>
                <w:szCs w:val="22"/>
                <w:lang w:val="de-DE"/>
              </w:rPr>
            </w:pPr>
            <w:r>
              <w:rPr>
                <w:sz w:val="22"/>
                <w:szCs w:val="22"/>
                <w:lang w:val="de-DE" w:eastAsia="en-US"/>
              </w:rPr>
              <w:t>61 (55,0)</w:t>
            </w:r>
          </w:p>
        </w:tc>
        <w:tc>
          <w:tcPr>
            <w:tcW w:w="1809" w:type="dxa"/>
            <w:tcBorders>
              <w:top w:val="single" w:sz="4" w:space="0" w:color="auto"/>
              <w:left w:val="single" w:sz="4" w:space="0" w:color="auto"/>
              <w:bottom w:val="single" w:sz="4" w:space="0" w:color="auto"/>
              <w:right w:val="single" w:sz="4" w:space="0" w:color="auto"/>
            </w:tcBorders>
          </w:tcPr>
          <w:p w14:paraId="1609398A" w14:textId="77777777" w:rsidR="00FE291A" w:rsidRDefault="00C8738F">
            <w:pPr>
              <w:keepNext/>
              <w:widowControl/>
              <w:suppressAutoHyphens/>
              <w:kinsoku w:val="0"/>
              <w:overflowPunct w:val="0"/>
              <w:rPr>
                <w:sz w:val="22"/>
                <w:szCs w:val="22"/>
                <w:lang w:val="de-DE"/>
              </w:rPr>
            </w:pPr>
            <w:r>
              <w:rPr>
                <w:sz w:val="22"/>
                <w:szCs w:val="22"/>
                <w:lang w:val="de-DE" w:eastAsia="en-US"/>
              </w:rPr>
              <w:t>8,3</w:t>
            </w:r>
          </w:p>
        </w:tc>
        <w:tc>
          <w:tcPr>
            <w:tcW w:w="992" w:type="dxa"/>
            <w:tcBorders>
              <w:top w:val="single" w:sz="4" w:space="0" w:color="auto"/>
              <w:left w:val="single" w:sz="4" w:space="0" w:color="auto"/>
              <w:bottom w:val="single" w:sz="4" w:space="0" w:color="auto"/>
              <w:right w:val="single" w:sz="4" w:space="0" w:color="auto"/>
            </w:tcBorders>
          </w:tcPr>
          <w:p w14:paraId="7AF11E9F" w14:textId="77777777" w:rsidR="00FE291A" w:rsidRDefault="00C8738F">
            <w:pPr>
              <w:keepNext/>
              <w:widowControl/>
              <w:suppressAutoHyphens/>
              <w:kinsoku w:val="0"/>
              <w:overflowPunct w:val="0"/>
              <w:rPr>
                <w:sz w:val="22"/>
                <w:szCs w:val="22"/>
                <w:lang w:val="de-DE"/>
              </w:rPr>
            </w:pPr>
            <w:r>
              <w:rPr>
                <w:sz w:val="22"/>
                <w:szCs w:val="22"/>
                <w:lang w:val="de-DE" w:eastAsia="en-US"/>
              </w:rPr>
              <w:t>--</w:t>
            </w:r>
          </w:p>
        </w:tc>
        <w:tc>
          <w:tcPr>
            <w:tcW w:w="992" w:type="dxa"/>
            <w:tcBorders>
              <w:top w:val="single" w:sz="4" w:space="0" w:color="auto"/>
              <w:left w:val="single" w:sz="4" w:space="0" w:color="auto"/>
              <w:bottom w:val="single" w:sz="4" w:space="0" w:color="auto"/>
              <w:right w:val="single" w:sz="4" w:space="0" w:color="auto"/>
            </w:tcBorders>
          </w:tcPr>
          <w:p w14:paraId="0F30C282" w14:textId="77777777" w:rsidR="00FE291A" w:rsidRDefault="00C8738F">
            <w:pPr>
              <w:keepNext/>
              <w:widowControl/>
              <w:suppressAutoHyphens/>
              <w:kinsoku w:val="0"/>
              <w:overflowPunct w:val="0"/>
              <w:rPr>
                <w:sz w:val="22"/>
                <w:szCs w:val="22"/>
                <w:lang w:val="de-DE"/>
              </w:rPr>
            </w:pPr>
            <w:r>
              <w:rPr>
                <w:sz w:val="22"/>
                <w:szCs w:val="22"/>
                <w:lang w:val="de-DE" w:eastAsia="en-US"/>
              </w:rPr>
              <w:t>--</w:t>
            </w:r>
          </w:p>
        </w:tc>
        <w:tc>
          <w:tcPr>
            <w:tcW w:w="1174" w:type="dxa"/>
            <w:tcBorders>
              <w:top w:val="single" w:sz="4" w:space="0" w:color="auto"/>
              <w:left w:val="single" w:sz="4" w:space="0" w:color="auto"/>
              <w:bottom w:val="single" w:sz="4" w:space="0" w:color="auto"/>
              <w:right w:val="single" w:sz="4" w:space="0" w:color="auto"/>
            </w:tcBorders>
          </w:tcPr>
          <w:p w14:paraId="5CA2BBBC" w14:textId="77777777" w:rsidR="00FE291A" w:rsidRDefault="00C8738F">
            <w:pPr>
              <w:keepNext/>
              <w:widowControl/>
              <w:suppressAutoHyphens/>
              <w:kinsoku w:val="0"/>
              <w:overflowPunct w:val="0"/>
              <w:rPr>
                <w:sz w:val="22"/>
                <w:szCs w:val="22"/>
                <w:lang w:val="de-DE"/>
              </w:rPr>
            </w:pPr>
            <w:r>
              <w:rPr>
                <w:sz w:val="22"/>
                <w:szCs w:val="22"/>
                <w:lang w:val="de-DE" w:eastAsia="en-US"/>
              </w:rPr>
              <w:t>--</w:t>
            </w:r>
          </w:p>
        </w:tc>
      </w:tr>
      <w:tr w:rsidR="00FE291A" w14:paraId="03F6B261" w14:textId="77777777">
        <w:trPr>
          <w:cantSplit/>
        </w:trPr>
        <w:tc>
          <w:tcPr>
            <w:tcW w:w="2231" w:type="dxa"/>
            <w:tcBorders>
              <w:top w:val="single" w:sz="4" w:space="0" w:color="auto"/>
              <w:left w:val="single" w:sz="4" w:space="0" w:color="auto"/>
              <w:bottom w:val="single" w:sz="4" w:space="0" w:color="auto"/>
              <w:right w:val="single" w:sz="4" w:space="0" w:color="auto"/>
            </w:tcBorders>
          </w:tcPr>
          <w:p w14:paraId="7440F66D" w14:textId="77777777" w:rsidR="00FE291A" w:rsidRDefault="00C8738F">
            <w:pPr>
              <w:keepNext/>
              <w:widowControl/>
              <w:suppressAutoHyphens/>
              <w:kinsoku w:val="0"/>
              <w:overflowPunct w:val="0"/>
              <w:rPr>
                <w:sz w:val="22"/>
                <w:szCs w:val="22"/>
                <w:lang w:val="de-DE"/>
              </w:rPr>
            </w:pPr>
            <w:r>
              <w:rPr>
                <w:sz w:val="22"/>
                <w:szCs w:val="22"/>
                <w:lang w:val="de-DE" w:eastAsia="en-US"/>
              </w:rPr>
              <w:t>Adalimumab</w:t>
            </w:r>
          </w:p>
        </w:tc>
        <w:tc>
          <w:tcPr>
            <w:tcW w:w="806" w:type="dxa"/>
            <w:tcBorders>
              <w:top w:val="single" w:sz="4" w:space="0" w:color="auto"/>
              <w:left w:val="single" w:sz="4" w:space="0" w:color="auto"/>
              <w:bottom w:val="single" w:sz="4" w:space="0" w:color="auto"/>
              <w:right w:val="single" w:sz="4" w:space="0" w:color="auto"/>
            </w:tcBorders>
          </w:tcPr>
          <w:p w14:paraId="7B3ABA9D" w14:textId="77777777" w:rsidR="00FE291A" w:rsidRDefault="00C8738F">
            <w:pPr>
              <w:widowControl/>
              <w:suppressAutoHyphens/>
              <w:kinsoku w:val="0"/>
              <w:overflowPunct w:val="0"/>
              <w:rPr>
                <w:sz w:val="22"/>
                <w:szCs w:val="22"/>
                <w:lang w:val="de-DE"/>
              </w:rPr>
            </w:pPr>
            <w:r>
              <w:rPr>
                <w:sz w:val="22"/>
                <w:szCs w:val="22"/>
                <w:lang w:val="de-DE" w:eastAsia="en-US"/>
              </w:rPr>
              <w:t>115</w:t>
            </w:r>
          </w:p>
        </w:tc>
        <w:tc>
          <w:tcPr>
            <w:tcW w:w="1250" w:type="dxa"/>
            <w:tcBorders>
              <w:top w:val="single" w:sz="4" w:space="0" w:color="auto"/>
              <w:left w:val="single" w:sz="4" w:space="0" w:color="auto"/>
              <w:bottom w:val="single" w:sz="4" w:space="0" w:color="auto"/>
              <w:right w:val="single" w:sz="4" w:space="0" w:color="auto"/>
            </w:tcBorders>
          </w:tcPr>
          <w:p w14:paraId="17162587" w14:textId="77777777" w:rsidR="00FE291A" w:rsidRDefault="00C8738F">
            <w:pPr>
              <w:widowControl/>
              <w:suppressAutoHyphens/>
              <w:kinsoku w:val="0"/>
              <w:overflowPunct w:val="0"/>
              <w:rPr>
                <w:sz w:val="22"/>
                <w:szCs w:val="22"/>
                <w:lang w:val="de-DE"/>
              </w:rPr>
            </w:pPr>
            <w:r>
              <w:rPr>
                <w:sz w:val="22"/>
                <w:szCs w:val="22"/>
                <w:lang w:val="de-DE" w:eastAsia="en-US"/>
              </w:rPr>
              <w:t>45 (39,1)</w:t>
            </w:r>
          </w:p>
        </w:tc>
        <w:tc>
          <w:tcPr>
            <w:tcW w:w="1809" w:type="dxa"/>
            <w:tcBorders>
              <w:top w:val="single" w:sz="4" w:space="0" w:color="auto"/>
              <w:left w:val="single" w:sz="4" w:space="0" w:color="auto"/>
              <w:bottom w:val="single" w:sz="4" w:space="0" w:color="auto"/>
              <w:right w:val="single" w:sz="4" w:space="0" w:color="auto"/>
            </w:tcBorders>
          </w:tcPr>
          <w:p w14:paraId="47AA75B3" w14:textId="77777777" w:rsidR="00FE291A" w:rsidRDefault="00C8738F">
            <w:pPr>
              <w:widowControl/>
              <w:suppressAutoHyphens/>
              <w:kinsoku w:val="0"/>
              <w:overflowPunct w:val="0"/>
              <w:rPr>
                <w:sz w:val="22"/>
                <w:szCs w:val="22"/>
                <w:lang w:val="de-DE"/>
              </w:rPr>
            </w:pPr>
            <w:r>
              <w:rPr>
                <w:sz w:val="22"/>
                <w:szCs w:val="22"/>
                <w:lang w:val="de-DE" w:eastAsia="en-US"/>
              </w:rPr>
              <w:t>n. b.</w:t>
            </w:r>
            <w:r>
              <w:rPr>
                <w:sz w:val="22"/>
                <w:szCs w:val="22"/>
                <w:vertAlign w:val="superscript"/>
                <w:lang w:val="de-DE" w:eastAsia="en-US"/>
              </w:rPr>
              <w:t>c</w:t>
            </w:r>
          </w:p>
        </w:tc>
        <w:tc>
          <w:tcPr>
            <w:tcW w:w="992" w:type="dxa"/>
            <w:tcBorders>
              <w:top w:val="single" w:sz="4" w:space="0" w:color="auto"/>
              <w:left w:val="single" w:sz="4" w:space="0" w:color="auto"/>
              <w:bottom w:val="single" w:sz="4" w:space="0" w:color="auto"/>
              <w:right w:val="single" w:sz="4" w:space="0" w:color="auto"/>
            </w:tcBorders>
          </w:tcPr>
          <w:p w14:paraId="71721CB5" w14:textId="77777777" w:rsidR="00FE291A" w:rsidRDefault="00C8738F">
            <w:pPr>
              <w:widowControl/>
              <w:suppressAutoHyphens/>
              <w:kinsoku w:val="0"/>
              <w:overflowPunct w:val="0"/>
              <w:rPr>
                <w:sz w:val="22"/>
                <w:szCs w:val="22"/>
                <w:lang w:val="de-DE"/>
              </w:rPr>
            </w:pPr>
            <w:r>
              <w:rPr>
                <w:sz w:val="22"/>
                <w:szCs w:val="22"/>
                <w:lang w:val="de-DE" w:eastAsia="en-US"/>
              </w:rPr>
              <w:t>0,57</w:t>
            </w:r>
          </w:p>
        </w:tc>
        <w:tc>
          <w:tcPr>
            <w:tcW w:w="992" w:type="dxa"/>
            <w:tcBorders>
              <w:top w:val="single" w:sz="4" w:space="0" w:color="auto"/>
              <w:left w:val="single" w:sz="4" w:space="0" w:color="auto"/>
              <w:bottom w:val="single" w:sz="4" w:space="0" w:color="auto"/>
              <w:right w:val="single" w:sz="4" w:space="0" w:color="auto"/>
            </w:tcBorders>
          </w:tcPr>
          <w:p w14:paraId="41C42CF0" w14:textId="77777777" w:rsidR="00FE291A" w:rsidRDefault="00C8738F">
            <w:pPr>
              <w:widowControl/>
              <w:suppressAutoHyphens/>
              <w:kinsoku w:val="0"/>
              <w:overflowPunct w:val="0"/>
              <w:rPr>
                <w:sz w:val="22"/>
                <w:szCs w:val="22"/>
                <w:lang w:val="de-DE"/>
              </w:rPr>
            </w:pPr>
            <w:r>
              <w:rPr>
                <w:sz w:val="22"/>
                <w:szCs w:val="22"/>
                <w:lang w:val="de-DE" w:eastAsia="en-US"/>
              </w:rPr>
              <w:t>0,39; 0,84</w:t>
            </w:r>
          </w:p>
        </w:tc>
        <w:tc>
          <w:tcPr>
            <w:tcW w:w="1174" w:type="dxa"/>
            <w:tcBorders>
              <w:top w:val="single" w:sz="4" w:space="0" w:color="auto"/>
              <w:left w:val="single" w:sz="4" w:space="0" w:color="auto"/>
              <w:bottom w:val="single" w:sz="4" w:space="0" w:color="auto"/>
              <w:right w:val="single" w:sz="4" w:space="0" w:color="auto"/>
            </w:tcBorders>
          </w:tcPr>
          <w:p w14:paraId="1DFCBD4B" w14:textId="77777777" w:rsidR="00FE291A" w:rsidRDefault="00C8738F">
            <w:pPr>
              <w:widowControl/>
              <w:suppressAutoHyphens/>
              <w:kinsoku w:val="0"/>
              <w:overflowPunct w:val="0"/>
              <w:rPr>
                <w:sz w:val="22"/>
                <w:szCs w:val="22"/>
                <w:lang w:val="de-DE"/>
              </w:rPr>
            </w:pPr>
            <w:r>
              <w:rPr>
                <w:sz w:val="22"/>
                <w:szCs w:val="22"/>
                <w:lang w:val="de-DE" w:eastAsia="en-US"/>
              </w:rPr>
              <w:t>0,004</w:t>
            </w:r>
          </w:p>
        </w:tc>
      </w:tr>
    </w:tbl>
    <w:p w14:paraId="2A25D555" w14:textId="77777777" w:rsidR="00FE291A" w:rsidRDefault="00C8738F">
      <w:pPr>
        <w:keepNext/>
        <w:widowControl/>
        <w:rPr>
          <w:sz w:val="20"/>
          <w:szCs w:val="20"/>
          <w:lang w:val="de-DE"/>
        </w:rPr>
      </w:pPr>
      <w:r>
        <w:rPr>
          <w:sz w:val="20"/>
          <w:szCs w:val="20"/>
          <w:lang w:val="de-DE"/>
        </w:rPr>
        <w:t>Hinweis: Ein Behandlungsversagen in oder nach Woche 6 (Studie UV I) bzw. in oder nach Woche 2 (Studie UV II) wurde als Ereignis gewertet. Ein Ausscheiden aus anderen Gründen als Behandlungsversagen wurde zum Zeitpunkt des Ausscheidens zensiert.</w:t>
      </w:r>
    </w:p>
    <w:p w14:paraId="0875EA29" w14:textId="77777777" w:rsidR="00FE291A" w:rsidRDefault="00C8738F">
      <w:pPr>
        <w:keepNext/>
        <w:widowControl/>
        <w:rPr>
          <w:sz w:val="20"/>
          <w:szCs w:val="20"/>
          <w:lang w:val="de-DE"/>
        </w:rPr>
      </w:pPr>
      <w:r>
        <w:rPr>
          <w:sz w:val="20"/>
          <w:szCs w:val="20"/>
          <w:vertAlign w:val="superscript"/>
          <w:lang w:val="de-DE"/>
        </w:rPr>
        <w:t>a</w:t>
      </w:r>
      <w:r>
        <w:rPr>
          <w:sz w:val="20"/>
          <w:szCs w:val="20"/>
          <w:lang w:val="de-DE"/>
        </w:rPr>
        <w:t xml:space="preserve"> HR von Adalimumab gegenüber Placebo der Cox-Regressionsanalyse mit Behandlung als Faktor.</w:t>
      </w:r>
    </w:p>
    <w:p w14:paraId="2EA4D6ED" w14:textId="77777777" w:rsidR="00FE291A" w:rsidRDefault="00C8738F">
      <w:pPr>
        <w:keepNext/>
        <w:widowControl/>
        <w:rPr>
          <w:sz w:val="20"/>
          <w:szCs w:val="20"/>
          <w:lang w:val="de-DE"/>
        </w:rPr>
      </w:pPr>
      <w:r>
        <w:rPr>
          <w:sz w:val="20"/>
          <w:szCs w:val="20"/>
          <w:vertAlign w:val="superscript"/>
          <w:lang w:val="de-DE"/>
        </w:rPr>
        <w:t>b</w:t>
      </w:r>
      <w:r>
        <w:rPr>
          <w:sz w:val="20"/>
          <w:szCs w:val="20"/>
          <w:lang w:val="de-DE"/>
        </w:rPr>
        <w:t xml:space="preserve"> 2-seitiger </w:t>
      </w:r>
      <w:r>
        <w:rPr>
          <w:i/>
          <w:sz w:val="20"/>
          <w:szCs w:val="20"/>
          <w:lang w:val="de-DE"/>
        </w:rPr>
        <w:t>p</w:t>
      </w:r>
      <w:r>
        <w:rPr>
          <w:sz w:val="20"/>
          <w:szCs w:val="20"/>
          <w:lang w:val="de-DE"/>
        </w:rPr>
        <w:t xml:space="preserve">-Wert vom </w:t>
      </w:r>
      <w:r>
        <w:rPr>
          <w:i/>
          <w:iCs/>
          <w:sz w:val="20"/>
          <w:szCs w:val="20"/>
          <w:lang w:val="de-DE"/>
        </w:rPr>
        <w:t>Log-Rank-Test</w:t>
      </w:r>
      <w:r>
        <w:rPr>
          <w:sz w:val="20"/>
          <w:szCs w:val="20"/>
          <w:lang w:val="de-DE"/>
        </w:rPr>
        <w:t>.</w:t>
      </w:r>
    </w:p>
    <w:p w14:paraId="04D60623" w14:textId="77777777" w:rsidR="00FE291A" w:rsidRDefault="00C8738F">
      <w:pPr>
        <w:keepNext/>
        <w:widowControl/>
        <w:rPr>
          <w:sz w:val="20"/>
          <w:szCs w:val="20"/>
          <w:lang w:val="de-DE"/>
        </w:rPr>
      </w:pPr>
      <w:r>
        <w:rPr>
          <w:sz w:val="20"/>
          <w:szCs w:val="20"/>
          <w:vertAlign w:val="superscript"/>
          <w:lang w:val="de-DE"/>
        </w:rPr>
        <w:t>c</w:t>
      </w:r>
      <w:r>
        <w:rPr>
          <w:sz w:val="20"/>
          <w:szCs w:val="20"/>
          <w:lang w:val="de-DE"/>
        </w:rPr>
        <w:t xml:space="preserve"> n. b. = nicht bestimmbar. Bei weniger als der Hälfte der Risikopatienten kam es zu einem Ereignis.</w:t>
      </w:r>
    </w:p>
    <w:p w14:paraId="21B61D7F" w14:textId="77777777" w:rsidR="00FE291A" w:rsidRDefault="00FE291A">
      <w:pPr>
        <w:widowControl/>
        <w:kinsoku w:val="0"/>
        <w:overflowPunct w:val="0"/>
        <w:rPr>
          <w:sz w:val="22"/>
          <w:szCs w:val="26"/>
          <w:lang w:val="de-DE"/>
        </w:rPr>
      </w:pPr>
    </w:p>
    <w:p w14:paraId="62964E20" w14:textId="77777777" w:rsidR="00FE291A" w:rsidRDefault="00C8738F">
      <w:pPr>
        <w:widowControl/>
        <w:kinsoku w:val="0"/>
        <w:overflowPunct w:val="0"/>
        <w:rPr>
          <w:sz w:val="22"/>
          <w:szCs w:val="22"/>
          <w:lang w:val="de-DE"/>
        </w:rPr>
      </w:pPr>
      <w:r>
        <w:rPr>
          <w:b/>
          <w:bCs/>
          <w:sz w:val="22"/>
          <w:szCs w:val="22"/>
          <w:lang w:val="de-DE"/>
        </w:rPr>
        <w:t>Abbildung 2: Kaplan-Meier-Kurven zur Darstellung der Dauer bis zum Behandlungsversagen in oder nach Woche 6 (Studie UV I) bzw. Woche 2 (Studie UV II)</w:t>
      </w:r>
    </w:p>
    <w:p w14:paraId="3B401C49" w14:textId="77777777" w:rsidR="00FE291A" w:rsidRDefault="00FE291A">
      <w:pPr>
        <w:widowControl/>
        <w:kinsoku w:val="0"/>
        <w:overflowPunct w:val="0"/>
        <w:rPr>
          <w:sz w:val="22"/>
          <w:szCs w:val="22"/>
          <w:lang w:val="de-DE"/>
        </w:rPr>
      </w:pPr>
    </w:p>
    <w:p w14:paraId="2589DD42" w14:textId="719B496B" w:rsidR="00FE291A" w:rsidRDefault="009C5B62">
      <w:pPr>
        <w:pStyle w:val="BodyText"/>
        <w:widowControl/>
        <w:tabs>
          <w:tab w:val="left" w:pos="5326"/>
          <w:tab w:val="left" w:pos="7577"/>
        </w:tabs>
        <w:kinsoku w:val="0"/>
        <w:overflowPunct w:val="0"/>
        <w:ind w:left="0"/>
        <w:rPr>
          <w:szCs w:val="20"/>
          <w:lang w:val="de-DE"/>
        </w:rPr>
      </w:pPr>
      <w:r>
        <w:rPr>
          <w:noProof/>
          <w:lang w:val="de-DE" w:eastAsia="en-GB"/>
        </w:rPr>
        <w:drawing>
          <wp:inline distT="0" distB="0" distL="0" distR="0" wp14:anchorId="7A1BBE75" wp14:editId="7D98FFD3">
            <wp:extent cx="5640705" cy="2588895"/>
            <wp:effectExtent l="0" t="0" r="0" b="0"/>
            <wp:docPr id="12" name="Bild 13"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descr="A graph with numbers and line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0705" cy="2588895"/>
                    </a:xfrm>
                    <a:prstGeom prst="rect">
                      <a:avLst/>
                    </a:prstGeom>
                    <a:noFill/>
                    <a:ln>
                      <a:noFill/>
                    </a:ln>
                  </pic:spPr>
                </pic:pic>
              </a:graphicData>
            </a:graphic>
          </wp:inline>
        </w:drawing>
      </w:r>
    </w:p>
    <w:p w14:paraId="34FA046B" w14:textId="043711CA" w:rsidR="00FE291A" w:rsidRDefault="009C5B62">
      <w:pPr>
        <w:pStyle w:val="BodyText"/>
        <w:keepNext/>
        <w:widowControl/>
        <w:tabs>
          <w:tab w:val="left" w:pos="4435"/>
          <w:tab w:val="left" w:pos="6637"/>
        </w:tabs>
        <w:kinsoku w:val="0"/>
        <w:overflowPunct w:val="0"/>
        <w:ind w:left="0"/>
        <w:rPr>
          <w:lang w:val="de-DE"/>
        </w:rPr>
      </w:pPr>
      <w:r>
        <w:rPr>
          <w:noProof/>
          <w:lang w:val="de-DE" w:eastAsia="en-GB"/>
        </w:rPr>
        <w:drawing>
          <wp:inline distT="0" distB="0" distL="0" distR="0" wp14:anchorId="08AE36A4" wp14:editId="29F0569A">
            <wp:extent cx="5709285" cy="2526030"/>
            <wp:effectExtent l="0" t="0" r="0" b="0"/>
            <wp:docPr id="13" name="Bild 14" descr="A graph showing the growth of a stock mar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A graph showing the growth of a stock marke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9285" cy="2526030"/>
                    </a:xfrm>
                    <a:prstGeom prst="rect">
                      <a:avLst/>
                    </a:prstGeom>
                    <a:noFill/>
                    <a:ln>
                      <a:noFill/>
                    </a:ln>
                  </pic:spPr>
                </pic:pic>
              </a:graphicData>
            </a:graphic>
          </wp:inline>
        </w:drawing>
      </w:r>
    </w:p>
    <w:p w14:paraId="768855BC" w14:textId="77777777" w:rsidR="00FE291A" w:rsidRDefault="00C8738F">
      <w:pPr>
        <w:pStyle w:val="BodyText"/>
        <w:widowControl/>
        <w:tabs>
          <w:tab w:val="left" w:pos="4435"/>
          <w:tab w:val="left" w:pos="6637"/>
        </w:tabs>
        <w:kinsoku w:val="0"/>
        <w:overflowPunct w:val="0"/>
        <w:ind w:left="0"/>
        <w:rPr>
          <w:sz w:val="20"/>
          <w:szCs w:val="20"/>
          <w:lang w:val="de-DE"/>
        </w:rPr>
      </w:pPr>
      <w:r>
        <w:rPr>
          <w:sz w:val="20"/>
          <w:szCs w:val="20"/>
          <w:lang w:val="de-DE"/>
        </w:rPr>
        <w:t>Hinweis: P# = Placebo (Anzahl an Ereignissen/Anzahl Risikopatienten); A# = Adalimumab (Anzahl an Ereignissen/Anzahl Risikopatienten).</w:t>
      </w:r>
    </w:p>
    <w:p w14:paraId="674DF778" w14:textId="77777777" w:rsidR="00FE291A" w:rsidRDefault="00FE291A">
      <w:pPr>
        <w:widowControl/>
        <w:kinsoku w:val="0"/>
        <w:overflowPunct w:val="0"/>
        <w:rPr>
          <w:sz w:val="22"/>
          <w:szCs w:val="20"/>
          <w:lang w:val="de-DE"/>
        </w:rPr>
      </w:pPr>
    </w:p>
    <w:p w14:paraId="351B9F45" w14:textId="77777777" w:rsidR="00FE291A" w:rsidRDefault="00C8738F">
      <w:pPr>
        <w:pStyle w:val="BodyText"/>
        <w:widowControl/>
        <w:kinsoku w:val="0"/>
        <w:overflowPunct w:val="0"/>
        <w:ind w:left="0"/>
        <w:rPr>
          <w:lang w:val="de-DE"/>
        </w:rPr>
      </w:pPr>
      <w:r>
        <w:rPr>
          <w:lang w:val="de-DE"/>
        </w:rPr>
        <w:t>In der Studie UV I wurden für jede Komponente des Behandlungsversagens statistisch signifikante Unterschiede zugunsten von Adalimumab gegenüber Placebo festgestellt. In der Studie UV II wurden statistisch signifikante Unterschiede nur für die Sehschärfe festgestellt, doch die Ergebnisse der anderen Komponenten fielen numerisch zugunsten von Adalimumab aus.</w:t>
      </w:r>
    </w:p>
    <w:p w14:paraId="7FB9EA63" w14:textId="77777777" w:rsidR="00FE291A" w:rsidRDefault="00FE291A">
      <w:pPr>
        <w:widowControl/>
        <w:kinsoku w:val="0"/>
        <w:overflowPunct w:val="0"/>
        <w:rPr>
          <w:sz w:val="22"/>
          <w:szCs w:val="22"/>
          <w:lang w:val="de-DE"/>
        </w:rPr>
      </w:pPr>
    </w:p>
    <w:p w14:paraId="1A61CD61" w14:textId="77777777" w:rsidR="00FE291A" w:rsidRDefault="00C8738F">
      <w:pPr>
        <w:widowControl/>
        <w:kinsoku w:val="0"/>
        <w:overflowPunct w:val="0"/>
        <w:rPr>
          <w:sz w:val="22"/>
          <w:szCs w:val="22"/>
          <w:lang w:val="de-DE"/>
        </w:rPr>
      </w:pPr>
      <w:r>
        <w:rPr>
          <w:sz w:val="22"/>
          <w:szCs w:val="22"/>
          <w:lang w:val="de-DE"/>
        </w:rPr>
        <w:t>Von den 424 Studienteilnehmern, die in die unkontrollierte Langzeit-Fortsetzungsstudie von den Studien UV I und UV II eingeschlossen waren, erwiesen sich 60 Studienteilnehmer als nicht auswertbar (z. B. aufgrund von Abweichungen oder durch Komplikationen nachrangig einer diabetischen Retinopathie, die auf eine Operation des grauen Stars oder Glaskörperentfernung zurückzuführen waren). Sie wurden deshalb von der primären Wirksamkeitsanalyse ausgeschlossen. Von den 364 verbleibenden Patienten erreichten 269 der auswertbaren Patienten (74 %) 78 Wochen der offenen Adalimumab-Behandlung. Basierend auf dem betrachteten datenbasierten Ansatz waren 216 (80,3 %) Patienten in einer Ruhephase (keine aktiven entzündlichen Läsionen, Grad der Vorderkammerzellen ≤ 0,5+, Grad der Glaskörpertrübung ≤ 0,5+) mit einer einhergehenden Steroiddosis ≤ 7,5 mg pro Tag, und 178 (66,2 %) waren in einer steroidfreien Ruhephase. In Woche 78 wurde bei 88,6 % der Augen der bestkorrigierte Visus (</w:t>
      </w:r>
      <w:r>
        <w:rPr>
          <w:i/>
          <w:sz w:val="22"/>
          <w:szCs w:val="22"/>
          <w:lang w:val="de-DE"/>
        </w:rPr>
        <w:t>best corrected visual acuity</w:t>
      </w:r>
      <w:r>
        <w:rPr>
          <w:sz w:val="22"/>
          <w:szCs w:val="22"/>
          <w:lang w:val="de-DE"/>
        </w:rPr>
        <w:t>, BCVA) entweder verbessert oder erhalten (&lt; 5 Zeichen der Verschlechterung). Daten über die Woche 78 hinaus waren im Allgemeinen übereinstimmend mit diesen Ergebnissen, aber die Anzahl von eingeschlossenen Studienteilnehmern ging nach dieser Zeit zurück. Ursächlich für die vorzeitige Beendigung der Studie waren in 18 % der Fälle das Auftreten von Nebenwirkungen und in 8 % der Fälle ein unzureichendes Ansprechen auf die Behandlung mit Adalimumab.</w:t>
      </w:r>
    </w:p>
    <w:p w14:paraId="3510CDFE" w14:textId="77777777" w:rsidR="00FE291A" w:rsidRDefault="00FE291A">
      <w:pPr>
        <w:widowControl/>
        <w:kinsoku w:val="0"/>
        <w:overflowPunct w:val="0"/>
        <w:rPr>
          <w:sz w:val="22"/>
          <w:szCs w:val="22"/>
          <w:lang w:val="de-DE"/>
        </w:rPr>
      </w:pPr>
    </w:p>
    <w:p w14:paraId="60BB5540" w14:textId="77777777" w:rsidR="00FE291A" w:rsidRDefault="00C8738F">
      <w:pPr>
        <w:keepNext/>
        <w:widowControl/>
        <w:kinsoku w:val="0"/>
        <w:overflowPunct w:val="0"/>
        <w:rPr>
          <w:sz w:val="22"/>
          <w:szCs w:val="22"/>
          <w:lang w:val="de-DE"/>
        </w:rPr>
      </w:pPr>
      <w:r>
        <w:rPr>
          <w:i/>
          <w:iCs/>
          <w:sz w:val="22"/>
          <w:szCs w:val="22"/>
          <w:u w:val="single"/>
          <w:lang w:val="de-DE"/>
        </w:rPr>
        <w:t>Lebensqualität</w:t>
      </w:r>
    </w:p>
    <w:p w14:paraId="0DC25923" w14:textId="77777777" w:rsidR="00FE291A" w:rsidRDefault="00FE291A">
      <w:pPr>
        <w:keepNext/>
        <w:widowControl/>
        <w:kinsoku w:val="0"/>
        <w:overflowPunct w:val="0"/>
        <w:rPr>
          <w:sz w:val="22"/>
          <w:szCs w:val="22"/>
          <w:lang w:val="de-DE"/>
        </w:rPr>
      </w:pPr>
    </w:p>
    <w:p w14:paraId="73E241DE" w14:textId="77777777" w:rsidR="00FE291A" w:rsidRDefault="00C8738F">
      <w:pPr>
        <w:pStyle w:val="BodyText"/>
        <w:widowControl/>
        <w:kinsoku w:val="0"/>
        <w:overflowPunct w:val="0"/>
        <w:ind w:left="0"/>
        <w:rPr>
          <w:lang w:val="de-DE"/>
        </w:rPr>
      </w:pPr>
      <w:r>
        <w:rPr>
          <w:lang w:val="de-DE"/>
        </w:rPr>
        <w:t>In beiden klinischen Studien wurde die Therapiebewertung aus Patientensicht (</w:t>
      </w:r>
      <w:r>
        <w:rPr>
          <w:i/>
          <w:lang w:val="de-DE"/>
        </w:rPr>
        <w:t>patient reported outcome</w:t>
      </w:r>
      <w:r>
        <w:rPr>
          <w:lang w:val="de-DE"/>
        </w:rPr>
        <w:t xml:space="preserve">, PRO) hinsichtlich des Sehvermögens mithilfe des NEI VFQ-25 beurteilt. Bei den meisten </w:t>
      </w:r>
      <w:r>
        <w:rPr>
          <w:i/>
          <w:iCs/>
          <w:lang w:val="de-DE"/>
        </w:rPr>
        <w:t>Subscores</w:t>
      </w:r>
      <w:r>
        <w:rPr>
          <w:lang w:val="de-DE"/>
        </w:rPr>
        <w:t xml:space="preserve"> fielen die Ergebnisse numerisch zugunsten von Adalimumab aus – ein statistisch signifikanter mittlerer Unterschied bestand in der Studie UV I beim allgemeinen Sehvermögen, bei Augenschmerzen, Nahsicht, mentaler Gesundheit und dem Gesamtscore, in der Studie UV II beim allgemeinen Sehvermögen und der mentalen Gesundheit. Weitere Wirkungen in Bezug auf das Sehvermögen fielen in der Studie UV I beim Farbsehen und in der Studie UV II beim Farbsehen, dem peripheren Sehen und der Nahsicht numerisch nicht zugunsten von Adalimumab aus.</w:t>
      </w:r>
    </w:p>
    <w:p w14:paraId="4A05DDA8" w14:textId="77777777" w:rsidR="00FE291A" w:rsidRDefault="00FE291A">
      <w:pPr>
        <w:widowControl/>
        <w:kinsoku w:val="0"/>
        <w:overflowPunct w:val="0"/>
        <w:rPr>
          <w:sz w:val="22"/>
          <w:szCs w:val="22"/>
          <w:lang w:val="de-DE"/>
        </w:rPr>
      </w:pPr>
    </w:p>
    <w:p w14:paraId="5E15412F" w14:textId="77777777" w:rsidR="00FE291A" w:rsidRDefault="00C8738F">
      <w:pPr>
        <w:pStyle w:val="BodyText"/>
        <w:keepNext/>
        <w:widowControl/>
        <w:kinsoku w:val="0"/>
        <w:overflowPunct w:val="0"/>
        <w:ind w:left="0"/>
        <w:rPr>
          <w:lang w:val="de-DE"/>
        </w:rPr>
      </w:pPr>
      <w:r>
        <w:rPr>
          <w:u w:val="single"/>
          <w:lang w:val="de-DE"/>
        </w:rPr>
        <w:t>Immunogenität</w:t>
      </w:r>
    </w:p>
    <w:p w14:paraId="70728907" w14:textId="77777777" w:rsidR="00FE291A" w:rsidRDefault="00FE291A">
      <w:pPr>
        <w:keepNext/>
        <w:widowControl/>
        <w:kinsoku w:val="0"/>
        <w:overflowPunct w:val="0"/>
        <w:rPr>
          <w:sz w:val="22"/>
          <w:szCs w:val="19"/>
          <w:lang w:val="de-DE"/>
        </w:rPr>
      </w:pPr>
    </w:p>
    <w:p w14:paraId="74FFD364" w14:textId="77777777" w:rsidR="00FE291A" w:rsidRDefault="00C8738F">
      <w:pPr>
        <w:pStyle w:val="BodyText"/>
        <w:widowControl/>
        <w:kinsoku w:val="0"/>
        <w:overflowPunct w:val="0"/>
        <w:ind w:left="0"/>
        <w:rPr>
          <w:lang w:val="de-DE"/>
        </w:rPr>
      </w:pPr>
      <w:r>
        <w:rPr>
          <w:lang w:val="de-DE"/>
        </w:rPr>
        <w:t>Während einer Adalimumab-Behandlung können sich Anti-Adalimumab-Antikörper entwickeln. Die Bildung von Anti</w:t>
      </w:r>
      <w:r>
        <w:rPr>
          <w:lang w:val="de-DE"/>
        </w:rPr>
        <w:noBreakHyphen/>
        <w:t xml:space="preserve">Adalimumab-Antikörpern ist mit einer erhöhten </w:t>
      </w:r>
      <w:r>
        <w:rPr>
          <w:i/>
          <w:iCs/>
          <w:lang w:val="de-DE"/>
        </w:rPr>
        <w:t>Clearance</w:t>
      </w:r>
      <w:r>
        <w:rPr>
          <w:lang w:val="de-DE"/>
        </w:rPr>
        <w:t xml:space="preserve"> und einer verminderten Wirksamkeit von Adalimumab verbunden. Zwischen der Anwesenheit von Anti-Adalimumab-Antikörpern und dem Auftreten von unerwünschten Ereignissen gibt es keinen offensichtlichen Zusammenhang.</w:t>
      </w:r>
    </w:p>
    <w:p w14:paraId="155D9B4B" w14:textId="77777777" w:rsidR="00FE291A" w:rsidRDefault="00FE291A">
      <w:pPr>
        <w:widowControl/>
        <w:kinsoku w:val="0"/>
        <w:overflowPunct w:val="0"/>
        <w:rPr>
          <w:sz w:val="22"/>
          <w:szCs w:val="22"/>
          <w:lang w:val="de-DE"/>
        </w:rPr>
      </w:pPr>
    </w:p>
    <w:p w14:paraId="431B3861" w14:textId="77777777" w:rsidR="00FE291A" w:rsidRDefault="00C8738F">
      <w:pPr>
        <w:widowControl/>
        <w:rPr>
          <w:color w:val="000000"/>
          <w:sz w:val="22"/>
          <w:szCs w:val="22"/>
          <w:u w:val="single"/>
          <w:lang w:val="de-DE"/>
        </w:rPr>
      </w:pPr>
      <w:r>
        <w:rPr>
          <w:color w:val="000000"/>
          <w:sz w:val="22"/>
          <w:szCs w:val="22"/>
          <w:u w:val="single"/>
          <w:lang w:val="de-DE"/>
        </w:rPr>
        <w:t xml:space="preserve">Kinder und Jugendliche </w:t>
      </w:r>
    </w:p>
    <w:p w14:paraId="064EBA8F" w14:textId="77777777" w:rsidR="00FE291A" w:rsidRDefault="00FE291A">
      <w:pPr>
        <w:widowControl/>
        <w:rPr>
          <w:color w:val="000000"/>
          <w:sz w:val="22"/>
          <w:szCs w:val="22"/>
          <w:lang w:val="de-DE"/>
        </w:rPr>
      </w:pPr>
    </w:p>
    <w:p w14:paraId="1557A0D8" w14:textId="77777777" w:rsidR="00FE291A" w:rsidRDefault="00C8738F">
      <w:pPr>
        <w:widowControl/>
        <w:rPr>
          <w:i/>
          <w:iCs/>
          <w:color w:val="000000"/>
          <w:sz w:val="22"/>
          <w:szCs w:val="22"/>
          <w:lang w:val="de-DE"/>
        </w:rPr>
      </w:pPr>
      <w:r>
        <w:rPr>
          <w:i/>
          <w:iCs/>
          <w:color w:val="000000"/>
          <w:sz w:val="22"/>
          <w:szCs w:val="22"/>
          <w:lang w:val="de-DE"/>
        </w:rPr>
        <w:t xml:space="preserve">Juvenile idiopathische Arthritis (JIA) </w:t>
      </w:r>
    </w:p>
    <w:p w14:paraId="5DC24E57" w14:textId="77777777" w:rsidR="00FE291A" w:rsidRDefault="00FE291A">
      <w:pPr>
        <w:widowControl/>
        <w:rPr>
          <w:color w:val="000000"/>
          <w:sz w:val="22"/>
          <w:szCs w:val="22"/>
          <w:lang w:val="de-DE"/>
        </w:rPr>
      </w:pPr>
    </w:p>
    <w:p w14:paraId="02445193" w14:textId="77777777" w:rsidR="00FE291A" w:rsidRDefault="00C8738F">
      <w:pPr>
        <w:keepNext/>
        <w:widowControl/>
        <w:rPr>
          <w:i/>
          <w:iCs/>
          <w:color w:val="000000"/>
          <w:sz w:val="22"/>
          <w:szCs w:val="22"/>
          <w:lang w:val="de-DE"/>
        </w:rPr>
      </w:pPr>
      <w:r>
        <w:rPr>
          <w:i/>
          <w:iCs/>
          <w:color w:val="000000"/>
          <w:sz w:val="22"/>
          <w:szCs w:val="22"/>
          <w:u w:val="single"/>
          <w:lang w:val="de-DE"/>
        </w:rPr>
        <w:t>Polyartikuläre juvenile idiopathische Arthritis (pJIA</w:t>
      </w:r>
      <w:r>
        <w:rPr>
          <w:i/>
          <w:iCs/>
          <w:color w:val="000000"/>
          <w:sz w:val="22"/>
          <w:szCs w:val="22"/>
          <w:lang w:val="de-DE"/>
        </w:rPr>
        <w:t>)</w:t>
      </w:r>
    </w:p>
    <w:p w14:paraId="11FA3272" w14:textId="77777777" w:rsidR="00FE291A" w:rsidRDefault="00FE291A">
      <w:pPr>
        <w:keepNext/>
        <w:widowControl/>
        <w:rPr>
          <w:color w:val="000000"/>
          <w:sz w:val="22"/>
          <w:szCs w:val="22"/>
          <w:lang w:val="de-DE"/>
        </w:rPr>
      </w:pPr>
    </w:p>
    <w:p w14:paraId="466E022D" w14:textId="77777777" w:rsidR="00FE291A" w:rsidRDefault="00C8738F">
      <w:pPr>
        <w:widowControl/>
        <w:rPr>
          <w:color w:val="000000"/>
          <w:sz w:val="22"/>
          <w:szCs w:val="22"/>
          <w:lang w:val="de-DE"/>
        </w:rPr>
      </w:pPr>
      <w:r>
        <w:rPr>
          <w:color w:val="000000"/>
          <w:sz w:val="22"/>
          <w:szCs w:val="22"/>
          <w:lang w:val="de-DE"/>
        </w:rPr>
        <w:t xml:space="preserve">Die Sicherheit und Wirksamkeit von Adalimumab wurden in zwei Studien (pJIA I und II) an Kindern mit aktiver polyartikulärer juveniler idiopathischer Arthritis oder polyartikulärem Verlauf untersucht, die zu Erkrankungsbeginn verschiedene Subtypen der juvenilen idiopathischen Arthritis aufwiesen (am häufigsten waren Rheumafaktor negative oder positive Polyarthritis und erweiterte Oligoarthritis). </w:t>
      </w:r>
    </w:p>
    <w:p w14:paraId="05566320" w14:textId="77777777" w:rsidR="00FE291A" w:rsidRDefault="00FE291A">
      <w:pPr>
        <w:widowControl/>
        <w:rPr>
          <w:color w:val="000000"/>
          <w:sz w:val="22"/>
          <w:szCs w:val="22"/>
          <w:lang w:val="de-DE"/>
        </w:rPr>
      </w:pPr>
    </w:p>
    <w:p w14:paraId="5E256FE1" w14:textId="77777777" w:rsidR="00FE291A" w:rsidRDefault="00C8738F">
      <w:pPr>
        <w:keepNext/>
        <w:widowControl/>
        <w:rPr>
          <w:color w:val="000000"/>
          <w:sz w:val="22"/>
          <w:szCs w:val="22"/>
          <w:lang w:val="de-DE"/>
        </w:rPr>
      </w:pPr>
      <w:r>
        <w:rPr>
          <w:color w:val="000000"/>
          <w:sz w:val="22"/>
          <w:szCs w:val="22"/>
          <w:lang w:val="de-DE"/>
        </w:rPr>
        <w:t>pJIA I</w:t>
      </w:r>
    </w:p>
    <w:p w14:paraId="5D41FFDA" w14:textId="77777777" w:rsidR="00FE291A" w:rsidRDefault="00FE291A">
      <w:pPr>
        <w:keepNext/>
        <w:widowControl/>
        <w:rPr>
          <w:color w:val="000000"/>
          <w:sz w:val="22"/>
          <w:szCs w:val="22"/>
          <w:lang w:val="de-DE"/>
        </w:rPr>
      </w:pPr>
    </w:p>
    <w:p w14:paraId="4801245D" w14:textId="77777777" w:rsidR="00FE291A" w:rsidRDefault="00C8738F">
      <w:pPr>
        <w:widowControl/>
        <w:rPr>
          <w:sz w:val="22"/>
          <w:szCs w:val="22"/>
          <w:lang w:val="de-DE"/>
        </w:rPr>
      </w:pPr>
      <w:r>
        <w:rPr>
          <w:color w:val="000000"/>
          <w:sz w:val="22"/>
          <w:szCs w:val="22"/>
          <w:lang w:val="de-DE"/>
        </w:rPr>
        <w:t xml:space="preserve">Die Sicherheit und Wirksamkeit von Adalimumab wurden in einer multizentrischen, randomisierten, doppelblinden Parallelgruppenstudie an 171 Kindern und Jugendlichen (4 – 17 Jahre alt) mit polyartikulärer JIA untersucht. In der offenen Einleitungsphase (OL-LI) wurden die Patienten in zwei Gruppen stratifiziert: mit Methotrexat (MTX) behandelte oder nicht mit MTX behandelte Patienten. </w:t>
      </w:r>
      <w:r>
        <w:rPr>
          <w:sz w:val="22"/>
          <w:szCs w:val="22"/>
          <w:lang w:val="de-DE"/>
        </w:rPr>
        <w:t>Patienten, die im Nicht-MTX-Arm waren, waren entweder MTX-naiv oder MTX war mindestens zwei Wochen vor Verabreichung der Studienmedikation abgesetzt worden. Die Patienten erhielten stabile Dosen eines nicht steroidalen Antirheumatikums (NSAR) und/oder Prednison (≤ 0,2 mg/kg/Tag oder maximal 10 mg/Tag). In der OL-LI-Phase erhielten alle Patienten 16 Wochen lang 24 mg/m</w:t>
      </w:r>
      <w:r>
        <w:rPr>
          <w:sz w:val="22"/>
          <w:szCs w:val="22"/>
          <w:vertAlign w:val="superscript"/>
          <w:lang w:val="de-DE"/>
        </w:rPr>
        <w:t>2</w:t>
      </w:r>
      <w:r>
        <w:rPr>
          <w:sz w:val="14"/>
          <w:szCs w:val="14"/>
          <w:lang w:val="de-DE"/>
        </w:rPr>
        <w:t xml:space="preserve"> </w:t>
      </w:r>
      <w:r>
        <w:rPr>
          <w:sz w:val="22"/>
          <w:szCs w:val="22"/>
          <w:lang w:val="de-DE"/>
        </w:rPr>
        <w:t>bis zu einer Maximaldosis von 40 mg Adalimumab jede zweite Woche. Die Patientenverteilung nach Alter und minimaler, mittlerer und maximaler Dosis, wie sie während der OL-LI-Phase verabreicht wurde, ist in Tabelle 25 dargestellt.</w:t>
      </w:r>
    </w:p>
    <w:p w14:paraId="6EDCD947" w14:textId="77777777" w:rsidR="00FE291A" w:rsidRDefault="00FE291A">
      <w:pPr>
        <w:rPr>
          <w:sz w:val="22"/>
          <w:szCs w:val="22"/>
          <w:lang w:val="de-DE"/>
        </w:rPr>
      </w:pPr>
    </w:p>
    <w:p w14:paraId="29885C4D" w14:textId="77777777" w:rsidR="00FE291A" w:rsidRDefault="00C8738F">
      <w:pPr>
        <w:pStyle w:val="Default"/>
        <w:keepNext/>
        <w:rPr>
          <w:b/>
          <w:sz w:val="22"/>
          <w:szCs w:val="22"/>
          <w:lang w:val="de-DE" w:eastAsia="en-GB"/>
        </w:rPr>
      </w:pPr>
      <w:r>
        <w:rPr>
          <w:b/>
          <w:sz w:val="22"/>
          <w:szCs w:val="22"/>
          <w:lang w:val="de-DE" w:eastAsia="en-GB"/>
        </w:rPr>
        <w:t xml:space="preserve">Tabelle 25: </w:t>
      </w:r>
      <w:r>
        <w:rPr>
          <w:rFonts w:eastAsia="PMingLiU"/>
          <w:b/>
          <w:bCs/>
          <w:sz w:val="22"/>
          <w:szCs w:val="22"/>
          <w:lang w:val="de-DE" w:eastAsia="en-IN"/>
        </w:rPr>
        <w:t xml:space="preserve">Patientenverteilung nach Alter und verabreichter Adalimumab-Dosis während der </w:t>
      </w:r>
      <w:r>
        <w:rPr>
          <w:b/>
          <w:bCs/>
          <w:sz w:val="22"/>
          <w:szCs w:val="22"/>
          <w:lang w:val="de-DE"/>
        </w:rPr>
        <w:t>OL-LI-Phase</w:t>
      </w:r>
    </w:p>
    <w:p w14:paraId="6F49B1D6" w14:textId="77777777" w:rsidR="00FE291A" w:rsidRDefault="00FE291A">
      <w:pPr>
        <w:keepNext/>
        <w:rPr>
          <w:sz w:val="22"/>
          <w:szCs w:val="22"/>
          <w:lang w:val="de-DE" w:eastAsia="en-GB"/>
        </w:rPr>
      </w:pPr>
    </w:p>
    <w:tbl>
      <w:tblPr>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916"/>
        <w:gridCol w:w="3024"/>
        <w:gridCol w:w="3024"/>
      </w:tblGrid>
      <w:tr w:rsidR="00FE291A" w:rsidRPr="00723069" w14:paraId="1172D791" w14:textId="77777777">
        <w:trPr>
          <w:cantSplit/>
          <w:tblHeader/>
        </w:trPr>
        <w:tc>
          <w:tcPr>
            <w:tcW w:w="2916" w:type="dxa"/>
          </w:tcPr>
          <w:p w14:paraId="793863F6" w14:textId="77777777" w:rsidR="00FE291A" w:rsidRDefault="00C8738F">
            <w:pPr>
              <w:keepNext/>
              <w:suppressAutoHyphens/>
              <w:rPr>
                <w:b/>
                <w:sz w:val="22"/>
                <w:szCs w:val="22"/>
                <w:lang w:val="de-DE" w:eastAsia="en-GB"/>
              </w:rPr>
            </w:pPr>
            <w:r>
              <w:rPr>
                <w:b/>
                <w:sz w:val="22"/>
                <w:szCs w:val="22"/>
                <w:lang w:val="de-DE"/>
              </w:rPr>
              <w:t>Altersgruppe</w:t>
            </w:r>
          </w:p>
        </w:tc>
        <w:tc>
          <w:tcPr>
            <w:tcW w:w="3024" w:type="dxa"/>
          </w:tcPr>
          <w:p w14:paraId="035FD313" w14:textId="77777777" w:rsidR="00FE291A" w:rsidRDefault="00C8738F">
            <w:pPr>
              <w:keepNext/>
              <w:suppressAutoHyphens/>
              <w:jc w:val="center"/>
              <w:rPr>
                <w:b/>
                <w:sz w:val="22"/>
                <w:szCs w:val="22"/>
                <w:lang w:val="de-DE" w:eastAsia="en-GB"/>
              </w:rPr>
            </w:pPr>
            <w:r>
              <w:rPr>
                <w:b/>
                <w:sz w:val="22"/>
                <w:szCs w:val="22"/>
                <w:lang w:val="de-DE"/>
              </w:rPr>
              <w:t xml:space="preserve">Patientenanzahl zu Studienbeginn n (%) </w:t>
            </w:r>
          </w:p>
        </w:tc>
        <w:tc>
          <w:tcPr>
            <w:tcW w:w="3024" w:type="dxa"/>
          </w:tcPr>
          <w:p w14:paraId="0E313960" w14:textId="77777777" w:rsidR="00FE291A" w:rsidRDefault="00C8738F">
            <w:pPr>
              <w:keepNext/>
              <w:suppressAutoHyphens/>
              <w:jc w:val="center"/>
              <w:rPr>
                <w:b/>
                <w:sz w:val="22"/>
                <w:szCs w:val="22"/>
                <w:lang w:val="de-DE" w:eastAsia="en-GB"/>
              </w:rPr>
            </w:pPr>
            <w:r>
              <w:rPr>
                <w:b/>
                <w:sz w:val="22"/>
                <w:szCs w:val="22"/>
                <w:lang w:val="de-DE"/>
              </w:rPr>
              <w:t xml:space="preserve">Minimale, mittlere und maximale Dosis </w:t>
            </w:r>
          </w:p>
        </w:tc>
      </w:tr>
      <w:tr w:rsidR="00FE291A" w14:paraId="4F86AA65" w14:textId="77777777">
        <w:trPr>
          <w:cantSplit/>
        </w:trPr>
        <w:tc>
          <w:tcPr>
            <w:tcW w:w="2916" w:type="dxa"/>
          </w:tcPr>
          <w:p w14:paraId="7DC49849" w14:textId="77777777" w:rsidR="00FE291A" w:rsidRDefault="00C8738F">
            <w:pPr>
              <w:suppressAutoHyphens/>
              <w:rPr>
                <w:sz w:val="22"/>
                <w:szCs w:val="22"/>
                <w:lang w:val="de-DE" w:eastAsia="en-GB"/>
              </w:rPr>
            </w:pPr>
            <w:r>
              <w:rPr>
                <w:sz w:val="22"/>
                <w:szCs w:val="22"/>
                <w:lang w:val="de-DE"/>
              </w:rPr>
              <w:t xml:space="preserve">4 bis 7 Jahre </w:t>
            </w:r>
          </w:p>
        </w:tc>
        <w:tc>
          <w:tcPr>
            <w:tcW w:w="3024" w:type="dxa"/>
          </w:tcPr>
          <w:p w14:paraId="7A1314B6" w14:textId="77777777" w:rsidR="00FE291A" w:rsidRDefault="00C8738F">
            <w:pPr>
              <w:suppressAutoHyphens/>
              <w:jc w:val="center"/>
              <w:rPr>
                <w:sz w:val="22"/>
                <w:szCs w:val="22"/>
                <w:lang w:val="de-DE" w:eastAsia="en-GB"/>
              </w:rPr>
            </w:pPr>
            <w:r>
              <w:rPr>
                <w:sz w:val="22"/>
                <w:szCs w:val="22"/>
                <w:lang w:val="de-DE"/>
              </w:rPr>
              <w:t xml:space="preserve">31 (18,1) </w:t>
            </w:r>
          </w:p>
        </w:tc>
        <w:tc>
          <w:tcPr>
            <w:tcW w:w="3024" w:type="dxa"/>
          </w:tcPr>
          <w:p w14:paraId="490E9569" w14:textId="77777777" w:rsidR="00FE291A" w:rsidRDefault="00C8738F">
            <w:pPr>
              <w:suppressAutoHyphens/>
              <w:jc w:val="center"/>
              <w:rPr>
                <w:sz w:val="22"/>
                <w:szCs w:val="22"/>
                <w:lang w:val="de-DE" w:eastAsia="en-GB"/>
              </w:rPr>
            </w:pPr>
            <w:r>
              <w:rPr>
                <w:sz w:val="22"/>
                <w:szCs w:val="22"/>
                <w:lang w:val="de-DE"/>
              </w:rPr>
              <w:t xml:space="preserve">10, 20 und 25 mg </w:t>
            </w:r>
          </w:p>
        </w:tc>
      </w:tr>
      <w:tr w:rsidR="00FE291A" w14:paraId="64E4A04F" w14:textId="77777777">
        <w:trPr>
          <w:cantSplit/>
        </w:trPr>
        <w:tc>
          <w:tcPr>
            <w:tcW w:w="2916" w:type="dxa"/>
          </w:tcPr>
          <w:p w14:paraId="7C43C8F1" w14:textId="77777777" w:rsidR="00FE291A" w:rsidRDefault="00C8738F">
            <w:pPr>
              <w:keepNext/>
              <w:suppressAutoHyphens/>
              <w:rPr>
                <w:sz w:val="22"/>
                <w:szCs w:val="22"/>
                <w:lang w:val="de-DE" w:eastAsia="en-GB"/>
              </w:rPr>
            </w:pPr>
            <w:r>
              <w:rPr>
                <w:sz w:val="22"/>
                <w:szCs w:val="22"/>
                <w:lang w:val="de-DE"/>
              </w:rPr>
              <w:t xml:space="preserve">8 bis 12 Jahre </w:t>
            </w:r>
          </w:p>
        </w:tc>
        <w:tc>
          <w:tcPr>
            <w:tcW w:w="3024" w:type="dxa"/>
          </w:tcPr>
          <w:p w14:paraId="4F80C71A" w14:textId="77777777" w:rsidR="00FE291A" w:rsidRDefault="00C8738F">
            <w:pPr>
              <w:keepNext/>
              <w:suppressAutoHyphens/>
              <w:jc w:val="center"/>
              <w:rPr>
                <w:sz w:val="22"/>
                <w:szCs w:val="22"/>
                <w:lang w:val="de-DE" w:eastAsia="en-GB"/>
              </w:rPr>
            </w:pPr>
            <w:r>
              <w:rPr>
                <w:sz w:val="22"/>
                <w:szCs w:val="22"/>
                <w:lang w:val="de-DE"/>
              </w:rPr>
              <w:t xml:space="preserve">71 (41,5) </w:t>
            </w:r>
          </w:p>
        </w:tc>
        <w:tc>
          <w:tcPr>
            <w:tcW w:w="3024" w:type="dxa"/>
          </w:tcPr>
          <w:p w14:paraId="1A630C89" w14:textId="77777777" w:rsidR="00FE291A" w:rsidRDefault="00C8738F">
            <w:pPr>
              <w:keepNext/>
              <w:suppressAutoHyphens/>
              <w:jc w:val="center"/>
              <w:rPr>
                <w:sz w:val="22"/>
                <w:szCs w:val="22"/>
                <w:lang w:val="de-DE" w:eastAsia="en-GB"/>
              </w:rPr>
            </w:pPr>
            <w:r>
              <w:rPr>
                <w:sz w:val="22"/>
                <w:szCs w:val="22"/>
                <w:lang w:val="de-DE"/>
              </w:rPr>
              <w:t xml:space="preserve">20, 25 und 40 mg </w:t>
            </w:r>
          </w:p>
        </w:tc>
      </w:tr>
      <w:tr w:rsidR="00FE291A" w14:paraId="0933EDC9" w14:textId="77777777">
        <w:trPr>
          <w:cantSplit/>
        </w:trPr>
        <w:tc>
          <w:tcPr>
            <w:tcW w:w="2916" w:type="dxa"/>
          </w:tcPr>
          <w:p w14:paraId="31E6EDE9" w14:textId="77777777" w:rsidR="00FE291A" w:rsidRDefault="00C8738F">
            <w:pPr>
              <w:suppressAutoHyphens/>
              <w:rPr>
                <w:sz w:val="22"/>
                <w:szCs w:val="22"/>
                <w:lang w:val="de-DE" w:eastAsia="en-GB"/>
              </w:rPr>
            </w:pPr>
            <w:r>
              <w:rPr>
                <w:sz w:val="22"/>
                <w:szCs w:val="22"/>
                <w:lang w:val="de-DE"/>
              </w:rPr>
              <w:t xml:space="preserve">13 bis 17 Jahre </w:t>
            </w:r>
          </w:p>
        </w:tc>
        <w:tc>
          <w:tcPr>
            <w:tcW w:w="3024" w:type="dxa"/>
          </w:tcPr>
          <w:p w14:paraId="0341DD1D" w14:textId="77777777" w:rsidR="00FE291A" w:rsidRDefault="00C8738F">
            <w:pPr>
              <w:suppressAutoHyphens/>
              <w:jc w:val="center"/>
              <w:rPr>
                <w:sz w:val="22"/>
                <w:szCs w:val="22"/>
                <w:lang w:val="de-DE" w:eastAsia="en-GB"/>
              </w:rPr>
            </w:pPr>
            <w:r>
              <w:rPr>
                <w:sz w:val="22"/>
                <w:szCs w:val="22"/>
                <w:lang w:val="de-DE"/>
              </w:rPr>
              <w:t xml:space="preserve">69 (40,4) </w:t>
            </w:r>
          </w:p>
        </w:tc>
        <w:tc>
          <w:tcPr>
            <w:tcW w:w="3024" w:type="dxa"/>
          </w:tcPr>
          <w:p w14:paraId="10CC505E" w14:textId="77777777" w:rsidR="00FE291A" w:rsidRDefault="00C8738F">
            <w:pPr>
              <w:suppressAutoHyphens/>
              <w:jc w:val="center"/>
              <w:rPr>
                <w:sz w:val="22"/>
                <w:szCs w:val="22"/>
                <w:lang w:val="de-DE" w:eastAsia="en-GB"/>
              </w:rPr>
            </w:pPr>
            <w:r>
              <w:rPr>
                <w:sz w:val="22"/>
                <w:szCs w:val="22"/>
                <w:lang w:val="de-DE"/>
              </w:rPr>
              <w:t xml:space="preserve">25, 40 und 40 mg </w:t>
            </w:r>
          </w:p>
        </w:tc>
      </w:tr>
    </w:tbl>
    <w:p w14:paraId="2835F503" w14:textId="77777777" w:rsidR="00FE291A" w:rsidRDefault="00FE291A">
      <w:pPr>
        <w:pStyle w:val="BodyText"/>
        <w:widowControl/>
        <w:kinsoku w:val="0"/>
        <w:overflowPunct w:val="0"/>
        <w:ind w:left="0"/>
        <w:rPr>
          <w:u w:val="single"/>
          <w:lang w:val="de-DE"/>
        </w:rPr>
      </w:pPr>
    </w:p>
    <w:p w14:paraId="39054863" w14:textId="77777777" w:rsidR="00FE291A" w:rsidRDefault="00C8738F">
      <w:pPr>
        <w:pStyle w:val="BodyText"/>
        <w:widowControl/>
        <w:kinsoku w:val="0"/>
        <w:overflowPunct w:val="0"/>
        <w:ind w:left="0"/>
        <w:rPr>
          <w:u w:val="single"/>
          <w:lang w:val="de-DE"/>
        </w:rPr>
      </w:pPr>
      <w:r>
        <w:rPr>
          <w:lang w:val="de-DE"/>
        </w:rPr>
        <w:t>Die Patienten, die ein pädiatrisches ACR-30-Ansprechen in Woche 16 zeigten, waren für die Randomisierung in die doppelblinde (DB-)Studienphase geeignet und erhielten entweder Adalimumab (24 mg/m</w:t>
      </w:r>
      <w:r>
        <w:rPr>
          <w:vertAlign w:val="superscript"/>
          <w:lang w:val="de-DE"/>
        </w:rPr>
        <w:t>2</w:t>
      </w:r>
      <w:r>
        <w:rPr>
          <w:sz w:val="14"/>
          <w:szCs w:val="14"/>
          <w:lang w:val="de-DE"/>
        </w:rPr>
        <w:t xml:space="preserve"> </w:t>
      </w:r>
      <w:r>
        <w:rPr>
          <w:lang w:val="de-DE"/>
        </w:rPr>
        <w:t>bis zu einer maximalen Einzeldosis von 40 mg) oder Placebo jede zweite Woche für weitere 32 Wochen oder bis zu einem Wiederaufflammen der Erkrankung. Kriterien für ein Wiederaufflammen der Erkrankung waren definiert als eine Verschlechterung von ≥ 30 % im Vergleich zu Studienbeginn bei ≥ 3 von 6 pädiatrischen ACR-</w:t>
      </w:r>
      <w:r>
        <w:rPr>
          <w:i/>
          <w:iCs/>
          <w:lang w:val="de-DE"/>
        </w:rPr>
        <w:t>Core</w:t>
      </w:r>
      <w:r>
        <w:rPr>
          <w:lang w:val="de-DE"/>
        </w:rPr>
        <w:t>-Kriterien, ≥ 2 aktive Gelenke und eine Verbesserung von &gt; 30 % in nicht mehr als einem der 6 Kriterien. Nach 32 Wochen oder bei Wiederaufflammen der Erkrankung waren die Patienten für die Überführung in die offene Fortsetzungsphase (OLE) geeignet.</w:t>
      </w:r>
    </w:p>
    <w:p w14:paraId="1AB6BEB5" w14:textId="77777777" w:rsidR="00FE291A" w:rsidRDefault="00FE291A">
      <w:pPr>
        <w:pStyle w:val="BodyText"/>
        <w:widowControl/>
        <w:kinsoku w:val="0"/>
        <w:overflowPunct w:val="0"/>
        <w:ind w:left="0"/>
        <w:rPr>
          <w:u w:val="single"/>
          <w:lang w:val="de-DE"/>
        </w:rPr>
      </w:pPr>
    </w:p>
    <w:p w14:paraId="6FBED6D4" w14:textId="77777777" w:rsidR="00FE291A" w:rsidRDefault="00C8738F">
      <w:pPr>
        <w:keepNext/>
        <w:keepLines/>
        <w:widowControl/>
        <w:rPr>
          <w:b/>
          <w:color w:val="000000"/>
          <w:sz w:val="22"/>
          <w:szCs w:val="22"/>
          <w:lang w:val="de-DE" w:eastAsia="en-GB"/>
        </w:rPr>
      </w:pPr>
      <w:r>
        <w:rPr>
          <w:b/>
          <w:color w:val="000000"/>
          <w:sz w:val="22"/>
          <w:szCs w:val="22"/>
          <w:lang w:val="de-DE" w:eastAsia="en-GB"/>
        </w:rPr>
        <w:t xml:space="preserve">Tabelle 26: </w:t>
      </w:r>
      <w:r>
        <w:rPr>
          <w:b/>
          <w:bCs/>
          <w:sz w:val="22"/>
          <w:szCs w:val="22"/>
          <w:lang w:val="de-DE"/>
        </w:rPr>
        <w:t>Pädiatrisches ACR-30-Ansprechen in der JIA-Studie</w:t>
      </w:r>
    </w:p>
    <w:p w14:paraId="0744823F" w14:textId="77777777" w:rsidR="00FE291A" w:rsidRDefault="00FE291A">
      <w:pPr>
        <w:keepNext/>
        <w:keepLines/>
        <w:widowControl/>
        <w:rPr>
          <w:color w:val="000000"/>
          <w:sz w:val="22"/>
          <w:szCs w:val="22"/>
          <w:lang w:val="de-DE" w:eastAsia="en-GB"/>
        </w:rPr>
      </w:pPr>
    </w:p>
    <w:tbl>
      <w:tblPr>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268"/>
        <w:gridCol w:w="1593"/>
        <w:gridCol w:w="1701"/>
        <w:gridCol w:w="1701"/>
        <w:gridCol w:w="1701"/>
      </w:tblGrid>
      <w:tr w:rsidR="00FE291A" w14:paraId="137CA807" w14:textId="77777777">
        <w:trPr>
          <w:cantSplit/>
          <w:tblHeader/>
        </w:trPr>
        <w:tc>
          <w:tcPr>
            <w:tcW w:w="2268" w:type="dxa"/>
          </w:tcPr>
          <w:p w14:paraId="6A456ED8" w14:textId="77777777" w:rsidR="00FE291A" w:rsidRDefault="00C8738F">
            <w:pPr>
              <w:keepNext/>
              <w:keepLines/>
              <w:widowControl/>
              <w:suppressAutoHyphens/>
              <w:rPr>
                <w:color w:val="000000"/>
                <w:sz w:val="22"/>
                <w:szCs w:val="22"/>
                <w:lang w:val="de-DE" w:eastAsia="en-GB"/>
              </w:rPr>
            </w:pPr>
            <w:r>
              <w:rPr>
                <w:b/>
                <w:bCs/>
                <w:color w:val="000000"/>
                <w:sz w:val="22"/>
                <w:szCs w:val="22"/>
                <w:lang w:val="de-DE" w:eastAsia="en-GB"/>
              </w:rPr>
              <w:t>Studienarm</w:t>
            </w:r>
          </w:p>
        </w:tc>
        <w:tc>
          <w:tcPr>
            <w:tcW w:w="3294" w:type="dxa"/>
            <w:gridSpan w:val="2"/>
          </w:tcPr>
          <w:p w14:paraId="04BA4B02" w14:textId="77777777" w:rsidR="00FE291A" w:rsidRDefault="00C8738F">
            <w:pPr>
              <w:keepNext/>
              <w:keepLines/>
              <w:widowControl/>
              <w:suppressAutoHyphens/>
              <w:jc w:val="center"/>
              <w:rPr>
                <w:color w:val="000000"/>
                <w:sz w:val="22"/>
                <w:szCs w:val="22"/>
                <w:lang w:val="de-DE" w:eastAsia="en-GB"/>
              </w:rPr>
            </w:pPr>
            <w:r>
              <w:rPr>
                <w:b/>
                <w:bCs/>
                <w:color w:val="000000"/>
                <w:sz w:val="22"/>
                <w:szCs w:val="22"/>
                <w:lang w:val="de-DE" w:eastAsia="en-GB"/>
              </w:rPr>
              <w:t>MTX</w:t>
            </w:r>
          </w:p>
        </w:tc>
        <w:tc>
          <w:tcPr>
            <w:tcW w:w="3402" w:type="dxa"/>
            <w:gridSpan w:val="2"/>
          </w:tcPr>
          <w:p w14:paraId="79DC4CD6" w14:textId="77777777" w:rsidR="00FE291A" w:rsidRDefault="00C8738F">
            <w:pPr>
              <w:keepNext/>
              <w:keepLines/>
              <w:widowControl/>
              <w:suppressAutoHyphens/>
              <w:jc w:val="center"/>
              <w:rPr>
                <w:color w:val="000000"/>
                <w:sz w:val="22"/>
                <w:szCs w:val="22"/>
                <w:lang w:val="de-DE" w:eastAsia="en-GB"/>
              </w:rPr>
            </w:pPr>
            <w:r>
              <w:rPr>
                <w:b/>
                <w:bCs/>
                <w:color w:val="000000"/>
                <w:sz w:val="22"/>
                <w:szCs w:val="22"/>
                <w:lang w:val="de-DE" w:eastAsia="en-GB"/>
              </w:rPr>
              <w:t>Ohne MTX</w:t>
            </w:r>
          </w:p>
        </w:tc>
      </w:tr>
      <w:tr w:rsidR="00FE291A" w14:paraId="28F81C85" w14:textId="77777777">
        <w:trPr>
          <w:cantSplit/>
          <w:tblHeader/>
        </w:trPr>
        <w:tc>
          <w:tcPr>
            <w:tcW w:w="8964" w:type="dxa"/>
            <w:gridSpan w:val="5"/>
          </w:tcPr>
          <w:p w14:paraId="3046D8CE" w14:textId="77777777" w:rsidR="00FE291A" w:rsidRDefault="00C8738F">
            <w:pPr>
              <w:keepNext/>
              <w:keepLines/>
              <w:widowControl/>
              <w:suppressAutoHyphens/>
              <w:rPr>
                <w:color w:val="000000"/>
                <w:sz w:val="22"/>
                <w:szCs w:val="22"/>
                <w:lang w:val="de-DE" w:eastAsia="en-GB"/>
              </w:rPr>
            </w:pPr>
            <w:r>
              <w:rPr>
                <w:b/>
                <w:bCs/>
                <w:color w:val="000000"/>
                <w:sz w:val="22"/>
                <w:szCs w:val="22"/>
                <w:lang w:val="de-DE" w:eastAsia="en-GB"/>
              </w:rPr>
              <w:t>Phase</w:t>
            </w:r>
          </w:p>
        </w:tc>
      </w:tr>
      <w:tr w:rsidR="00FE291A" w14:paraId="1BA758AE" w14:textId="77777777">
        <w:trPr>
          <w:cantSplit/>
        </w:trPr>
        <w:tc>
          <w:tcPr>
            <w:tcW w:w="2268" w:type="dxa"/>
          </w:tcPr>
          <w:p w14:paraId="516AF14F" w14:textId="77777777" w:rsidR="00FE291A" w:rsidRDefault="00C8738F">
            <w:pPr>
              <w:pStyle w:val="Default"/>
              <w:keepNext/>
              <w:keepLines/>
              <w:suppressAutoHyphens/>
              <w:rPr>
                <w:sz w:val="22"/>
                <w:szCs w:val="22"/>
                <w:lang w:val="de-DE"/>
              </w:rPr>
            </w:pPr>
            <w:r>
              <w:rPr>
                <w:sz w:val="22"/>
                <w:szCs w:val="22"/>
                <w:lang w:val="de-DE"/>
              </w:rPr>
              <w:t xml:space="preserve">OL-LI 16 Wochen </w:t>
            </w:r>
          </w:p>
        </w:tc>
        <w:tc>
          <w:tcPr>
            <w:tcW w:w="3294" w:type="dxa"/>
            <w:gridSpan w:val="2"/>
          </w:tcPr>
          <w:p w14:paraId="0EB8391F" w14:textId="77777777" w:rsidR="00FE291A" w:rsidRDefault="00FE291A">
            <w:pPr>
              <w:keepNext/>
              <w:keepLines/>
              <w:widowControl/>
              <w:suppressAutoHyphens/>
              <w:rPr>
                <w:color w:val="000000"/>
                <w:sz w:val="22"/>
                <w:szCs w:val="22"/>
                <w:lang w:val="de-DE" w:eastAsia="en-GB"/>
              </w:rPr>
            </w:pPr>
          </w:p>
        </w:tc>
        <w:tc>
          <w:tcPr>
            <w:tcW w:w="3402" w:type="dxa"/>
            <w:gridSpan w:val="2"/>
          </w:tcPr>
          <w:p w14:paraId="4C74106F" w14:textId="77777777" w:rsidR="00FE291A" w:rsidRDefault="00FE291A">
            <w:pPr>
              <w:keepNext/>
              <w:keepLines/>
              <w:widowControl/>
              <w:suppressAutoHyphens/>
              <w:rPr>
                <w:color w:val="000000"/>
                <w:sz w:val="22"/>
                <w:szCs w:val="22"/>
                <w:lang w:val="de-DE" w:eastAsia="en-GB"/>
              </w:rPr>
            </w:pPr>
          </w:p>
        </w:tc>
      </w:tr>
      <w:tr w:rsidR="00FE291A" w14:paraId="7C6DF569" w14:textId="77777777">
        <w:trPr>
          <w:cantSplit/>
        </w:trPr>
        <w:tc>
          <w:tcPr>
            <w:tcW w:w="2268" w:type="dxa"/>
          </w:tcPr>
          <w:p w14:paraId="7E01C354" w14:textId="77777777" w:rsidR="00FE291A" w:rsidRDefault="00C8738F">
            <w:pPr>
              <w:pStyle w:val="Default"/>
              <w:keepNext/>
              <w:keepLines/>
              <w:suppressAutoHyphens/>
              <w:rPr>
                <w:sz w:val="22"/>
                <w:szCs w:val="22"/>
                <w:lang w:val="de-DE"/>
              </w:rPr>
            </w:pPr>
            <w:r>
              <w:rPr>
                <w:sz w:val="22"/>
                <w:szCs w:val="22"/>
                <w:lang w:val="de-DE"/>
              </w:rPr>
              <w:t>pädiatrisches ACR-30-Ansprechen (n/n)</w:t>
            </w:r>
          </w:p>
        </w:tc>
        <w:tc>
          <w:tcPr>
            <w:tcW w:w="3294" w:type="dxa"/>
            <w:gridSpan w:val="2"/>
          </w:tcPr>
          <w:p w14:paraId="24AF6F98" w14:textId="77777777" w:rsidR="00FE291A" w:rsidRDefault="00C8738F">
            <w:pPr>
              <w:pStyle w:val="Default"/>
              <w:keepNext/>
              <w:keepLines/>
              <w:suppressAutoHyphens/>
              <w:jc w:val="center"/>
              <w:rPr>
                <w:sz w:val="22"/>
                <w:szCs w:val="22"/>
                <w:lang w:val="de-DE"/>
              </w:rPr>
            </w:pPr>
            <w:r>
              <w:rPr>
                <w:sz w:val="22"/>
                <w:szCs w:val="22"/>
                <w:lang w:val="de-DE"/>
              </w:rPr>
              <w:t>94,1 % (80/85)</w:t>
            </w:r>
          </w:p>
          <w:p w14:paraId="7958DA47" w14:textId="77777777" w:rsidR="00FE291A" w:rsidRDefault="00FE291A">
            <w:pPr>
              <w:keepNext/>
              <w:keepLines/>
              <w:widowControl/>
              <w:suppressAutoHyphens/>
              <w:jc w:val="center"/>
              <w:rPr>
                <w:sz w:val="22"/>
                <w:szCs w:val="22"/>
                <w:lang w:val="de-DE" w:eastAsia="en-GB"/>
              </w:rPr>
            </w:pPr>
          </w:p>
        </w:tc>
        <w:tc>
          <w:tcPr>
            <w:tcW w:w="3402" w:type="dxa"/>
            <w:gridSpan w:val="2"/>
          </w:tcPr>
          <w:p w14:paraId="60BAE19C" w14:textId="77777777" w:rsidR="00FE291A" w:rsidRDefault="00C8738F">
            <w:pPr>
              <w:keepNext/>
              <w:keepLines/>
              <w:widowControl/>
              <w:suppressAutoHyphens/>
              <w:jc w:val="center"/>
              <w:rPr>
                <w:sz w:val="22"/>
                <w:szCs w:val="22"/>
                <w:lang w:val="de-DE" w:eastAsia="en-GB"/>
              </w:rPr>
            </w:pPr>
            <w:r>
              <w:rPr>
                <w:sz w:val="22"/>
                <w:szCs w:val="22"/>
                <w:lang w:val="de-DE" w:eastAsia="en-GB"/>
              </w:rPr>
              <w:t>74,4 % (64/86)</w:t>
            </w:r>
          </w:p>
        </w:tc>
      </w:tr>
      <w:tr w:rsidR="00FE291A" w14:paraId="61F104F0" w14:textId="77777777">
        <w:trPr>
          <w:cantSplit/>
        </w:trPr>
        <w:tc>
          <w:tcPr>
            <w:tcW w:w="8964" w:type="dxa"/>
            <w:gridSpan w:val="5"/>
          </w:tcPr>
          <w:p w14:paraId="216CB1E3" w14:textId="77777777" w:rsidR="00FE291A" w:rsidRDefault="00C8738F">
            <w:pPr>
              <w:keepNext/>
              <w:widowControl/>
              <w:suppressAutoHyphens/>
              <w:rPr>
                <w:sz w:val="22"/>
                <w:szCs w:val="22"/>
                <w:lang w:val="de-DE" w:eastAsia="en-GB"/>
              </w:rPr>
            </w:pPr>
            <w:r>
              <w:rPr>
                <w:sz w:val="22"/>
                <w:szCs w:val="22"/>
                <w:lang w:val="de-DE" w:eastAsia="en-GB"/>
              </w:rPr>
              <w:t>Ergebnisse zur Wirksamkeit</w:t>
            </w:r>
          </w:p>
        </w:tc>
      </w:tr>
      <w:tr w:rsidR="00FE291A" w14:paraId="2AEC9682" w14:textId="77777777">
        <w:trPr>
          <w:cantSplit/>
        </w:trPr>
        <w:tc>
          <w:tcPr>
            <w:tcW w:w="2268" w:type="dxa"/>
          </w:tcPr>
          <w:p w14:paraId="76576338" w14:textId="77777777" w:rsidR="00FE291A" w:rsidRDefault="00C8738F">
            <w:pPr>
              <w:keepNext/>
              <w:suppressAutoHyphens/>
              <w:rPr>
                <w:sz w:val="22"/>
                <w:szCs w:val="22"/>
                <w:lang w:val="de-DE" w:eastAsia="en-GB"/>
              </w:rPr>
            </w:pPr>
            <w:r>
              <w:rPr>
                <w:sz w:val="22"/>
                <w:szCs w:val="22"/>
                <w:lang w:val="de-DE"/>
              </w:rPr>
              <w:t>Doppelblind 32 Wochen</w:t>
            </w:r>
          </w:p>
        </w:tc>
        <w:tc>
          <w:tcPr>
            <w:tcW w:w="1593" w:type="dxa"/>
          </w:tcPr>
          <w:p w14:paraId="11865B1A" w14:textId="77777777" w:rsidR="00FE291A" w:rsidRDefault="00C8738F">
            <w:pPr>
              <w:pStyle w:val="Default"/>
              <w:keepNext/>
              <w:suppressAutoHyphens/>
              <w:jc w:val="center"/>
              <w:rPr>
                <w:sz w:val="22"/>
                <w:szCs w:val="22"/>
                <w:lang w:val="de-DE"/>
              </w:rPr>
            </w:pPr>
            <w:r>
              <w:rPr>
                <w:rFonts w:eastAsia="Times New Roman"/>
                <w:sz w:val="22"/>
                <w:szCs w:val="22"/>
                <w:lang w:val="de-DE"/>
              </w:rPr>
              <w:t>Adalimumab</w:t>
            </w:r>
            <w:r>
              <w:rPr>
                <w:sz w:val="22"/>
                <w:szCs w:val="22"/>
                <w:lang w:val="de-DE"/>
              </w:rPr>
              <w:t>/</w:t>
            </w:r>
            <w:r>
              <w:rPr>
                <w:sz w:val="22"/>
                <w:szCs w:val="22"/>
                <w:lang w:val="de-DE"/>
              </w:rPr>
              <w:br/>
              <w:t>MTX</w:t>
            </w:r>
          </w:p>
          <w:p w14:paraId="6A619C61" w14:textId="77777777" w:rsidR="00FE291A" w:rsidRDefault="00C8738F">
            <w:pPr>
              <w:keepNext/>
              <w:suppressAutoHyphens/>
              <w:jc w:val="center"/>
              <w:rPr>
                <w:sz w:val="22"/>
                <w:szCs w:val="22"/>
                <w:lang w:val="de-DE" w:eastAsia="en-GB"/>
              </w:rPr>
            </w:pPr>
            <w:r>
              <w:rPr>
                <w:sz w:val="22"/>
                <w:szCs w:val="22"/>
                <w:lang w:val="de-DE"/>
              </w:rPr>
              <w:t>(n = 38)</w:t>
            </w:r>
          </w:p>
        </w:tc>
        <w:tc>
          <w:tcPr>
            <w:tcW w:w="1701" w:type="dxa"/>
          </w:tcPr>
          <w:p w14:paraId="3DB92E53" w14:textId="77777777" w:rsidR="00FE291A" w:rsidRDefault="00C8738F">
            <w:pPr>
              <w:pStyle w:val="Default"/>
              <w:keepNext/>
              <w:suppressAutoHyphens/>
              <w:jc w:val="center"/>
              <w:rPr>
                <w:sz w:val="22"/>
                <w:szCs w:val="22"/>
                <w:lang w:val="de-DE"/>
              </w:rPr>
            </w:pPr>
            <w:r>
              <w:rPr>
                <w:rFonts w:eastAsia="Times New Roman"/>
                <w:sz w:val="22"/>
                <w:szCs w:val="22"/>
                <w:lang w:val="de-DE"/>
              </w:rPr>
              <w:t>Adalimumab</w:t>
            </w:r>
            <w:r>
              <w:rPr>
                <w:sz w:val="22"/>
                <w:szCs w:val="22"/>
                <w:lang w:val="de-DE"/>
              </w:rPr>
              <w:t>/</w:t>
            </w:r>
            <w:r>
              <w:rPr>
                <w:sz w:val="22"/>
                <w:szCs w:val="22"/>
                <w:lang w:val="de-DE"/>
              </w:rPr>
              <w:br/>
              <w:t>MTX</w:t>
            </w:r>
          </w:p>
          <w:p w14:paraId="0432EE03" w14:textId="77777777" w:rsidR="00FE291A" w:rsidRDefault="00C8738F">
            <w:pPr>
              <w:keepNext/>
              <w:suppressAutoHyphens/>
              <w:jc w:val="center"/>
              <w:rPr>
                <w:sz w:val="22"/>
                <w:szCs w:val="22"/>
                <w:lang w:val="de-DE" w:eastAsia="en-GB"/>
              </w:rPr>
            </w:pPr>
            <w:r>
              <w:rPr>
                <w:sz w:val="22"/>
                <w:szCs w:val="22"/>
                <w:lang w:val="de-DE"/>
              </w:rPr>
              <w:t>(n = 37)</w:t>
            </w:r>
          </w:p>
        </w:tc>
        <w:tc>
          <w:tcPr>
            <w:tcW w:w="1701" w:type="dxa"/>
          </w:tcPr>
          <w:p w14:paraId="30E1A3FC" w14:textId="77777777" w:rsidR="00FE291A" w:rsidRDefault="00C8738F">
            <w:pPr>
              <w:keepNext/>
              <w:suppressAutoHyphens/>
              <w:jc w:val="center"/>
              <w:rPr>
                <w:sz w:val="22"/>
                <w:szCs w:val="22"/>
                <w:lang w:val="de-DE" w:eastAsia="en-GB"/>
              </w:rPr>
            </w:pPr>
            <w:r>
              <w:rPr>
                <w:rFonts w:eastAsia="Times New Roman"/>
                <w:color w:val="000000"/>
                <w:sz w:val="22"/>
                <w:szCs w:val="22"/>
                <w:lang w:val="de-DE"/>
              </w:rPr>
              <w:t>Adalimumab</w:t>
            </w:r>
            <w:r>
              <w:rPr>
                <w:sz w:val="22"/>
                <w:szCs w:val="22"/>
                <w:lang w:val="de-DE"/>
              </w:rPr>
              <w:t xml:space="preserve"> (n = 30) </w:t>
            </w:r>
          </w:p>
        </w:tc>
        <w:tc>
          <w:tcPr>
            <w:tcW w:w="1701" w:type="dxa"/>
          </w:tcPr>
          <w:p w14:paraId="5B5CCB8B" w14:textId="77777777" w:rsidR="00FE291A" w:rsidRDefault="00C8738F">
            <w:pPr>
              <w:pStyle w:val="Default"/>
              <w:keepNext/>
              <w:suppressAutoHyphens/>
              <w:jc w:val="center"/>
              <w:rPr>
                <w:sz w:val="22"/>
                <w:szCs w:val="22"/>
                <w:lang w:val="de-DE"/>
              </w:rPr>
            </w:pPr>
            <w:r>
              <w:rPr>
                <w:sz w:val="22"/>
                <w:szCs w:val="22"/>
                <w:lang w:val="de-DE"/>
              </w:rPr>
              <w:t>Placebo</w:t>
            </w:r>
          </w:p>
          <w:p w14:paraId="11F97AE6" w14:textId="77777777" w:rsidR="00FE291A" w:rsidRDefault="00C8738F">
            <w:pPr>
              <w:keepNext/>
              <w:suppressAutoHyphens/>
              <w:jc w:val="center"/>
              <w:rPr>
                <w:sz w:val="22"/>
                <w:szCs w:val="22"/>
                <w:lang w:val="de-DE" w:eastAsia="en-GB"/>
              </w:rPr>
            </w:pPr>
            <w:r>
              <w:rPr>
                <w:sz w:val="22"/>
                <w:szCs w:val="22"/>
                <w:lang w:val="de-DE"/>
              </w:rPr>
              <w:t xml:space="preserve">(n = 28) </w:t>
            </w:r>
          </w:p>
        </w:tc>
      </w:tr>
      <w:tr w:rsidR="00FE291A" w14:paraId="4F38F28B" w14:textId="77777777">
        <w:trPr>
          <w:cantSplit/>
        </w:trPr>
        <w:tc>
          <w:tcPr>
            <w:tcW w:w="2268" w:type="dxa"/>
          </w:tcPr>
          <w:p w14:paraId="5156C19B" w14:textId="77777777" w:rsidR="00FE291A" w:rsidRDefault="00C8738F">
            <w:pPr>
              <w:keepNext/>
              <w:suppressAutoHyphens/>
              <w:rPr>
                <w:sz w:val="22"/>
                <w:szCs w:val="22"/>
                <w:lang w:val="de-DE" w:eastAsia="en-GB"/>
              </w:rPr>
            </w:pPr>
            <w:r>
              <w:rPr>
                <w:sz w:val="22"/>
                <w:szCs w:val="22"/>
                <w:lang w:val="de-DE"/>
              </w:rPr>
              <w:t>Wiederaufflammen der Erkrankung nach 32 Wochen</w:t>
            </w:r>
            <w:r>
              <w:rPr>
                <w:sz w:val="22"/>
                <w:szCs w:val="22"/>
                <w:vertAlign w:val="superscript"/>
                <w:lang w:val="de-DE"/>
              </w:rPr>
              <w:t>a</w:t>
            </w:r>
            <w:r>
              <w:rPr>
                <w:sz w:val="22"/>
                <w:szCs w:val="22"/>
                <w:lang w:val="de-DE"/>
              </w:rPr>
              <w:t xml:space="preserve"> (n/n)</w:t>
            </w:r>
          </w:p>
        </w:tc>
        <w:tc>
          <w:tcPr>
            <w:tcW w:w="1593" w:type="dxa"/>
          </w:tcPr>
          <w:p w14:paraId="084E42FC" w14:textId="77777777" w:rsidR="00FE291A" w:rsidRDefault="00C8738F">
            <w:pPr>
              <w:keepNext/>
              <w:suppressAutoHyphens/>
              <w:jc w:val="center"/>
              <w:rPr>
                <w:sz w:val="22"/>
                <w:szCs w:val="22"/>
                <w:lang w:val="de-DE" w:eastAsia="en-GB"/>
              </w:rPr>
            </w:pPr>
            <w:r>
              <w:rPr>
                <w:sz w:val="22"/>
                <w:szCs w:val="22"/>
                <w:lang w:val="de-DE"/>
              </w:rPr>
              <w:t>36,8 % (14/38)</w:t>
            </w:r>
          </w:p>
        </w:tc>
        <w:tc>
          <w:tcPr>
            <w:tcW w:w="1701" w:type="dxa"/>
          </w:tcPr>
          <w:p w14:paraId="3D6C71B3" w14:textId="77777777" w:rsidR="00FE291A" w:rsidRDefault="00C8738F">
            <w:pPr>
              <w:keepNext/>
              <w:suppressAutoHyphens/>
              <w:jc w:val="center"/>
              <w:rPr>
                <w:sz w:val="22"/>
                <w:szCs w:val="22"/>
                <w:lang w:val="de-DE" w:eastAsia="en-GB"/>
              </w:rPr>
            </w:pPr>
            <w:r>
              <w:rPr>
                <w:sz w:val="22"/>
                <w:szCs w:val="22"/>
                <w:lang w:val="de-DE"/>
              </w:rPr>
              <w:t>64,9 % (24/37)</w:t>
            </w:r>
            <w:r>
              <w:rPr>
                <w:sz w:val="22"/>
                <w:szCs w:val="22"/>
                <w:vertAlign w:val="superscript"/>
                <w:lang w:val="de-DE"/>
              </w:rPr>
              <w:t>b</w:t>
            </w:r>
          </w:p>
        </w:tc>
        <w:tc>
          <w:tcPr>
            <w:tcW w:w="1701" w:type="dxa"/>
          </w:tcPr>
          <w:p w14:paraId="0452A3B1" w14:textId="77777777" w:rsidR="00FE291A" w:rsidRDefault="00C8738F">
            <w:pPr>
              <w:keepNext/>
              <w:suppressAutoHyphens/>
              <w:jc w:val="center"/>
              <w:rPr>
                <w:sz w:val="22"/>
                <w:szCs w:val="22"/>
                <w:lang w:val="de-DE" w:eastAsia="en-GB"/>
              </w:rPr>
            </w:pPr>
            <w:r>
              <w:rPr>
                <w:sz w:val="22"/>
                <w:szCs w:val="22"/>
                <w:lang w:val="de-DE"/>
              </w:rPr>
              <w:t>43,3 % (13/30)</w:t>
            </w:r>
          </w:p>
        </w:tc>
        <w:tc>
          <w:tcPr>
            <w:tcW w:w="1701" w:type="dxa"/>
          </w:tcPr>
          <w:p w14:paraId="715E7199" w14:textId="77777777" w:rsidR="00FE291A" w:rsidRDefault="00C8738F">
            <w:pPr>
              <w:keepNext/>
              <w:suppressAutoHyphens/>
              <w:jc w:val="center"/>
              <w:rPr>
                <w:sz w:val="22"/>
                <w:szCs w:val="22"/>
                <w:lang w:val="de-DE" w:eastAsia="en-GB"/>
              </w:rPr>
            </w:pPr>
            <w:r>
              <w:rPr>
                <w:sz w:val="22"/>
                <w:szCs w:val="22"/>
                <w:lang w:val="de-DE"/>
              </w:rPr>
              <w:t>71,4 % (20/28)</w:t>
            </w:r>
            <w:r>
              <w:rPr>
                <w:sz w:val="22"/>
                <w:szCs w:val="22"/>
                <w:vertAlign w:val="superscript"/>
                <w:lang w:val="de-DE"/>
              </w:rPr>
              <w:t>c</w:t>
            </w:r>
          </w:p>
        </w:tc>
      </w:tr>
      <w:tr w:rsidR="00FE291A" w14:paraId="100F87DE" w14:textId="77777777">
        <w:trPr>
          <w:cantSplit/>
        </w:trPr>
        <w:tc>
          <w:tcPr>
            <w:tcW w:w="2268" w:type="dxa"/>
          </w:tcPr>
          <w:p w14:paraId="56BD90FE" w14:textId="77777777" w:rsidR="00FE291A" w:rsidRDefault="00C8738F">
            <w:pPr>
              <w:keepNext/>
              <w:suppressAutoHyphens/>
              <w:rPr>
                <w:sz w:val="22"/>
                <w:szCs w:val="22"/>
                <w:lang w:val="de-DE" w:eastAsia="en-GB"/>
              </w:rPr>
            </w:pPr>
            <w:r>
              <w:rPr>
                <w:sz w:val="22"/>
                <w:szCs w:val="22"/>
                <w:lang w:val="de-DE"/>
              </w:rPr>
              <w:t>Mittlere Zeit bis zum Wiederaufflammen der Erkrankung</w:t>
            </w:r>
          </w:p>
        </w:tc>
        <w:tc>
          <w:tcPr>
            <w:tcW w:w="1593" w:type="dxa"/>
          </w:tcPr>
          <w:p w14:paraId="41703997" w14:textId="77777777" w:rsidR="00FE291A" w:rsidRDefault="00C8738F">
            <w:pPr>
              <w:keepNext/>
              <w:suppressAutoHyphens/>
              <w:jc w:val="center"/>
              <w:rPr>
                <w:sz w:val="22"/>
                <w:szCs w:val="22"/>
                <w:lang w:val="de-DE" w:eastAsia="en-GB"/>
              </w:rPr>
            </w:pPr>
            <w:r>
              <w:rPr>
                <w:sz w:val="22"/>
                <w:szCs w:val="22"/>
                <w:lang w:val="de-DE"/>
              </w:rPr>
              <w:t>&gt; 32 Wochen</w:t>
            </w:r>
          </w:p>
        </w:tc>
        <w:tc>
          <w:tcPr>
            <w:tcW w:w="1701" w:type="dxa"/>
          </w:tcPr>
          <w:p w14:paraId="095E1D1E" w14:textId="77777777" w:rsidR="00FE291A" w:rsidRDefault="00C8738F">
            <w:pPr>
              <w:keepNext/>
              <w:suppressAutoHyphens/>
              <w:jc w:val="center"/>
              <w:rPr>
                <w:sz w:val="22"/>
                <w:szCs w:val="22"/>
                <w:lang w:val="de-DE" w:eastAsia="en-GB"/>
              </w:rPr>
            </w:pPr>
            <w:r>
              <w:rPr>
                <w:sz w:val="22"/>
                <w:szCs w:val="22"/>
                <w:lang w:val="de-DE"/>
              </w:rPr>
              <w:t>20 Wochen</w:t>
            </w:r>
          </w:p>
        </w:tc>
        <w:tc>
          <w:tcPr>
            <w:tcW w:w="1701" w:type="dxa"/>
          </w:tcPr>
          <w:p w14:paraId="7A8FB168" w14:textId="77777777" w:rsidR="00FE291A" w:rsidRDefault="00C8738F">
            <w:pPr>
              <w:keepNext/>
              <w:suppressAutoHyphens/>
              <w:jc w:val="center"/>
              <w:rPr>
                <w:sz w:val="22"/>
                <w:szCs w:val="22"/>
                <w:lang w:val="de-DE" w:eastAsia="en-GB"/>
              </w:rPr>
            </w:pPr>
            <w:r>
              <w:rPr>
                <w:sz w:val="22"/>
                <w:szCs w:val="22"/>
                <w:lang w:val="de-DE"/>
              </w:rPr>
              <w:t>&gt; 32 Wochen</w:t>
            </w:r>
          </w:p>
        </w:tc>
        <w:tc>
          <w:tcPr>
            <w:tcW w:w="1701" w:type="dxa"/>
          </w:tcPr>
          <w:p w14:paraId="7595D4BF" w14:textId="77777777" w:rsidR="00FE291A" w:rsidRDefault="00C8738F">
            <w:pPr>
              <w:keepNext/>
              <w:suppressAutoHyphens/>
              <w:jc w:val="center"/>
              <w:rPr>
                <w:sz w:val="22"/>
                <w:szCs w:val="22"/>
                <w:lang w:val="de-DE" w:eastAsia="en-GB"/>
              </w:rPr>
            </w:pPr>
            <w:r>
              <w:rPr>
                <w:sz w:val="22"/>
                <w:szCs w:val="22"/>
                <w:lang w:val="de-DE"/>
              </w:rPr>
              <w:t>14 Wochen</w:t>
            </w:r>
          </w:p>
        </w:tc>
      </w:tr>
    </w:tbl>
    <w:p w14:paraId="3EDC1974" w14:textId="77777777" w:rsidR="00FE291A" w:rsidRDefault="00C8738F">
      <w:pPr>
        <w:keepNext/>
        <w:rPr>
          <w:sz w:val="20"/>
          <w:szCs w:val="20"/>
          <w:lang w:val="de-DE"/>
        </w:rPr>
      </w:pPr>
      <w:r>
        <w:rPr>
          <w:sz w:val="20"/>
          <w:vertAlign w:val="superscript"/>
          <w:lang w:val="de-DE" w:eastAsia="en-GB"/>
        </w:rPr>
        <w:t>a</w:t>
      </w:r>
      <w:r>
        <w:rPr>
          <w:sz w:val="20"/>
          <w:lang w:val="de-DE" w:eastAsia="en-GB"/>
        </w:rPr>
        <w:t xml:space="preserve"> </w:t>
      </w:r>
      <w:r>
        <w:rPr>
          <w:sz w:val="20"/>
          <w:szCs w:val="20"/>
          <w:lang w:val="de-DE"/>
        </w:rPr>
        <w:t>pädiatrisches ACR-30/50/70-Ansprechen in Woche 48 war signifikant größer als bei mit Placebo behandelten Patienten</w:t>
      </w:r>
    </w:p>
    <w:p w14:paraId="1CC94DC3" w14:textId="77777777" w:rsidR="00FE291A" w:rsidRDefault="00C8738F">
      <w:pPr>
        <w:keepNext/>
        <w:rPr>
          <w:sz w:val="20"/>
          <w:lang w:val="de-DE" w:eastAsia="en-GB"/>
        </w:rPr>
      </w:pPr>
      <w:r>
        <w:rPr>
          <w:sz w:val="20"/>
          <w:szCs w:val="20"/>
          <w:vertAlign w:val="superscript"/>
          <w:lang w:val="de-DE" w:eastAsia="en-GB"/>
        </w:rPr>
        <w:t>b</w:t>
      </w:r>
      <w:r>
        <w:rPr>
          <w:sz w:val="20"/>
          <w:szCs w:val="20"/>
          <w:lang w:val="de-DE" w:eastAsia="en-GB"/>
        </w:rPr>
        <w:t xml:space="preserve"> p</w:t>
      </w:r>
      <w:r>
        <w:rPr>
          <w:sz w:val="20"/>
          <w:szCs w:val="20"/>
          <w:lang w:val="de-DE"/>
        </w:rPr>
        <w:t> </w:t>
      </w:r>
      <w:r>
        <w:rPr>
          <w:sz w:val="20"/>
          <w:szCs w:val="20"/>
          <w:lang w:val="de-DE" w:eastAsia="en-GB"/>
        </w:rPr>
        <w:t>=</w:t>
      </w:r>
      <w:r>
        <w:rPr>
          <w:sz w:val="20"/>
          <w:szCs w:val="20"/>
          <w:lang w:val="de-DE"/>
        </w:rPr>
        <w:t> </w:t>
      </w:r>
      <w:r>
        <w:rPr>
          <w:sz w:val="20"/>
          <w:szCs w:val="20"/>
          <w:lang w:val="de-DE" w:eastAsia="en-GB"/>
        </w:rPr>
        <w:t>0,015</w:t>
      </w:r>
    </w:p>
    <w:p w14:paraId="71B8E46A" w14:textId="77777777" w:rsidR="00FE291A" w:rsidRDefault="00C8738F">
      <w:pPr>
        <w:rPr>
          <w:sz w:val="20"/>
          <w:lang w:val="de-DE" w:eastAsia="en-GB"/>
        </w:rPr>
      </w:pPr>
      <w:r>
        <w:rPr>
          <w:sz w:val="20"/>
          <w:vertAlign w:val="superscript"/>
          <w:lang w:val="de-DE" w:eastAsia="en-GB"/>
        </w:rPr>
        <w:t>c</w:t>
      </w:r>
      <w:r>
        <w:rPr>
          <w:sz w:val="20"/>
          <w:lang w:val="de-DE" w:eastAsia="en-GB"/>
        </w:rPr>
        <w:t xml:space="preserve"> p</w:t>
      </w:r>
      <w:r>
        <w:rPr>
          <w:sz w:val="20"/>
          <w:lang w:val="de-DE"/>
        </w:rPr>
        <w:t> </w:t>
      </w:r>
      <w:r>
        <w:rPr>
          <w:sz w:val="20"/>
          <w:lang w:val="de-DE" w:eastAsia="en-GB"/>
        </w:rPr>
        <w:t>=</w:t>
      </w:r>
      <w:r>
        <w:rPr>
          <w:sz w:val="20"/>
          <w:lang w:val="de-DE"/>
        </w:rPr>
        <w:t> </w:t>
      </w:r>
      <w:r>
        <w:rPr>
          <w:sz w:val="20"/>
          <w:lang w:val="de-DE" w:eastAsia="en-GB"/>
        </w:rPr>
        <w:t>0,031</w:t>
      </w:r>
    </w:p>
    <w:p w14:paraId="5D1FA7A6" w14:textId="77777777" w:rsidR="00FE291A" w:rsidRDefault="00FE291A">
      <w:pPr>
        <w:rPr>
          <w:sz w:val="20"/>
          <w:lang w:val="de-DE" w:eastAsia="en-GB"/>
        </w:rPr>
      </w:pPr>
    </w:p>
    <w:p w14:paraId="226F6FEF" w14:textId="77777777" w:rsidR="00FE291A" w:rsidRDefault="00C8738F">
      <w:pPr>
        <w:pStyle w:val="Default"/>
        <w:rPr>
          <w:rFonts w:eastAsia="PMingLiU"/>
          <w:sz w:val="22"/>
          <w:szCs w:val="22"/>
          <w:lang w:val="de-DE" w:eastAsia="en-IN"/>
        </w:rPr>
      </w:pPr>
      <w:r>
        <w:rPr>
          <w:sz w:val="22"/>
          <w:szCs w:val="22"/>
          <w:lang w:val="de-DE"/>
        </w:rPr>
        <w:t>Unter den Patienten, die in Woche 16 (n = 144) ansprachen, wurde das pädiatrische ACR-30/50/70/90</w:t>
      </w:r>
      <w:r>
        <w:rPr>
          <w:sz w:val="22"/>
          <w:szCs w:val="22"/>
          <w:lang w:val="de-DE"/>
        </w:rPr>
        <w:noBreakHyphen/>
        <w:t xml:space="preserve">Ansprechen für bis zu sechs Jahre in der OLE-Phase bei denjenigen aufrechterhalten, die Adalimumab während der ganzen Studie über erhielten. Insgesamt wurden 19 Patienten (11 zu </w:t>
      </w:r>
      <w:r>
        <w:rPr>
          <w:rFonts w:eastAsia="PMingLiU"/>
          <w:sz w:val="22"/>
          <w:szCs w:val="22"/>
          <w:lang w:val="de-DE" w:eastAsia="en-IN"/>
        </w:rPr>
        <w:t xml:space="preserve">Studienbeginn in der Altersgruppe von 4 bis 12 Jahren und 8 zu Studienbeginn in der Altersgruppe von 13 bis 17 Jahren) 6 Jahre oder länger behandelt. </w:t>
      </w:r>
    </w:p>
    <w:p w14:paraId="2825FB7E" w14:textId="77777777" w:rsidR="00FE291A" w:rsidRDefault="00FE291A">
      <w:pPr>
        <w:pStyle w:val="Default"/>
        <w:rPr>
          <w:rFonts w:eastAsia="PMingLiU"/>
          <w:sz w:val="22"/>
          <w:szCs w:val="22"/>
          <w:lang w:val="de-DE" w:eastAsia="en-IN"/>
        </w:rPr>
      </w:pPr>
    </w:p>
    <w:p w14:paraId="542DD82E" w14:textId="77777777" w:rsidR="00FE291A" w:rsidRDefault="00C8738F">
      <w:pPr>
        <w:widowControl/>
        <w:rPr>
          <w:color w:val="000000"/>
          <w:sz w:val="22"/>
          <w:szCs w:val="22"/>
          <w:lang w:val="de-DE"/>
        </w:rPr>
      </w:pPr>
      <w:r>
        <w:rPr>
          <w:color w:val="000000"/>
          <w:sz w:val="22"/>
          <w:szCs w:val="22"/>
          <w:lang w:val="de-DE"/>
        </w:rPr>
        <w:t xml:space="preserve">Das Gesamtansprechen bei der Kombinationstherapie von </w:t>
      </w:r>
      <w:r>
        <w:rPr>
          <w:sz w:val="22"/>
          <w:szCs w:val="22"/>
          <w:lang w:val="de-DE"/>
        </w:rPr>
        <w:t xml:space="preserve">Adalimumab </w:t>
      </w:r>
      <w:r>
        <w:rPr>
          <w:color w:val="000000"/>
          <w:sz w:val="22"/>
          <w:szCs w:val="22"/>
          <w:lang w:val="de-DE"/>
        </w:rPr>
        <w:t xml:space="preserve">und MTX war allgemein besser, und weniger Patienten entwickelten Antikörper im Vergleich zur </w:t>
      </w:r>
      <w:r>
        <w:rPr>
          <w:sz w:val="22"/>
          <w:szCs w:val="22"/>
          <w:lang w:val="de-DE"/>
        </w:rPr>
        <w:t>Adalimumab</w:t>
      </w:r>
      <w:r>
        <w:rPr>
          <w:color w:val="000000"/>
          <w:sz w:val="22"/>
          <w:szCs w:val="22"/>
          <w:lang w:val="de-DE"/>
        </w:rPr>
        <w:t xml:space="preserve">-Monotherapie. Unter Berücksichtigung dieser Ergebnisse wird der Einsatz von </w:t>
      </w:r>
      <w:r>
        <w:rPr>
          <w:sz w:val="22"/>
          <w:szCs w:val="22"/>
          <w:lang w:val="de-DE"/>
        </w:rPr>
        <w:t xml:space="preserve">Adalimumab </w:t>
      </w:r>
      <w:r>
        <w:rPr>
          <w:color w:val="000000"/>
          <w:sz w:val="22"/>
          <w:szCs w:val="22"/>
          <w:lang w:val="de-DE"/>
        </w:rPr>
        <w:t xml:space="preserve">in Kombination mit MTX empfohlen. Bei Patienten, bei denen der MTX-Einsatz nicht geeignet ist, wird eine Monotherapie mit </w:t>
      </w:r>
      <w:r>
        <w:rPr>
          <w:sz w:val="22"/>
          <w:szCs w:val="22"/>
          <w:lang w:val="de-DE"/>
        </w:rPr>
        <w:t xml:space="preserve">Adalimumab </w:t>
      </w:r>
      <w:r>
        <w:rPr>
          <w:color w:val="000000"/>
          <w:sz w:val="22"/>
          <w:szCs w:val="22"/>
          <w:lang w:val="de-DE"/>
        </w:rPr>
        <w:t xml:space="preserve">empfohlen (siehe Abschnitt 4.2). </w:t>
      </w:r>
    </w:p>
    <w:p w14:paraId="7DCB3A85" w14:textId="77777777" w:rsidR="00FE291A" w:rsidRDefault="00FE291A">
      <w:pPr>
        <w:widowControl/>
        <w:rPr>
          <w:color w:val="000000"/>
          <w:sz w:val="22"/>
          <w:szCs w:val="22"/>
          <w:lang w:val="de-DE"/>
        </w:rPr>
      </w:pPr>
    </w:p>
    <w:p w14:paraId="7890EA09" w14:textId="77777777" w:rsidR="00FE291A" w:rsidRDefault="00C8738F">
      <w:pPr>
        <w:keepNext/>
        <w:widowControl/>
        <w:rPr>
          <w:color w:val="000000"/>
          <w:sz w:val="22"/>
          <w:szCs w:val="22"/>
          <w:lang w:val="de-DE"/>
        </w:rPr>
      </w:pPr>
      <w:r>
        <w:rPr>
          <w:color w:val="000000"/>
          <w:sz w:val="22"/>
          <w:szCs w:val="22"/>
          <w:lang w:val="de-DE"/>
        </w:rPr>
        <w:t xml:space="preserve">pJIA II </w:t>
      </w:r>
    </w:p>
    <w:p w14:paraId="6A6F66DC" w14:textId="77777777" w:rsidR="00FE291A" w:rsidRDefault="00FE291A">
      <w:pPr>
        <w:keepNext/>
        <w:widowControl/>
        <w:rPr>
          <w:color w:val="000000"/>
          <w:sz w:val="22"/>
          <w:szCs w:val="22"/>
          <w:lang w:val="de-DE"/>
        </w:rPr>
      </w:pPr>
    </w:p>
    <w:p w14:paraId="4EC9EF0C" w14:textId="77777777" w:rsidR="00FE291A" w:rsidRDefault="00C8738F">
      <w:pPr>
        <w:widowControl/>
        <w:rPr>
          <w:color w:val="000000"/>
          <w:sz w:val="22"/>
          <w:szCs w:val="22"/>
          <w:lang w:val="de-DE"/>
        </w:rPr>
      </w:pPr>
      <w:r>
        <w:rPr>
          <w:color w:val="000000"/>
          <w:sz w:val="22"/>
          <w:szCs w:val="22"/>
          <w:lang w:val="de-DE"/>
        </w:rPr>
        <w:t xml:space="preserve">Die Sicherheit und Wirksamkeit von Adalimumab wurden in einer offenen, multizentrischen Studie an 32 Kleinkindern/Kindern (im Alter von 2 – &lt; 4 Jahren oder im Alter von 4 Jahren und älter mit einem Körpergewicht &lt; 15 kg) mit mittelschwerer bis schwerer aktiver polyartikulärer JIA untersucht. Die Patienten erhielten als Einzeldosis mittels subkutaner Injektion mindestens 24 Wochen lang jede zweite Woche 24 mg </w:t>
      </w:r>
      <w:r>
        <w:rPr>
          <w:sz w:val="22"/>
          <w:szCs w:val="22"/>
          <w:lang w:val="de-DE"/>
        </w:rPr>
        <w:t>Adalimumab</w:t>
      </w:r>
      <w:r>
        <w:rPr>
          <w:color w:val="000000"/>
          <w:sz w:val="22"/>
          <w:szCs w:val="22"/>
          <w:lang w:val="de-DE"/>
        </w:rPr>
        <w:t>/m</w:t>
      </w:r>
      <w:r>
        <w:rPr>
          <w:color w:val="000000"/>
          <w:sz w:val="22"/>
          <w:szCs w:val="22"/>
          <w:vertAlign w:val="superscript"/>
          <w:lang w:val="de-DE"/>
        </w:rPr>
        <w:t>2</w:t>
      </w:r>
      <w:r>
        <w:rPr>
          <w:color w:val="000000"/>
          <w:sz w:val="22"/>
          <w:szCs w:val="22"/>
          <w:lang w:val="de-DE"/>
        </w:rPr>
        <w:t xml:space="preserve"> Körperoberfläche bis zu einer maximalen Dosis von 20 mg. Während der Studie verwendeten die meisten Patienten eine MTX-Begleittherapie, die Anwendung von Kortikosteroiden oder NSARs wurde seltener berichtet. </w:t>
      </w:r>
    </w:p>
    <w:p w14:paraId="33E47321" w14:textId="77777777" w:rsidR="00FE291A" w:rsidRDefault="00FE291A">
      <w:pPr>
        <w:widowControl/>
        <w:rPr>
          <w:color w:val="000000"/>
          <w:sz w:val="22"/>
          <w:szCs w:val="22"/>
          <w:lang w:val="de-DE"/>
        </w:rPr>
      </w:pPr>
    </w:p>
    <w:p w14:paraId="5E2195AC" w14:textId="77777777" w:rsidR="00FE291A" w:rsidRDefault="00C8738F">
      <w:pPr>
        <w:widowControl/>
        <w:rPr>
          <w:color w:val="000000"/>
          <w:sz w:val="22"/>
          <w:szCs w:val="22"/>
          <w:lang w:val="de-DE"/>
        </w:rPr>
      </w:pPr>
      <w:r>
        <w:rPr>
          <w:color w:val="000000"/>
          <w:sz w:val="22"/>
          <w:szCs w:val="22"/>
          <w:lang w:val="de-DE"/>
        </w:rPr>
        <w:t xml:space="preserve">In Woche 12 und Woche 24 betrug unter Auswertung der beobachteten Daten das pädiatrische ACR-30-Ansprechen 93,5 % bzw. 90,0 %. Die Anteile an Patienten mit pädiatrischem ACR-50/70/90-Ansprechen betrugen 90,3 %/61,3 %/38,7 % bzw. 83,3 %/73,3 %/36,7 % in Woche 12 und Woche 24. Von den Patienten, die in Woche 24 ein pädiatrisches ACR-30-Ansprechen zeigten (n = 27 von 30 Patienten), wurde das pädiatrische ACR-30-Ansprechen bis zu 60 Wochen in der OLE-Phase bei den Patienten aufrechterhalten, die Adalimumab über diesen Zeitraum erhielten. Insgesamt wurden 20 Patienten 60 Wochen oder länger behandelt. </w:t>
      </w:r>
    </w:p>
    <w:p w14:paraId="4977DBC6" w14:textId="77777777" w:rsidR="00FE291A" w:rsidRDefault="00FE291A">
      <w:pPr>
        <w:widowControl/>
        <w:rPr>
          <w:color w:val="000000"/>
          <w:sz w:val="22"/>
          <w:szCs w:val="22"/>
          <w:lang w:val="de-DE"/>
        </w:rPr>
      </w:pPr>
    </w:p>
    <w:p w14:paraId="1637112D" w14:textId="77777777" w:rsidR="00FE291A" w:rsidRDefault="00C8738F">
      <w:pPr>
        <w:keepNext/>
        <w:widowControl/>
        <w:rPr>
          <w:i/>
          <w:iCs/>
          <w:color w:val="000000"/>
          <w:sz w:val="22"/>
          <w:szCs w:val="22"/>
          <w:u w:val="single"/>
          <w:lang w:val="de-DE"/>
        </w:rPr>
      </w:pPr>
      <w:r>
        <w:rPr>
          <w:i/>
          <w:iCs/>
          <w:color w:val="000000"/>
          <w:sz w:val="22"/>
          <w:szCs w:val="22"/>
          <w:u w:val="single"/>
          <w:lang w:val="de-DE"/>
        </w:rPr>
        <w:t>Enthesitis-assoziierte Arthritis</w:t>
      </w:r>
    </w:p>
    <w:p w14:paraId="599AA172" w14:textId="77777777" w:rsidR="00FE291A" w:rsidRDefault="00FE291A">
      <w:pPr>
        <w:keepNext/>
        <w:widowControl/>
        <w:rPr>
          <w:color w:val="000000"/>
          <w:sz w:val="22"/>
          <w:szCs w:val="22"/>
          <w:lang w:val="de-DE"/>
        </w:rPr>
      </w:pPr>
    </w:p>
    <w:p w14:paraId="1C3071CD" w14:textId="77777777" w:rsidR="00FE291A" w:rsidRDefault="00C8738F">
      <w:pPr>
        <w:widowControl/>
        <w:rPr>
          <w:color w:val="000000"/>
          <w:sz w:val="22"/>
          <w:szCs w:val="22"/>
          <w:lang w:val="de-DE"/>
        </w:rPr>
      </w:pPr>
      <w:r>
        <w:rPr>
          <w:color w:val="000000"/>
          <w:sz w:val="22"/>
          <w:szCs w:val="22"/>
          <w:lang w:val="de-DE"/>
        </w:rPr>
        <w:t>Die Sicherheit und Wirksamkeit von Adalimumab wurden in einer multizentrischen, randomisierten, doppelblinden Studie bei 46 Kindern und Jugendlichen (im Alter von 6 bis 17 Jahren) mit mittelschwerer Enthesitis-assoziierter Arthritis untersucht. Die Patienten wurden randomisiert und erhielten 12 Wochen lang entweder 24 mg Adalimumab/m</w:t>
      </w:r>
      <w:r>
        <w:rPr>
          <w:color w:val="000000"/>
          <w:sz w:val="22"/>
          <w:szCs w:val="22"/>
          <w:vertAlign w:val="superscript"/>
          <w:lang w:val="de-DE"/>
        </w:rPr>
        <w:t>2</w:t>
      </w:r>
      <w:r>
        <w:rPr>
          <w:color w:val="000000"/>
          <w:sz w:val="22"/>
          <w:szCs w:val="22"/>
          <w:lang w:val="de-DE"/>
        </w:rPr>
        <w:t> Körperoberfläche (KOF) bis zu maximal 40 mg Adalimumab oder Placebo jede zweite Woche. Der doppelblinden Phase folgte eine offene Fortsetzungsphase (OL). Während dieser Zeit erhielten die Patienten subkutan bis zu weiteren 192 Wochen jede zweite Woche 24 mg Adalimumab/m</w:t>
      </w:r>
      <w:r>
        <w:rPr>
          <w:color w:val="000000"/>
          <w:sz w:val="22"/>
          <w:szCs w:val="22"/>
          <w:vertAlign w:val="superscript"/>
          <w:lang w:val="de-DE"/>
        </w:rPr>
        <w:t>2</w:t>
      </w:r>
      <w:r>
        <w:rPr>
          <w:color w:val="000000"/>
          <w:sz w:val="22"/>
          <w:szCs w:val="22"/>
          <w:lang w:val="de-DE"/>
        </w:rPr>
        <w:t> (KOF) bis zu maximal 40 mg Adalimumab. Der primäre Endpunkt war die prozentuale Veränderung in der Anzahl der aktiven Gelenke mit Arthritis (Schwellung nicht als Folge von Deformierung oder Gelenke mit Bewegungsverlust plus Schmerzen und/oder Druckschmerzempfindlichkeit) in Woche 12 gegenüber dem Therapiebeginn. Er wurde mit einer durchschnittlichen prozentualen Abnahme von -62,6 % (Median der prozentualen Abnahme </w:t>
      </w:r>
    </w:p>
    <w:p w14:paraId="098A81B8" w14:textId="77777777" w:rsidR="00FE291A" w:rsidRDefault="00C8738F">
      <w:pPr>
        <w:widowControl/>
        <w:rPr>
          <w:color w:val="000000"/>
          <w:sz w:val="22"/>
          <w:szCs w:val="22"/>
          <w:lang w:val="de-DE"/>
        </w:rPr>
      </w:pPr>
      <w:r>
        <w:rPr>
          <w:color w:val="000000"/>
          <w:sz w:val="22"/>
          <w:szCs w:val="22"/>
          <w:lang w:val="de-DE"/>
        </w:rPr>
        <w:t xml:space="preserve">-88,9 %) bei Patienten in der Adalimumab-Gruppe im Vergleich zu -11,6 % (Median der prozentualen Abnahme -50 %) bei Patienten in der Placebogruppe erreicht. Die Verbesserung in der Anzahl der aktiven Gelenke mit Arthritis wurde während der OL-Phase bis Woche 156 für 26 von 31 (84 %) Patienten der Adalimumab-Gruppe, die in der Studie verblieben sind, aufrechterhalten. Obwohl statistisch nicht signifikant, zeigte die Mehrheit der Patienten eine klinische Verbesserung bei den sekundären Endpunkten, wie z. B. Anzahl der Stellen mit Enthesitis, Anzahl schmerzempfindlicher Gelenke (TJC), Anzahl geschwollener Gelenke (SJC), pädiatrisches ACR-50-Ansprechen und pädiatrisches ACR-70-Ansprechen. </w:t>
      </w:r>
    </w:p>
    <w:p w14:paraId="219F24D2" w14:textId="77777777" w:rsidR="00FE291A" w:rsidRDefault="00FE291A">
      <w:pPr>
        <w:widowControl/>
        <w:rPr>
          <w:color w:val="000000"/>
          <w:sz w:val="22"/>
          <w:szCs w:val="22"/>
          <w:lang w:val="de-DE"/>
        </w:rPr>
      </w:pPr>
    </w:p>
    <w:p w14:paraId="71544FDF" w14:textId="77777777" w:rsidR="00FE291A" w:rsidRDefault="00C8738F">
      <w:pPr>
        <w:keepNext/>
        <w:widowControl/>
        <w:rPr>
          <w:i/>
          <w:iCs/>
          <w:color w:val="000000"/>
          <w:sz w:val="22"/>
          <w:szCs w:val="22"/>
          <w:lang w:val="de-DE"/>
        </w:rPr>
      </w:pPr>
      <w:r>
        <w:rPr>
          <w:i/>
          <w:iCs/>
          <w:color w:val="000000"/>
          <w:sz w:val="22"/>
          <w:szCs w:val="22"/>
          <w:lang w:val="de-DE"/>
        </w:rPr>
        <w:t xml:space="preserve">Plaque-Psoriasis bei Kindern und Jugendlichen </w:t>
      </w:r>
    </w:p>
    <w:p w14:paraId="4A891812" w14:textId="77777777" w:rsidR="00FE291A" w:rsidRDefault="00FE291A">
      <w:pPr>
        <w:keepNext/>
        <w:widowControl/>
        <w:rPr>
          <w:color w:val="000000"/>
          <w:sz w:val="22"/>
          <w:szCs w:val="22"/>
          <w:lang w:val="de-DE"/>
        </w:rPr>
      </w:pPr>
    </w:p>
    <w:p w14:paraId="086D4056" w14:textId="77777777" w:rsidR="00FE291A" w:rsidRDefault="00C8738F">
      <w:pPr>
        <w:pStyle w:val="Default"/>
        <w:rPr>
          <w:rFonts w:eastAsia="PMingLiU"/>
          <w:sz w:val="22"/>
          <w:szCs w:val="22"/>
          <w:lang w:val="de-DE" w:eastAsia="en-IN"/>
        </w:rPr>
      </w:pPr>
      <w:r>
        <w:rPr>
          <w:sz w:val="22"/>
          <w:szCs w:val="22"/>
          <w:lang w:val="de-DE"/>
        </w:rPr>
        <w:t xml:space="preserve">Die Wirksamkeit von Adalimumab wurde in einer randomisierten, doppelblinden, kontrollierten Studie mit 114 Kindern und Jugendlichen ab 4 Jahren mit schwerer chronischer Plaque-Psoriasis untersucht, deren topische Therapie und Heliotherapie oder Phototherapie unzureichend war (schwere chronische Plaque-Psoriasis ist definiert durch einen PGA ≥ 4 oder &gt; 20 % KOF-Beteiligung oder &gt; 10 % KOF- </w:t>
      </w:r>
      <w:r>
        <w:rPr>
          <w:rFonts w:eastAsia="PMingLiU"/>
          <w:sz w:val="22"/>
          <w:szCs w:val="22"/>
          <w:lang w:val="de-DE" w:eastAsia="en-IN"/>
        </w:rPr>
        <w:t xml:space="preserve">Beteiligung mit sehr dicken Läsionen oder PASI ≥ 20 oder ≥ 10 mit klinisch relevanter Beteiligung von Gesicht, Genitalbereich oder Händen/Füßen). </w:t>
      </w:r>
    </w:p>
    <w:p w14:paraId="6249D5E4" w14:textId="77777777" w:rsidR="00FE291A" w:rsidRDefault="00FE291A">
      <w:pPr>
        <w:pStyle w:val="Default"/>
        <w:rPr>
          <w:rFonts w:eastAsia="PMingLiU"/>
          <w:sz w:val="22"/>
          <w:szCs w:val="22"/>
          <w:lang w:val="de-DE" w:eastAsia="en-IN"/>
        </w:rPr>
      </w:pPr>
    </w:p>
    <w:p w14:paraId="459F83F0" w14:textId="77777777" w:rsidR="00FE291A" w:rsidRDefault="00C8738F">
      <w:pPr>
        <w:rPr>
          <w:sz w:val="20"/>
          <w:lang w:val="de-DE"/>
        </w:rPr>
      </w:pPr>
      <w:r>
        <w:rPr>
          <w:color w:val="000000"/>
          <w:sz w:val="22"/>
          <w:szCs w:val="22"/>
          <w:lang w:val="de-DE"/>
        </w:rPr>
        <w:t>Patienten erhielten Adalimumab 0,8 mg/kg jede zweite Woche (bis zu 40 mg), 0,4 mg/kg jede zweite Woche (bis zu 20 mg) oder Methotrexat 0,1 – 0,4 mg/kg wöchentlich (bis zu 25 mg). In Woche 16 hatten mehr Patienten, die in die Adalimumab-Gruppe mit 0,8 mg/kg randomisiert waren, positive Wirksamkeitsnachweise (z. B. PASI-75) als jene, die in die Gruppe mit 0,4 mg/kg jede zweite Woche oder in die MTX-Gruppe randomisiert waren.</w:t>
      </w:r>
    </w:p>
    <w:p w14:paraId="13956E8C" w14:textId="77777777" w:rsidR="00FE291A" w:rsidRDefault="00FE291A">
      <w:pPr>
        <w:pStyle w:val="BodyText"/>
        <w:keepNext/>
        <w:widowControl/>
        <w:kinsoku w:val="0"/>
        <w:overflowPunct w:val="0"/>
        <w:ind w:left="0"/>
        <w:rPr>
          <w:u w:val="single"/>
          <w:lang w:val="de-DE"/>
        </w:rPr>
      </w:pPr>
    </w:p>
    <w:p w14:paraId="66BEBAF6" w14:textId="77777777" w:rsidR="00FE291A" w:rsidRDefault="00C8738F">
      <w:pPr>
        <w:pStyle w:val="Default"/>
        <w:rPr>
          <w:rFonts w:eastAsia="PMingLiU"/>
          <w:sz w:val="22"/>
          <w:szCs w:val="22"/>
          <w:lang w:val="de-DE" w:eastAsia="en-IN"/>
        </w:rPr>
      </w:pPr>
      <w:r>
        <w:rPr>
          <w:b/>
          <w:bCs/>
          <w:sz w:val="22"/>
          <w:szCs w:val="22"/>
          <w:lang w:val="de-DE" w:eastAsia="en-GB"/>
        </w:rPr>
        <w:t>Tabelle</w:t>
      </w:r>
      <w:r>
        <w:rPr>
          <w:sz w:val="22"/>
          <w:szCs w:val="22"/>
          <w:lang w:val="de-DE"/>
        </w:rPr>
        <w:t> </w:t>
      </w:r>
      <w:r>
        <w:rPr>
          <w:b/>
          <w:bCs/>
          <w:sz w:val="22"/>
          <w:szCs w:val="22"/>
          <w:lang w:val="de-DE" w:eastAsia="en-GB"/>
        </w:rPr>
        <w:t xml:space="preserve">27: </w:t>
      </w:r>
      <w:r>
        <w:rPr>
          <w:rFonts w:eastAsia="PMingLiU"/>
          <w:b/>
          <w:bCs/>
          <w:sz w:val="22"/>
          <w:szCs w:val="22"/>
          <w:lang w:val="de-DE" w:eastAsia="en-IN"/>
        </w:rPr>
        <w:t xml:space="preserve">Wirksamkeitsergebnisse bei pädiatrischer Plaque-Psoriasis in Woche 16 </w:t>
      </w:r>
    </w:p>
    <w:p w14:paraId="3E1761DC" w14:textId="77777777" w:rsidR="00FE291A" w:rsidRDefault="00FE291A">
      <w:pPr>
        <w:keepNext/>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294"/>
        <w:gridCol w:w="2694"/>
        <w:gridCol w:w="2976"/>
      </w:tblGrid>
      <w:tr w:rsidR="00FE291A" w14:paraId="19C83151" w14:textId="77777777">
        <w:trPr>
          <w:cantSplit/>
          <w:tblHeader/>
        </w:trPr>
        <w:tc>
          <w:tcPr>
            <w:tcW w:w="3294" w:type="dxa"/>
          </w:tcPr>
          <w:p w14:paraId="2211FD61" w14:textId="77777777" w:rsidR="00FE291A" w:rsidRDefault="00FE291A">
            <w:pPr>
              <w:keepNext/>
              <w:suppressAutoHyphens/>
              <w:rPr>
                <w:sz w:val="22"/>
                <w:szCs w:val="22"/>
                <w:lang w:val="de-DE" w:eastAsia="en-GB"/>
              </w:rPr>
            </w:pPr>
          </w:p>
        </w:tc>
        <w:tc>
          <w:tcPr>
            <w:tcW w:w="2694" w:type="dxa"/>
          </w:tcPr>
          <w:p w14:paraId="27323E84" w14:textId="77777777" w:rsidR="00FE291A" w:rsidRDefault="00C8738F">
            <w:pPr>
              <w:keepNext/>
              <w:suppressAutoHyphens/>
              <w:jc w:val="center"/>
              <w:rPr>
                <w:b/>
                <w:bCs/>
                <w:sz w:val="22"/>
                <w:szCs w:val="22"/>
                <w:lang w:val="de-DE" w:eastAsia="en-GB"/>
              </w:rPr>
            </w:pPr>
            <w:r>
              <w:rPr>
                <w:b/>
                <w:bCs/>
                <w:sz w:val="22"/>
                <w:szCs w:val="22"/>
                <w:lang w:val="de-DE" w:eastAsia="en-GB"/>
              </w:rPr>
              <w:t>MTX</w:t>
            </w:r>
            <w:r>
              <w:rPr>
                <w:b/>
                <w:bCs/>
                <w:sz w:val="22"/>
                <w:szCs w:val="22"/>
                <w:vertAlign w:val="superscript"/>
                <w:lang w:val="de-DE" w:eastAsia="en-GB"/>
              </w:rPr>
              <w:t>a</w:t>
            </w:r>
          </w:p>
          <w:p w14:paraId="4D952458" w14:textId="77777777" w:rsidR="00FE291A" w:rsidRDefault="00C8738F">
            <w:pPr>
              <w:keepNext/>
              <w:suppressAutoHyphens/>
              <w:jc w:val="center"/>
              <w:rPr>
                <w:b/>
                <w:sz w:val="22"/>
                <w:szCs w:val="22"/>
                <w:lang w:val="de-DE" w:eastAsia="en-GB"/>
              </w:rPr>
            </w:pPr>
            <w:r>
              <w:rPr>
                <w:b/>
                <w:bCs/>
                <w:sz w:val="22"/>
                <w:szCs w:val="22"/>
                <w:lang w:val="de-DE" w:eastAsia="en-GB"/>
              </w:rPr>
              <w:t>n = 37</w:t>
            </w:r>
          </w:p>
        </w:tc>
        <w:tc>
          <w:tcPr>
            <w:tcW w:w="2976" w:type="dxa"/>
          </w:tcPr>
          <w:p w14:paraId="6DA02E5D" w14:textId="77777777" w:rsidR="00FE291A" w:rsidRDefault="00C8738F">
            <w:pPr>
              <w:keepNext/>
              <w:suppressAutoHyphens/>
              <w:jc w:val="center"/>
              <w:rPr>
                <w:b/>
                <w:sz w:val="22"/>
                <w:szCs w:val="22"/>
                <w:lang w:val="de-DE" w:eastAsia="en-GB"/>
              </w:rPr>
            </w:pPr>
            <w:r>
              <w:rPr>
                <w:rFonts w:eastAsia="Times New Roman"/>
                <w:b/>
                <w:color w:val="000000"/>
                <w:sz w:val="22"/>
                <w:szCs w:val="22"/>
                <w:lang w:val="de-DE"/>
              </w:rPr>
              <w:t>Adalimumab</w:t>
            </w:r>
            <w:r>
              <w:rPr>
                <w:b/>
                <w:bCs/>
                <w:sz w:val="22"/>
                <w:szCs w:val="22"/>
                <w:lang w:val="de-DE" w:eastAsia="en-GB"/>
              </w:rPr>
              <w:t xml:space="preserve"> 0,8</w:t>
            </w:r>
            <w:r>
              <w:rPr>
                <w:color w:val="000000"/>
                <w:sz w:val="22"/>
                <w:szCs w:val="22"/>
                <w:lang w:val="de-DE"/>
              </w:rPr>
              <w:t> </w:t>
            </w:r>
            <w:r>
              <w:rPr>
                <w:b/>
                <w:bCs/>
                <w:sz w:val="22"/>
                <w:szCs w:val="22"/>
                <w:lang w:val="de-DE" w:eastAsia="en-GB"/>
              </w:rPr>
              <w:t>mg/kg jede zweite Woche</w:t>
            </w:r>
          </w:p>
          <w:p w14:paraId="351FA34B" w14:textId="77777777" w:rsidR="00FE291A" w:rsidRDefault="00C8738F">
            <w:pPr>
              <w:keepNext/>
              <w:suppressAutoHyphens/>
              <w:jc w:val="center"/>
              <w:rPr>
                <w:b/>
                <w:sz w:val="22"/>
                <w:szCs w:val="22"/>
                <w:lang w:val="de-DE" w:eastAsia="en-GB"/>
              </w:rPr>
            </w:pPr>
            <w:r>
              <w:rPr>
                <w:b/>
                <w:bCs/>
                <w:sz w:val="22"/>
                <w:szCs w:val="22"/>
                <w:lang w:val="de-DE" w:eastAsia="en-GB"/>
              </w:rPr>
              <w:t>n</w:t>
            </w:r>
            <w:r>
              <w:rPr>
                <w:b/>
                <w:sz w:val="22"/>
                <w:szCs w:val="22"/>
                <w:lang w:val="de-DE"/>
              </w:rPr>
              <w:t> </w:t>
            </w:r>
            <w:r>
              <w:rPr>
                <w:b/>
                <w:bCs/>
                <w:sz w:val="22"/>
                <w:szCs w:val="22"/>
                <w:lang w:val="de-DE" w:eastAsia="en-GB"/>
              </w:rPr>
              <w:t>=</w:t>
            </w:r>
            <w:r>
              <w:rPr>
                <w:b/>
                <w:sz w:val="22"/>
                <w:szCs w:val="22"/>
                <w:lang w:val="de-DE"/>
              </w:rPr>
              <w:t> </w:t>
            </w:r>
            <w:r>
              <w:rPr>
                <w:b/>
                <w:bCs/>
                <w:sz w:val="22"/>
                <w:szCs w:val="22"/>
                <w:lang w:val="de-DE" w:eastAsia="en-GB"/>
              </w:rPr>
              <w:t>38</w:t>
            </w:r>
          </w:p>
        </w:tc>
      </w:tr>
      <w:tr w:rsidR="00FE291A" w14:paraId="30C3DAF7" w14:textId="77777777">
        <w:trPr>
          <w:cantSplit/>
        </w:trPr>
        <w:tc>
          <w:tcPr>
            <w:tcW w:w="3294" w:type="dxa"/>
          </w:tcPr>
          <w:p w14:paraId="3018A554" w14:textId="77777777" w:rsidR="00FE291A" w:rsidRDefault="00C8738F">
            <w:pPr>
              <w:suppressAutoHyphens/>
              <w:rPr>
                <w:sz w:val="22"/>
                <w:szCs w:val="22"/>
                <w:lang w:val="de-DE" w:eastAsia="en-GB"/>
              </w:rPr>
            </w:pPr>
            <w:r>
              <w:rPr>
                <w:sz w:val="22"/>
                <w:szCs w:val="22"/>
                <w:lang w:val="de-DE" w:eastAsia="en-GB"/>
              </w:rPr>
              <w:t>PASI 75</w:t>
            </w:r>
            <w:r>
              <w:rPr>
                <w:sz w:val="22"/>
                <w:szCs w:val="22"/>
                <w:vertAlign w:val="superscript"/>
                <w:lang w:val="de-DE" w:eastAsia="en-GB"/>
              </w:rPr>
              <w:t>b</w:t>
            </w:r>
          </w:p>
        </w:tc>
        <w:tc>
          <w:tcPr>
            <w:tcW w:w="2694" w:type="dxa"/>
          </w:tcPr>
          <w:p w14:paraId="3C8B4422" w14:textId="77777777" w:rsidR="00FE291A" w:rsidRDefault="00C8738F">
            <w:pPr>
              <w:suppressAutoHyphens/>
              <w:jc w:val="center"/>
              <w:rPr>
                <w:sz w:val="22"/>
                <w:szCs w:val="22"/>
                <w:lang w:val="de-DE" w:eastAsia="en-GB"/>
              </w:rPr>
            </w:pPr>
            <w:r>
              <w:rPr>
                <w:sz w:val="22"/>
                <w:szCs w:val="22"/>
                <w:lang w:val="de-DE"/>
              </w:rPr>
              <w:t>12 (32,4 %)</w:t>
            </w:r>
          </w:p>
        </w:tc>
        <w:tc>
          <w:tcPr>
            <w:tcW w:w="2976" w:type="dxa"/>
          </w:tcPr>
          <w:p w14:paraId="45C1A42B" w14:textId="77777777" w:rsidR="00FE291A" w:rsidRDefault="00C8738F">
            <w:pPr>
              <w:suppressAutoHyphens/>
              <w:jc w:val="center"/>
              <w:rPr>
                <w:sz w:val="22"/>
                <w:szCs w:val="22"/>
                <w:lang w:val="de-DE" w:eastAsia="en-GB"/>
              </w:rPr>
            </w:pPr>
            <w:r>
              <w:rPr>
                <w:sz w:val="22"/>
                <w:szCs w:val="22"/>
                <w:lang w:val="de-DE"/>
              </w:rPr>
              <w:t>22 (57,9 %)</w:t>
            </w:r>
          </w:p>
        </w:tc>
      </w:tr>
      <w:tr w:rsidR="00FE291A" w14:paraId="6B33BDE4" w14:textId="77777777">
        <w:trPr>
          <w:cantSplit/>
        </w:trPr>
        <w:tc>
          <w:tcPr>
            <w:tcW w:w="3294" w:type="dxa"/>
            <w:tcBorders>
              <w:bottom w:val="single" w:sz="4" w:space="0" w:color="auto"/>
            </w:tcBorders>
          </w:tcPr>
          <w:p w14:paraId="64B40B4C" w14:textId="77777777" w:rsidR="00FE291A" w:rsidRDefault="00C8738F">
            <w:pPr>
              <w:keepNext/>
              <w:suppressAutoHyphens/>
              <w:rPr>
                <w:sz w:val="22"/>
                <w:szCs w:val="22"/>
                <w:lang w:val="de-DE" w:eastAsia="en-GB"/>
              </w:rPr>
            </w:pPr>
            <w:r>
              <w:rPr>
                <w:bCs/>
                <w:sz w:val="22"/>
                <w:szCs w:val="22"/>
                <w:lang w:val="de-DE" w:eastAsia="en-GB"/>
              </w:rPr>
              <w:t>PGA: erscheinungsfrei/minimal</w:t>
            </w:r>
            <w:r>
              <w:rPr>
                <w:sz w:val="22"/>
                <w:szCs w:val="22"/>
                <w:vertAlign w:val="superscript"/>
                <w:lang w:val="de-DE" w:eastAsia="en-GB"/>
              </w:rPr>
              <w:t>c</w:t>
            </w:r>
          </w:p>
        </w:tc>
        <w:tc>
          <w:tcPr>
            <w:tcW w:w="2694" w:type="dxa"/>
            <w:tcBorders>
              <w:bottom w:val="single" w:sz="4" w:space="0" w:color="auto"/>
            </w:tcBorders>
          </w:tcPr>
          <w:p w14:paraId="6A224D15" w14:textId="77777777" w:rsidR="00FE291A" w:rsidRDefault="00C8738F">
            <w:pPr>
              <w:keepNext/>
              <w:suppressAutoHyphens/>
              <w:jc w:val="center"/>
              <w:rPr>
                <w:sz w:val="22"/>
                <w:szCs w:val="22"/>
                <w:lang w:val="de-DE" w:eastAsia="en-GB"/>
              </w:rPr>
            </w:pPr>
            <w:r>
              <w:rPr>
                <w:sz w:val="22"/>
                <w:szCs w:val="22"/>
                <w:lang w:val="de-DE"/>
              </w:rPr>
              <w:t>15 (40,5 %)</w:t>
            </w:r>
          </w:p>
        </w:tc>
        <w:tc>
          <w:tcPr>
            <w:tcW w:w="2976" w:type="dxa"/>
            <w:tcBorders>
              <w:bottom w:val="single" w:sz="4" w:space="0" w:color="auto"/>
            </w:tcBorders>
          </w:tcPr>
          <w:p w14:paraId="40F3FCBD" w14:textId="77777777" w:rsidR="00FE291A" w:rsidRDefault="00C8738F">
            <w:pPr>
              <w:keepNext/>
              <w:suppressAutoHyphens/>
              <w:jc w:val="center"/>
              <w:rPr>
                <w:sz w:val="22"/>
                <w:szCs w:val="22"/>
                <w:lang w:val="de-DE" w:eastAsia="en-GB"/>
              </w:rPr>
            </w:pPr>
            <w:r>
              <w:rPr>
                <w:sz w:val="22"/>
                <w:szCs w:val="22"/>
                <w:lang w:val="de-DE"/>
              </w:rPr>
              <w:t>23 (60,5 %)</w:t>
            </w:r>
          </w:p>
        </w:tc>
      </w:tr>
    </w:tbl>
    <w:p w14:paraId="3B08CEDC" w14:textId="77777777" w:rsidR="00FE291A" w:rsidRDefault="00C8738F">
      <w:pPr>
        <w:pStyle w:val="Default"/>
        <w:keepNext/>
        <w:rPr>
          <w:sz w:val="20"/>
          <w:szCs w:val="20"/>
          <w:lang w:val="de-DE"/>
        </w:rPr>
      </w:pPr>
      <w:r>
        <w:rPr>
          <w:sz w:val="20"/>
          <w:szCs w:val="20"/>
          <w:vertAlign w:val="superscript"/>
          <w:lang w:val="de-DE"/>
        </w:rPr>
        <w:t xml:space="preserve">a </w:t>
      </w:r>
      <w:r>
        <w:rPr>
          <w:sz w:val="20"/>
          <w:szCs w:val="20"/>
          <w:lang w:val="de-DE"/>
        </w:rPr>
        <w:t>MTX = Methotrexat</w:t>
      </w:r>
    </w:p>
    <w:p w14:paraId="5BF4B1A6" w14:textId="77777777" w:rsidR="00FE291A" w:rsidRDefault="00C8738F">
      <w:pPr>
        <w:pStyle w:val="Default"/>
        <w:keepNext/>
        <w:rPr>
          <w:sz w:val="20"/>
          <w:szCs w:val="20"/>
          <w:lang w:val="de-DE"/>
        </w:rPr>
      </w:pPr>
      <w:r>
        <w:rPr>
          <w:sz w:val="20"/>
          <w:szCs w:val="20"/>
          <w:vertAlign w:val="superscript"/>
          <w:lang w:val="de-DE"/>
        </w:rPr>
        <w:t xml:space="preserve">b </w:t>
      </w:r>
      <w:r>
        <w:rPr>
          <w:sz w:val="20"/>
          <w:szCs w:val="20"/>
          <w:lang w:val="de-DE"/>
        </w:rPr>
        <w:t xml:space="preserve">p = 0,027; </w:t>
      </w:r>
      <w:r>
        <w:rPr>
          <w:rFonts w:eastAsia="Times New Roman"/>
          <w:sz w:val="20"/>
          <w:szCs w:val="20"/>
          <w:lang w:val="de-DE"/>
        </w:rPr>
        <w:t>Adalimumab</w:t>
      </w:r>
      <w:r>
        <w:rPr>
          <w:sz w:val="20"/>
          <w:szCs w:val="20"/>
          <w:lang w:val="de-DE"/>
        </w:rPr>
        <w:t xml:space="preserve"> 0,8 mg/kg </w:t>
      </w:r>
      <w:r>
        <w:rPr>
          <w:i/>
          <w:sz w:val="20"/>
          <w:szCs w:val="20"/>
          <w:lang w:val="de-DE"/>
        </w:rPr>
        <w:t>versus</w:t>
      </w:r>
      <w:r>
        <w:rPr>
          <w:sz w:val="20"/>
          <w:szCs w:val="20"/>
          <w:lang w:val="de-DE"/>
        </w:rPr>
        <w:t xml:space="preserve"> MTX</w:t>
      </w:r>
    </w:p>
    <w:p w14:paraId="55502471" w14:textId="77777777" w:rsidR="00FE291A" w:rsidRDefault="00C8738F">
      <w:pPr>
        <w:rPr>
          <w:sz w:val="20"/>
          <w:szCs w:val="18"/>
          <w:lang w:val="de-DE"/>
        </w:rPr>
      </w:pPr>
      <w:r>
        <w:rPr>
          <w:sz w:val="20"/>
          <w:vertAlign w:val="superscript"/>
          <w:lang w:val="de-DE"/>
        </w:rPr>
        <w:t xml:space="preserve">c </w:t>
      </w:r>
      <w:r>
        <w:rPr>
          <w:sz w:val="20"/>
          <w:lang w:val="de-DE"/>
        </w:rPr>
        <w:t xml:space="preserve">p = 0,083; </w:t>
      </w:r>
      <w:r>
        <w:rPr>
          <w:rFonts w:eastAsia="Times New Roman"/>
          <w:color w:val="000000"/>
          <w:sz w:val="20"/>
          <w:lang w:val="de-DE"/>
        </w:rPr>
        <w:t>Adalimumab</w:t>
      </w:r>
      <w:r>
        <w:rPr>
          <w:sz w:val="20"/>
          <w:lang w:val="de-DE"/>
        </w:rPr>
        <w:t xml:space="preserve"> 0,8</w:t>
      </w:r>
      <w:r>
        <w:rPr>
          <w:color w:val="000000"/>
          <w:sz w:val="22"/>
          <w:szCs w:val="21"/>
          <w:lang w:val="de-DE"/>
        </w:rPr>
        <w:t> </w:t>
      </w:r>
      <w:r>
        <w:rPr>
          <w:sz w:val="20"/>
          <w:lang w:val="de-DE"/>
        </w:rPr>
        <w:t xml:space="preserve">mg/kg </w:t>
      </w:r>
      <w:r>
        <w:rPr>
          <w:i/>
          <w:sz w:val="20"/>
          <w:lang w:val="de-DE"/>
        </w:rPr>
        <w:t>versus</w:t>
      </w:r>
      <w:r>
        <w:rPr>
          <w:sz w:val="20"/>
          <w:lang w:val="de-DE"/>
        </w:rPr>
        <w:t xml:space="preserve"> MTX</w:t>
      </w:r>
    </w:p>
    <w:p w14:paraId="7E92D58B" w14:textId="77777777" w:rsidR="00FE291A" w:rsidRDefault="00FE291A">
      <w:pPr>
        <w:rPr>
          <w:sz w:val="22"/>
          <w:szCs w:val="21"/>
          <w:lang w:val="de-DE"/>
        </w:rPr>
      </w:pPr>
    </w:p>
    <w:p w14:paraId="6217352C" w14:textId="77777777" w:rsidR="00FE291A" w:rsidRDefault="00C8738F">
      <w:pPr>
        <w:widowControl/>
        <w:rPr>
          <w:color w:val="000000"/>
          <w:sz w:val="22"/>
          <w:szCs w:val="22"/>
          <w:lang w:val="de-DE"/>
        </w:rPr>
      </w:pPr>
      <w:r>
        <w:rPr>
          <w:color w:val="000000"/>
          <w:sz w:val="22"/>
          <w:szCs w:val="22"/>
          <w:lang w:val="de-DE"/>
        </w:rPr>
        <w:t>Bei Patienten, die PASI-75 und einen PGA, definiert als „erscheinungsfrei“ oder „minimal“, erreichten, wurde die Behandlung bis zu 36 Wochen lang abgesetzt. Diese Patienten wurden dahingehend beobachtet, ob sie einen Rückfall erlitten (z. B. Verschlechterung des PGA um mindestens zwei Grade). Die Behandlung der Patienten wurde dann wieder mit 0,8 mg Adalimumab/kg jede zweite Woche für weitere 16 Wochen aufgenommen. Die Ansprechraten, die während der erneuten Behandlung beobachtet wurden, waren vergleichbar mit denen in der vorherigen doppelblinden Phase: PASI-75-Ansprechen von 78,9 % (15 von 19 Patienten) und PGA (definiert als „erscheinungsfrei“ oder „minimal“) von 52,6 % (10 von 19 Patienten).</w:t>
      </w:r>
    </w:p>
    <w:p w14:paraId="2F5FC69B" w14:textId="77777777" w:rsidR="00FE291A" w:rsidRDefault="00FE291A">
      <w:pPr>
        <w:widowControl/>
        <w:rPr>
          <w:color w:val="000000"/>
          <w:sz w:val="22"/>
          <w:szCs w:val="22"/>
          <w:lang w:val="de-DE"/>
        </w:rPr>
      </w:pPr>
    </w:p>
    <w:p w14:paraId="0852F830" w14:textId="77777777" w:rsidR="00FE291A" w:rsidRDefault="00C8738F">
      <w:pPr>
        <w:widowControl/>
        <w:rPr>
          <w:color w:val="000000"/>
          <w:sz w:val="22"/>
          <w:szCs w:val="22"/>
          <w:lang w:val="de-DE"/>
        </w:rPr>
      </w:pPr>
      <w:r>
        <w:rPr>
          <w:color w:val="000000"/>
          <w:sz w:val="22"/>
          <w:szCs w:val="22"/>
          <w:lang w:val="de-DE"/>
        </w:rPr>
        <w:t xml:space="preserve">In der offenen Fortsetzungsphase der Studie wurden für bis zu weitere 52 Wochen ein PASI-75-Ansprechen und PGA, definiert als „erscheinungsfrei“ oder „minimal“, aufrechterhalten; es gab keine neuen Erkenntnisse zur Sicherheit. </w:t>
      </w:r>
    </w:p>
    <w:p w14:paraId="7207EEAD" w14:textId="77777777" w:rsidR="00FE291A" w:rsidRDefault="00FE291A">
      <w:pPr>
        <w:widowControl/>
        <w:rPr>
          <w:color w:val="000000"/>
          <w:sz w:val="22"/>
          <w:szCs w:val="22"/>
          <w:lang w:val="de-DE"/>
        </w:rPr>
      </w:pPr>
    </w:p>
    <w:p w14:paraId="355C4741" w14:textId="77777777" w:rsidR="00FE291A" w:rsidRDefault="00C8738F">
      <w:pPr>
        <w:keepNext/>
        <w:widowControl/>
        <w:rPr>
          <w:i/>
          <w:iCs/>
          <w:color w:val="000000"/>
          <w:sz w:val="22"/>
          <w:szCs w:val="22"/>
          <w:lang w:val="de-DE"/>
        </w:rPr>
      </w:pPr>
      <w:r>
        <w:rPr>
          <w:i/>
          <w:iCs/>
          <w:color w:val="000000"/>
          <w:sz w:val="22"/>
          <w:szCs w:val="22"/>
          <w:lang w:val="de-DE"/>
        </w:rPr>
        <w:t xml:space="preserve">Hidradenitis suppurativa (Acne inversa) bei Jugendlichen </w:t>
      </w:r>
    </w:p>
    <w:p w14:paraId="30264B60" w14:textId="77777777" w:rsidR="00FE291A" w:rsidRDefault="00FE291A">
      <w:pPr>
        <w:keepNext/>
        <w:widowControl/>
        <w:rPr>
          <w:color w:val="000000"/>
          <w:sz w:val="22"/>
          <w:szCs w:val="22"/>
          <w:lang w:val="de-DE"/>
        </w:rPr>
      </w:pPr>
    </w:p>
    <w:p w14:paraId="482675A5" w14:textId="77777777" w:rsidR="00FE291A" w:rsidRDefault="00C8738F">
      <w:pPr>
        <w:widowControl/>
        <w:rPr>
          <w:color w:val="000000"/>
          <w:sz w:val="22"/>
          <w:szCs w:val="22"/>
          <w:lang w:val="de-DE"/>
        </w:rPr>
      </w:pPr>
      <w:r>
        <w:rPr>
          <w:color w:val="000000"/>
          <w:sz w:val="22"/>
          <w:szCs w:val="22"/>
          <w:lang w:val="de-DE"/>
        </w:rPr>
        <w:t xml:space="preserve">Es gibt keine klinischen Studien mit Adalimumab bei jugendlichen Patienten mit HS. Es ist zu erwarten, dass Adalimumab bei der Behandlung von jugendlichen Patienten mit HS wirksam ist, da die Wirksamkeit und die Dosis-Wirkungsbeziehung bei erwachsenen HS-Patienten nachgewiesen wurde und es wahrscheinlich ist, dass Krankheitsverlauf, Pathophysiologie und Arzneimittelwirkungen bei gleicher Exposition im Wesentlichen ähnlich sind wie bei Erwachsenen. Die Sicherheit der empfohlenen Adalimumab-Dosis bei Jugendlichen mit HS basiert auf dem indikationsübergreifenden Sicherheitsprofil von Adalimumab bei Erwachsenen sowie Kindern und Jugendlichen bei ähnlicher Dosierung oder häufigerer Gabe (siehe Abschnitt 5.2). </w:t>
      </w:r>
    </w:p>
    <w:p w14:paraId="067C17A2" w14:textId="77777777" w:rsidR="00FE291A" w:rsidRDefault="00FE291A">
      <w:pPr>
        <w:widowControl/>
        <w:rPr>
          <w:color w:val="000000"/>
          <w:sz w:val="22"/>
          <w:szCs w:val="22"/>
          <w:lang w:val="de-DE"/>
        </w:rPr>
      </w:pPr>
    </w:p>
    <w:p w14:paraId="61A34969" w14:textId="77777777" w:rsidR="00FE291A" w:rsidRDefault="00C8738F">
      <w:pPr>
        <w:keepNext/>
        <w:widowControl/>
        <w:rPr>
          <w:i/>
          <w:iCs/>
          <w:color w:val="000000"/>
          <w:sz w:val="22"/>
          <w:szCs w:val="22"/>
          <w:lang w:val="de-DE"/>
        </w:rPr>
      </w:pPr>
      <w:r>
        <w:rPr>
          <w:i/>
          <w:iCs/>
          <w:color w:val="000000"/>
          <w:sz w:val="22"/>
          <w:szCs w:val="22"/>
          <w:lang w:val="de-DE"/>
        </w:rPr>
        <w:t>Morbus Crohn bei Kindern und Jugendlichen</w:t>
      </w:r>
    </w:p>
    <w:p w14:paraId="50443DC0" w14:textId="77777777" w:rsidR="00FE291A" w:rsidRDefault="00FE291A">
      <w:pPr>
        <w:keepNext/>
        <w:widowControl/>
        <w:rPr>
          <w:color w:val="000000"/>
          <w:sz w:val="22"/>
          <w:szCs w:val="22"/>
          <w:lang w:val="de-DE"/>
        </w:rPr>
      </w:pPr>
    </w:p>
    <w:p w14:paraId="6501CB36" w14:textId="77777777" w:rsidR="00FE291A" w:rsidRDefault="00C8738F">
      <w:pPr>
        <w:pStyle w:val="Default"/>
        <w:rPr>
          <w:rFonts w:eastAsia="PMingLiU"/>
          <w:sz w:val="22"/>
          <w:szCs w:val="22"/>
          <w:lang w:val="de-DE" w:eastAsia="en-IN"/>
        </w:rPr>
      </w:pPr>
      <w:r>
        <w:rPr>
          <w:sz w:val="22"/>
          <w:szCs w:val="22"/>
          <w:lang w:val="de-DE"/>
        </w:rPr>
        <w:t>Adalimumab wurde in einer multizentrischen, randomisierten, doppelblinden klinischen Studie untersucht, um die Wirksamkeit und Sicherheit einer Induktions- und Dauertherapie zu evaluieren. Es wurden 192 Kinder und Jugendliche im Alter zwischen 6 und einschließlich 17 Jahren mit mittelschwerem bis schwerem Morbus Crohn (MC), definiert als pädiatrischer Morbus-Crohn-Aktivitätsindex(PCDAI)-</w:t>
      </w:r>
      <w:r>
        <w:rPr>
          <w:i/>
          <w:iCs/>
          <w:sz w:val="22"/>
          <w:szCs w:val="22"/>
          <w:lang w:val="de-DE"/>
        </w:rPr>
        <w:t>Score</w:t>
      </w:r>
      <w:r>
        <w:rPr>
          <w:sz w:val="22"/>
          <w:szCs w:val="22"/>
          <w:lang w:val="de-DE"/>
        </w:rPr>
        <w:t xml:space="preserve"> &gt; 30, eingeschlossen. Die Dosis war abhängig vom Körpergewicht (&lt; 40 kg oder ≥ 40 kg). Eingeschlossen wurden Patienten, bei denen eine konventionelle MC-Therapie (einschließlich eines Kortikosteroids und/oder eines Immunsuppressivums) versagt hatte; es wurden auch Patienten </w:t>
      </w:r>
      <w:r>
        <w:rPr>
          <w:rFonts w:eastAsia="PMingLiU"/>
          <w:sz w:val="22"/>
          <w:szCs w:val="22"/>
          <w:lang w:val="de-DE" w:eastAsia="en-IN"/>
        </w:rPr>
        <w:t xml:space="preserve">eingeschlossen, die unter Infliximab-Therapie einen Verlust des klinischen Ansprechens oder eine Unverträglichkeit entwickelt hatten. </w:t>
      </w:r>
    </w:p>
    <w:p w14:paraId="10DDB601" w14:textId="77777777" w:rsidR="00FE291A" w:rsidRDefault="00FE291A">
      <w:pPr>
        <w:pStyle w:val="Default"/>
        <w:rPr>
          <w:rFonts w:eastAsia="PMingLiU"/>
          <w:sz w:val="22"/>
          <w:szCs w:val="22"/>
          <w:lang w:val="de-DE" w:eastAsia="en-IN"/>
        </w:rPr>
      </w:pPr>
    </w:p>
    <w:p w14:paraId="249C009C" w14:textId="77777777" w:rsidR="00FE291A" w:rsidRDefault="00C8738F">
      <w:pPr>
        <w:widowControl/>
        <w:rPr>
          <w:color w:val="000000"/>
          <w:sz w:val="22"/>
          <w:szCs w:val="22"/>
          <w:lang w:val="de-DE"/>
        </w:rPr>
      </w:pPr>
      <w:r>
        <w:rPr>
          <w:color w:val="000000"/>
          <w:sz w:val="22"/>
          <w:szCs w:val="22"/>
          <w:lang w:val="de-DE"/>
        </w:rPr>
        <w:t>Alle Patienten erhielten eine offene Induktionstherapie mit einer Dosis auf Basis des Körpergewichts zu Studienbeginn: 160 mg in Woche 0 und 80 mg in Woche 2 für Patienten ≥ 40 kg bzw. 80 mg und 40 mg für Patienten &lt; 40 kg.</w:t>
      </w:r>
    </w:p>
    <w:p w14:paraId="0FD015A6" w14:textId="77777777" w:rsidR="00FE291A" w:rsidRDefault="00FE291A">
      <w:pPr>
        <w:widowControl/>
        <w:rPr>
          <w:color w:val="000000"/>
          <w:sz w:val="22"/>
          <w:szCs w:val="22"/>
          <w:lang w:val="de-DE"/>
        </w:rPr>
      </w:pPr>
    </w:p>
    <w:p w14:paraId="3CDB44E4" w14:textId="77777777" w:rsidR="00FE291A" w:rsidRDefault="00C8738F">
      <w:pPr>
        <w:pStyle w:val="BodyText"/>
        <w:widowControl/>
        <w:kinsoku w:val="0"/>
        <w:overflowPunct w:val="0"/>
        <w:ind w:left="0"/>
        <w:rPr>
          <w:color w:val="000000"/>
          <w:lang w:val="de-DE"/>
        </w:rPr>
      </w:pPr>
      <w:r>
        <w:rPr>
          <w:color w:val="000000"/>
          <w:lang w:val="de-DE"/>
        </w:rPr>
        <w:t>In Woche 4 wurden die Patienten 1:1 auf Basis des derzeitigen Körpergewichts entweder einem Behandlungsschema mit niedriger Dosis oder Standarddosis nach dem Zufallsprinzip zugeteilt (siehe Tabelle 28).</w:t>
      </w:r>
    </w:p>
    <w:p w14:paraId="42EEB286" w14:textId="77777777" w:rsidR="00FE291A" w:rsidRDefault="00FE291A">
      <w:pPr>
        <w:pStyle w:val="BodyText"/>
        <w:widowControl/>
        <w:kinsoku w:val="0"/>
        <w:overflowPunct w:val="0"/>
        <w:ind w:left="0"/>
        <w:rPr>
          <w:color w:val="000000"/>
          <w:lang w:val="de-DE"/>
        </w:rPr>
      </w:pPr>
    </w:p>
    <w:p w14:paraId="5A439465" w14:textId="77777777" w:rsidR="00FE291A" w:rsidRDefault="00C8738F">
      <w:pPr>
        <w:keepNext/>
        <w:rPr>
          <w:color w:val="000000"/>
          <w:sz w:val="22"/>
          <w:szCs w:val="22"/>
          <w:lang w:val="de-DE" w:eastAsia="en-GB"/>
        </w:rPr>
      </w:pPr>
      <w:r>
        <w:rPr>
          <w:b/>
          <w:bCs/>
          <w:color w:val="000000"/>
          <w:sz w:val="22"/>
          <w:szCs w:val="22"/>
          <w:lang w:val="de-DE" w:eastAsia="en-GB"/>
        </w:rPr>
        <w:t>Tabelle 28: Erhaltungsdosis</w:t>
      </w:r>
    </w:p>
    <w:p w14:paraId="6DA0DF19" w14:textId="77777777" w:rsidR="00FE291A" w:rsidRDefault="00FE291A">
      <w:pPr>
        <w:keepNext/>
        <w:rPr>
          <w:sz w:val="22"/>
          <w:szCs w:val="22"/>
          <w:lang w:val="de-DE"/>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984"/>
        <w:gridCol w:w="2986"/>
        <w:gridCol w:w="2986"/>
      </w:tblGrid>
      <w:tr w:rsidR="00FE291A" w14:paraId="4FEC480F" w14:textId="77777777">
        <w:trPr>
          <w:cantSplit/>
          <w:tblHeader/>
        </w:trPr>
        <w:tc>
          <w:tcPr>
            <w:tcW w:w="1666" w:type="pct"/>
          </w:tcPr>
          <w:p w14:paraId="4F9BBE50" w14:textId="77777777" w:rsidR="00FE291A" w:rsidRDefault="00C8738F">
            <w:pPr>
              <w:keepNext/>
              <w:suppressAutoHyphens/>
              <w:rPr>
                <w:color w:val="000000"/>
                <w:sz w:val="22"/>
                <w:szCs w:val="22"/>
                <w:lang w:val="de-DE" w:eastAsia="en-GB"/>
              </w:rPr>
            </w:pPr>
            <w:r>
              <w:rPr>
                <w:b/>
                <w:bCs/>
                <w:sz w:val="22"/>
                <w:szCs w:val="22"/>
                <w:lang w:val="de-DE"/>
              </w:rPr>
              <w:t>Patientengewicht</w:t>
            </w:r>
          </w:p>
        </w:tc>
        <w:tc>
          <w:tcPr>
            <w:tcW w:w="1667" w:type="pct"/>
          </w:tcPr>
          <w:p w14:paraId="24E0E333" w14:textId="77777777" w:rsidR="00FE291A" w:rsidRDefault="00C8738F">
            <w:pPr>
              <w:keepNext/>
              <w:suppressAutoHyphens/>
              <w:rPr>
                <w:color w:val="000000"/>
                <w:sz w:val="22"/>
                <w:szCs w:val="22"/>
                <w:lang w:val="de-DE" w:eastAsia="en-GB"/>
              </w:rPr>
            </w:pPr>
            <w:r>
              <w:rPr>
                <w:b/>
                <w:bCs/>
                <w:sz w:val="22"/>
                <w:szCs w:val="22"/>
                <w:lang w:val="de-DE"/>
              </w:rPr>
              <w:t>Niedrige Dosis</w:t>
            </w:r>
          </w:p>
        </w:tc>
        <w:tc>
          <w:tcPr>
            <w:tcW w:w="1667" w:type="pct"/>
          </w:tcPr>
          <w:p w14:paraId="6278D0BA" w14:textId="77777777" w:rsidR="00FE291A" w:rsidRDefault="00C8738F">
            <w:pPr>
              <w:keepNext/>
              <w:suppressAutoHyphens/>
              <w:rPr>
                <w:color w:val="000000"/>
                <w:sz w:val="22"/>
                <w:szCs w:val="22"/>
                <w:lang w:val="de-DE" w:eastAsia="en-GB"/>
              </w:rPr>
            </w:pPr>
            <w:r>
              <w:rPr>
                <w:b/>
                <w:bCs/>
                <w:sz w:val="22"/>
                <w:szCs w:val="22"/>
                <w:lang w:val="de-DE"/>
              </w:rPr>
              <w:t>Standarddosis</w:t>
            </w:r>
          </w:p>
        </w:tc>
      </w:tr>
      <w:tr w:rsidR="00FE291A" w14:paraId="341657C8" w14:textId="77777777">
        <w:trPr>
          <w:cantSplit/>
        </w:trPr>
        <w:tc>
          <w:tcPr>
            <w:tcW w:w="1666" w:type="pct"/>
          </w:tcPr>
          <w:p w14:paraId="36955525" w14:textId="77777777" w:rsidR="00FE291A" w:rsidRDefault="00C8738F">
            <w:pPr>
              <w:keepNext/>
              <w:suppressAutoHyphens/>
              <w:rPr>
                <w:color w:val="000000"/>
                <w:sz w:val="22"/>
                <w:szCs w:val="22"/>
                <w:lang w:val="de-DE" w:eastAsia="en-GB"/>
              </w:rPr>
            </w:pPr>
            <w:r>
              <w:rPr>
                <w:sz w:val="22"/>
                <w:szCs w:val="22"/>
                <w:lang w:val="de-DE"/>
              </w:rPr>
              <w:t>&lt; 40 kg</w:t>
            </w:r>
          </w:p>
        </w:tc>
        <w:tc>
          <w:tcPr>
            <w:tcW w:w="1667" w:type="pct"/>
          </w:tcPr>
          <w:p w14:paraId="19F04349" w14:textId="77777777" w:rsidR="00FE291A" w:rsidRDefault="00C8738F">
            <w:pPr>
              <w:keepNext/>
              <w:suppressAutoHyphens/>
              <w:rPr>
                <w:color w:val="000000"/>
                <w:sz w:val="22"/>
                <w:szCs w:val="22"/>
                <w:lang w:val="de-DE" w:eastAsia="en-GB"/>
              </w:rPr>
            </w:pPr>
            <w:r>
              <w:rPr>
                <w:sz w:val="22"/>
                <w:szCs w:val="22"/>
                <w:lang w:val="de-DE"/>
              </w:rPr>
              <w:t>10 mg jede zweite Woche</w:t>
            </w:r>
          </w:p>
        </w:tc>
        <w:tc>
          <w:tcPr>
            <w:tcW w:w="1667" w:type="pct"/>
          </w:tcPr>
          <w:p w14:paraId="31520F01" w14:textId="77777777" w:rsidR="00FE291A" w:rsidRDefault="00C8738F">
            <w:pPr>
              <w:keepNext/>
              <w:suppressAutoHyphens/>
              <w:rPr>
                <w:color w:val="000000"/>
                <w:sz w:val="22"/>
                <w:szCs w:val="22"/>
                <w:lang w:val="de-DE" w:eastAsia="en-GB"/>
              </w:rPr>
            </w:pPr>
            <w:r>
              <w:rPr>
                <w:sz w:val="22"/>
                <w:szCs w:val="22"/>
                <w:lang w:val="de-DE"/>
              </w:rPr>
              <w:t>20 mg jede zweite Woche</w:t>
            </w:r>
          </w:p>
        </w:tc>
      </w:tr>
      <w:tr w:rsidR="00FE291A" w14:paraId="158E5F1A" w14:textId="77777777">
        <w:trPr>
          <w:cantSplit/>
        </w:trPr>
        <w:tc>
          <w:tcPr>
            <w:tcW w:w="1666" w:type="pct"/>
          </w:tcPr>
          <w:p w14:paraId="583252E5" w14:textId="77777777" w:rsidR="00FE291A" w:rsidRDefault="00C8738F">
            <w:pPr>
              <w:suppressAutoHyphens/>
              <w:rPr>
                <w:color w:val="000000"/>
                <w:sz w:val="22"/>
                <w:szCs w:val="22"/>
                <w:lang w:val="de-DE" w:eastAsia="en-GB"/>
              </w:rPr>
            </w:pPr>
            <w:r>
              <w:rPr>
                <w:sz w:val="22"/>
                <w:szCs w:val="22"/>
                <w:lang w:val="de-DE"/>
              </w:rPr>
              <w:t>≥ 40 kg</w:t>
            </w:r>
          </w:p>
        </w:tc>
        <w:tc>
          <w:tcPr>
            <w:tcW w:w="1667" w:type="pct"/>
          </w:tcPr>
          <w:p w14:paraId="1DA300B9" w14:textId="77777777" w:rsidR="00FE291A" w:rsidRDefault="00C8738F">
            <w:pPr>
              <w:suppressAutoHyphens/>
              <w:rPr>
                <w:color w:val="000000"/>
                <w:sz w:val="22"/>
                <w:szCs w:val="22"/>
                <w:lang w:val="de-DE" w:eastAsia="en-GB"/>
              </w:rPr>
            </w:pPr>
            <w:r>
              <w:rPr>
                <w:sz w:val="22"/>
                <w:szCs w:val="22"/>
                <w:lang w:val="de-DE"/>
              </w:rPr>
              <w:t>20 mg jede zweite Woche</w:t>
            </w:r>
          </w:p>
        </w:tc>
        <w:tc>
          <w:tcPr>
            <w:tcW w:w="1667" w:type="pct"/>
          </w:tcPr>
          <w:p w14:paraId="115F7168" w14:textId="77777777" w:rsidR="00FE291A" w:rsidRDefault="00C8738F">
            <w:pPr>
              <w:suppressAutoHyphens/>
              <w:rPr>
                <w:color w:val="000000"/>
                <w:sz w:val="22"/>
                <w:szCs w:val="22"/>
                <w:lang w:val="de-DE" w:eastAsia="en-GB"/>
              </w:rPr>
            </w:pPr>
            <w:r>
              <w:rPr>
                <w:sz w:val="22"/>
                <w:szCs w:val="22"/>
                <w:lang w:val="de-DE"/>
              </w:rPr>
              <w:t>40 mg jede zweite Woche</w:t>
            </w:r>
          </w:p>
        </w:tc>
      </w:tr>
    </w:tbl>
    <w:p w14:paraId="11E32464" w14:textId="77777777" w:rsidR="00FE291A" w:rsidRDefault="00FE291A">
      <w:pPr>
        <w:pStyle w:val="BodyText"/>
        <w:widowControl/>
        <w:kinsoku w:val="0"/>
        <w:overflowPunct w:val="0"/>
        <w:ind w:left="0"/>
        <w:rPr>
          <w:color w:val="000000"/>
          <w:lang w:val="de-DE"/>
        </w:rPr>
      </w:pPr>
    </w:p>
    <w:p w14:paraId="51F7CFCB" w14:textId="77777777" w:rsidR="00FE291A" w:rsidRDefault="00C8738F">
      <w:pPr>
        <w:keepNext/>
        <w:widowControl/>
        <w:rPr>
          <w:i/>
          <w:iCs/>
          <w:color w:val="000000"/>
          <w:sz w:val="22"/>
          <w:szCs w:val="22"/>
          <w:u w:val="single"/>
          <w:lang w:val="de-DE"/>
        </w:rPr>
      </w:pPr>
      <w:r>
        <w:rPr>
          <w:i/>
          <w:iCs/>
          <w:color w:val="000000"/>
          <w:sz w:val="22"/>
          <w:szCs w:val="22"/>
          <w:u w:val="single"/>
          <w:lang w:val="de-DE"/>
        </w:rPr>
        <w:t>Ergebnisse zur Wirksamkeit</w:t>
      </w:r>
    </w:p>
    <w:p w14:paraId="2AEB72D1" w14:textId="77777777" w:rsidR="00FE291A" w:rsidRDefault="00FE291A">
      <w:pPr>
        <w:keepNext/>
        <w:widowControl/>
        <w:rPr>
          <w:color w:val="000000"/>
          <w:sz w:val="22"/>
          <w:szCs w:val="22"/>
          <w:lang w:val="de-DE"/>
        </w:rPr>
      </w:pPr>
    </w:p>
    <w:p w14:paraId="25A08E20" w14:textId="77777777" w:rsidR="00FE291A" w:rsidRDefault="00C8738F">
      <w:pPr>
        <w:widowControl/>
        <w:rPr>
          <w:color w:val="000000"/>
          <w:sz w:val="22"/>
          <w:szCs w:val="22"/>
          <w:lang w:val="de-DE"/>
        </w:rPr>
      </w:pPr>
      <w:r>
        <w:rPr>
          <w:color w:val="000000"/>
          <w:sz w:val="22"/>
          <w:szCs w:val="22"/>
          <w:lang w:val="de-DE"/>
        </w:rPr>
        <w:t>Der primäre Endpunkt der Studie war die klinische Remission in Woche 26, definiert als PCDAI-</w:t>
      </w:r>
      <w:r>
        <w:rPr>
          <w:i/>
          <w:iCs/>
          <w:color w:val="000000"/>
          <w:sz w:val="22"/>
          <w:szCs w:val="22"/>
          <w:lang w:val="de-DE"/>
        </w:rPr>
        <w:t>Score</w:t>
      </w:r>
      <w:r>
        <w:rPr>
          <w:color w:val="000000"/>
          <w:sz w:val="22"/>
          <w:szCs w:val="22"/>
          <w:lang w:val="de-DE"/>
        </w:rPr>
        <w:t xml:space="preserve"> ≤ 10. </w:t>
      </w:r>
    </w:p>
    <w:p w14:paraId="1B791F12" w14:textId="77777777" w:rsidR="00FE291A" w:rsidRDefault="00FE291A">
      <w:pPr>
        <w:widowControl/>
        <w:rPr>
          <w:color w:val="000000"/>
          <w:sz w:val="22"/>
          <w:szCs w:val="22"/>
          <w:lang w:val="de-DE"/>
        </w:rPr>
      </w:pPr>
    </w:p>
    <w:p w14:paraId="10A9A6EC" w14:textId="77777777" w:rsidR="00FE291A" w:rsidRDefault="00C8738F">
      <w:pPr>
        <w:pStyle w:val="BodyText"/>
        <w:widowControl/>
        <w:kinsoku w:val="0"/>
        <w:overflowPunct w:val="0"/>
        <w:ind w:left="0"/>
        <w:rPr>
          <w:color w:val="000000"/>
          <w:lang w:val="de-DE"/>
        </w:rPr>
      </w:pPr>
      <w:r>
        <w:rPr>
          <w:color w:val="000000"/>
          <w:lang w:val="de-DE"/>
        </w:rPr>
        <w:t>Die Raten zur klinischen Remission und zum klinischen Ansprechen (definiert als Verringerung im PCDAI-</w:t>
      </w:r>
      <w:r>
        <w:rPr>
          <w:i/>
          <w:iCs/>
          <w:color w:val="000000"/>
          <w:lang w:val="de-DE"/>
        </w:rPr>
        <w:t>Score</w:t>
      </w:r>
      <w:r>
        <w:rPr>
          <w:color w:val="000000"/>
          <w:lang w:val="de-DE"/>
        </w:rPr>
        <w:t xml:space="preserve"> um mindestens 15 Punkte im Vergleich zu Studienbeginn) sind in Tabelle 29 dargestellt. Die Raten zum Absetzen von Kortikosteroiden oder Immunsuppressiva zeigt Tabelle 30.</w:t>
      </w:r>
    </w:p>
    <w:p w14:paraId="577553BF" w14:textId="77777777" w:rsidR="00FE291A" w:rsidRDefault="00FE291A">
      <w:pPr>
        <w:pStyle w:val="BodyText"/>
        <w:keepNext/>
        <w:widowControl/>
        <w:kinsoku w:val="0"/>
        <w:overflowPunct w:val="0"/>
        <w:ind w:left="0"/>
        <w:rPr>
          <w:color w:val="000000"/>
          <w:lang w:val="de-DE"/>
        </w:rPr>
      </w:pPr>
    </w:p>
    <w:p w14:paraId="4B1AA013" w14:textId="77777777" w:rsidR="00FE291A" w:rsidRDefault="00C8738F">
      <w:pPr>
        <w:pStyle w:val="Default"/>
        <w:keepNext/>
        <w:keepLines/>
        <w:rPr>
          <w:rFonts w:eastAsia="PMingLiU"/>
          <w:b/>
          <w:bCs/>
          <w:sz w:val="22"/>
          <w:szCs w:val="22"/>
          <w:lang w:val="de-DE" w:eastAsia="en-IN"/>
        </w:rPr>
      </w:pPr>
      <w:r>
        <w:rPr>
          <w:b/>
          <w:bCs/>
          <w:sz w:val="22"/>
          <w:szCs w:val="22"/>
          <w:lang w:val="de-DE" w:eastAsia="en-GB"/>
        </w:rPr>
        <w:t xml:space="preserve">Tabelle 29: </w:t>
      </w:r>
      <w:r>
        <w:rPr>
          <w:rFonts w:eastAsia="PMingLiU"/>
          <w:b/>
          <w:bCs/>
          <w:sz w:val="22"/>
          <w:szCs w:val="22"/>
          <w:lang w:val="de-DE" w:eastAsia="en-IN"/>
        </w:rPr>
        <w:t>Morbus-Crohn-Studie bei Kindern und Jugendlichen</w:t>
      </w:r>
    </w:p>
    <w:p w14:paraId="577BE300" w14:textId="77777777" w:rsidR="00FE291A" w:rsidRDefault="00C8738F">
      <w:pPr>
        <w:pStyle w:val="Default"/>
        <w:keepNext/>
        <w:keepLines/>
        <w:rPr>
          <w:b/>
          <w:bCs/>
          <w:sz w:val="22"/>
          <w:szCs w:val="22"/>
          <w:lang w:val="de-DE"/>
        </w:rPr>
      </w:pPr>
      <w:r>
        <w:rPr>
          <w:b/>
          <w:bCs/>
          <w:sz w:val="22"/>
          <w:szCs w:val="22"/>
          <w:lang w:val="de-DE"/>
        </w:rPr>
        <w:t>Klinische Remission und Ansprechen nach PCDAI</w:t>
      </w:r>
    </w:p>
    <w:p w14:paraId="46C058A2" w14:textId="77777777" w:rsidR="00FE291A" w:rsidRDefault="00FE291A">
      <w:pPr>
        <w:pStyle w:val="Default"/>
        <w:keepNext/>
        <w:keepLines/>
        <w:rPr>
          <w:sz w:val="22"/>
          <w:szCs w:val="22"/>
          <w:lang w:val="de-DE" w:eastAsia="en-GB"/>
        </w:rPr>
      </w:pPr>
    </w:p>
    <w:tbl>
      <w:tblPr>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586"/>
        <w:gridCol w:w="2268"/>
        <w:gridCol w:w="2268"/>
        <w:gridCol w:w="1842"/>
      </w:tblGrid>
      <w:tr w:rsidR="00FE291A" w14:paraId="6951B559" w14:textId="77777777">
        <w:trPr>
          <w:cantSplit/>
          <w:tblHeader/>
        </w:trPr>
        <w:tc>
          <w:tcPr>
            <w:tcW w:w="2586" w:type="dxa"/>
          </w:tcPr>
          <w:p w14:paraId="5C150C53" w14:textId="77777777" w:rsidR="00FE291A" w:rsidRDefault="00FE291A">
            <w:pPr>
              <w:keepNext/>
              <w:widowControl/>
              <w:suppressAutoHyphens/>
              <w:jc w:val="center"/>
              <w:rPr>
                <w:color w:val="000000"/>
                <w:sz w:val="22"/>
                <w:szCs w:val="22"/>
                <w:lang w:val="de-DE" w:eastAsia="en-GB"/>
              </w:rPr>
            </w:pPr>
          </w:p>
        </w:tc>
        <w:tc>
          <w:tcPr>
            <w:tcW w:w="2268" w:type="dxa"/>
          </w:tcPr>
          <w:p w14:paraId="2E86C550" w14:textId="77777777" w:rsidR="00FE291A" w:rsidRDefault="00C8738F">
            <w:pPr>
              <w:pStyle w:val="Default"/>
              <w:keepNext/>
              <w:suppressAutoHyphens/>
              <w:jc w:val="center"/>
              <w:rPr>
                <w:sz w:val="22"/>
                <w:szCs w:val="22"/>
                <w:lang w:val="de-DE"/>
              </w:rPr>
            </w:pPr>
            <w:r>
              <w:rPr>
                <w:b/>
                <w:bCs/>
                <w:sz w:val="22"/>
                <w:szCs w:val="22"/>
                <w:lang w:val="de-DE"/>
              </w:rPr>
              <w:t>Standarddosis</w:t>
            </w:r>
          </w:p>
          <w:p w14:paraId="034C5CE4" w14:textId="77777777" w:rsidR="00FE291A" w:rsidRDefault="00C8738F">
            <w:pPr>
              <w:pStyle w:val="Default"/>
              <w:keepNext/>
              <w:suppressAutoHyphens/>
              <w:jc w:val="center"/>
              <w:rPr>
                <w:sz w:val="22"/>
                <w:szCs w:val="22"/>
                <w:lang w:val="de-DE"/>
              </w:rPr>
            </w:pPr>
            <w:r>
              <w:rPr>
                <w:b/>
                <w:bCs/>
                <w:sz w:val="22"/>
                <w:szCs w:val="22"/>
                <w:lang w:val="de-DE"/>
              </w:rPr>
              <w:t>40/20 mg jede zweite Woche</w:t>
            </w:r>
          </w:p>
          <w:p w14:paraId="23944D9A" w14:textId="77777777" w:rsidR="00FE291A" w:rsidRDefault="00C8738F">
            <w:pPr>
              <w:keepNext/>
              <w:widowControl/>
              <w:suppressAutoHyphens/>
              <w:jc w:val="center"/>
              <w:rPr>
                <w:color w:val="000000"/>
                <w:sz w:val="22"/>
                <w:szCs w:val="22"/>
                <w:lang w:val="de-DE" w:eastAsia="en-GB"/>
              </w:rPr>
            </w:pPr>
            <w:r>
              <w:rPr>
                <w:b/>
                <w:bCs/>
                <w:sz w:val="22"/>
                <w:szCs w:val="22"/>
                <w:lang w:val="de-DE"/>
              </w:rPr>
              <w:t>n = 93</w:t>
            </w:r>
          </w:p>
        </w:tc>
        <w:tc>
          <w:tcPr>
            <w:tcW w:w="2268" w:type="dxa"/>
          </w:tcPr>
          <w:p w14:paraId="0B71DE53" w14:textId="77777777" w:rsidR="00FE291A" w:rsidRDefault="00C8738F">
            <w:pPr>
              <w:pStyle w:val="Default"/>
              <w:keepNext/>
              <w:suppressAutoHyphens/>
              <w:jc w:val="center"/>
              <w:rPr>
                <w:sz w:val="22"/>
                <w:szCs w:val="22"/>
                <w:lang w:val="de-DE"/>
              </w:rPr>
            </w:pPr>
            <w:r>
              <w:rPr>
                <w:b/>
                <w:bCs/>
                <w:sz w:val="22"/>
                <w:szCs w:val="22"/>
                <w:lang w:val="de-DE"/>
              </w:rPr>
              <w:t>Niedrige Dosis</w:t>
            </w:r>
          </w:p>
          <w:p w14:paraId="2A6AC44F" w14:textId="77777777" w:rsidR="00FE291A" w:rsidRDefault="00C8738F">
            <w:pPr>
              <w:pStyle w:val="Default"/>
              <w:keepNext/>
              <w:suppressAutoHyphens/>
              <w:jc w:val="center"/>
              <w:rPr>
                <w:sz w:val="22"/>
                <w:szCs w:val="22"/>
                <w:lang w:val="de-DE"/>
              </w:rPr>
            </w:pPr>
            <w:r>
              <w:rPr>
                <w:b/>
                <w:bCs/>
                <w:sz w:val="22"/>
                <w:szCs w:val="22"/>
                <w:lang w:val="de-DE"/>
              </w:rPr>
              <w:t>20/10 mg jede zweite Woche</w:t>
            </w:r>
          </w:p>
          <w:p w14:paraId="5CF9E057" w14:textId="77777777" w:rsidR="00FE291A" w:rsidRDefault="00C8738F">
            <w:pPr>
              <w:keepNext/>
              <w:widowControl/>
              <w:suppressAutoHyphens/>
              <w:jc w:val="center"/>
              <w:rPr>
                <w:color w:val="000000"/>
                <w:sz w:val="22"/>
                <w:szCs w:val="22"/>
                <w:lang w:val="de-DE" w:eastAsia="en-GB"/>
              </w:rPr>
            </w:pPr>
            <w:r>
              <w:rPr>
                <w:b/>
                <w:bCs/>
                <w:sz w:val="22"/>
                <w:szCs w:val="22"/>
                <w:lang w:val="de-DE"/>
              </w:rPr>
              <w:t>n = 95</w:t>
            </w:r>
          </w:p>
        </w:tc>
        <w:tc>
          <w:tcPr>
            <w:tcW w:w="1842" w:type="dxa"/>
          </w:tcPr>
          <w:p w14:paraId="79205B0B" w14:textId="77777777" w:rsidR="00FE291A" w:rsidRDefault="00C8738F">
            <w:pPr>
              <w:keepNext/>
              <w:widowControl/>
              <w:suppressAutoHyphens/>
              <w:jc w:val="center"/>
              <w:rPr>
                <w:color w:val="000000"/>
                <w:sz w:val="22"/>
                <w:szCs w:val="22"/>
                <w:lang w:val="de-DE" w:eastAsia="en-GB"/>
              </w:rPr>
            </w:pPr>
            <w:r>
              <w:rPr>
                <w:b/>
                <w:bCs/>
                <w:color w:val="000000"/>
                <w:sz w:val="22"/>
                <w:szCs w:val="22"/>
                <w:lang w:val="de-DE" w:eastAsia="en-GB"/>
              </w:rPr>
              <w:t>p-Wert*</w:t>
            </w:r>
          </w:p>
        </w:tc>
      </w:tr>
      <w:tr w:rsidR="00FE291A" w14:paraId="665F2C91" w14:textId="77777777">
        <w:trPr>
          <w:cantSplit/>
        </w:trPr>
        <w:tc>
          <w:tcPr>
            <w:tcW w:w="8964" w:type="dxa"/>
            <w:gridSpan w:val="4"/>
          </w:tcPr>
          <w:p w14:paraId="7EA6F703" w14:textId="77777777" w:rsidR="00FE291A" w:rsidRDefault="00C8738F">
            <w:pPr>
              <w:keepNext/>
              <w:suppressAutoHyphens/>
              <w:rPr>
                <w:color w:val="000000"/>
                <w:sz w:val="22"/>
                <w:szCs w:val="22"/>
                <w:lang w:val="de-DE" w:eastAsia="en-GB"/>
              </w:rPr>
            </w:pPr>
            <w:r>
              <w:rPr>
                <w:b/>
                <w:bCs/>
                <w:color w:val="000000"/>
                <w:sz w:val="22"/>
                <w:szCs w:val="22"/>
                <w:lang w:val="de-DE" w:eastAsia="en-GB"/>
              </w:rPr>
              <w:t>Woche 26</w:t>
            </w:r>
          </w:p>
        </w:tc>
      </w:tr>
      <w:tr w:rsidR="00FE291A" w14:paraId="66CFB55F" w14:textId="77777777">
        <w:trPr>
          <w:cantSplit/>
        </w:trPr>
        <w:tc>
          <w:tcPr>
            <w:tcW w:w="2586" w:type="dxa"/>
          </w:tcPr>
          <w:p w14:paraId="6C3DA7E4" w14:textId="77777777" w:rsidR="00FE291A" w:rsidRDefault="00C8738F">
            <w:pPr>
              <w:keepNext/>
              <w:tabs>
                <w:tab w:val="left" w:pos="276"/>
              </w:tabs>
              <w:suppressAutoHyphens/>
              <w:rPr>
                <w:color w:val="000000"/>
                <w:sz w:val="22"/>
                <w:szCs w:val="22"/>
                <w:lang w:val="de-DE" w:eastAsia="en-GB"/>
              </w:rPr>
            </w:pPr>
            <w:r>
              <w:rPr>
                <w:color w:val="000000"/>
                <w:sz w:val="22"/>
                <w:szCs w:val="22"/>
                <w:lang w:val="de-DE" w:eastAsia="en-GB"/>
              </w:rPr>
              <w:tab/>
              <w:t>Klinische Remission</w:t>
            </w:r>
          </w:p>
        </w:tc>
        <w:tc>
          <w:tcPr>
            <w:tcW w:w="2268" w:type="dxa"/>
          </w:tcPr>
          <w:p w14:paraId="145EC147" w14:textId="77777777" w:rsidR="00FE291A" w:rsidRDefault="00C8738F">
            <w:pPr>
              <w:keepNext/>
              <w:suppressAutoHyphens/>
              <w:jc w:val="center"/>
              <w:rPr>
                <w:color w:val="000000"/>
                <w:sz w:val="22"/>
                <w:szCs w:val="22"/>
                <w:lang w:val="de-DE" w:eastAsia="en-GB"/>
              </w:rPr>
            </w:pPr>
            <w:r>
              <w:rPr>
                <w:color w:val="000000"/>
                <w:sz w:val="22"/>
                <w:szCs w:val="22"/>
                <w:lang w:val="de-DE" w:eastAsia="en-GB"/>
              </w:rPr>
              <w:t>38,7 %</w:t>
            </w:r>
          </w:p>
        </w:tc>
        <w:tc>
          <w:tcPr>
            <w:tcW w:w="2268" w:type="dxa"/>
          </w:tcPr>
          <w:p w14:paraId="1229868E" w14:textId="77777777" w:rsidR="00FE291A" w:rsidRDefault="00C8738F">
            <w:pPr>
              <w:keepNext/>
              <w:suppressAutoHyphens/>
              <w:jc w:val="center"/>
              <w:rPr>
                <w:color w:val="000000"/>
                <w:sz w:val="22"/>
                <w:szCs w:val="22"/>
                <w:lang w:val="de-DE" w:eastAsia="en-GB"/>
              </w:rPr>
            </w:pPr>
            <w:r>
              <w:rPr>
                <w:color w:val="000000"/>
                <w:sz w:val="22"/>
                <w:szCs w:val="22"/>
                <w:lang w:val="de-DE" w:eastAsia="en-GB"/>
              </w:rPr>
              <w:t>28,4 %</w:t>
            </w:r>
          </w:p>
        </w:tc>
        <w:tc>
          <w:tcPr>
            <w:tcW w:w="1842" w:type="dxa"/>
          </w:tcPr>
          <w:p w14:paraId="5E1BAD2E" w14:textId="77777777" w:rsidR="00FE291A" w:rsidRDefault="00C8738F">
            <w:pPr>
              <w:keepNext/>
              <w:suppressAutoHyphens/>
              <w:jc w:val="center"/>
              <w:rPr>
                <w:color w:val="000000"/>
                <w:sz w:val="22"/>
                <w:szCs w:val="22"/>
                <w:lang w:val="de-DE" w:eastAsia="en-GB"/>
              </w:rPr>
            </w:pPr>
            <w:r>
              <w:rPr>
                <w:color w:val="000000"/>
                <w:sz w:val="22"/>
                <w:szCs w:val="22"/>
                <w:lang w:val="de-DE" w:eastAsia="en-GB"/>
              </w:rPr>
              <w:t>0,075</w:t>
            </w:r>
          </w:p>
        </w:tc>
      </w:tr>
      <w:tr w:rsidR="00FE291A" w14:paraId="5CA8D34D" w14:textId="77777777">
        <w:trPr>
          <w:cantSplit/>
        </w:trPr>
        <w:tc>
          <w:tcPr>
            <w:tcW w:w="2586" w:type="dxa"/>
          </w:tcPr>
          <w:p w14:paraId="496DDA6C" w14:textId="77777777" w:rsidR="00FE291A" w:rsidRDefault="00C8738F">
            <w:pPr>
              <w:tabs>
                <w:tab w:val="left" w:pos="276"/>
              </w:tabs>
              <w:suppressAutoHyphens/>
              <w:rPr>
                <w:color w:val="000000"/>
                <w:sz w:val="22"/>
                <w:szCs w:val="22"/>
                <w:lang w:val="de-DE" w:eastAsia="en-GB"/>
              </w:rPr>
            </w:pPr>
            <w:r>
              <w:rPr>
                <w:color w:val="000000"/>
                <w:sz w:val="22"/>
                <w:szCs w:val="22"/>
                <w:lang w:val="de-DE" w:eastAsia="en-GB"/>
              </w:rPr>
              <w:tab/>
              <w:t>Klinisches Ansprechen</w:t>
            </w:r>
          </w:p>
        </w:tc>
        <w:tc>
          <w:tcPr>
            <w:tcW w:w="2268" w:type="dxa"/>
          </w:tcPr>
          <w:p w14:paraId="16614411" w14:textId="77777777" w:rsidR="00FE291A" w:rsidRDefault="00C8738F">
            <w:pPr>
              <w:suppressAutoHyphens/>
              <w:jc w:val="center"/>
              <w:rPr>
                <w:color w:val="000000"/>
                <w:sz w:val="22"/>
                <w:szCs w:val="22"/>
                <w:lang w:val="de-DE" w:eastAsia="en-GB"/>
              </w:rPr>
            </w:pPr>
            <w:r>
              <w:rPr>
                <w:color w:val="000000"/>
                <w:sz w:val="22"/>
                <w:szCs w:val="22"/>
                <w:lang w:val="de-DE" w:eastAsia="en-GB"/>
              </w:rPr>
              <w:t>59,1 %</w:t>
            </w:r>
          </w:p>
        </w:tc>
        <w:tc>
          <w:tcPr>
            <w:tcW w:w="2268" w:type="dxa"/>
          </w:tcPr>
          <w:p w14:paraId="2C7D0A0E" w14:textId="77777777" w:rsidR="00FE291A" w:rsidRDefault="00C8738F">
            <w:pPr>
              <w:suppressAutoHyphens/>
              <w:jc w:val="center"/>
              <w:rPr>
                <w:color w:val="000000"/>
                <w:sz w:val="22"/>
                <w:szCs w:val="22"/>
                <w:lang w:val="de-DE" w:eastAsia="en-GB"/>
              </w:rPr>
            </w:pPr>
            <w:r>
              <w:rPr>
                <w:color w:val="000000"/>
                <w:sz w:val="22"/>
                <w:szCs w:val="22"/>
                <w:lang w:val="de-DE" w:eastAsia="en-GB"/>
              </w:rPr>
              <w:t>48,4 %</w:t>
            </w:r>
          </w:p>
        </w:tc>
        <w:tc>
          <w:tcPr>
            <w:tcW w:w="1842" w:type="dxa"/>
          </w:tcPr>
          <w:p w14:paraId="53F798AC" w14:textId="77777777" w:rsidR="00FE291A" w:rsidRDefault="00C8738F">
            <w:pPr>
              <w:suppressAutoHyphens/>
              <w:jc w:val="center"/>
              <w:rPr>
                <w:color w:val="000000"/>
                <w:sz w:val="22"/>
                <w:szCs w:val="22"/>
                <w:lang w:val="de-DE" w:eastAsia="en-GB"/>
              </w:rPr>
            </w:pPr>
            <w:r>
              <w:rPr>
                <w:color w:val="000000"/>
                <w:sz w:val="22"/>
                <w:szCs w:val="22"/>
                <w:lang w:val="de-DE" w:eastAsia="en-GB"/>
              </w:rPr>
              <w:t>0,073</w:t>
            </w:r>
          </w:p>
        </w:tc>
      </w:tr>
      <w:tr w:rsidR="00FE291A" w14:paraId="669AF65E" w14:textId="77777777">
        <w:trPr>
          <w:cantSplit/>
        </w:trPr>
        <w:tc>
          <w:tcPr>
            <w:tcW w:w="8964" w:type="dxa"/>
            <w:gridSpan w:val="4"/>
          </w:tcPr>
          <w:p w14:paraId="53BF227D" w14:textId="77777777" w:rsidR="00FE291A" w:rsidRDefault="00C8738F">
            <w:pPr>
              <w:suppressAutoHyphens/>
              <w:rPr>
                <w:color w:val="000000"/>
                <w:sz w:val="22"/>
                <w:szCs w:val="22"/>
                <w:lang w:val="de-DE" w:eastAsia="en-GB"/>
              </w:rPr>
            </w:pPr>
            <w:r>
              <w:rPr>
                <w:b/>
                <w:bCs/>
                <w:color w:val="000000"/>
                <w:sz w:val="22"/>
                <w:szCs w:val="22"/>
                <w:lang w:val="de-DE" w:eastAsia="en-GB"/>
              </w:rPr>
              <w:t>Woche 52</w:t>
            </w:r>
          </w:p>
        </w:tc>
      </w:tr>
      <w:tr w:rsidR="00FE291A" w14:paraId="5DF4273C" w14:textId="77777777">
        <w:trPr>
          <w:cantSplit/>
        </w:trPr>
        <w:tc>
          <w:tcPr>
            <w:tcW w:w="2586" w:type="dxa"/>
          </w:tcPr>
          <w:p w14:paraId="61EA4FA2" w14:textId="77777777" w:rsidR="00FE291A" w:rsidRDefault="00C8738F">
            <w:pPr>
              <w:tabs>
                <w:tab w:val="left" w:pos="276"/>
              </w:tabs>
              <w:suppressAutoHyphens/>
              <w:rPr>
                <w:color w:val="000000"/>
                <w:sz w:val="22"/>
                <w:szCs w:val="22"/>
                <w:lang w:val="de-DE" w:eastAsia="en-GB"/>
              </w:rPr>
            </w:pPr>
            <w:r>
              <w:rPr>
                <w:color w:val="000000"/>
                <w:sz w:val="22"/>
                <w:szCs w:val="22"/>
                <w:lang w:val="de-DE" w:eastAsia="en-GB"/>
              </w:rPr>
              <w:tab/>
              <w:t>Klinische Remission</w:t>
            </w:r>
          </w:p>
        </w:tc>
        <w:tc>
          <w:tcPr>
            <w:tcW w:w="2268" w:type="dxa"/>
          </w:tcPr>
          <w:p w14:paraId="74FDF1BC" w14:textId="77777777" w:rsidR="00FE291A" w:rsidRDefault="00C8738F">
            <w:pPr>
              <w:suppressAutoHyphens/>
              <w:jc w:val="center"/>
              <w:rPr>
                <w:color w:val="000000"/>
                <w:sz w:val="22"/>
                <w:szCs w:val="22"/>
                <w:lang w:val="de-DE" w:eastAsia="en-GB"/>
              </w:rPr>
            </w:pPr>
            <w:r>
              <w:rPr>
                <w:color w:val="000000"/>
                <w:sz w:val="22"/>
                <w:szCs w:val="22"/>
                <w:lang w:val="de-DE" w:eastAsia="en-GB"/>
              </w:rPr>
              <w:t>33,3 %</w:t>
            </w:r>
          </w:p>
        </w:tc>
        <w:tc>
          <w:tcPr>
            <w:tcW w:w="2268" w:type="dxa"/>
          </w:tcPr>
          <w:p w14:paraId="4D2FAB1D" w14:textId="77777777" w:rsidR="00FE291A" w:rsidRDefault="00C8738F">
            <w:pPr>
              <w:keepNext/>
              <w:suppressAutoHyphens/>
              <w:jc w:val="center"/>
              <w:rPr>
                <w:color w:val="000000"/>
                <w:sz w:val="22"/>
                <w:szCs w:val="22"/>
                <w:lang w:val="de-DE" w:eastAsia="en-GB"/>
              </w:rPr>
            </w:pPr>
            <w:r>
              <w:rPr>
                <w:color w:val="000000"/>
                <w:sz w:val="22"/>
                <w:szCs w:val="22"/>
                <w:lang w:val="de-DE" w:eastAsia="en-GB"/>
              </w:rPr>
              <w:t>23,2 %</w:t>
            </w:r>
          </w:p>
        </w:tc>
        <w:tc>
          <w:tcPr>
            <w:tcW w:w="1842" w:type="dxa"/>
          </w:tcPr>
          <w:p w14:paraId="38C44E14" w14:textId="77777777" w:rsidR="00FE291A" w:rsidRDefault="00C8738F">
            <w:pPr>
              <w:keepNext/>
              <w:suppressAutoHyphens/>
              <w:jc w:val="center"/>
              <w:rPr>
                <w:color w:val="000000"/>
                <w:sz w:val="22"/>
                <w:szCs w:val="22"/>
                <w:lang w:val="de-DE" w:eastAsia="en-GB"/>
              </w:rPr>
            </w:pPr>
            <w:r>
              <w:rPr>
                <w:color w:val="000000"/>
                <w:sz w:val="22"/>
                <w:szCs w:val="22"/>
                <w:lang w:val="de-DE" w:eastAsia="en-GB"/>
              </w:rPr>
              <w:t>0,100</w:t>
            </w:r>
          </w:p>
        </w:tc>
      </w:tr>
      <w:tr w:rsidR="00FE291A" w14:paraId="586BF3D3" w14:textId="77777777">
        <w:trPr>
          <w:cantSplit/>
        </w:trPr>
        <w:tc>
          <w:tcPr>
            <w:tcW w:w="2586" w:type="dxa"/>
            <w:tcBorders>
              <w:bottom w:val="single" w:sz="4" w:space="0" w:color="auto"/>
            </w:tcBorders>
          </w:tcPr>
          <w:p w14:paraId="7A921E0E" w14:textId="77777777" w:rsidR="00FE291A" w:rsidRDefault="00C8738F">
            <w:pPr>
              <w:tabs>
                <w:tab w:val="left" w:pos="276"/>
              </w:tabs>
              <w:suppressAutoHyphens/>
              <w:rPr>
                <w:color w:val="000000"/>
                <w:sz w:val="22"/>
                <w:szCs w:val="22"/>
                <w:lang w:val="de-DE" w:eastAsia="en-GB"/>
              </w:rPr>
            </w:pPr>
            <w:r>
              <w:rPr>
                <w:color w:val="000000"/>
                <w:sz w:val="22"/>
                <w:szCs w:val="22"/>
                <w:lang w:val="de-DE" w:eastAsia="en-GB"/>
              </w:rPr>
              <w:tab/>
              <w:t>Klinisches Ansprechen</w:t>
            </w:r>
          </w:p>
        </w:tc>
        <w:tc>
          <w:tcPr>
            <w:tcW w:w="2268" w:type="dxa"/>
            <w:tcBorders>
              <w:bottom w:val="single" w:sz="4" w:space="0" w:color="auto"/>
            </w:tcBorders>
          </w:tcPr>
          <w:p w14:paraId="5298098D" w14:textId="77777777" w:rsidR="00FE291A" w:rsidRDefault="00C8738F">
            <w:pPr>
              <w:suppressAutoHyphens/>
              <w:jc w:val="center"/>
              <w:rPr>
                <w:color w:val="000000"/>
                <w:sz w:val="22"/>
                <w:szCs w:val="22"/>
                <w:lang w:val="de-DE" w:eastAsia="en-GB"/>
              </w:rPr>
            </w:pPr>
            <w:r>
              <w:rPr>
                <w:color w:val="000000"/>
                <w:sz w:val="22"/>
                <w:szCs w:val="22"/>
                <w:lang w:val="de-DE" w:eastAsia="en-GB"/>
              </w:rPr>
              <w:t>41,9 %</w:t>
            </w:r>
          </w:p>
        </w:tc>
        <w:tc>
          <w:tcPr>
            <w:tcW w:w="2268" w:type="dxa"/>
            <w:tcBorders>
              <w:bottom w:val="single" w:sz="4" w:space="0" w:color="auto"/>
            </w:tcBorders>
          </w:tcPr>
          <w:p w14:paraId="2DB359D7" w14:textId="77777777" w:rsidR="00FE291A" w:rsidRDefault="00C8738F">
            <w:pPr>
              <w:keepNext/>
              <w:suppressAutoHyphens/>
              <w:jc w:val="center"/>
              <w:rPr>
                <w:color w:val="000000"/>
                <w:sz w:val="22"/>
                <w:szCs w:val="22"/>
                <w:lang w:val="de-DE" w:eastAsia="en-GB"/>
              </w:rPr>
            </w:pPr>
            <w:r>
              <w:rPr>
                <w:color w:val="000000"/>
                <w:sz w:val="22"/>
                <w:szCs w:val="22"/>
                <w:lang w:val="de-DE" w:eastAsia="en-GB"/>
              </w:rPr>
              <w:t>28,4 %</w:t>
            </w:r>
          </w:p>
        </w:tc>
        <w:tc>
          <w:tcPr>
            <w:tcW w:w="1842" w:type="dxa"/>
            <w:tcBorders>
              <w:bottom w:val="single" w:sz="4" w:space="0" w:color="auto"/>
            </w:tcBorders>
          </w:tcPr>
          <w:p w14:paraId="548A4AFF" w14:textId="77777777" w:rsidR="00FE291A" w:rsidRDefault="00C8738F">
            <w:pPr>
              <w:keepNext/>
              <w:suppressAutoHyphens/>
              <w:jc w:val="center"/>
              <w:rPr>
                <w:color w:val="000000"/>
                <w:sz w:val="22"/>
                <w:szCs w:val="22"/>
                <w:lang w:val="de-DE" w:eastAsia="en-GB"/>
              </w:rPr>
            </w:pPr>
            <w:r>
              <w:rPr>
                <w:color w:val="000000"/>
                <w:sz w:val="22"/>
                <w:szCs w:val="22"/>
                <w:lang w:val="de-DE" w:eastAsia="en-GB"/>
              </w:rPr>
              <w:t>0,038</w:t>
            </w:r>
          </w:p>
        </w:tc>
      </w:tr>
    </w:tbl>
    <w:p w14:paraId="4075C1AA" w14:textId="77777777" w:rsidR="00FE291A" w:rsidRDefault="00C8738F">
      <w:pPr>
        <w:keepNext/>
        <w:keepLines/>
        <w:rPr>
          <w:sz w:val="20"/>
          <w:szCs w:val="20"/>
          <w:lang w:val="de-DE" w:eastAsia="en-GB"/>
        </w:rPr>
      </w:pPr>
      <w:r>
        <w:rPr>
          <w:color w:val="000000"/>
          <w:sz w:val="20"/>
          <w:lang w:val="de-DE" w:eastAsia="en-GB"/>
        </w:rPr>
        <w:t xml:space="preserve">* </w:t>
      </w:r>
      <w:r>
        <w:rPr>
          <w:sz w:val="20"/>
          <w:szCs w:val="20"/>
          <w:lang w:val="de-DE"/>
        </w:rPr>
        <w:t>p-Wert für Vergleich von Standarddosis gegenüber Niedrigdosis</w:t>
      </w:r>
    </w:p>
    <w:p w14:paraId="009372B3" w14:textId="77777777" w:rsidR="00FE291A" w:rsidRDefault="00FE291A">
      <w:pPr>
        <w:rPr>
          <w:sz w:val="22"/>
          <w:szCs w:val="21"/>
          <w:lang w:val="de-DE"/>
        </w:rPr>
      </w:pPr>
    </w:p>
    <w:p w14:paraId="33A3EBA2" w14:textId="77777777" w:rsidR="00FE291A" w:rsidRDefault="00C8738F">
      <w:pPr>
        <w:pStyle w:val="Default"/>
        <w:rPr>
          <w:rFonts w:eastAsia="PMingLiU"/>
          <w:b/>
          <w:bCs/>
          <w:sz w:val="22"/>
          <w:szCs w:val="22"/>
          <w:lang w:val="de-DE" w:eastAsia="en-IN"/>
        </w:rPr>
      </w:pPr>
      <w:r>
        <w:rPr>
          <w:b/>
          <w:bCs/>
          <w:sz w:val="22"/>
          <w:szCs w:val="22"/>
          <w:lang w:val="de-DE" w:eastAsia="en-GB"/>
        </w:rPr>
        <w:t xml:space="preserve">Tabelle 30: </w:t>
      </w:r>
      <w:r>
        <w:rPr>
          <w:rFonts w:eastAsia="PMingLiU"/>
          <w:b/>
          <w:bCs/>
          <w:sz w:val="22"/>
          <w:szCs w:val="22"/>
          <w:lang w:val="de-DE" w:eastAsia="en-IN"/>
        </w:rPr>
        <w:t>Morbus-Crohn-Studie bei Kindern und Jugendlichen</w:t>
      </w:r>
    </w:p>
    <w:p w14:paraId="32937EF2" w14:textId="77777777" w:rsidR="00FE291A" w:rsidRDefault="00C8738F">
      <w:pPr>
        <w:pStyle w:val="Default"/>
        <w:rPr>
          <w:b/>
          <w:bCs/>
          <w:sz w:val="22"/>
          <w:szCs w:val="22"/>
          <w:lang w:val="de-DE" w:eastAsia="en-GB"/>
        </w:rPr>
      </w:pPr>
      <w:r>
        <w:rPr>
          <w:b/>
          <w:bCs/>
          <w:sz w:val="22"/>
          <w:szCs w:val="22"/>
          <w:lang w:val="de-DE"/>
        </w:rPr>
        <w:t xml:space="preserve">Absetzen von Kortikosteroiden oder Immunsuppressiva und Remission von Fisteln </w:t>
      </w:r>
    </w:p>
    <w:p w14:paraId="5F79C7C4" w14:textId="77777777" w:rsidR="00FE291A" w:rsidRDefault="00FE291A">
      <w:pPr>
        <w:rPr>
          <w:sz w:val="22"/>
          <w:szCs w:val="22"/>
          <w:lang w:val="de-DE"/>
        </w:rPr>
      </w:pPr>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006"/>
        <w:gridCol w:w="2126"/>
        <w:gridCol w:w="2126"/>
        <w:gridCol w:w="1701"/>
      </w:tblGrid>
      <w:tr w:rsidR="00FE291A" w14:paraId="768CC1E9" w14:textId="77777777">
        <w:trPr>
          <w:cantSplit/>
          <w:tblHeader/>
        </w:trPr>
        <w:tc>
          <w:tcPr>
            <w:tcW w:w="3006" w:type="dxa"/>
            <w:tcBorders>
              <w:top w:val="single" w:sz="4" w:space="0" w:color="auto"/>
            </w:tcBorders>
          </w:tcPr>
          <w:p w14:paraId="5DF19516" w14:textId="77777777" w:rsidR="00FE291A" w:rsidRDefault="00FE291A">
            <w:pPr>
              <w:keepNext/>
              <w:suppressAutoHyphens/>
              <w:rPr>
                <w:color w:val="000000"/>
                <w:sz w:val="22"/>
                <w:szCs w:val="22"/>
                <w:lang w:val="de-DE" w:eastAsia="en-GB"/>
              </w:rPr>
            </w:pPr>
          </w:p>
        </w:tc>
        <w:tc>
          <w:tcPr>
            <w:tcW w:w="2126" w:type="dxa"/>
            <w:tcBorders>
              <w:top w:val="single" w:sz="4" w:space="0" w:color="auto"/>
            </w:tcBorders>
          </w:tcPr>
          <w:p w14:paraId="17F15E49" w14:textId="77777777" w:rsidR="00FE291A" w:rsidRDefault="00C8738F">
            <w:pPr>
              <w:pStyle w:val="Default"/>
              <w:keepNext/>
              <w:suppressAutoHyphens/>
              <w:jc w:val="center"/>
              <w:rPr>
                <w:sz w:val="22"/>
                <w:szCs w:val="22"/>
                <w:lang w:val="de-DE"/>
              </w:rPr>
            </w:pPr>
            <w:r>
              <w:rPr>
                <w:b/>
                <w:bCs/>
                <w:sz w:val="22"/>
                <w:szCs w:val="22"/>
                <w:lang w:val="de-DE"/>
              </w:rPr>
              <w:t>Standarddosis</w:t>
            </w:r>
          </w:p>
          <w:p w14:paraId="21BAE293" w14:textId="77777777" w:rsidR="00FE291A" w:rsidRDefault="00C8738F">
            <w:pPr>
              <w:keepNext/>
              <w:suppressAutoHyphens/>
              <w:jc w:val="center"/>
              <w:rPr>
                <w:color w:val="000000"/>
                <w:sz w:val="22"/>
                <w:szCs w:val="22"/>
                <w:lang w:val="de-DE" w:eastAsia="en-GB"/>
              </w:rPr>
            </w:pPr>
            <w:r>
              <w:rPr>
                <w:b/>
                <w:bCs/>
                <w:sz w:val="22"/>
                <w:szCs w:val="22"/>
                <w:lang w:val="de-DE"/>
              </w:rPr>
              <w:t>40/20 mg jede zweite Woche</w:t>
            </w:r>
          </w:p>
        </w:tc>
        <w:tc>
          <w:tcPr>
            <w:tcW w:w="2126" w:type="dxa"/>
            <w:tcBorders>
              <w:top w:val="single" w:sz="4" w:space="0" w:color="auto"/>
            </w:tcBorders>
          </w:tcPr>
          <w:p w14:paraId="1992E2E4" w14:textId="77777777" w:rsidR="00FE291A" w:rsidRDefault="00C8738F">
            <w:pPr>
              <w:pStyle w:val="Default"/>
              <w:keepNext/>
              <w:suppressAutoHyphens/>
              <w:jc w:val="center"/>
              <w:rPr>
                <w:sz w:val="22"/>
                <w:szCs w:val="22"/>
                <w:lang w:val="de-DE"/>
              </w:rPr>
            </w:pPr>
            <w:r>
              <w:rPr>
                <w:b/>
                <w:bCs/>
                <w:sz w:val="22"/>
                <w:szCs w:val="22"/>
                <w:lang w:val="de-DE"/>
              </w:rPr>
              <w:t>Niedrige Dosis</w:t>
            </w:r>
          </w:p>
          <w:p w14:paraId="3317153A" w14:textId="77777777" w:rsidR="00FE291A" w:rsidRDefault="00C8738F">
            <w:pPr>
              <w:keepNext/>
              <w:suppressAutoHyphens/>
              <w:jc w:val="center"/>
              <w:rPr>
                <w:color w:val="000000"/>
                <w:sz w:val="22"/>
                <w:szCs w:val="22"/>
                <w:lang w:val="de-DE" w:eastAsia="en-GB"/>
              </w:rPr>
            </w:pPr>
            <w:r>
              <w:rPr>
                <w:b/>
                <w:bCs/>
                <w:sz w:val="22"/>
                <w:szCs w:val="22"/>
                <w:lang w:val="de-DE"/>
              </w:rPr>
              <w:t>20/10 mg jede zweite Woche</w:t>
            </w:r>
          </w:p>
        </w:tc>
        <w:tc>
          <w:tcPr>
            <w:tcW w:w="1701" w:type="dxa"/>
            <w:tcBorders>
              <w:top w:val="single" w:sz="4" w:space="0" w:color="auto"/>
            </w:tcBorders>
          </w:tcPr>
          <w:p w14:paraId="17962817" w14:textId="77777777" w:rsidR="00FE291A" w:rsidRDefault="00C8738F">
            <w:pPr>
              <w:keepNext/>
              <w:suppressAutoHyphens/>
              <w:jc w:val="center"/>
              <w:rPr>
                <w:color w:val="000000"/>
                <w:sz w:val="22"/>
                <w:szCs w:val="22"/>
                <w:lang w:val="de-DE" w:eastAsia="en-GB"/>
              </w:rPr>
            </w:pPr>
            <w:r>
              <w:rPr>
                <w:b/>
                <w:bCs/>
                <w:sz w:val="22"/>
                <w:szCs w:val="22"/>
                <w:lang w:val="de-DE"/>
              </w:rPr>
              <w:t>p-Wert</w:t>
            </w:r>
            <w:r>
              <w:rPr>
                <w:b/>
                <w:bCs/>
                <w:sz w:val="22"/>
                <w:szCs w:val="22"/>
                <w:vertAlign w:val="superscript"/>
                <w:lang w:val="de-DE"/>
              </w:rPr>
              <w:t>1</w:t>
            </w:r>
          </w:p>
        </w:tc>
      </w:tr>
      <w:tr w:rsidR="00FE291A" w14:paraId="7AADFA86" w14:textId="77777777">
        <w:trPr>
          <w:cantSplit/>
        </w:trPr>
        <w:tc>
          <w:tcPr>
            <w:tcW w:w="3006" w:type="dxa"/>
          </w:tcPr>
          <w:p w14:paraId="10F7F365" w14:textId="77777777" w:rsidR="00FE291A" w:rsidRDefault="00C8738F">
            <w:pPr>
              <w:pStyle w:val="Default"/>
              <w:keepNext/>
              <w:suppressAutoHyphens/>
              <w:rPr>
                <w:sz w:val="22"/>
                <w:szCs w:val="22"/>
                <w:lang w:val="de-DE"/>
              </w:rPr>
            </w:pPr>
            <w:r>
              <w:rPr>
                <w:b/>
                <w:bCs/>
                <w:sz w:val="22"/>
                <w:szCs w:val="22"/>
                <w:lang w:val="de-DE"/>
              </w:rPr>
              <w:t>Abgesetzte Kortikosteroide</w:t>
            </w:r>
          </w:p>
        </w:tc>
        <w:tc>
          <w:tcPr>
            <w:tcW w:w="2126" w:type="dxa"/>
          </w:tcPr>
          <w:p w14:paraId="134124F6" w14:textId="77777777" w:rsidR="00FE291A" w:rsidRDefault="00C8738F">
            <w:pPr>
              <w:keepNext/>
              <w:suppressAutoHyphens/>
              <w:jc w:val="center"/>
              <w:rPr>
                <w:color w:val="000000"/>
                <w:sz w:val="22"/>
                <w:szCs w:val="22"/>
                <w:lang w:val="de-DE" w:eastAsia="en-GB"/>
              </w:rPr>
            </w:pPr>
            <w:r>
              <w:rPr>
                <w:b/>
                <w:bCs/>
                <w:color w:val="000000"/>
                <w:sz w:val="22"/>
                <w:szCs w:val="22"/>
                <w:lang w:val="de-DE" w:eastAsia="en-GB"/>
              </w:rPr>
              <w:t>n</w:t>
            </w:r>
            <w:r>
              <w:rPr>
                <w:sz w:val="22"/>
                <w:szCs w:val="22"/>
                <w:lang w:val="de-DE"/>
              </w:rPr>
              <w:t> </w:t>
            </w:r>
            <w:r>
              <w:rPr>
                <w:b/>
                <w:bCs/>
                <w:color w:val="000000"/>
                <w:sz w:val="22"/>
                <w:szCs w:val="22"/>
                <w:lang w:val="de-DE" w:eastAsia="en-GB"/>
              </w:rPr>
              <w:t>=</w:t>
            </w:r>
            <w:r>
              <w:rPr>
                <w:sz w:val="22"/>
                <w:szCs w:val="22"/>
                <w:lang w:val="de-DE"/>
              </w:rPr>
              <w:t> </w:t>
            </w:r>
            <w:r>
              <w:rPr>
                <w:b/>
                <w:bCs/>
                <w:color w:val="000000"/>
                <w:sz w:val="22"/>
                <w:szCs w:val="22"/>
                <w:lang w:val="de-DE" w:eastAsia="en-GB"/>
              </w:rPr>
              <w:t>33</w:t>
            </w:r>
          </w:p>
        </w:tc>
        <w:tc>
          <w:tcPr>
            <w:tcW w:w="2126" w:type="dxa"/>
          </w:tcPr>
          <w:p w14:paraId="4533BED8" w14:textId="77777777" w:rsidR="00FE291A" w:rsidRDefault="00C8738F">
            <w:pPr>
              <w:keepNext/>
              <w:suppressAutoHyphens/>
              <w:jc w:val="center"/>
              <w:rPr>
                <w:color w:val="000000"/>
                <w:sz w:val="22"/>
                <w:szCs w:val="22"/>
                <w:lang w:val="de-DE" w:eastAsia="en-GB"/>
              </w:rPr>
            </w:pPr>
            <w:r>
              <w:rPr>
                <w:b/>
                <w:bCs/>
                <w:color w:val="000000"/>
                <w:sz w:val="22"/>
                <w:szCs w:val="22"/>
                <w:lang w:val="de-DE" w:eastAsia="en-GB"/>
              </w:rPr>
              <w:t>n</w:t>
            </w:r>
            <w:r>
              <w:rPr>
                <w:sz w:val="22"/>
                <w:szCs w:val="22"/>
                <w:lang w:val="de-DE"/>
              </w:rPr>
              <w:t> </w:t>
            </w:r>
            <w:r>
              <w:rPr>
                <w:b/>
                <w:bCs/>
                <w:color w:val="000000"/>
                <w:sz w:val="22"/>
                <w:szCs w:val="22"/>
                <w:lang w:val="de-DE" w:eastAsia="en-GB"/>
              </w:rPr>
              <w:t>=</w:t>
            </w:r>
            <w:r>
              <w:rPr>
                <w:sz w:val="22"/>
                <w:szCs w:val="22"/>
                <w:lang w:val="de-DE"/>
              </w:rPr>
              <w:t> </w:t>
            </w:r>
            <w:r>
              <w:rPr>
                <w:b/>
                <w:bCs/>
                <w:color w:val="000000"/>
                <w:sz w:val="22"/>
                <w:szCs w:val="22"/>
                <w:lang w:val="de-DE" w:eastAsia="en-GB"/>
              </w:rPr>
              <w:t>38</w:t>
            </w:r>
          </w:p>
        </w:tc>
        <w:tc>
          <w:tcPr>
            <w:tcW w:w="1701" w:type="dxa"/>
          </w:tcPr>
          <w:p w14:paraId="6D2D3743" w14:textId="77777777" w:rsidR="00FE291A" w:rsidRDefault="00FE291A">
            <w:pPr>
              <w:keepNext/>
              <w:suppressAutoHyphens/>
              <w:jc w:val="center"/>
              <w:rPr>
                <w:color w:val="000000"/>
                <w:sz w:val="22"/>
                <w:szCs w:val="22"/>
                <w:lang w:val="de-DE" w:eastAsia="en-GB"/>
              </w:rPr>
            </w:pPr>
          </w:p>
        </w:tc>
      </w:tr>
      <w:tr w:rsidR="00FE291A" w14:paraId="2ADD7989" w14:textId="77777777">
        <w:trPr>
          <w:cantSplit/>
        </w:trPr>
        <w:tc>
          <w:tcPr>
            <w:tcW w:w="3006" w:type="dxa"/>
          </w:tcPr>
          <w:p w14:paraId="7F70EA2D" w14:textId="77777777" w:rsidR="00FE291A" w:rsidRDefault="00C8738F">
            <w:pPr>
              <w:keepNext/>
              <w:suppressAutoHyphens/>
              <w:rPr>
                <w:color w:val="000000"/>
                <w:sz w:val="22"/>
                <w:szCs w:val="22"/>
                <w:lang w:val="de-DE" w:eastAsia="en-GB"/>
              </w:rPr>
            </w:pPr>
            <w:r>
              <w:rPr>
                <w:color w:val="000000"/>
                <w:sz w:val="22"/>
                <w:szCs w:val="22"/>
                <w:lang w:val="de-DE" w:eastAsia="en-GB"/>
              </w:rPr>
              <w:t>Woche</w:t>
            </w:r>
            <w:r>
              <w:rPr>
                <w:rFonts w:eastAsia="Times New Roman"/>
                <w:sz w:val="22"/>
                <w:szCs w:val="22"/>
                <w:lang w:val="de-DE"/>
              </w:rPr>
              <w:t> </w:t>
            </w:r>
            <w:r>
              <w:rPr>
                <w:color w:val="000000"/>
                <w:sz w:val="22"/>
                <w:szCs w:val="22"/>
                <w:lang w:val="de-DE" w:eastAsia="en-GB"/>
              </w:rPr>
              <w:t>26</w:t>
            </w:r>
          </w:p>
        </w:tc>
        <w:tc>
          <w:tcPr>
            <w:tcW w:w="2126" w:type="dxa"/>
          </w:tcPr>
          <w:p w14:paraId="29D4B829" w14:textId="77777777" w:rsidR="00FE291A" w:rsidRDefault="00C8738F">
            <w:pPr>
              <w:keepNext/>
              <w:suppressAutoHyphens/>
              <w:jc w:val="center"/>
              <w:rPr>
                <w:color w:val="000000"/>
                <w:sz w:val="22"/>
                <w:szCs w:val="22"/>
                <w:lang w:val="de-DE" w:eastAsia="en-GB"/>
              </w:rPr>
            </w:pPr>
            <w:r>
              <w:rPr>
                <w:color w:val="000000"/>
                <w:sz w:val="22"/>
                <w:szCs w:val="22"/>
                <w:lang w:val="de-DE" w:eastAsia="en-GB"/>
              </w:rPr>
              <w:t>84,8 %</w:t>
            </w:r>
          </w:p>
        </w:tc>
        <w:tc>
          <w:tcPr>
            <w:tcW w:w="2126" w:type="dxa"/>
          </w:tcPr>
          <w:p w14:paraId="60A9C174" w14:textId="77777777" w:rsidR="00FE291A" w:rsidRDefault="00C8738F">
            <w:pPr>
              <w:keepNext/>
              <w:suppressAutoHyphens/>
              <w:jc w:val="center"/>
              <w:rPr>
                <w:color w:val="000000"/>
                <w:sz w:val="22"/>
                <w:szCs w:val="22"/>
                <w:lang w:val="de-DE" w:eastAsia="en-GB"/>
              </w:rPr>
            </w:pPr>
            <w:r>
              <w:rPr>
                <w:color w:val="000000"/>
                <w:sz w:val="22"/>
                <w:szCs w:val="22"/>
                <w:lang w:val="de-DE" w:eastAsia="en-GB"/>
              </w:rPr>
              <w:t>65,8 %</w:t>
            </w:r>
          </w:p>
        </w:tc>
        <w:tc>
          <w:tcPr>
            <w:tcW w:w="1701" w:type="dxa"/>
          </w:tcPr>
          <w:p w14:paraId="6B6F60B2" w14:textId="77777777" w:rsidR="00FE291A" w:rsidRDefault="00C8738F">
            <w:pPr>
              <w:keepNext/>
              <w:suppressAutoHyphens/>
              <w:jc w:val="center"/>
              <w:rPr>
                <w:color w:val="000000"/>
                <w:sz w:val="22"/>
                <w:szCs w:val="22"/>
                <w:lang w:val="de-DE" w:eastAsia="en-GB"/>
              </w:rPr>
            </w:pPr>
            <w:r>
              <w:rPr>
                <w:color w:val="000000"/>
                <w:sz w:val="22"/>
                <w:szCs w:val="22"/>
                <w:lang w:val="de-DE" w:eastAsia="en-GB"/>
              </w:rPr>
              <w:t>0,066</w:t>
            </w:r>
          </w:p>
        </w:tc>
      </w:tr>
      <w:tr w:rsidR="00FE291A" w14:paraId="6C5FD008" w14:textId="77777777">
        <w:trPr>
          <w:cantSplit/>
        </w:trPr>
        <w:tc>
          <w:tcPr>
            <w:tcW w:w="3006" w:type="dxa"/>
          </w:tcPr>
          <w:p w14:paraId="0D8C53C4" w14:textId="77777777" w:rsidR="00FE291A" w:rsidRDefault="00C8738F">
            <w:pPr>
              <w:suppressAutoHyphens/>
              <w:rPr>
                <w:color w:val="000000"/>
                <w:sz w:val="22"/>
                <w:szCs w:val="22"/>
                <w:lang w:val="de-DE" w:eastAsia="en-GB"/>
              </w:rPr>
            </w:pPr>
            <w:r>
              <w:rPr>
                <w:color w:val="000000"/>
                <w:sz w:val="22"/>
                <w:szCs w:val="22"/>
                <w:lang w:val="de-DE" w:eastAsia="en-GB"/>
              </w:rPr>
              <w:t>Woche</w:t>
            </w:r>
            <w:r>
              <w:rPr>
                <w:rFonts w:eastAsia="Times New Roman"/>
                <w:sz w:val="22"/>
                <w:szCs w:val="22"/>
                <w:lang w:val="de-DE"/>
              </w:rPr>
              <w:t> </w:t>
            </w:r>
            <w:r>
              <w:rPr>
                <w:color w:val="000000"/>
                <w:sz w:val="22"/>
                <w:szCs w:val="22"/>
                <w:lang w:val="de-DE" w:eastAsia="en-GB"/>
              </w:rPr>
              <w:t>52</w:t>
            </w:r>
          </w:p>
        </w:tc>
        <w:tc>
          <w:tcPr>
            <w:tcW w:w="2126" w:type="dxa"/>
          </w:tcPr>
          <w:p w14:paraId="5B763542" w14:textId="77777777" w:rsidR="00FE291A" w:rsidRDefault="00C8738F">
            <w:pPr>
              <w:suppressAutoHyphens/>
              <w:jc w:val="center"/>
              <w:rPr>
                <w:color w:val="000000"/>
                <w:sz w:val="22"/>
                <w:szCs w:val="22"/>
                <w:lang w:val="de-DE" w:eastAsia="en-GB"/>
              </w:rPr>
            </w:pPr>
            <w:r>
              <w:rPr>
                <w:color w:val="000000"/>
                <w:sz w:val="22"/>
                <w:szCs w:val="22"/>
                <w:lang w:val="de-DE" w:eastAsia="en-GB"/>
              </w:rPr>
              <w:t>69,7 %</w:t>
            </w:r>
          </w:p>
        </w:tc>
        <w:tc>
          <w:tcPr>
            <w:tcW w:w="2126" w:type="dxa"/>
          </w:tcPr>
          <w:p w14:paraId="60E60183" w14:textId="77777777" w:rsidR="00FE291A" w:rsidRDefault="00C8738F">
            <w:pPr>
              <w:suppressAutoHyphens/>
              <w:jc w:val="center"/>
              <w:rPr>
                <w:color w:val="000000"/>
                <w:sz w:val="22"/>
                <w:szCs w:val="22"/>
                <w:lang w:val="de-DE" w:eastAsia="en-GB"/>
              </w:rPr>
            </w:pPr>
            <w:r>
              <w:rPr>
                <w:color w:val="000000"/>
                <w:sz w:val="22"/>
                <w:szCs w:val="22"/>
                <w:lang w:val="de-DE" w:eastAsia="en-GB"/>
              </w:rPr>
              <w:t>60,5 %</w:t>
            </w:r>
          </w:p>
        </w:tc>
        <w:tc>
          <w:tcPr>
            <w:tcW w:w="1701" w:type="dxa"/>
          </w:tcPr>
          <w:p w14:paraId="72D4E4F0" w14:textId="77777777" w:rsidR="00FE291A" w:rsidRDefault="00C8738F">
            <w:pPr>
              <w:suppressAutoHyphens/>
              <w:jc w:val="center"/>
              <w:rPr>
                <w:color w:val="000000"/>
                <w:sz w:val="22"/>
                <w:szCs w:val="22"/>
                <w:lang w:val="de-DE" w:eastAsia="en-GB"/>
              </w:rPr>
            </w:pPr>
            <w:r>
              <w:rPr>
                <w:color w:val="000000"/>
                <w:sz w:val="22"/>
                <w:szCs w:val="22"/>
                <w:lang w:val="de-DE" w:eastAsia="en-GB"/>
              </w:rPr>
              <w:t>0,420</w:t>
            </w:r>
          </w:p>
        </w:tc>
      </w:tr>
      <w:tr w:rsidR="00FE291A" w14:paraId="40120C5B" w14:textId="77777777">
        <w:trPr>
          <w:cantSplit/>
        </w:trPr>
        <w:tc>
          <w:tcPr>
            <w:tcW w:w="3006" w:type="dxa"/>
          </w:tcPr>
          <w:p w14:paraId="32BCC50F" w14:textId="77777777" w:rsidR="00FE291A" w:rsidRDefault="00C8738F">
            <w:pPr>
              <w:pStyle w:val="Default"/>
              <w:keepNext/>
              <w:suppressAutoHyphens/>
              <w:rPr>
                <w:sz w:val="22"/>
                <w:szCs w:val="22"/>
                <w:lang w:val="de-DE"/>
              </w:rPr>
            </w:pPr>
            <w:r>
              <w:rPr>
                <w:b/>
                <w:bCs/>
                <w:sz w:val="22"/>
                <w:szCs w:val="22"/>
                <w:lang w:val="de-DE"/>
              </w:rPr>
              <w:t>Absetzen von Immunsuppressiva</w:t>
            </w:r>
            <w:r>
              <w:rPr>
                <w:b/>
                <w:bCs/>
                <w:sz w:val="22"/>
                <w:szCs w:val="22"/>
                <w:vertAlign w:val="superscript"/>
                <w:lang w:val="de-DE" w:eastAsia="en-GB"/>
              </w:rPr>
              <w:t>2</w:t>
            </w:r>
          </w:p>
        </w:tc>
        <w:tc>
          <w:tcPr>
            <w:tcW w:w="2126" w:type="dxa"/>
          </w:tcPr>
          <w:p w14:paraId="0EE0978F" w14:textId="77777777" w:rsidR="00FE291A" w:rsidRDefault="00C8738F">
            <w:pPr>
              <w:keepNext/>
              <w:suppressAutoHyphens/>
              <w:jc w:val="center"/>
              <w:rPr>
                <w:color w:val="000000"/>
                <w:sz w:val="22"/>
                <w:szCs w:val="22"/>
                <w:lang w:val="de-DE" w:eastAsia="en-GB"/>
              </w:rPr>
            </w:pPr>
            <w:r>
              <w:rPr>
                <w:b/>
                <w:bCs/>
                <w:color w:val="000000"/>
                <w:sz w:val="22"/>
                <w:szCs w:val="22"/>
                <w:lang w:val="de-DE" w:eastAsia="en-GB"/>
              </w:rPr>
              <w:t>n</w:t>
            </w:r>
            <w:r>
              <w:rPr>
                <w:sz w:val="22"/>
                <w:szCs w:val="22"/>
                <w:lang w:val="de-DE"/>
              </w:rPr>
              <w:t> </w:t>
            </w:r>
            <w:r>
              <w:rPr>
                <w:b/>
                <w:bCs/>
                <w:color w:val="000000"/>
                <w:sz w:val="22"/>
                <w:szCs w:val="22"/>
                <w:lang w:val="de-DE" w:eastAsia="en-GB"/>
              </w:rPr>
              <w:t>=</w:t>
            </w:r>
            <w:r>
              <w:rPr>
                <w:sz w:val="22"/>
                <w:szCs w:val="22"/>
                <w:lang w:val="de-DE"/>
              </w:rPr>
              <w:t> </w:t>
            </w:r>
            <w:r>
              <w:rPr>
                <w:b/>
                <w:bCs/>
                <w:color w:val="000000"/>
                <w:sz w:val="22"/>
                <w:szCs w:val="22"/>
                <w:lang w:val="de-DE" w:eastAsia="en-GB"/>
              </w:rPr>
              <w:t>60</w:t>
            </w:r>
          </w:p>
        </w:tc>
        <w:tc>
          <w:tcPr>
            <w:tcW w:w="2126" w:type="dxa"/>
          </w:tcPr>
          <w:p w14:paraId="59230AE3" w14:textId="77777777" w:rsidR="00FE291A" w:rsidRDefault="00C8738F">
            <w:pPr>
              <w:keepNext/>
              <w:suppressAutoHyphens/>
              <w:jc w:val="center"/>
              <w:rPr>
                <w:color w:val="000000"/>
                <w:sz w:val="22"/>
                <w:szCs w:val="22"/>
                <w:lang w:val="de-DE" w:eastAsia="en-GB"/>
              </w:rPr>
            </w:pPr>
            <w:r>
              <w:rPr>
                <w:b/>
                <w:bCs/>
                <w:color w:val="000000"/>
                <w:sz w:val="22"/>
                <w:szCs w:val="22"/>
                <w:lang w:val="de-DE" w:eastAsia="en-GB"/>
              </w:rPr>
              <w:t>n</w:t>
            </w:r>
            <w:r>
              <w:rPr>
                <w:sz w:val="22"/>
                <w:szCs w:val="22"/>
                <w:lang w:val="de-DE"/>
              </w:rPr>
              <w:t> </w:t>
            </w:r>
            <w:r>
              <w:rPr>
                <w:b/>
                <w:bCs/>
                <w:color w:val="000000"/>
                <w:sz w:val="22"/>
                <w:szCs w:val="22"/>
                <w:lang w:val="de-DE" w:eastAsia="en-GB"/>
              </w:rPr>
              <w:t>=</w:t>
            </w:r>
            <w:r>
              <w:rPr>
                <w:sz w:val="22"/>
                <w:szCs w:val="22"/>
                <w:lang w:val="de-DE"/>
              </w:rPr>
              <w:t> </w:t>
            </w:r>
            <w:r>
              <w:rPr>
                <w:b/>
                <w:bCs/>
                <w:color w:val="000000"/>
                <w:sz w:val="22"/>
                <w:szCs w:val="22"/>
                <w:lang w:val="de-DE" w:eastAsia="en-GB"/>
              </w:rPr>
              <w:t>57</w:t>
            </w:r>
          </w:p>
        </w:tc>
        <w:tc>
          <w:tcPr>
            <w:tcW w:w="1701" w:type="dxa"/>
          </w:tcPr>
          <w:p w14:paraId="30657A50" w14:textId="77777777" w:rsidR="00FE291A" w:rsidRDefault="00FE291A">
            <w:pPr>
              <w:keepNext/>
              <w:suppressAutoHyphens/>
              <w:jc w:val="center"/>
              <w:rPr>
                <w:color w:val="000000"/>
                <w:sz w:val="22"/>
                <w:szCs w:val="22"/>
                <w:lang w:val="de-DE" w:eastAsia="en-GB"/>
              </w:rPr>
            </w:pPr>
          </w:p>
        </w:tc>
      </w:tr>
      <w:tr w:rsidR="00FE291A" w14:paraId="3808C361" w14:textId="77777777">
        <w:trPr>
          <w:cantSplit/>
        </w:trPr>
        <w:tc>
          <w:tcPr>
            <w:tcW w:w="3006" w:type="dxa"/>
          </w:tcPr>
          <w:p w14:paraId="0F70C8DE" w14:textId="77777777" w:rsidR="00FE291A" w:rsidRDefault="00C8738F">
            <w:pPr>
              <w:suppressAutoHyphens/>
              <w:rPr>
                <w:color w:val="000000"/>
                <w:sz w:val="22"/>
                <w:szCs w:val="22"/>
                <w:lang w:val="de-DE" w:eastAsia="en-GB"/>
              </w:rPr>
            </w:pPr>
            <w:r>
              <w:rPr>
                <w:color w:val="000000"/>
                <w:sz w:val="22"/>
                <w:szCs w:val="22"/>
                <w:lang w:val="de-DE" w:eastAsia="en-GB"/>
              </w:rPr>
              <w:t>Woche</w:t>
            </w:r>
            <w:r>
              <w:rPr>
                <w:rFonts w:eastAsia="Times New Roman"/>
                <w:sz w:val="22"/>
                <w:szCs w:val="22"/>
                <w:lang w:val="de-DE"/>
              </w:rPr>
              <w:t> </w:t>
            </w:r>
            <w:r>
              <w:rPr>
                <w:color w:val="000000"/>
                <w:sz w:val="22"/>
                <w:szCs w:val="22"/>
                <w:lang w:val="de-DE" w:eastAsia="en-GB"/>
              </w:rPr>
              <w:t>52</w:t>
            </w:r>
          </w:p>
        </w:tc>
        <w:tc>
          <w:tcPr>
            <w:tcW w:w="2126" w:type="dxa"/>
          </w:tcPr>
          <w:p w14:paraId="74D69CE6" w14:textId="77777777" w:rsidR="00FE291A" w:rsidRDefault="00C8738F">
            <w:pPr>
              <w:suppressAutoHyphens/>
              <w:jc w:val="center"/>
              <w:rPr>
                <w:color w:val="000000"/>
                <w:sz w:val="22"/>
                <w:szCs w:val="22"/>
                <w:lang w:val="de-DE" w:eastAsia="en-GB"/>
              </w:rPr>
            </w:pPr>
            <w:r>
              <w:rPr>
                <w:color w:val="000000"/>
                <w:sz w:val="22"/>
                <w:szCs w:val="22"/>
                <w:lang w:val="de-DE" w:eastAsia="en-GB"/>
              </w:rPr>
              <w:t>30,0 %</w:t>
            </w:r>
          </w:p>
        </w:tc>
        <w:tc>
          <w:tcPr>
            <w:tcW w:w="2126" w:type="dxa"/>
          </w:tcPr>
          <w:p w14:paraId="684E22DB" w14:textId="77777777" w:rsidR="00FE291A" w:rsidRDefault="00C8738F">
            <w:pPr>
              <w:suppressAutoHyphens/>
              <w:jc w:val="center"/>
              <w:rPr>
                <w:color w:val="000000"/>
                <w:sz w:val="22"/>
                <w:szCs w:val="22"/>
                <w:lang w:val="de-DE" w:eastAsia="en-GB"/>
              </w:rPr>
            </w:pPr>
            <w:r>
              <w:rPr>
                <w:color w:val="000000"/>
                <w:sz w:val="22"/>
                <w:szCs w:val="22"/>
                <w:lang w:val="de-DE" w:eastAsia="en-GB"/>
              </w:rPr>
              <w:t>29,8 %</w:t>
            </w:r>
          </w:p>
        </w:tc>
        <w:tc>
          <w:tcPr>
            <w:tcW w:w="1701" w:type="dxa"/>
          </w:tcPr>
          <w:p w14:paraId="189C1CC7" w14:textId="77777777" w:rsidR="00FE291A" w:rsidRDefault="00C8738F">
            <w:pPr>
              <w:suppressAutoHyphens/>
              <w:jc w:val="center"/>
              <w:rPr>
                <w:color w:val="000000"/>
                <w:sz w:val="22"/>
                <w:szCs w:val="22"/>
                <w:lang w:val="de-DE" w:eastAsia="en-GB"/>
              </w:rPr>
            </w:pPr>
            <w:r>
              <w:rPr>
                <w:color w:val="000000"/>
                <w:sz w:val="22"/>
                <w:szCs w:val="22"/>
                <w:lang w:val="de-DE" w:eastAsia="en-GB"/>
              </w:rPr>
              <w:t>0,983</w:t>
            </w:r>
          </w:p>
        </w:tc>
      </w:tr>
      <w:tr w:rsidR="00FE291A" w14:paraId="6EBD7F44" w14:textId="77777777">
        <w:trPr>
          <w:cantSplit/>
        </w:trPr>
        <w:tc>
          <w:tcPr>
            <w:tcW w:w="3006" w:type="dxa"/>
          </w:tcPr>
          <w:p w14:paraId="433C25D9" w14:textId="77777777" w:rsidR="00FE291A" w:rsidRDefault="00C8738F">
            <w:pPr>
              <w:keepNext/>
              <w:suppressAutoHyphens/>
              <w:rPr>
                <w:color w:val="000000"/>
                <w:sz w:val="22"/>
                <w:szCs w:val="22"/>
                <w:lang w:val="de-DE" w:eastAsia="en-GB"/>
              </w:rPr>
            </w:pPr>
            <w:r>
              <w:rPr>
                <w:b/>
                <w:bCs/>
                <w:color w:val="000000"/>
                <w:sz w:val="22"/>
                <w:szCs w:val="22"/>
                <w:lang w:val="de-DE" w:eastAsia="en-GB"/>
              </w:rPr>
              <w:t>Fistelremission</w:t>
            </w:r>
            <w:r>
              <w:rPr>
                <w:b/>
                <w:bCs/>
                <w:color w:val="000000"/>
                <w:sz w:val="22"/>
                <w:szCs w:val="22"/>
                <w:vertAlign w:val="superscript"/>
                <w:lang w:val="de-DE" w:eastAsia="en-GB"/>
              </w:rPr>
              <w:t>3</w:t>
            </w:r>
          </w:p>
        </w:tc>
        <w:tc>
          <w:tcPr>
            <w:tcW w:w="2126" w:type="dxa"/>
          </w:tcPr>
          <w:p w14:paraId="7584C5DA" w14:textId="77777777" w:rsidR="00FE291A" w:rsidRDefault="00C8738F">
            <w:pPr>
              <w:keepNext/>
              <w:suppressAutoHyphens/>
              <w:jc w:val="center"/>
              <w:rPr>
                <w:color w:val="000000"/>
                <w:sz w:val="22"/>
                <w:szCs w:val="22"/>
                <w:lang w:val="de-DE" w:eastAsia="en-GB"/>
              </w:rPr>
            </w:pPr>
            <w:r>
              <w:rPr>
                <w:b/>
                <w:bCs/>
                <w:color w:val="000000"/>
                <w:sz w:val="22"/>
                <w:szCs w:val="22"/>
                <w:lang w:val="de-DE" w:eastAsia="en-GB"/>
              </w:rPr>
              <w:t>n</w:t>
            </w:r>
            <w:r>
              <w:rPr>
                <w:sz w:val="22"/>
                <w:szCs w:val="22"/>
                <w:lang w:val="de-DE"/>
              </w:rPr>
              <w:t> </w:t>
            </w:r>
            <w:r>
              <w:rPr>
                <w:b/>
                <w:bCs/>
                <w:color w:val="000000"/>
                <w:sz w:val="22"/>
                <w:szCs w:val="22"/>
                <w:lang w:val="de-DE" w:eastAsia="en-GB"/>
              </w:rPr>
              <w:t>=</w:t>
            </w:r>
            <w:r>
              <w:rPr>
                <w:sz w:val="22"/>
                <w:szCs w:val="22"/>
                <w:lang w:val="de-DE"/>
              </w:rPr>
              <w:t> </w:t>
            </w:r>
            <w:r>
              <w:rPr>
                <w:b/>
                <w:bCs/>
                <w:color w:val="000000"/>
                <w:sz w:val="22"/>
                <w:szCs w:val="22"/>
                <w:lang w:val="de-DE" w:eastAsia="en-GB"/>
              </w:rPr>
              <w:t>15</w:t>
            </w:r>
          </w:p>
        </w:tc>
        <w:tc>
          <w:tcPr>
            <w:tcW w:w="2126" w:type="dxa"/>
          </w:tcPr>
          <w:p w14:paraId="01A73C1A" w14:textId="77777777" w:rsidR="00FE291A" w:rsidRDefault="00C8738F">
            <w:pPr>
              <w:keepNext/>
              <w:suppressAutoHyphens/>
              <w:jc w:val="center"/>
              <w:rPr>
                <w:color w:val="000000"/>
                <w:sz w:val="22"/>
                <w:szCs w:val="22"/>
                <w:lang w:val="de-DE" w:eastAsia="en-GB"/>
              </w:rPr>
            </w:pPr>
            <w:r>
              <w:rPr>
                <w:b/>
                <w:bCs/>
                <w:color w:val="000000"/>
                <w:sz w:val="22"/>
                <w:szCs w:val="22"/>
                <w:lang w:val="de-DE" w:eastAsia="en-GB"/>
              </w:rPr>
              <w:t>n</w:t>
            </w:r>
            <w:r>
              <w:rPr>
                <w:sz w:val="22"/>
                <w:szCs w:val="22"/>
                <w:lang w:val="de-DE"/>
              </w:rPr>
              <w:t> </w:t>
            </w:r>
            <w:r>
              <w:rPr>
                <w:b/>
                <w:bCs/>
                <w:color w:val="000000"/>
                <w:sz w:val="22"/>
                <w:szCs w:val="22"/>
                <w:lang w:val="de-DE" w:eastAsia="en-GB"/>
              </w:rPr>
              <w:t>=</w:t>
            </w:r>
            <w:r>
              <w:rPr>
                <w:sz w:val="22"/>
                <w:szCs w:val="22"/>
                <w:lang w:val="de-DE"/>
              </w:rPr>
              <w:t> </w:t>
            </w:r>
            <w:r>
              <w:rPr>
                <w:b/>
                <w:bCs/>
                <w:color w:val="000000"/>
                <w:sz w:val="22"/>
                <w:szCs w:val="22"/>
                <w:lang w:val="de-DE" w:eastAsia="en-GB"/>
              </w:rPr>
              <w:t>21</w:t>
            </w:r>
          </w:p>
        </w:tc>
        <w:tc>
          <w:tcPr>
            <w:tcW w:w="1701" w:type="dxa"/>
          </w:tcPr>
          <w:p w14:paraId="07B96753" w14:textId="77777777" w:rsidR="00FE291A" w:rsidRDefault="00FE291A">
            <w:pPr>
              <w:keepNext/>
              <w:suppressAutoHyphens/>
              <w:jc w:val="center"/>
              <w:rPr>
                <w:color w:val="000000"/>
                <w:sz w:val="22"/>
                <w:szCs w:val="22"/>
                <w:lang w:val="de-DE" w:eastAsia="en-GB"/>
              </w:rPr>
            </w:pPr>
          </w:p>
        </w:tc>
      </w:tr>
      <w:tr w:rsidR="00FE291A" w14:paraId="1CCE8D72" w14:textId="77777777">
        <w:trPr>
          <w:cantSplit/>
        </w:trPr>
        <w:tc>
          <w:tcPr>
            <w:tcW w:w="3006" w:type="dxa"/>
          </w:tcPr>
          <w:p w14:paraId="76C84E2C" w14:textId="77777777" w:rsidR="00FE291A" w:rsidRDefault="00C8738F">
            <w:pPr>
              <w:keepNext/>
              <w:suppressAutoHyphens/>
              <w:rPr>
                <w:color w:val="000000"/>
                <w:sz w:val="22"/>
                <w:szCs w:val="22"/>
                <w:lang w:val="de-DE" w:eastAsia="en-GB"/>
              </w:rPr>
            </w:pPr>
            <w:r>
              <w:rPr>
                <w:color w:val="000000"/>
                <w:sz w:val="22"/>
                <w:szCs w:val="22"/>
                <w:lang w:val="de-DE" w:eastAsia="en-GB"/>
              </w:rPr>
              <w:t>Woche</w:t>
            </w:r>
            <w:r>
              <w:rPr>
                <w:rFonts w:eastAsia="Times New Roman"/>
                <w:sz w:val="22"/>
                <w:szCs w:val="22"/>
                <w:lang w:val="de-DE"/>
              </w:rPr>
              <w:t> </w:t>
            </w:r>
            <w:r>
              <w:rPr>
                <w:color w:val="000000"/>
                <w:sz w:val="22"/>
                <w:szCs w:val="22"/>
                <w:lang w:val="de-DE" w:eastAsia="en-GB"/>
              </w:rPr>
              <w:t>26</w:t>
            </w:r>
          </w:p>
        </w:tc>
        <w:tc>
          <w:tcPr>
            <w:tcW w:w="2126" w:type="dxa"/>
          </w:tcPr>
          <w:p w14:paraId="7D6BD6F5" w14:textId="77777777" w:rsidR="00FE291A" w:rsidRDefault="00C8738F">
            <w:pPr>
              <w:keepNext/>
              <w:suppressAutoHyphens/>
              <w:jc w:val="center"/>
              <w:rPr>
                <w:color w:val="000000"/>
                <w:sz w:val="22"/>
                <w:szCs w:val="22"/>
                <w:lang w:val="de-DE" w:eastAsia="en-GB"/>
              </w:rPr>
            </w:pPr>
            <w:r>
              <w:rPr>
                <w:color w:val="000000"/>
                <w:sz w:val="22"/>
                <w:szCs w:val="22"/>
                <w:lang w:val="de-DE" w:eastAsia="en-GB"/>
              </w:rPr>
              <w:t>46,7 %</w:t>
            </w:r>
          </w:p>
        </w:tc>
        <w:tc>
          <w:tcPr>
            <w:tcW w:w="2126" w:type="dxa"/>
          </w:tcPr>
          <w:p w14:paraId="2D226147" w14:textId="77777777" w:rsidR="00FE291A" w:rsidRDefault="00C8738F">
            <w:pPr>
              <w:keepNext/>
              <w:suppressAutoHyphens/>
              <w:jc w:val="center"/>
              <w:rPr>
                <w:color w:val="000000"/>
                <w:sz w:val="22"/>
                <w:szCs w:val="22"/>
                <w:lang w:val="de-DE" w:eastAsia="en-GB"/>
              </w:rPr>
            </w:pPr>
            <w:r>
              <w:rPr>
                <w:color w:val="000000"/>
                <w:sz w:val="22"/>
                <w:szCs w:val="22"/>
                <w:lang w:val="de-DE" w:eastAsia="en-GB"/>
              </w:rPr>
              <w:t>38,1 %</w:t>
            </w:r>
          </w:p>
        </w:tc>
        <w:tc>
          <w:tcPr>
            <w:tcW w:w="1701" w:type="dxa"/>
          </w:tcPr>
          <w:p w14:paraId="1AFAA667" w14:textId="77777777" w:rsidR="00FE291A" w:rsidRDefault="00C8738F">
            <w:pPr>
              <w:keepNext/>
              <w:suppressAutoHyphens/>
              <w:jc w:val="center"/>
              <w:rPr>
                <w:color w:val="000000"/>
                <w:sz w:val="22"/>
                <w:szCs w:val="22"/>
                <w:lang w:val="de-DE" w:eastAsia="en-GB"/>
              </w:rPr>
            </w:pPr>
            <w:r>
              <w:rPr>
                <w:color w:val="000000"/>
                <w:sz w:val="22"/>
                <w:szCs w:val="22"/>
                <w:lang w:val="de-DE" w:eastAsia="en-GB"/>
              </w:rPr>
              <w:t>0,608</w:t>
            </w:r>
          </w:p>
        </w:tc>
      </w:tr>
      <w:tr w:rsidR="00FE291A" w14:paraId="443A385D" w14:textId="77777777">
        <w:trPr>
          <w:cantSplit/>
        </w:trPr>
        <w:tc>
          <w:tcPr>
            <w:tcW w:w="3006" w:type="dxa"/>
          </w:tcPr>
          <w:p w14:paraId="3B150197" w14:textId="77777777" w:rsidR="00FE291A" w:rsidRDefault="00C8738F">
            <w:pPr>
              <w:keepNext/>
              <w:suppressAutoHyphens/>
              <w:rPr>
                <w:color w:val="000000"/>
                <w:sz w:val="22"/>
                <w:szCs w:val="22"/>
                <w:lang w:val="de-DE" w:eastAsia="en-GB"/>
              </w:rPr>
            </w:pPr>
            <w:r>
              <w:rPr>
                <w:color w:val="000000"/>
                <w:sz w:val="22"/>
                <w:szCs w:val="22"/>
                <w:lang w:val="de-DE" w:eastAsia="en-GB"/>
              </w:rPr>
              <w:t>Woche</w:t>
            </w:r>
            <w:r>
              <w:rPr>
                <w:rFonts w:eastAsia="Times New Roman"/>
                <w:sz w:val="22"/>
                <w:szCs w:val="22"/>
                <w:lang w:val="de-DE"/>
              </w:rPr>
              <w:t> </w:t>
            </w:r>
            <w:r>
              <w:rPr>
                <w:color w:val="000000"/>
                <w:sz w:val="22"/>
                <w:szCs w:val="22"/>
                <w:lang w:val="de-DE" w:eastAsia="en-GB"/>
              </w:rPr>
              <w:t>52</w:t>
            </w:r>
          </w:p>
        </w:tc>
        <w:tc>
          <w:tcPr>
            <w:tcW w:w="2126" w:type="dxa"/>
          </w:tcPr>
          <w:p w14:paraId="2FEADA05" w14:textId="77777777" w:rsidR="00FE291A" w:rsidRDefault="00C8738F">
            <w:pPr>
              <w:keepNext/>
              <w:suppressAutoHyphens/>
              <w:jc w:val="center"/>
              <w:rPr>
                <w:color w:val="000000"/>
                <w:sz w:val="22"/>
                <w:szCs w:val="22"/>
                <w:lang w:val="de-DE" w:eastAsia="en-GB"/>
              </w:rPr>
            </w:pPr>
            <w:r>
              <w:rPr>
                <w:color w:val="000000"/>
                <w:sz w:val="22"/>
                <w:szCs w:val="22"/>
                <w:lang w:val="de-DE" w:eastAsia="en-GB"/>
              </w:rPr>
              <w:t>40,0 %</w:t>
            </w:r>
          </w:p>
        </w:tc>
        <w:tc>
          <w:tcPr>
            <w:tcW w:w="2126" w:type="dxa"/>
          </w:tcPr>
          <w:p w14:paraId="5FBAB553" w14:textId="77777777" w:rsidR="00FE291A" w:rsidRDefault="00C8738F">
            <w:pPr>
              <w:keepNext/>
              <w:suppressAutoHyphens/>
              <w:jc w:val="center"/>
              <w:rPr>
                <w:color w:val="000000"/>
                <w:sz w:val="22"/>
                <w:szCs w:val="22"/>
                <w:lang w:val="de-DE" w:eastAsia="en-GB"/>
              </w:rPr>
            </w:pPr>
            <w:r>
              <w:rPr>
                <w:color w:val="000000"/>
                <w:sz w:val="22"/>
                <w:szCs w:val="22"/>
                <w:lang w:val="de-DE" w:eastAsia="en-GB"/>
              </w:rPr>
              <w:t>23,8 %</w:t>
            </w:r>
          </w:p>
        </w:tc>
        <w:tc>
          <w:tcPr>
            <w:tcW w:w="1701" w:type="dxa"/>
          </w:tcPr>
          <w:p w14:paraId="18CB243F" w14:textId="77777777" w:rsidR="00FE291A" w:rsidRDefault="00C8738F">
            <w:pPr>
              <w:keepNext/>
              <w:suppressAutoHyphens/>
              <w:jc w:val="center"/>
              <w:rPr>
                <w:color w:val="000000"/>
                <w:sz w:val="22"/>
                <w:szCs w:val="22"/>
                <w:lang w:val="de-DE" w:eastAsia="en-GB"/>
              </w:rPr>
            </w:pPr>
            <w:r>
              <w:rPr>
                <w:color w:val="000000"/>
                <w:sz w:val="22"/>
                <w:szCs w:val="22"/>
                <w:lang w:val="de-DE" w:eastAsia="en-GB"/>
              </w:rPr>
              <w:t>0,303</w:t>
            </w:r>
          </w:p>
        </w:tc>
      </w:tr>
    </w:tbl>
    <w:p w14:paraId="08911976" w14:textId="77777777" w:rsidR="00FE291A" w:rsidRDefault="00C8738F">
      <w:pPr>
        <w:pStyle w:val="Default"/>
        <w:keepNext/>
        <w:rPr>
          <w:sz w:val="20"/>
          <w:szCs w:val="20"/>
          <w:lang w:val="de-DE" w:eastAsia="en-IN"/>
        </w:rPr>
      </w:pPr>
      <w:r>
        <w:rPr>
          <w:sz w:val="20"/>
          <w:szCs w:val="20"/>
          <w:vertAlign w:val="superscript"/>
          <w:lang w:val="de-DE" w:eastAsia="en-GB"/>
        </w:rPr>
        <w:t>1</w:t>
      </w:r>
      <w:r>
        <w:rPr>
          <w:sz w:val="20"/>
          <w:szCs w:val="20"/>
          <w:lang w:val="de-DE" w:eastAsia="en-GB"/>
        </w:rPr>
        <w:t xml:space="preserve"> </w:t>
      </w:r>
      <w:r>
        <w:rPr>
          <w:rFonts w:eastAsia="PMingLiU"/>
          <w:sz w:val="20"/>
          <w:szCs w:val="20"/>
          <w:lang w:val="de-DE" w:eastAsia="en-IN"/>
        </w:rPr>
        <w:t>p-Wert für Vergleich von Standarddosis gegenüber Niedrigdosis</w:t>
      </w:r>
    </w:p>
    <w:p w14:paraId="418A76E5" w14:textId="77777777" w:rsidR="00FE291A" w:rsidRDefault="00C8738F">
      <w:pPr>
        <w:pStyle w:val="Default"/>
        <w:keepNext/>
        <w:rPr>
          <w:sz w:val="20"/>
          <w:szCs w:val="20"/>
          <w:lang w:val="de-DE" w:eastAsia="en-IN"/>
        </w:rPr>
      </w:pPr>
      <w:r>
        <w:rPr>
          <w:sz w:val="20"/>
          <w:szCs w:val="20"/>
          <w:vertAlign w:val="superscript"/>
          <w:lang w:val="de-DE" w:eastAsia="en-GB"/>
        </w:rPr>
        <w:t>2</w:t>
      </w:r>
      <w:r>
        <w:rPr>
          <w:sz w:val="20"/>
          <w:szCs w:val="20"/>
          <w:lang w:val="de-DE" w:eastAsia="en-GB"/>
        </w:rPr>
        <w:t xml:space="preserve"> </w:t>
      </w:r>
      <w:r>
        <w:rPr>
          <w:rFonts w:eastAsia="PMingLiU"/>
          <w:sz w:val="20"/>
          <w:szCs w:val="20"/>
          <w:lang w:val="de-DE" w:eastAsia="en-IN"/>
        </w:rPr>
        <w:t>Behandlung mit Immunsuppressiva konnte nach Ermessen des Prüfers erst zu oder nach Woche 26 beendet werden, wenn der Patient das Kriterium für ein klinisches Ansprechen erfüllte</w:t>
      </w:r>
    </w:p>
    <w:p w14:paraId="77FFFD6A" w14:textId="77777777" w:rsidR="00FE291A" w:rsidRDefault="00C8738F">
      <w:pPr>
        <w:pStyle w:val="Default"/>
        <w:rPr>
          <w:rFonts w:eastAsia="PMingLiU"/>
          <w:sz w:val="20"/>
          <w:szCs w:val="20"/>
          <w:lang w:val="de-DE" w:eastAsia="en-IN"/>
        </w:rPr>
      </w:pPr>
      <w:r>
        <w:rPr>
          <w:sz w:val="20"/>
          <w:szCs w:val="20"/>
          <w:vertAlign w:val="superscript"/>
          <w:lang w:val="de-DE" w:eastAsia="en-GB"/>
        </w:rPr>
        <w:t>3</w:t>
      </w:r>
      <w:r>
        <w:rPr>
          <w:sz w:val="20"/>
          <w:szCs w:val="20"/>
          <w:lang w:val="de-DE" w:eastAsia="en-GB"/>
        </w:rPr>
        <w:t xml:space="preserve"> </w:t>
      </w:r>
      <w:r>
        <w:rPr>
          <w:rFonts w:eastAsia="PMingLiU"/>
          <w:sz w:val="20"/>
          <w:szCs w:val="20"/>
          <w:lang w:val="de-DE" w:eastAsia="en-IN"/>
        </w:rPr>
        <w:t xml:space="preserve">definiert als Verschluss aller zum Zeitpunkt des Studienbeginns drainierender Fisteln, nachgewiesen an mindestens zwei aufeinanderfolgenden Visiten im Studienverlauf </w:t>
      </w:r>
    </w:p>
    <w:p w14:paraId="32A9BDA0" w14:textId="77777777" w:rsidR="00FE291A" w:rsidRDefault="00FE291A">
      <w:pPr>
        <w:rPr>
          <w:color w:val="000000"/>
          <w:sz w:val="22"/>
          <w:szCs w:val="22"/>
          <w:lang w:val="de-DE"/>
        </w:rPr>
      </w:pPr>
    </w:p>
    <w:p w14:paraId="34DC6F2E" w14:textId="77777777" w:rsidR="00FE291A" w:rsidRDefault="00C8738F">
      <w:pPr>
        <w:widowControl/>
        <w:rPr>
          <w:color w:val="000000"/>
          <w:sz w:val="22"/>
          <w:szCs w:val="22"/>
          <w:lang w:val="de-DE"/>
        </w:rPr>
      </w:pPr>
      <w:r>
        <w:rPr>
          <w:color w:val="000000"/>
          <w:sz w:val="22"/>
          <w:szCs w:val="22"/>
          <w:lang w:val="de-DE"/>
        </w:rPr>
        <w:t xml:space="preserve">Statistisch signifikante Zunahmen (Verbesserungen) im Vergleich zum Studienbeginn wurden im </w:t>
      </w:r>
      <w:r>
        <w:rPr>
          <w:i/>
          <w:iCs/>
          <w:color w:val="000000"/>
          <w:sz w:val="22"/>
          <w:szCs w:val="22"/>
          <w:lang w:val="de-DE"/>
        </w:rPr>
        <w:t>Body-Mass-Index</w:t>
      </w:r>
      <w:r>
        <w:rPr>
          <w:color w:val="000000"/>
          <w:sz w:val="22"/>
          <w:szCs w:val="22"/>
          <w:lang w:val="de-DE"/>
        </w:rPr>
        <w:t xml:space="preserve"> und der Körpergröße in Woche 26 und Woche 52 für beide Behandlungsgruppen beobachtet. </w:t>
      </w:r>
    </w:p>
    <w:p w14:paraId="07A1F934" w14:textId="77777777" w:rsidR="00FE291A" w:rsidRDefault="00FE291A">
      <w:pPr>
        <w:widowControl/>
        <w:rPr>
          <w:color w:val="000000"/>
          <w:sz w:val="22"/>
          <w:szCs w:val="22"/>
          <w:lang w:val="de-DE"/>
        </w:rPr>
      </w:pPr>
    </w:p>
    <w:p w14:paraId="6BE1E9EC" w14:textId="77777777" w:rsidR="00FE291A" w:rsidRDefault="00C8738F">
      <w:pPr>
        <w:widowControl/>
        <w:rPr>
          <w:color w:val="000000"/>
          <w:sz w:val="22"/>
          <w:szCs w:val="22"/>
          <w:lang w:val="de-DE"/>
        </w:rPr>
      </w:pPr>
      <w:r>
        <w:rPr>
          <w:color w:val="000000"/>
          <w:sz w:val="22"/>
          <w:szCs w:val="22"/>
          <w:lang w:val="de-DE"/>
        </w:rPr>
        <w:t xml:space="preserve">Statistisch und klinisch signifikante Verbesserungen im Vergleich zum Studienbeginn wurden auch in beiden Behandlungsgruppen für die Parameter zur Lebensqualität (einschließlich IMPACT III) beobachtet. </w:t>
      </w:r>
    </w:p>
    <w:p w14:paraId="54D7FF1D" w14:textId="77777777" w:rsidR="00FE291A" w:rsidRDefault="00FE291A">
      <w:pPr>
        <w:widowControl/>
        <w:rPr>
          <w:color w:val="000000"/>
          <w:sz w:val="22"/>
          <w:szCs w:val="22"/>
          <w:lang w:val="de-DE"/>
        </w:rPr>
      </w:pPr>
    </w:p>
    <w:p w14:paraId="7D62E974" w14:textId="77777777" w:rsidR="00FE291A" w:rsidRDefault="00C8738F">
      <w:pPr>
        <w:widowControl/>
        <w:rPr>
          <w:color w:val="000000"/>
          <w:sz w:val="22"/>
          <w:szCs w:val="22"/>
          <w:lang w:val="de-DE"/>
        </w:rPr>
      </w:pPr>
      <w:r>
        <w:rPr>
          <w:color w:val="000000"/>
          <w:sz w:val="22"/>
          <w:szCs w:val="22"/>
          <w:lang w:val="de-DE"/>
        </w:rPr>
        <w:t>Einhundert Patienten (n = 100) der Studie zu pädiatrischem Morbus Crohn setzten diese in einer offenen Fortsetzungsphase zur Langzeitanwendung fort. Nach fünf Jahren unter Adalimumab-Therapie wiesen 74 % (37/50) der 50 in der Studie verbliebenen Patienten weiterhin eine klinische Remission und 92,0 % (46/50) ein klinisches Ansprechen nach PCDAI auf.</w:t>
      </w:r>
    </w:p>
    <w:p w14:paraId="56A2F2E3" w14:textId="77777777" w:rsidR="00FE291A" w:rsidRDefault="00FE291A">
      <w:pPr>
        <w:keepNext/>
        <w:widowControl/>
        <w:rPr>
          <w:color w:val="000000"/>
          <w:sz w:val="22"/>
          <w:szCs w:val="22"/>
          <w:lang w:val="de-DE"/>
        </w:rPr>
      </w:pPr>
    </w:p>
    <w:p w14:paraId="444CD019" w14:textId="77777777" w:rsidR="00FE291A" w:rsidRDefault="00C8738F">
      <w:pPr>
        <w:keepNext/>
        <w:widowControl/>
        <w:rPr>
          <w:i/>
          <w:iCs/>
          <w:color w:val="000000"/>
          <w:sz w:val="22"/>
          <w:szCs w:val="22"/>
          <w:lang w:val="de-DE"/>
        </w:rPr>
      </w:pPr>
      <w:r>
        <w:rPr>
          <w:i/>
          <w:iCs/>
          <w:color w:val="000000"/>
          <w:sz w:val="22"/>
          <w:szCs w:val="22"/>
          <w:lang w:val="de-DE"/>
        </w:rPr>
        <w:t>Colitis ulcerosa bei Kindern und Jugendlichen</w:t>
      </w:r>
    </w:p>
    <w:p w14:paraId="51D81C8F" w14:textId="77777777" w:rsidR="00FE291A" w:rsidRDefault="00FE291A">
      <w:pPr>
        <w:keepNext/>
        <w:widowControl/>
        <w:rPr>
          <w:color w:val="000000"/>
          <w:sz w:val="22"/>
          <w:szCs w:val="22"/>
          <w:lang w:val="de-DE"/>
        </w:rPr>
      </w:pPr>
    </w:p>
    <w:p w14:paraId="6ACC6CBE" w14:textId="77777777" w:rsidR="00FE291A" w:rsidRDefault="00C8738F">
      <w:pPr>
        <w:widowControl/>
        <w:rPr>
          <w:color w:val="000000"/>
          <w:sz w:val="22"/>
          <w:szCs w:val="22"/>
          <w:lang w:val="de-DE"/>
        </w:rPr>
      </w:pPr>
      <w:r>
        <w:rPr>
          <w:color w:val="000000"/>
          <w:sz w:val="22"/>
          <w:szCs w:val="22"/>
          <w:lang w:val="de-DE"/>
        </w:rPr>
        <w:t>Die Sicherheit und Wirksamkeit von Adalimumab wurden in einer multizentrischen, randomisierten doppelblinden Studie bei 93 Kindern und Jugendlichen im Alter von 5 bis 17 Jahren mit mittelschwerer bis schwerer Colitis ulcerosa (</w:t>
      </w:r>
      <w:r>
        <w:rPr>
          <w:i/>
          <w:iCs/>
          <w:color w:val="000000"/>
          <w:sz w:val="22"/>
          <w:szCs w:val="22"/>
          <w:lang w:val="de-DE"/>
        </w:rPr>
        <w:t>Mayo-Score</w:t>
      </w:r>
      <w:r>
        <w:rPr>
          <w:color w:val="000000"/>
          <w:sz w:val="22"/>
          <w:szCs w:val="22"/>
          <w:lang w:val="de-DE"/>
        </w:rPr>
        <w:t> 6 bis 12 mit Endoskopie-</w:t>
      </w:r>
      <w:r>
        <w:rPr>
          <w:i/>
          <w:iCs/>
          <w:color w:val="000000"/>
          <w:sz w:val="22"/>
          <w:szCs w:val="22"/>
          <w:lang w:val="de-DE"/>
        </w:rPr>
        <w:t>Subscore</w:t>
      </w:r>
      <w:r>
        <w:rPr>
          <w:color w:val="000000"/>
          <w:sz w:val="22"/>
          <w:szCs w:val="22"/>
          <w:lang w:val="de-DE"/>
        </w:rPr>
        <w:t> 2 bis 3, bestätigt durch zentral ausgewertete endoskopische Aufnahmen) und unzureichendem Ansprechen auf oder Unverträglichkeit gegenüber konventionellen Therapien untersucht. Bei etwa 16 % der Patienten der Studie hatte zuvor eine Anti-TNF-Behandlung versagt. Bei Patienten, die bei Aufnahme in die Studie Kortikosteroide erhielten, war ein Ausschleichen nach Woche 4 erlaubt.</w:t>
      </w:r>
    </w:p>
    <w:p w14:paraId="3F74AA36" w14:textId="77777777" w:rsidR="00FE291A" w:rsidRDefault="00FE291A">
      <w:pPr>
        <w:widowControl/>
        <w:rPr>
          <w:color w:val="000000"/>
          <w:sz w:val="22"/>
          <w:szCs w:val="22"/>
          <w:lang w:val="de-DE"/>
        </w:rPr>
      </w:pPr>
    </w:p>
    <w:p w14:paraId="79B2B6C0" w14:textId="77777777" w:rsidR="00FE291A" w:rsidRDefault="00C8738F">
      <w:pPr>
        <w:rPr>
          <w:color w:val="000000"/>
          <w:sz w:val="22"/>
          <w:szCs w:val="22"/>
          <w:lang w:val="de-DE"/>
        </w:rPr>
      </w:pPr>
      <w:r>
        <w:rPr>
          <w:color w:val="000000"/>
          <w:sz w:val="22"/>
          <w:szCs w:val="22"/>
          <w:lang w:val="de-DE"/>
        </w:rPr>
        <w:t>In der Induktionsphase der Studie wurden 77 Patienten im Verhältnis 3:2 randomisiert und erhielten eine doppelblinde Behandlung mit Adalimumab: eine Induktionsdosis von 2,4 mg/kg (maximal 160 mg) in Woche 0 und Woche 1 und 1,2 mg/kg (maximal 80 mg) in Woche 2 bzw. 2,4 mg/kg (maximal 160 mg) in Woche 0, Placebo in Woche 1 und 1,2 mg/kg (maximal 80</w:t>
      </w:r>
      <w:r>
        <w:rPr>
          <w:sz w:val="22"/>
          <w:szCs w:val="22"/>
          <w:lang w:val="de-DE"/>
        </w:rPr>
        <w:t> </w:t>
      </w:r>
      <w:r>
        <w:rPr>
          <w:color w:val="000000"/>
          <w:sz w:val="22"/>
          <w:szCs w:val="22"/>
          <w:lang w:val="de-DE"/>
        </w:rPr>
        <w:t>mg) in Woche 2. Beide Behandlungsarme erhielten 0,6 mg/kg (maximal 40 mg) in Woche 4 und Woche 6. Nach einer Änderung des Studiendesigns erhielten die verbleibenden 16 Patienten, die in die Induktionsphase aufgenommen wurden, eine offene Behandlung mit Adalimumab in der Induktionsdosis von 2,4 mg/kg (maximal 160 mg) in Woche 0 und Woche 1 und 1,2 mg/kg (maximal 80 mg) in Woche 2.</w:t>
      </w:r>
    </w:p>
    <w:p w14:paraId="5819DB7C" w14:textId="77777777" w:rsidR="00FE291A" w:rsidRDefault="00FE291A">
      <w:pPr>
        <w:rPr>
          <w:color w:val="000000"/>
          <w:sz w:val="22"/>
          <w:szCs w:val="22"/>
          <w:lang w:val="de-DE"/>
        </w:rPr>
      </w:pPr>
    </w:p>
    <w:p w14:paraId="73060813" w14:textId="77777777" w:rsidR="00FE291A" w:rsidRDefault="00C8738F">
      <w:pPr>
        <w:widowControl/>
        <w:rPr>
          <w:color w:val="000000"/>
          <w:sz w:val="22"/>
          <w:szCs w:val="22"/>
          <w:lang w:val="de-DE"/>
        </w:rPr>
      </w:pPr>
      <w:r>
        <w:rPr>
          <w:color w:val="000000"/>
          <w:sz w:val="22"/>
          <w:szCs w:val="22"/>
          <w:lang w:val="de-DE"/>
        </w:rPr>
        <w:t xml:space="preserve">In Woche 8 wurden 62 Patienten, die nach </w:t>
      </w:r>
      <w:r>
        <w:rPr>
          <w:i/>
          <w:iCs/>
          <w:color w:val="000000"/>
          <w:sz w:val="22"/>
          <w:szCs w:val="22"/>
          <w:lang w:val="de-DE"/>
        </w:rPr>
        <w:t>Partial-Mayo-Score</w:t>
      </w:r>
      <w:r>
        <w:rPr>
          <w:color w:val="000000"/>
          <w:sz w:val="22"/>
          <w:szCs w:val="22"/>
          <w:lang w:val="de-DE"/>
        </w:rPr>
        <w:t xml:space="preserve"> (PMS, definiert als Abnahme um ≥ 2 Punkte und ≥ 30 % gegenüber </w:t>
      </w:r>
      <w:r>
        <w:rPr>
          <w:i/>
          <w:iCs/>
          <w:color w:val="000000"/>
          <w:sz w:val="22"/>
          <w:szCs w:val="22"/>
          <w:lang w:val="de-DE"/>
        </w:rPr>
        <w:t>Baseline</w:t>
      </w:r>
      <w:r>
        <w:rPr>
          <w:color w:val="000000"/>
          <w:sz w:val="22"/>
          <w:szCs w:val="22"/>
          <w:lang w:val="de-DE"/>
        </w:rPr>
        <w:t>) ein klinisches Ansprechen aufwiesen, im Verhältnis 1:1 randomisiert und erhielten eine doppelblinde Erhaltungstherapie mit Adalimumab in einer Dosis von 0,6 mg/kg (maximal 40 mg) wöchentlich oder jede zweite Woche. Vor der Änderung des Studiendesigns wurden 12 weitere Patienten, die nach PMS ein klinisches Ansprechen aufwiesen, randomisiert und erhielten Placebo, wurden aber nicht in die konfirmatorische Auswertung zur Wirksamkeit einbezogen.</w:t>
      </w:r>
    </w:p>
    <w:p w14:paraId="4970AD8C" w14:textId="77777777" w:rsidR="00FE291A" w:rsidRDefault="00FE291A">
      <w:pPr>
        <w:widowControl/>
        <w:rPr>
          <w:color w:val="000000"/>
          <w:sz w:val="22"/>
          <w:szCs w:val="22"/>
          <w:lang w:val="de-DE"/>
        </w:rPr>
      </w:pPr>
    </w:p>
    <w:p w14:paraId="02BEBC63" w14:textId="77777777" w:rsidR="00FE291A" w:rsidRDefault="00C8738F">
      <w:pPr>
        <w:widowControl/>
        <w:rPr>
          <w:color w:val="000000"/>
          <w:sz w:val="22"/>
          <w:szCs w:val="22"/>
          <w:lang w:val="de-DE"/>
        </w:rPr>
      </w:pPr>
      <w:r>
        <w:rPr>
          <w:color w:val="000000"/>
          <w:sz w:val="22"/>
          <w:szCs w:val="22"/>
          <w:lang w:val="de-DE"/>
        </w:rPr>
        <w:t xml:space="preserve">Ein Krankheitsschub wurde definiert als Zunahme des PMS um mindestens 3 Punkte (bei Patienten mit einem PMS von 0–2 in Woche 8), mindestens 2 Punkte (bei Patienten mit einem PMS von 3–4 in Woche 8) oder mindestens 1 Punkt (bei Patienten mit einem PMS von 5–6 in Woche 8). </w:t>
      </w:r>
    </w:p>
    <w:p w14:paraId="6A4DE459" w14:textId="77777777" w:rsidR="00FE291A" w:rsidRDefault="00FE291A">
      <w:pPr>
        <w:widowControl/>
        <w:rPr>
          <w:color w:val="000000"/>
          <w:sz w:val="22"/>
          <w:szCs w:val="22"/>
          <w:lang w:val="de-DE"/>
        </w:rPr>
      </w:pPr>
    </w:p>
    <w:p w14:paraId="493E27FD" w14:textId="77777777" w:rsidR="00FE291A" w:rsidRDefault="00C8738F">
      <w:pPr>
        <w:widowControl/>
        <w:rPr>
          <w:color w:val="000000"/>
          <w:sz w:val="22"/>
          <w:szCs w:val="22"/>
          <w:lang w:val="de-DE"/>
        </w:rPr>
      </w:pPr>
      <w:r>
        <w:rPr>
          <w:color w:val="000000"/>
          <w:sz w:val="22"/>
          <w:szCs w:val="22"/>
          <w:lang w:val="de-DE"/>
        </w:rPr>
        <w:t xml:space="preserve">Patienten, die in oder nach Woche 12 die Kriterien für einen Krankheitsschub erfüllten, wurden randomisiert und erhielten entweder eine erneute Induktionsdosis von 2,4 mg/kg (maximal 160 mg) oder eine Dosis von 0,6 mg/kg (maximal 40 mg) und führten anschließend die Behandlung in ihrer jeweiligen Erhaltungsdosis fort. </w:t>
      </w:r>
    </w:p>
    <w:p w14:paraId="7090F6D7" w14:textId="77777777" w:rsidR="00FE291A" w:rsidRDefault="00FE291A">
      <w:pPr>
        <w:widowControl/>
        <w:rPr>
          <w:color w:val="000000"/>
          <w:sz w:val="22"/>
          <w:szCs w:val="22"/>
          <w:lang w:val="de-DE"/>
        </w:rPr>
      </w:pPr>
    </w:p>
    <w:p w14:paraId="045A7F75" w14:textId="77777777" w:rsidR="00FE291A" w:rsidRDefault="00C8738F">
      <w:pPr>
        <w:widowControl/>
        <w:rPr>
          <w:i/>
          <w:iCs/>
          <w:color w:val="000000"/>
          <w:sz w:val="22"/>
          <w:szCs w:val="22"/>
          <w:lang w:val="de-DE"/>
        </w:rPr>
      </w:pPr>
      <w:r>
        <w:rPr>
          <w:i/>
          <w:iCs/>
          <w:color w:val="000000"/>
          <w:sz w:val="22"/>
          <w:szCs w:val="22"/>
          <w:lang w:val="de-DE"/>
        </w:rPr>
        <w:t>Ergebnisse zur Wirksamkeit</w:t>
      </w:r>
    </w:p>
    <w:p w14:paraId="1ED86DF8" w14:textId="77777777" w:rsidR="00FE291A" w:rsidRDefault="00FE291A">
      <w:pPr>
        <w:widowControl/>
        <w:rPr>
          <w:color w:val="000000"/>
          <w:sz w:val="22"/>
          <w:szCs w:val="22"/>
          <w:lang w:val="de-DE"/>
        </w:rPr>
      </w:pPr>
    </w:p>
    <w:p w14:paraId="6FFF7AFD" w14:textId="77777777" w:rsidR="00FE291A" w:rsidRDefault="00C8738F">
      <w:pPr>
        <w:widowControl/>
        <w:rPr>
          <w:color w:val="000000"/>
          <w:sz w:val="22"/>
          <w:szCs w:val="22"/>
          <w:lang w:val="de-DE"/>
        </w:rPr>
      </w:pPr>
      <w:r>
        <w:rPr>
          <w:color w:val="000000"/>
          <w:sz w:val="22"/>
          <w:szCs w:val="22"/>
          <w:lang w:val="de-DE"/>
        </w:rPr>
        <w:t xml:space="preserve">Die koprimären Endpunkte der Studie waren die klinische Remission nach PMS (definiert als PMS ≤ 2 und kein einzelner </w:t>
      </w:r>
      <w:r>
        <w:rPr>
          <w:i/>
          <w:iCs/>
          <w:color w:val="000000"/>
          <w:sz w:val="22"/>
          <w:szCs w:val="22"/>
          <w:lang w:val="de-DE"/>
        </w:rPr>
        <w:t>Subscore</w:t>
      </w:r>
      <w:r>
        <w:rPr>
          <w:color w:val="000000"/>
          <w:sz w:val="22"/>
          <w:szCs w:val="22"/>
          <w:lang w:val="de-DE"/>
        </w:rPr>
        <w:t xml:space="preserve"> &gt; 1) in Woche 8 und die klinische Remission nach vollständigem </w:t>
      </w:r>
      <w:r>
        <w:rPr>
          <w:i/>
          <w:iCs/>
          <w:color w:val="000000"/>
          <w:sz w:val="22"/>
          <w:szCs w:val="22"/>
          <w:lang w:val="de-DE"/>
        </w:rPr>
        <w:t>Mayo-Score</w:t>
      </w:r>
      <w:r>
        <w:rPr>
          <w:color w:val="000000"/>
          <w:sz w:val="22"/>
          <w:szCs w:val="22"/>
          <w:lang w:val="de-DE"/>
        </w:rPr>
        <w:t xml:space="preserve"> (</w:t>
      </w:r>
      <w:r>
        <w:rPr>
          <w:i/>
          <w:iCs/>
          <w:color w:val="000000"/>
          <w:sz w:val="22"/>
          <w:szCs w:val="22"/>
          <w:lang w:val="de-DE"/>
        </w:rPr>
        <w:t>Full-Mayo-Score</w:t>
      </w:r>
      <w:r>
        <w:rPr>
          <w:color w:val="000000"/>
          <w:sz w:val="22"/>
          <w:szCs w:val="22"/>
          <w:lang w:val="de-DE"/>
        </w:rPr>
        <w:t xml:space="preserve">, FMS, definiert als </w:t>
      </w:r>
      <w:r>
        <w:rPr>
          <w:i/>
          <w:iCs/>
          <w:color w:val="000000"/>
          <w:sz w:val="22"/>
          <w:szCs w:val="22"/>
          <w:lang w:val="de-DE"/>
        </w:rPr>
        <w:t>Mayo-Score</w:t>
      </w:r>
      <w:r>
        <w:rPr>
          <w:color w:val="000000"/>
          <w:sz w:val="22"/>
          <w:szCs w:val="22"/>
          <w:lang w:val="de-DE"/>
        </w:rPr>
        <w:t xml:space="preserve"> von ≤ 2 und kein einzelner </w:t>
      </w:r>
      <w:r>
        <w:rPr>
          <w:i/>
          <w:iCs/>
          <w:color w:val="000000"/>
          <w:sz w:val="22"/>
          <w:szCs w:val="22"/>
          <w:lang w:val="de-DE"/>
        </w:rPr>
        <w:t>Subscore</w:t>
      </w:r>
      <w:r>
        <w:rPr>
          <w:color w:val="000000"/>
          <w:sz w:val="22"/>
          <w:szCs w:val="22"/>
          <w:lang w:val="de-DE"/>
        </w:rPr>
        <w:t xml:space="preserve"> &gt; 1) in Woche 52 bei Patienten, die in Woche 8 ein klinisches Ansprechen nach PMS erreichten. </w:t>
      </w:r>
    </w:p>
    <w:p w14:paraId="371E2915" w14:textId="77777777" w:rsidR="00FE291A" w:rsidRDefault="00FE291A">
      <w:pPr>
        <w:widowControl/>
        <w:rPr>
          <w:color w:val="000000"/>
          <w:sz w:val="22"/>
          <w:szCs w:val="22"/>
          <w:lang w:val="de-DE"/>
        </w:rPr>
      </w:pPr>
    </w:p>
    <w:p w14:paraId="1B1AD722" w14:textId="77777777" w:rsidR="00FE291A" w:rsidRDefault="00C8738F">
      <w:pPr>
        <w:rPr>
          <w:color w:val="000000"/>
          <w:sz w:val="22"/>
          <w:szCs w:val="22"/>
          <w:lang w:val="de-DE"/>
        </w:rPr>
      </w:pPr>
      <w:r>
        <w:rPr>
          <w:color w:val="000000"/>
          <w:sz w:val="22"/>
          <w:szCs w:val="22"/>
          <w:lang w:val="de-DE"/>
        </w:rPr>
        <w:t>Die Raten der klinischen Remission nach PMS in Woche 8 für Patienten in jedem der Behandlungsarme mit doppelblinder Adalimumab-Induktionstherapie sind in Tabelle 31 dargestellt.</w:t>
      </w:r>
    </w:p>
    <w:p w14:paraId="6FBBF848" w14:textId="77777777" w:rsidR="00FE291A" w:rsidRDefault="00FE291A">
      <w:pPr>
        <w:pStyle w:val="BodyText"/>
        <w:keepNext/>
        <w:widowControl/>
        <w:kinsoku w:val="0"/>
        <w:overflowPunct w:val="0"/>
        <w:ind w:left="0"/>
        <w:rPr>
          <w:u w:val="single"/>
          <w:lang w:val="de-DE"/>
        </w:rPr>
      </w:pPr>
    </w:p>
    <w:p w14:paraId="1930E68F" w14:textId="77777777" w:rsidR="00FE291A" w:rsidRDefault="00C8738F">
      <w:pPr>
        <w:keepNext/>
        <w:rPr>
          <w:b/>
          <w:bCs/>
          <w:sz w:val="22"/>
          <w:szCs w:val="22"/>
          <w:lang w:val="de-DE"/>
        </w:rPr>
      </w:pPr>
      <w:r>
        <w:rPr>
          <w:b/>
          <w:bCs/>
          <w:sz w:val="22"/>
          <w:szCs w:val="22"/>
          <w:lang w:val="de-DE" w:eastAsia="en-GB"/>
        </w:rPr>
        <w:t xml:space="preserve">Tabelle 31: </w:t>
      </w:r>
      <w:r>
        <w:rPr>
          <w:b/>
          <w:bCs/>
          <w:sz w:val="22"/>
          <w:szCs w:val="22"/>
          <w:lang w:val="de-DE"/>
        </w:rPr>
        <w:t>Klinische Remission nach PMS in Woche 8</w:t>
      </w:r>
    </w:p>
    <w:p w14:paraId="0409ADEE" w14:textId="77777777" w:rsidR="00FE291A" w:rsidRDefault="00FE291A">
      <w:pPr>
        <w:keepNext/>
        <w:rPr>
          <w:i/>
          <w:iCs/>
          <w:sz w:val="22"/>
          <w:szCs w:val="22"/>
          <w:lang w:val="de-DE"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912"/>
        <w:gridCol w:w="3020"/>
        <w:gridCol w:w="3021"/>
      </w:tblGrid>
      <w:tr w:rsidR="00FE291A" w14:paraId="36B57A30" w14:textId="77777777">
        <w:trPr>
          <w:cantSplit/>
          <w:tblHeader/>
        </w:trPr>
        <w:tc>
          <w:tcPr>
            <w:tcW w:w="2912" w:type="dxa"/>
          </w:tcPr>
          <w:p w14:paraId="02623CDC" w14:textId="77777777" w:rsidR="00FE291A" w:rsidRDefault="00FE291A">
            <w:pPr>
              <w:keepNext/>
              <w:suppressAutoHyphens/>
              <w:rPr>
                <w:sz w:val="22"/>
                <w:szCs w:val="22"/>
                <w:lang w:val="de-DE" w:eastAsia="en-GB"/>
              </w:rPr>
            </w:pPr>
          </w:p>
        </w:tc>
        <w:tc>
          <w:tcPr>
            <w:tcW w:w="3020" w:type="dxa"/>
          </w:tcPr>
          <w:p w14:paraId="0DC57CA5" w14:textId="77777777" w:rsidR="00FE291A" w:rsidRDefault="00C8738F">
            <w:pPr>
              <w:pStyle w:val="Default"/>
              <w:keepNext/>
              <w:suppressAutoHyphens/>
              <w:jc w:val="center"/>
              <w:rPr>
                <w:sz w:val="22"/>
                <w:szCs w:val="22"/>
                <w:lang w:val="de-DE"/>
              </w:rPr>
            </w:pPr>
            <w:r>
              <w:rPr>
                <w:b/>
                <w:bCs/>
                <w:sz w:val="22"/>
                <w:szCs w:val="22"/>
                <w:lang w:val="de-DE"/>
              </w:rPr>
              <w:t>Adalimumab</w:t>
            </w:r>
            <w:r>
              <w:rPr>
                <w:b/>
                <w:bCs/>
                <w:sz w:val="22"/>
                <w:szCs w:val="22"/>
                <w:vertAlign w:val="superscript"/>
                <w:lang w:val="de-DE"/>
              </w:rPr>
              <w:t>a</w:t>
            </w:r>
          </w:p>
          <w:p w14:paraId="6C4B8CAC" w14:textId="77777777" w:rsidR="00FE291A" w:rsidRDefault="00C8738F">
            <w:pPr>
              <w:pStyle w:val="Default"/>
              <w:keepNext/>
              <w:suppressAutoHyphens/>
              <w:jc w:val="center"/>
              <w:rPr>
                <w:b/>
                <w:bCs/>
                <w:sz w:val="22"/>
                <w:szCs w:val="22"/>
                <w:lang w:val="de-DE"/>
              </w:rPr>
            </w:pPr>
            <w:r>
              <w:rPr>
                <w:b/>
                <w:bCs/>
                <w:sz w:val="22"/>
                <w:szCs w:val="22"/>
                <w:lang w:val="de-DE"/>
              </w:rPr>
              <w:t>Maximal 160 mg in Woche 0/</w:t>
            </w:r>
          </w:p>
          <w:p w14:paraId="2960A550" w14:textId="77777777" w:rsidR="00FE291A" w:rsidRDefault="00C8738F">
            <w:pPr>
              <w:pStyle w:val="Default"/>
              <w:keepNext/>
              <w:suppressAutoHyphens/>
              <w:jc w:val="center"/>
              <w:rPr>
                <w:sz w:val="22"/>
                <w:szCs w:val="22"/>
                <w:lang w:val="de-DE"/>
              </w:rPr>
            </w:pPr>
            <w:r>
              <w:rPr>
                <w:b/>
                <w:bCs/>
                <w:sz w:val="22"/>
                <w:szCs w:val="22"/>
                <w:lang w:val="de-DE"/>
              </w:rPr>
              <w:t>Placebo in Woche 1</w:t>
            </w:r>
          </w:p>
          <w:p w14:paraId="7BB2A73B" w14:textId="77777777" w:rsidR="00FE291A" w:rsidRDefault="00C8738F">
            <w:pPr>
              <w:keepNext/>
              <w:suppressAutoHyphens/>
              <w:jc w:val="center"/>
              <w:rPr>
                <w:b/>
                <w:sz w:val="22"/>
                <w:szCs w:val="22"/>
                <w:lang w:val="de-DE" w:eastAsia="en-GB"/>
              </w:rPr>
            </w:pPr>
            <w:r>
              <w:rPr>
                <w:b/>
                <w:sz w:val="22"/>
                <w:szCs w:val="22"/>
                <w:lang w:val="de-DE"/>
              </w:rPr>
              <w:t>n = 30</w:t>
            </w:r>
          </w:p>
        </w:tc>
        <w:tc>
          <w:tcPr>
            <w:tcW w:w="3021" w:type="dxa"/>
          </w:tcPr>
          <w:p w14:paraId="0FC672FB" w14:textId="77777777" w:rsidR="00FE291A" w:rsidRDefault="00C8738F">
            <w:pPr>
              <w:pStyle w:val="Default"/>
              <w:keepNext/>
              <w:suppressAutoHyphens/>
              <w:jc w:val="center"/>
              <w:rPr>
                <w:sz w:val="22"/>
                <w:szCs w:val="22"/>
                <w:lang w:val="de-DE"/>
              </w:rPr>
            </w:pPr>
            <w:r>
              <w:rPr>
                <w:b/>
                <w:bCs/>
                <w:sz w:val="22"/>
                <w:szCs w:val="22"/>
                <w:lang w:val="de-DE"/>
              </w:rPr>
              <w:t>Adalimumab</w:t>
            </w:r>
            <w:r>
              <w:rPr>
                <w:b/>
                <w:bCs/>
                <w:sz w:val="22"/>
                <w:szCs w:val="22"/>
                <w:vertAlign w:val="superscript"/>
                <w:lang w:val="de-DE"/>
              </w:rPr>
              <w:t>b, c</w:t>
            </w:r>
          </w:p>
          <w:p w14:paraId="4B35B411" w14:textId="77777777" w:rsidR="00FE291A" w:rsidRDefault="00C8738F">
            <w:pPr>
              <w:pStyle w:val="Default"/>
              <w:keepNext/>
              <w:suppressAutoHyphens/>
              <w:jc w:val="center"/>
              <w:rPr>
                <w:sz w:val="22"/>
                <w:szCs w:val="22"/>
                <w:lang w:val="de-DE"/>
              </w:rPr>
            </w:pPr>
            <w:r>
              <w:rPr>
                <w:b/>
                <w:bCs/>
                <w:sz w:val="22"/>
                <w:szCs w:val="22"/>
                <w:lang w:val="de-DE"/>
              </w:rPr>
              <w:t>Maximal 160 mg in Woche 0 und Woche 1</w:t>
            </w:r>
          </w:p>
          <w:p w14:paraId="6649C272" w14:textId="77777777" w:rsidR="00FE291A" w:rsidRDefault="00C8738F">
            <w:pPr>
              <w:keepNext/>
              <w:suppressAutoHyphens/>
              <w:jc w:val="center"/>
              <w:rPr>
                <w:b/>
                <w:sz w:val="22"/>
                <w:szCs w:val="22"/>
                <w:lang w:val="de-DE" w:eastAsia="en-GB"/>
              </w:rPr>
            </w:pPr>
            <w:r>
              <w:rPr>
                <w:b/>
                <w:sz w:val="22"/>
                <w:szCs w:val="22"/>
                <w:lang w:val="de-DE"/>
              </w:rPr>
              <w:t>n = 47</w:t>
            </w:r>
          </w:p>
        </w:tc>
      </w:tr>
      <w:tr w:rsidR="00FE291A" w14:paraId="02696508" w14:textId="77777777">
        <w:trPr>
          <w:cantSplit/>
        </w:trPr>
        <w:tc>
          <w:tcPr>
            <w:tcW w:w="2912" w:type="dxa"/>
          </w:tcPr>
          <w:p w14:paraId="6B1D570E" w14:textId="77777777" w:rsidR="00FE291A" w:rsidRDefault="00C8738F">
            <w:pPr>
              <w:keepNext/>
              <w:suppressAutoHyphens/>
              <w:rPr>
                <w:sz w:val="22"/>
                <w:szCs w:val="22"/>
                <w:lang w:val="de-DE" w:eastAsia="en-GB"/>
              </w:rPr>
            </w:pPr>
            <w:r>
              <w:rPr>
                <w:sz w:val="22"/>
                <w:szCs w:val="22"/>
                <w:lang w:val="de-DE"/>
              </w:rPr>
              <w:t>Klinische Remission</w:t>
            </w:r>
          </w:p>
        </w:tc>
        <w:tc>
          <w:tcPr>
            <w:tcW w:w="3020" w:type="dxa"/>
          </w:tcPr>
          <w:p w14:paraId="5FA1A932" w14:textId="77777777" w:rsidR="00FE291A" w:rsidRDefault="00C8738F">
            <w:pPr>
              <w:keepNext/>
              <w:suppressAutoHyphens/>
              <w:jc w:val="center"/>
              <w:rPr>
                <w:sz w:val="22"/>
                <w:szCs w:val="22"/>
                <w:lang w:val="de-DE" w:eastAsia="en-GB"/>
              </w:rPr>
            </w:pPr>
            <w:r>
              <w:rPr>
                <w:sz w:val="22"/>
                <w:szCs w:val="22"/>
                <w:lang w:val="de-DE"/>
              </w:rPr>
              <w:t>13/30 (43,3 %)</w:t>
            </w:r>
          </w:p>
        </w:tc>
        <w:tc>
          <w:tcPr>
            <w:tcW w:w="3021" w:type="dxa"/>
          </w:tcPr>
          <w:p w14:paraId="57E4DFC5" w14:textId="77777777" w:rsidR="00FE291A" w:rsidRDefault="00C8738F">
            <w:pPr>
              <w:keepNext/>
              <w:suppressAutoHyphens/>
              <w:jc w:val="center"/>
              <w:rPr>
                <w:sz w:val="22"/>
                <w:szCs w:val="22"/>
                <w:lang w:val="de-DE" w:eastAsia="en-GB"/>
              </w:rPr>
            </w:pPr>
            <w:r>
              <w:rPr>
                <w:sz w:val="22"/>
                <w:szCs w:val="22"/>
                <w:lang w:val="de-DE"/>
              </w:rPr>
              <w:t>28/47 (59,6 %)</w:t>
            </w:r>
          </w:p>
        </w:tc>
      </w:tr>
      <w:tr w:rsidR="00FE291A" w:rsidRPr="00723069" w14:paraId="5074980E" w14:textId="77777777">
        <w:trPr>
          <w:cantSplit/>
        </w:trPr>
        <w:tc>
          <w:tcPr>
            <w:tcW w:w="8953" w:type="dxa"/>
            <w:gridSpan w:val="3"/>
          </w:tcPr>
          <w:p w14:paraId="20559CEE" w14:textId="77777777" w:rsidR="00FE291A" w:rsidRDefault="00C8738F">
            <w:pPr>
              <w:suppressAutoHyphens/>
              <w:rPr>
                <w:sz w:val="20"/>
                <w:lang w:val="de-DE" w:eastAsia="en-GB"/>
              </w:rPr>
            </w:pPr>
            <w:r>
              <w:rPr>
                <w:sz w:val="20"/>
                <w:vertAlign w:val="superscript"/>
                <w:lang w:val="de-DE" w:eastAsia="en-GB"/>
              </w:rPr>
              <w:t xml:space="preserve">a </w:t>
            </w:r>
            <w:r>
              <w:rPr>
                <w:sz w:val="20"/>
                <w:szCs w:val="20"/>
                <w:lang w:val="de-DE"/>
              </w:rPr>
              <w:t>Adalimumab 2,4 mg/kg (maximal 160 mg) in Woche 0, Placebo in Woche 1 und 1,2 mg/kg (maximal 80 mg) in Woche 2</w:t>
            </w:r>
          </w:p>
          <w:p w14:paraId="0F7212B5" w14:textId="77777777" w:rsidR="00FE291A" w:rsidRDefault="00C8738F">
            <w:pPr>
              <w:suppressAutoHyphens/>
              <w:rPr>
                <w:sz w:val="20"/>
                <w:lang w:val="de-DE" w:eastAsia="en-GB"/>
              </w:rPr>
            </w:pPr>
            <w:r>
              <w:rPr>
                <w:sz w:val="20"/>
                <w:vertAlign w:val="superscript"/>
                <w:lang w:val="de-DE" w:eastAsia="en-GB"/>
              </w:rPr>
              <w:t>b</w:t>
            </w:r>
            <w:r>
              <w:rPr>
                <w:sz w:val="20"/>
                <w:lang w:val="de-DE" w:eastAsia="en-GB"/>
              </w:rPr>
              <w:t xml:space="preserve"> </w:t>
            </w:r>
            <w:r>
              <w:rPr>
                <w:sz w:val="20"/>
                <w:szCs w:val="20"/>
                <w:lang w:val="de-DE"/>
              </w:rPr>
              <w:t>Adalimumab 2,4 mg/kg (maximal 160 mg) in Woche 0 und Woche 1 und 1,2 mg/kg (maximal 80 mg) in Woche 2</w:t>
            </w:r>
          </w:p>
          <w:p w14:paraId="264475BC" w14:textId="77777777" w:rsidR="00FE291A" w:rsidRDefault="00C8738F">
            <w:pPr>
              <w:keepNext/>
              <w:suppressAutoHyphens/>
              <w:rPr>
                <w:sz w:val="20"/>
                <w:szCs w:val="20"/>
                <w:lang w:val="de-DE" w:eastAsia="en-GB"/>
              </w:rPr>
            </w:pPr>
            <w:r>
              <w:rPr>
                <w:sz w:val="20"/>
                <w:vertAlign w:val="superscript"/>
                <w:lang w:val="de-DE" w:eastAsia="en-GB"/>
              </w:rPr>
              <w:t>c</w:t>
            </w:r>
            <w:r>
              <w:rPr>
                <w:sz w:val="20"/>
                <w:lang w:val="de-DE" w:eastAsia="en-GB"/>
              </w:rPr>
              <w:t xml:space="preserve"> </w:t>
            </w:r>
            <w:r>
              <w:rPr>
                <w:sz w:val="20"/>
                <w:szCs w:val="20"/>
                <w:lang w:val="de-DE"/>
              </w:rPr>
              <w:t xml:space="preserve">Ohne Patienten unter offener Adalimumab-Induktionsdosis von 2,4 mg/kg (maximal 160 mg) in Woche 0 und Woche 1 und 1,2 mg/kg (maximal 80 mg) in Woche 2 </w:t>
            </w:r>
          </w:p>
          <w:p w14:paraId="2B6567D1" w14:textId="77777777" w:rsidR="00FE291A" w:rsidRDefault="00C8738F">
            <w:pPr>
              <w:pStyle w:val="Default"/>
              <w:keepNext/>
              <w:suppressAutoHyphens/>
              <w:rPr>
                <w:sz w:val="20"/>
                <w:szCs w:val="20"/>
                <w:lang w:val="de-DE"/>
              </w:rPr>
            </w:pPr>
            <w:r>
              <w:rPr>
                <w:sz w:val="20"/>
                <w:szCs w:val="20"/>
                <w:lang w:val="de-DE"/>
              </w:rPr>
              <w:t>Hinweis 1: Beide Behandlungsarme mit Induktionsphase erhielten 0,6 mg/kg (maximal 40 mg) in Woche 4 und Woche 6.</w:t>
            </w:r>
          </w:p>
          <w:p w14:paraId="6C4C9171" w14:textId="77777777" w:rsidR="00FE291A" w:rsidRDefault="00C8738F">
            <w:pPr>
              <w:pStyle w:val="BodyText"/>
              <w:widowControl/>
              <w:suppressAutoHyphens/>
              <w:kinsoku w:val="0"/>
              <w:overflowPunct w:val="0"/>
              <w:ind w:left="0"/>
              <w:rPr>
                <w:lang w:val="de-DE"/>
              </w:rPr>
            </w:pPr>
            <w:r>
              <w:rPr>
                <w:sz w:val="20"/>
                <w:szCs w:val="20"/>
                <w:lang w:val="de-DE"/>
              </w:rPr>
              <w:t>Hinweis 2: Patienten mit fehlenden Werten in Woche 8 wurden als Patienten gewertet, die den Endpunkt nicht erreichten.</w:t>
            </w:r>
          </w:p>
        </w:tc>
      </w:tr>
    </w:tbl>
    <w:p w14:paraId="23FA429B" w14:textId="77777777" w:rsidR="00FE291A" w:rsidRDefault="00FE291A">
      <w:pPr>
        <w:pStyle w:val="BodyText"/>
        <w:widowControl/>
        <w:kinsoku w:val="0"/>
        <w:overflowPunct w:val="0"/>
        <w:ind w:left="0"/>
        <w:rPr>
          <w:u w:val="single"/>
          <w:lang w:val="de-DE"/>
        </w:rPr>
      </w:pPr>
    </w:p>
    <w:p w14:paraId="52D9EEE7" w14:textId="77777777" w:rsidR="00FE291A" w:rsidRDefault="00C8738F">
      <w:pPr>
        <w:pStyle w:val="BodyText"/>
        <w:widowControl/>
        <w:kinsoku w:val="0"/>
        <w:overflowPunct w:val="0"/>
        <w:ind w:left="0"/>
        <w:rPr>
          <w:lang w:val="de-DE"/>
        </w:rPr>
      </w:pPr>
      <w:r>
        <w:rPr>
          <w:lang w:val="de-DE"/>
        </w:rPr>
        <w:t xml:space="preserve">In Woche 52 wurden bei den Patienten, die Adalimumab doppelblind in der Erhaltungsdosis von maximal 40 mg (0,6 mg/kg) jede zweite Woche bzw. maximal 40 mg (0,6 mg/kg) wöchentlich erhielten, die klinische Remission nach FMS bei </w:t>
      </w:r>
      <w:r>
        <w:rPr>
          <w:i/>
          <w:iCs/>
          <w:lang w:val="de-DE"/>
        </w:rPr>
        <w:t>Respondern</w:t>
      </w:r>
      <w:r>
        <w:rPr>
          <w:lang w:val="de-DE"/>
        </w:rPr>
        <w:t xml:space="preserve"> in Woche 8, das klinische Ansprechen nach FMS (definiert als Abnahme des </w:t>
      </w:r>
      <w:r>
        <w:rPr>
          <w:i/>
          <w:iCs/>
          <w:lang w:val="de-DE"/>
        </w:rPr>
        <w:t>Mayo-Score</w:t>
      </w:r>
      <w:r>
        <w:rPr>
          <w:lang w:val="de-DE"/>
        </w:rPr>
        <w:t xml:space="preserve"> um ≥ 3 Punkte und ≥ 30 % gegenüber </w:t>
      </w:r>
      <w:r>
        <w:rPr>
          <w:i/>
          <w:iCs/>
          <w:lang w:val="de-DE"/>
        </w:rPr>
        <w:t>Baseline</w:t>
      </w:r>
      <w:r>
        <w:rPr>
          <w:lang w:val="de-DE"/>
        </w:rPr>
        <w:t xml:space="preserve">) bei </w:t>
      </w:r>
      <w:r>
        <w:rPr>
          <w:i/>
          <w:iCs/>
          <w:lang w:val="de-DE"/>
        </w:rPr>
        <w:t>Respondern</w:t>
      </w:r>
      <w:r>
        <w:rPr>
          <w:lang w:val="de-DE"/>
        </w:rPr>
        <w:t xml:space="preserve"> in Woche 8, die Mukosaheilung nach FMS (definiert als endoskopischer </w:t>
      </w:r>
      <w:r>
        <w:rPr>
          <w:i/>
          <w:iCs/>
          <w:lang w:val="de-DE"/>
        </w:rPr>
        <w:t>Mayo-Score</w:t>
      </w:r>
      <w:r>
        <w:rPr>
          <w:lang w:val="de-DE"/>
        </w:rPr>
        <w:t xml:space="preserve"> von ≤ 1) bei </w:t>
      </w:r>
      <w:r>
        <w:rPr>
          <w:i/>
          <w:iCs/>
          <w:lang w:val="de-DE"/>
        </w:rPr>
        <w:t>Respondern</w:t>
      </w:r>
      <w:r>
        <w:rPr>
          <w:lang w:val="de-DE"/>
        </w:rPr>
        <w:t xml:space="preserve"> in Woche 8, die klinische Remission nach FMS bei Patienten in Remission in Woche 8 sowie der Anteil der Studienteilnehmer in kortikosteroidfreier Remission nach FMS bei </w:t>
      </w:r>
      <w:r>
        <w:rPr>
          <w:i/>
          <w:iCs/>
          <w:lang w:val="de-DE"/>
        </w:rPr>
        <w:t>Respondern</w:t>
      </w:r>
      <w:r>
        <w:rPr>
          <w:lang w:val="de-DE"/>
        </w:rPr>
        <w:t xml:space="preserve"> in Woche 8 beurteilt (Tabelle 32).</w:t>
      </w:r>
    </w:p>
    <w:p w14:paraId="0DAEEF69" w14:textId="77777777" w:rsidR="00FE291A" w:rsidRDefault="00FE291A">
      <w:pPr>
        <w:pStyle w:val="BodyText"/>
        <w:widowControl/>
        <w:kinsoku w:val="0"/>
        <w:overflowPunct w:val="0"/>
        <w:ind w:left="0"/>
        <w:rPr>
          <w:lang w:val="de-DE"/>
        </w:rPr>
      </w:pPr>
    </w:p>
    <w:p w14:paraId="0B233A4F" w14:textId="77777777" w:rsidR="00FE291A" w:rsidRDefault="00C8738F">
      <w:pPr>
        <w:keepNext/>
        <w:rPr>
          <w:b/>
          <w:bCs/>
          <w:sz w:val="22"/>
          <w:szCs w:val="22"/>
          <w:lang w:val="de-DE" w:eastAsia="en-GB"/>
        </w:rPr>
      </w:pPr>
      <w:r>
        <w:rPr>
          <w:b/>
          <w:bCs/>
          <w:sz w:val="22"/>
          <w:szCs w:val="22"/>
          <w:lang w:val="de-DE" w:eastAsia="en-GB"/>
        </w:rPr>
        <w:t xml:space="preserve">Tabelle 32: </w:t>
      </w:r>
      <w:r>
        <w:rPr>
          <w:b/>
          <w:bCs/>
          <w:sz w:val="22"/>
          <w:szCs w:val="22"/>
          <w:lang w:val="de-DE"/>
        </w:rPr>
        <w:t>Ergebnisse zur Wirksamkeit in Woche 52</w:t>
      </w:r>
    </w:p>
    <w:p w14:paraId="61808DC9" w14:textId="77777777" w:rsidR="00FE291A" w:rsidRDefault="00FE291A">
      <w:pPr>
        <w:keepNext/>
        <w:rPr>
          <w:sz w:val="22"/>
          <w:szCs w:val="22"/>
          <w:lang w:val="de-DE"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912"/>
        <w:gridCol w:w="3020"/>
        <w:gridCol w:w="3021"/>
      </w:tblGrid>
      <w:tr w:rsidR="00FE291A" w:rsidRPr="00723069" w14:paraId="3CAB9B8B" w14:textId="77777777">
        <w:trPr>
          <w:cantSplit/>
          <w:tblHeader/>
        </w:trPr>
        <w:tc>
          <w:tcPr>
            <w:tcW w:w="2912" w:type="dxa"/>
          </w:tcPr>
          <w:p w14:paraId="1BCC54DA" w14:textId="77777777" w:rsidR="00FE291A" w:rsidRDefault="00FE291A">
            <w:pPr>
              <w:keepNext/>
              <w:suppressAutoHyphens/>
              <w:rPr>
                <w:sz w:val="22"/>
                <w:szCs w:val="22"/>
                <w:lang w:val="de-DE" w:eastAsia="en-GB"/>
              </w:rPr>
            </w:pPr>
          </w:p>
        </w:tc>
        <w:tc>
          <w:tcPr>
            <w:tcW w:w="3020" w:type="dxa"/>
          </w:tcPr>
          <w:p w14:paraId="08DFFA34" w14:textId="77777777" w:rsidR="00FE291A" w:rsidRDefault="00C8738F">
            <w:pPr>
              <w:keepNext/>
              <w:suppressAutoHyphens/>
              <w:jc w:val="center"/>
              <w:rPr>
                <w:b/>
                <w:bCs/>
                <w:sz w:val="22"/>
                <w:szCs w:val="22"/>
                <w:lang w:val="de-DE" w:eastAsia="en-GB"/>
              </w:rPr>
            </w:pPr>
            <w:r>
              <w:rPr>
                <w:b/>
                <w:bCs/>
                <w:color w:val="000000"/>
                <w:sz w:val="22"/>
                <w:szCs w:val="22"/>
                <w:lang w:val="de-DE" w:eastAsia="en-GB"/>
              </w:rPr>
              <w:t>Adalimumab</w:t>
            </w:r>
            <w:r>
              <w:rPr>
                <w:b/>
                <w:bCs/>
                <w:sz w:val="22"/>
                <w:szCs w:val="22"/>
                <w:vertAlign w:val="superscript"/>
                <w:lang w:val="de-DE" w:eastAsia="en-GB"/>
              </w:rPr>
              <w:t>a</w:t>
            </w:r>
          </w:p>
          <w:p w14:paraId="138E498D" w14:textId="77777777" w:rsidR="00FE291A" w:rsidRDefault="00C8738F">
            <w:pPr>
              <w:keepNext/>
              <w:suppressAutoHyphens/>
              <w:jc w:val="center"/>
              <w:rPr>
                <w:b/>
                <w:bCs/>
                <w:sz w:val="22"/>
                <w:szCs w:val="22"/>
                <w:lang w:val="de-DE" w:eastAsia="en-GB"/>
              </w:rPr>
            </w:pPr>
            <w:r>
              <w:rPr>
                <w:b/>
                <w:bCs/>
                <w:sz w:val="22"/>
                <w:szCs w:val="22"/>
                <w:lang w:val="de-DE" w:eastAsia="en-GB"/>
              </w:rPr>
              <w:t>Maximal 40 mg jede zweite Woche</w:t>
            </w:r>
          </w:p>
          <w:p w14:paraId="54A86397" w14:textId="77777777" w:rsidR="00FE291A" w:rsidRDefault="00C8738F">
            <w:pPr>
              <w:keepNext/>
              <w:suppressAutoHyphens/>
              <w:jc w:val="center"/>
              <w:rPr>
                <w:b/>
                <w:sz w:val="22"/>
                <w:szCs w:val="22"/>
                <w:lang w:val="de-DE" w:eastAsia="en-GB"/>
              </w:rPr>
            </w:pPr>
            <w:r>
              <w:rPr>
                <w:b/>
                <w:sz w:val="22"/>
                <w:szCs w:val="22"/>
                <w:lang w:val="de-DE" w:eastAsia="en-GB"/>
              </w:rPr>
              <w:t>n = 31</w:t>
            </w:r>
          </w:p>
        </w:tc>
        <w:tc>
          <w:tcPr>
            <w:tcW w:w="3021" w:type="dxa"/>
          </w:tcPr>
          <w:p w14:paraId="5B0168A0" w14:textId="77777777" w:rsidR="00FE291A" w:rsidRDefault="00C8738F">
            <w:pPr>
              <w:keepNext/>
              <w:suppressAutoHyphens/>
              <w:jc w:val="center"/>
              <w:rPr>
                <w:b/>
                <w:bCs/>
                <w:sz w:val="22"/>
                <w:szCs w:val="22"/>
                <w:lang w:val="de-DE" w:eastAsia="en-GB"/>
              </w:rPr>
            </w:pPr>
            <w:r>
              <w:rPr>
                <w:b/>
                <w:bCs/>
                <w:sz w:val="22"/>
                <w:szCs w:val="22"/>
                <w:lang w:val="de-DE" w:eastAsia="en-GB"/>
              </w:rPr>
              <w:t>Adalimumab</w:t>
            </w:r>
            <w:r>
              <w:rPr>
                <w:b/>
                <w:bCs/>
                <w:sz w:val="22"/>
                <w:szCs w:val="22"/>
                <w:vertAlign w:val="superscript"/>
                <w:lang w:val="de-DE" w:eastAsia="en-GB"/>
              </w:rPr>
              <w:t>b</w:t>
            </w:r>
          </w:p>
          <w:p w14:paraId="6017BAFC" w14:textId="77777777" w:rsidR="00FE291A" w:rsidRDefault="00C8738F">
            <w:pPr>
              <w:keepNext/>
              <w:suppressAutoHyphens/>
              <w:jc w:val="center"/>
              <w:rPr>
                <w:b/>
                <w:bCs/>
                <w:sz w:val="22"/>
                <w:szCs w:val="22"/>
                <w:lang w:val="de-DE" w:eastAsia="en-GB"/>
              </w:rPr>
            </w:pPr>
            <w:r>
              <w:rPr>
                <w:b/>
                <w:bCs/>
                <w:sz w:val="22"/>
                <w:szCs w:val="22"/>
                <w:lang w:val="de-DE" w:eastAsia="en-GB"/>
              </w:rPr>
              <w:t>Maximal 40 mg wöchentlich</w:t>
            </w:r>
          </w:p>
          <w:p w14:paraId="096D2EDD" w14:textId="77777777" w:rsidR="00FE291A" w:rsidRDefault="00C8738F">
            <w:pPr>
              <w:keepNext/>
              <w:suppressAutoHyphens/>
              <w:jc w:val="center"/>
              <w:rPr>
                <w:b/>
                <w:sz w:val="22"/>
                <w:szCs w:val="22"/>
                <w:lang w:val="de-DE" w:eastAsia="en-GB"/>
              </w:rPr>
            </w:pPr>
            <w:r>
              <w:rPr>
                <w:b/>
                <w:sz w:val="22"/>
                <w:szCs w:val="22"/>
                <w:lang w:val="de-DE" w:eastAsia="en-GB"/>
              </w:rPr>
              <w:t>n = 31</w:t>
            </w:r>
          </w:p>
        </w:tc>
      </w:tr>
      <w:tr w:rsidR="00FE291A" w14:paraId="23BBB350" w14:textId="77777777">
        <w:trPr>
          <w:cantSplit/>
        </w:trPr>
        <w:tc>
          <w:tcPr>
            <w:tcW w:w="2912" w:type="dxa"/>
          </w:tcPr>
          <w:p w14:paraId="1E7AF35F" w14:textId="77777777" w:rsidR="00FE291A" w:rsidRDefault="00C8738F">
            <w:pPr>
              <w:pStyle w:val="Default"/>
              <w:suppressAutoHyphens/>
              <w:rPr>
                <w:sz w:val="22"/>
                <w:szCs w:val="22"/>
                <w:lang w:val="de-DE" w:eastAsia="en-GB"/>
              </w:rPr>
            </w:pPr>
            <w:r>
              <w:rPr>
                <w:sz w:val="22"/>
                <w:szCs w:val="22"/>
                <w:lang w:val="de-DE"/>
              </w:rPr>
              <w:t>Klinische Remission bei PMS-</w:t>
            </w:r>
            <w:r>
              <w:rPr>
                <w:i/>
                <w:iCs/>
                <w:sz w:val="22"/>
                <w:szCs w:val="22"/>
                <w:lang w:val="de-DE"/>
              </w:rPr>
              <w:t>Respondern</w:t>
            </w:r>
            <w:r>
              <w:rPr>
                <w:sz w:val="22"/>
                <w:szCs w:val="22"/>
                <w:lang w:val="de-DE"/>
              </w:rPr>
              <w:t xml:space="preserve"> in Woche 8</w:t>
            </w:r>
          </w:p>
        </w:tc>
        <w:tc>
          <w:tcPr>
            <w:tcW w:w="3020" w:type="dxa"/>
          </w:tcPr>
          <w:p w14:paraId="6DD74F1D" w14:textId="77777777" w:rsidR="00FE291A" w:rsidRDefault="00C8738F">
            <w:pPr>
              <w:suppressAutoHyphens/>
              <w:jc w:val="center"/>
              <w:rPr>
                <w:sz w:val="22"/>
                <w:szCs w:val="22"/>
                <w:lang w:val="de-DE" w:eastAsia="en-GB"/>
              </w:rPr>
            </w:pPr>
            <w:r>
              <w:rPr>
                <w:sz w:val="22"/>
                <w:szCs w:val="22"/>
                <w:lang w:val="de-DE" w:eastAsia="en-GB"/>
              </w:rPr>
              <w:t>9/31 (29,0 %)</w:t>
            </w:r>
          </w:p>
        </w:tc>
        <w:tc>
          <w:tcPr>
            <w:tcW w:w="3021" w:type="dxa"/>
          </w:tcPr>
          <w:p w14:paraId="7802EFF0" w14:textId="77777777" w:rsidR="00FE291A" w:rsidRDefault="00C8738F">
            <w:pPr>
              <w:suppressAutoHyphens/>
              <w:jc w:val="center"/>
              <w:rPr>
                <w:sz w:val="22"/>
                <w:szCs w:val="22"/>
                <w:lang w:val="de-DE" w:eastAsia="en-GB"/>
              </w:rPr>
            </w:pPr>
            <w:r>
              <w:rPr>
                <w:sz w:val="22"/>
                <w:szCs w:val="22"/>
                <w:lang w:val="de-DE" w:eastAsia="en-GB"/>
              </w:rPr>
              <w:t>14/31 (45,2 %)</w:t>
            </w:r>
          </w:p>
        </w:tc>
      </w:tr>
      <w:tr w:rsidR="00FE291A" w14:paraId="4361B8A2" w14:textId="77777777">
        <w:trPr>
          <w:cantSplit/>
        </w:trPr>
        <w:tc>
          <w:tcPr>
            <w:tcW w:w="2912" w:type="dxa"/>
          </w:tcPr>
          <w:p w14:paraId="72DAD7E8" w14:textId="77777777" w:rsidR="00FE291A" w:rsidRDefault="00C8738F">
            <w:pPr>
              <w:pStyle w:val="Default"/>
              <w:suppressAutoHyphens/>
              <w:rPr>
                <w:sz w:val="22"/>
                <w:szCs w:val="22"/>
                <w:lang w:val="de-DE" w:eastAsia="en-GB"/>
              </w:rPr>
            </w:pPr>
            <w:r>
              <w:rPr>
                <w:sz w:val="22"/>
                <w:szCs w:val="22"/>
                <w:lang w:val="de-DE"/>
              </w:rPr>
              <w:t>Klinisches Ansprechen bei PMS-</w:t>
            </w:r>
            <w:r>
              <w:rPr>
                <w:i/>
                <w:iCs/>
                <w:sz w:val="22"/>
                <w:szCs w:val="22"/>
                <w:lang w:val="de-DE"/>
              </w:rPr>
              <w:t>Respondern</w:t>
            </w:r>
            <w:r>
              <w:rPr>
                <w:sz w:val="22"/>
                <w:szCs w:val="22"/>
                <w:lang w:val="de-DE"/>
              </w:rPr>
              <w:t xml:space="preserve"> in Woche 8</w:t>
            </w:r>
          </w:p>
        </w:tc>
        <w:tc>
          <w:tcPr>
            <w:tcW w:w="3020" w:type="dxa"/>
          </w:tcPr>
          <w:p w14:paraId="5099C2EF" w14:textId="77777777" w:rsidR="00FE291A" w:rsidRDefault="00C8738F">
            <w:pPr>
              <w:suppressAutoHyphens/>
              <w:jc w:val="center"/>
              <w:rPr>
                <w:sz w:val="22"/>
                <w:szCs w:val="22"/>
                <w:lang w:val="de-DE" w:eastAsia="en-GB"/>
              </w:rPr>
            </w:pPr>
            <w:r>
              <w:rPr>
                <w:sz w:val="22"/>
                <w:szCs w:val="22"/>
                <w:lang w:val="de-DE" w:eastAsia="en-GB"/>
              </w:rPr>
              <w:t>19/31 (61,3 %)</w:t>
            </w:r>
          </w:p>
        </w:tc>
        <w:tc>
          <w:tcPr>
            <w:tcW w:w="3021" w:type="dxa"/>
          </w:tcPr>
          <w:p w14:paraId="35D83B25" w14:textId="77777777" w:rsidR="00FE291A" w:rsidRDefault="00C8738F">
            <w:pPr>
              <w:suppressAutoHyphens/>
              <w:jc w:val="center"/>
              <w:rPr>
                <w:sz w:val="22"/>
                <w:szCs w:val="22"/>
                <w:lang w:val="de-DE" w:eastAsia="en-GB"/>
              </w:rPr>
            </w:pPr>
            <w:r>
              <w:rPr>
                <w:sz w:val="22"/>
                <w:szCs w:val="22"/>
                <w:lang w:val="de-DE" w:eastAsia="en-GB"/>
              </w:rPr>
              <w:t>21/31 (67,7 %)</w:t>
            </w:r>
          </w:p>
        </w:tc>
      </w:tr>
      <w:tr w:rsidR="00FE291A" w14:paraId="5EC52651" w14:textId="77777777">
        <w:trPr>
          <w:cantSplit/>
        </w:trPr>
        <w:tc>
          <w:tcPr>
            <w:tcW w:w="2912" w:type="dxa"/>
          </w:tcPr>
          <w:p w14:paraId="16F4EF8D" w14:textId="77777777" w:rsidR="00FE291A" w:rsidRDefault="00C8738F">
            <w:pPr>
              <w:pStyle w:val="Default"/>
              <w:suppressAutoHyphens/>
              <w:rPr>
                <w:sz w:val="22"/>
                <w:szCs w:val="22"/>
                <w:lang w:val="de-DE" w:eastAsia="en-GB"/>
              </w:rPr>
            </w:pPr>
            <w:r>
              <w:rPr>
                <w:sz w:val="22"/>
                <w:szCs w:val="22"/>
                <w:lang w:val="de-DE"/>
              </w:rPr>
              <w:t>Mukosaheilung bei PMS-</w:t>
            </w:r>
            <w:r>
              <w:rPr>
                <w:i/>
                <w:iCs/>
                <w:sz w:val="22"/>
                <w:szCs w:val="22"/>
                <w:lang w:val="de-DE"/>
              </w:rPr>
              <w:t>Respondern</w:t>
            </w:r>
            <w:r>
              <w:rPr>
                <w:sz w:val="22"/>
                <w:szCs w:val="22"/>
                <w:lang w:val="de-DE"/>
              </w:rPr>
              <w:t xml:space="preserve"> in Woche 8</w:t>
            </w:r>
          </w:p>
        </w:tc>
        <w:tc>
          <w:tcPr>
            <w:tcW w:w="3020" w:type="dxa"/>
          </w:tcPr>
          <w:p w14:paraId="4D96BFC0" w14:textId="77777777" w:rsidR="00FE291A" w:rsidRDefault="00C8738F">
            <w:pPr>
              <w:suppressAutoHyphens/>
              <w:jc w:val="center"/>
              <w:rPr>
                <w:sz w:val="22"/>
                <w:szCs w:val="22"/>
                <w:lang w:val="de-DE" w:eastAsia="en-GB"/>
              </w:rPr>
            </w:pPr>
            <w:r>
              <w:rPr>
                <w:sz w:val="22"/>
                <w:szCs w:val="22"/>
                <w:lang w:val="de-DE" w:eastAsia="en-GB"/>
              </w:rPr>
              <w:t>12/31 (38,7 %)</w:t>
            </w:r>
          </w:p>
        </w:tc>
        <w:tc>
          <w:tcPr>
            <w:tcW w:w="3021" w:type="dxa"/>
          </w:tcPr>
          <w:p w14:paraId="2B470630" w14:textId="77777777" w:rsidR="00FE291A" w:rsidRDefault="00C8738F">
            <w:pPr>
              <w:suppressAutoHyphens/>
              <w:jc w:val="center"/>
              <w:rPr>
                <w:sz w:val="22"/>
                <w:szCs w:val="22"/>
                <w:lang w:val="de-DE" w:eastAsia="en-GB"/>
              </w:rPr>
            </w:pPr>
            <w:r>
              <w:rPr>
                <w:sz w:val="22"/>
                <w:szCs w:val="22"/>
                <w:lang w:val="de-DE" w:eastAsia="en-GB"/>
              </w:rPr>
              <w:t>16/31 (51,6 %)</w:t>
            </w:r>
          </w:p>
        </w:tc>
      </w:tr>
      <w:tr w:rsidR="00FE291A" w14:paraId="40CECA62" w14:textId="77777777">
        <w:trPr>
          <w:cantSplit/>
        </w:trPr>
        <w:tc>
          <w:tcPr>
            <w:tcW w:w="2912" w:type="dxa"/>
          </w:tcPr>
          <w:p w14:paraId="4C5BEB2F" w14:textId="77777777" w:rsidR="00FE291A" w:rsidRDefault="00C8738F">
            <w:pPr>
              <w:pStyle w:val="Default"/>
              <w:suppressAutoHyphens/>
              <w:rPr>
                <w:sz w:val="22"/>
                <w:szCs w:val="22"/>
                <w:lang w:val="de-DE" w:eastAsia="en-GB"/>
              </w:rPr>
            </w:pPr>
            <w:r>
              <w:rPr>
                <w:sz w:val="22"/>
                <w:szCs w:val="22"/>
                <w:lang w:val="de-DE"/>
              </w:rPr>
              <w:t>Klinische Remission bei Patienten in PMS-Remission in Woche 8</w:t>
            </w:r>
          </w:p>
        </w:tc>
        <w:tc>
          <w:tcPr>
            <w:tcW w:w="3020" w:type="dxa"/>
          </w:tcPr>
          <w:p w14:paraId="7D5A4A47" w14:textId="77777777" w:rsidR="00FE291A" w:rsidRDefault="00C8738F">
            <w:pPr>
              <w:suppressAutoHyphens/>
              <w:jc w:val="center"/>
              <w:rPr>
                <w:sz w:val="22"/>
                <w:szCs w:val="22"/>
                <w:lang w:val="de-DE" w:eastAsia="en-GB"/>
              </w:rPr>
            </w:pPr>
            <w:r>
              <w:rPr>
                <w:sz w:val="22"/>
                <w:szCs w:val="22"/>
                <w:lang w:val="de-DE" w:eastAsia="en-GB"/>
              </w:rPr>
              <w:t>9/21 (42,9 %)</w:t>
            </w:r>
          </w:p>
        </w:tc>
        <w:tc>
          <w:tcPr>
            <w:tcW w:w="3021" w:type="dxa"/>
          </w:tcPr>
          <w:p w14:paraId="0BE08EB1" w14:textId="77777777" w:rsidR="00FE291A" w:rsidRDefault="00C8738F">
            <w:pPr>
              <w:suppressAutoHyphens/>
              <w:jc w:val="center"/>
              <w:rPr>
                <w:sz w:val="22"/>
                <w:szCs w:val="22"/>
                <w:lang w:val="de-DE" w:eastAsia="en-GB"/>
              </w:rPr>
            </w:pPr>
            <w:r>
              <w:rPr>
                <w:sz w:val="22"/>
                <w:szCs w:val="22"/>
                <w:lang w:val="de-DE" w:eastAsia="en-GB"/>
              </w:rPr>
              <w:t>10/22 (45,5 %)</w:t>
            </w:r>
          </w:p>
        </w:tc>
      </w:tr>
      <w:tr w:rsidR="00FE291A" w14:paraId="65E86E98" w14:textId="77777777">
        <w:trPr>
          <w:cantSplit/>
        </w:trPr>
        <w:tc>
          <w:tcPr>
            <w:tcW w:w="2912" w:type="dxa"/>
          </w:tcPr>
          <w:p w14:paraId="5836E046" w14:textId="77777777" w:rsidR="00FE291A" w:rsidRDefault="00C8738F">
            <w:pPr>
              <w:pStyle w:val="Default"/>
              <w:keepNext/>
              <w:suppressAutoHyphens/>
              <w:rPr>
                <w:sz w:val="22"/>
                <w:szCs w:val="22"/>
                <w:lang w:val="de-DE"/>
              </w:rPr>
            </w:pPr>
            <w:r>
              <w:rPr>
                <w:sz w:val="22"/>
                <w:szCs w:val="22"/>
                <w:lang w:val="de-DE"/>
              </w:rPr>
              <w:t>Kortikosteroidfreie Remission bei PMS-</w:t>
            </w:r>
            <w:r>
              <w:rPr>
                <w:i/>
                <w:iCs/>
                <w:sz w:val="22"/>
                <w:szCs w:val="22"/>
                <w:lang w:val="de-DE"/>
              </w:rPr>
              <w:t>Respondern</w:t>
            </w:r>
            <w:r>
              <w:rPr>
                <w:sz w:val="22"/>
                <w:szCs w:val="22"/>
                <w:lang w:val="de-DE"/>
              </w:rPr>
              <w:t xml:space="preserve"> in Woche 8</w:t>
            </w:r>
            <w:r>
              <w:rPr>
                <w:sz w:val="22"/>
                <w:szCs w:val="22"/>
                <w:vertAlign w:val="superscript"/>
                <w:lang w:val="de-DE"/>
              </w:rPr>
              <w:t>c</w:t>
            </w:r>
          </w:p>
        </w:tc>
        <w:tc>
          <w:tcPr>
            <w:tcW w:w="3020" w:type="dxa"/>
          </w:tcPr>
          <w:p w14:paraId="4C46D2FE" w14:textId="77777777" w:rsidR="00FE291A" w:rsidRDefault="00C8738F">
            <w:pPr>
              <w:keepNext/>
              <w:suppressAutoHyphens/>
              <w:jc w:val="center"/>
              <w:rPr>
                <w:sz w:val="22"/>
                <w:szCs w:val="22"/>
                <w:lang w:val="de-DE" w:eastAsia="en-GB"/>
              </w:rPr>
            </w:pPr>
            <w:r>
              <w:rPr>
                <w:sz w:val="22"/>
                <w:szCs w:val="22"/>
                <w:lang w:val="de-DE" w:eastAsia="en-GB"/>
              </w:rPr>
              <w:t>4/13 (30,8 %)</w:t>
            </w:r>
          </w:p>
        </w:tc>
        <w:tc>
          <w:tcPr>
            <w:tcW w:w="3021" w:type="dxa"/>
          </w:tcPr>
          <w:p w14:paraId="541933E3" w14:textId="77777777" w:rsidR="00FE291A" w:rsidRDefault="00C8738F">
            <w:pPr>
              <w:keepNext/>
              <w:suppressAutoHyphens/>
              <w:jc w:val="center"/>
              <w:rPr>
                <w:sz w:val="22"/>
                <w:szCs w:val="22"/>
                <w:lang w:val="de-DE" w:eastAsia="en-GB"/>
              </w:rPr>
            </w:pPr>
            <w:r>
              <w:rPr>
                <w:sz w:val="22"/>
                <w:szCs w:val="22"/>
                <w:lang w:val="de-DE" w:eastAsia="en-GB"/>
              </w:rPr>
              <w:t>5/16 (31,3 %)</w:t>
            </w:r>
          </w:p>
        </w:tc>
      </w:tr>
      <w:tr w:rsidR="00FE291A" w:rsidRPr="002E6CD3" w14:paraId="1A736E9E" w14:textId="77777777">
        <w:trPr>
          <w:cantSplit/>
        </w:trPr>
        <w:tc>
          <w:tcPr>
            <w:tcW w:w="8953" w:type="dxa"/>
            <w:gridSpan w:val="3"/>
          </w:tcPr>
          <w:p w14:paraId="20E7A2F9" w14:textId="77777777" w:rsidR="00FE291A" w:rsidRDefault="00C8738F">
            <w:pPr>
              <w:suppressAutoHyphens/>
              <w:rPr>
                <w:sz w:val="20"/>
                <w:szCs w:val="20"/>
                <w:lang w:val="de-DE" w:eastAsia="en-GB"/>
              </w:rPr>
            </w:pPr>
            <w:r>
              <w:rPr>
                <w:sz w:val="20"/>
                <w:szCs w:val="20"/>
                <w:vertAlign w:val="superscript"/>
                <w:lang w:val="de-DE" w:eastAsia="en-GB"/>
              </w:rPr>
              <w:t>a</w:t>
            </w:r>
            <w:r>
              <w:rPr>
                <w:sz w:val="20"/>
                <w:szCs w:val="20"/>
                <w:lang w:val="de-DE" w:eastAsia="en-GB"/>
              </w:rPr>
              <w:t xml:space="preserve"> </w:t>
            </w:r>
            <w:r>
              <w:rPr>
                <w:sz w:val="20"/>
                <w:szCs w:val="20"/>
                <w:lang w:val="de-DE"/>
              </w:rPr>
              <w:t>Adalimumab 0,6 mg/kg (maximal 40 mg) jede zweite Woche</w:t>
            </w:r>
          </w:p>
          <w:p w14:paraId="7163F78E" w14:textId="77777777" w:rsidR="00FE291A" w:rsidRDefault="00C8738F">
            <w:pPr>
              <w:suppressAutoHyphens/>
              <w:rPr>
                <w:sz w:val="20"/>
                <w:szCs w:val="20"/>
                <w:lang w:val="de-DE" w:eastAsia="en-GB"/>
              </w:rPr>
            </w:pPr>
            <w:r>
              <w:rPr>
                <w:sz w:val="20"/>
                <w:szCs w:val="20"/>
                <w:vertAlign w:val="superscript"/>
                <w:lang w:val="de-DE" w:eastAsia="en-GB"/>
              </w:rPr>
              <w:t>b</w:t>
            </w:r>
            <w:r>
              <w:rPr>
                <w:sz w:val="20"/>
                <w:szCs w:val="20"/>
                <w:lang w:val="de-DE" w:eastAsia="en-GB"/>
              </w:rPr>
              <w:t xml:space="preserve"> </w:t>
            </w:r>
            <w:r>
              <w:rPr>
                <w:sz w:val="20"/>
                <w:szCs w:val="20"/>
                <w:lang w:val="de-DE"/>
              </w:rPr>
              <w:t>Adalimumab 0,6 mg/kg (maximal 40 mg) wöchentlich</w:t>
            </w:r>
          </w:p>
          <w:p w14:paraId="231CFF45" w14:textId="77777777" w:rsidR="00FE291A" w:rsidRDefault="00C8738F">
            <w:pPr>
              <w:keepNext/>
              <w:suppressAutoHyphens/>
              <w:rPr>
                <w:sz w:val="20"/>
                <w:szCs w:val="20"/>
                <w:lang w:val="de-DE" w:eastAsia="en-GB"/>
              </w:rPr>
            </w:pPr>
            <w:r>
              <w:rPr>
                <w:sz w:val="20"/>
                <w:szCs w:val="20"/>
                <w:vertAlign w:val="superscript"/>
                <w:lang w:val="de-DE" w:eastAsia="en-GB"/>
              </w:rPr>
              <w:t>c</w:t>
            </w:r>
            <w:r>
              <w:rPr>
                <w:sz w:val="20"/>
                <w:szCs w:val="20"/>
                <w:lang w:val="de-DE" w:eastAsia="en-GB"/>
              </w:rPr>
              <w:t xml:space="preserve"> </w:t>
            </w:r>
            <w:r>
              <w:rPr>
                <w:sz w:val="20"/>
                <w:szCs w:val="20"/>
                <w:lang w:val="de-DE"/>
              </w:rPr>
              <w:t xml:space="preserve">Bei Patienten, die bei </w:t>
            </w:r>
            <w:r>
              <w:rPr>
                <w:i/>
                <w:iCs/>
                <w:sz w:val="20"/>
                <w:szCs w:val="20"/>
                <w:lang w:val="de-DE"/>
              </w:rPr>
              <w:t>Baseline</w:t>
            </w:r>
            <w:r>
              <w:rPr>
                <w:sz w:val="20"/>
                <w:szCs w:val="20"/>
                <w:lang w:val="de-DE"/>
              </w:rPr>
              <w:t xml:space="preserve"> begleitend Kortikosteroide erhielten</w:t>
            </w:r>
          </w:p>
          <w:p w14:paraId="2A79B722" w14:textId="77777777" w:rsidR="00FE291A" w:rsidRDefault="00C8738F">
            <w:pPr>
              <w:pStyle w:val="BodyText"/>
              <w:keepNext/>
              <w:widowControl/>
              <w:suppressAutoHyphens/>
              <w:kinsoku w:val="0"/>
              <w:overflowPunct w:val="0"/>
              <w:ind w:left="0"/>
              <w:rPr>
                <w:lang w:val="de-DE" w:eastAsia="en-GB"/>
              </w:rPr>
            </w:pPr>
            <w:r>
              <w:rPr>
                <w:sz w:val="20"/>
                <w:szCs w:val="20"/>
                <w:lang w:val="de-DE"/>
              </w:rPr>
              <w:t xml:space="preserve">Hinweis: Patienten mit fehlenden Werten in Woche 52 oder die randomisiert einer erneuten Induktionstherapie oder der Erhaltungstherapie zugeteilt wurden, wurden hinsichtlich der Endpunkte in Woche 52 als </w:t>
            </w:r>
            <w:r>
              <w:rPr>
                <w:i/>
                <w:iCs/>
                <w:sz w:val="20"/>
                <w:szCs w:val="20"/>
                <w:lang w:val="de-DE"/>
              </w:rPr>
              <w:t>Non-Responder</w:t>
            </w:r>
            <w:r>
              <w:rPr>
                <w:sz w:val="20"/>
                <w:szCs w:val="20"/>
                <w:lang w:val="de-DE"/>
              </w:rPr>
              <w:t xml:space="preserve"> gewertet.</w:t>
            </w:r>
          </w:p>
        </w:tc>
      </w:tr>
    </w:tbl>
    <w:p w14:paraId="59676004" w14:textId="77777777" w:rsidR="00FE291A" w:rsidRDefault="00FE291A">
      <w:pPr>
        <w:pStyle w:val="BodyText"/>
        <w:widowControl/>
        <w:kinsoku w:val="0"/>
        <w:overflowPunct w:val="0"/>
        <w:ind w:left="0"/>
        <w:rPr>
          <w:u w:val="single"/>
          <w:lang w:val="de-DE"/>
        </w:rPr>
      </w:pPr>
    </w:p>
    <w:p w14:paraId="6DDB5144" w14:textId="77777777" w:rsidR="00FE291A" w:rsidRDefault="00C8738F">
      <w:pPr>
        <w:pStyle w:val="BodyText"/>
        <w:keepNext/>
        <w:keepLines/>
        <w:widowControl/>
        <w:kinsoku w:val="0"/>
        <w:overflowPunct w:val="0"/>
        <w:ind w:left="0"/>
        <w:rPr>
          <w:lang w:val="de-DE"/>
        </w:rPr>
      </w:pPr>
      <w:r>
        <w:rPr>
          <w:lang w:val="de-DE"/>
        </w:rPr>
        <w:t xml:space="preserve">Weitere explorative Wirksamkeitsendpunkte umfassten das klinische Ansprechen nach </w:t>
      </w:r>
      <w:r>
        <w:rPr>
          <w:i/>
          <w:iCs/>
          <w:lang w:val="de-DE"/>
        </w:rPr>
        <w:t>Paediatric Ulcerative Colitis Activity Index</w:t>
      </w:r>
      <w:r>
        <w:rPr>
          <w:lang w:val="de-DE"/>
        </w:rPr>
        <w:t xml:space="preserve"> (PUCAI) (definiert als Abnahme des PUCAI um ≥ 20 Punkte gegenüber </w:t>
      </w:r>
      <w:r>
        <w:rPr>
          <w:i/>
          <w:iCs/>
          <w:lang w:val="de-DE"/>
        </w:rPr>
        <w:t>Baseline</w:t>
      </w:r>
      <w:r>
        <w:rPr>
          <w:lang w:val="de-DE"/>
        </w:rPr>
        <w:t>) und die klinische Remission nach PUCAI (definiert als PUCAI &lt; 10) in Woche 8 und Woche 52 (Tabelle 33).</w:t>
      </w:r>
    </w:p>
    <w:p w14:paraId="11C9996A" w14:textId="77777777" w:rsidR="00FE291A" w:rsidRDefault="00FE291A">
      <w:pPr>
        <w:pStyle w:val="BodyText"/>
        <w:widowControl/>
        <w:kinsoku w:val="0"/>
        <w:overflowPunct w:val="0"/>
        <w:ind w:left="0"/>
        <w:rPr>
          <w:lang w:val="de-DE"/>
        </w:rPr>
      </w:pPr>
    </w:p>
    <w:p w14:paraId="7E0F26C9" w14:textId="77777777" w:rsidR="00FE291A" w:rsidRDefault="00C8738F">
      <w:pPr>
        <w:pStyle w:val="Default"/>
        <w:keepNext/>
        <w:rPr>
          <w:rFonts w:eastAsia="PMingLiU"/>
          <w:sz w:val="22"/>
          <w:szCs w:val="22"/>
          <w:lang w:val="de-DE" w:eastAsia="en-IN"/>
        </w:rPr>
      </w:pPr>
      <w:r>
        <w:rPr>
          <w:b/>
          <w:bCs/>
          <w:sz w:val="22"/>
          <w:szCs w:val="22"/>
          <w:lang w:val="de-DE" w:eastAsia="en-GB"/>
        </w:rPr>
        <w:t xml:space="preserve">Tabelle 33: </w:t>
      </w:r>
      <w:r>
        <w:rPr>
          <w:rFonts w:eastAsia="PMingLiU"/>
          <w:b/>
          <w:bCs/>
          <w:sz w:val="22"/>
          <w:szCs w:val="22"/>
          <w:lang w:val="de-DE" w:eastAsia="en-IN"/>
        </w:rPr>
        <w:t xml:space="preserve">Ergebnisse zu den explorativen Endpunkten nach PUCAI </w:t>
      </w:r>
    </w:p>
    <w:p w14:paraId="264FDE76" w14:textId="77777777" w:rsidR="00FE291A" w:rsidRDefault="00FE291A">
      <w:pPr>
        <w:keepNext/>
        <w:rPr>
          <w:sz w:val="22"/>
          <w:szCs w:val="22"/>
          <w:lang w:val="de-DE"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912"/>
        <w:gridCol w:w="3020"/>
        <w:gridCol w:w="3021"/>
      </w:tblGrid>
      <w:tr w:rsidR="00FE291A" w14:paraId="0BDF818E" w14:textId="77777777">
        <w:trPr>
          <w:cantSplit/>
        </w:trPr>
        <w:tc>
          <w:tcPr>
            <w:tcW w:w="2912" w:type="dxa"/>
          </w:tcPr>
          <w:p w14:paraId="61162F01" w14:textId="77777777" w:rsidR="00FE291A" w:rsidRDefault="00FE291A">
            <w:pPr>
              <w:keepNext/>
              <w:suppressAutoHyphens/>
              <w:rPr>
                <w:sz w:val="22"/>
                <w:szCs w:val="22"/>
                <w:lang w:val="de-DE" w:eastAsia="en-GB"/>
              </w:rPr>
            </w:pPr>
          </w:p>
        </w:tc>
        <w:tc>
          <w:tcPr>
            <w:tcW w:w="6041" w:type="dxa"/>
            <w:gridSpan w:val="2"/>
          </w:tcPr>
          <w:p w14:paraId="2B1626E9" w14:textId="77777777" w:rsidR="00FE291A" w:rsidRDefault="00C8738F">
            <w:pPr>
              <w:keepNext/>
              <w:suppressAutoHyphens/>
              <w:jc w:val="center"/>
              <w:rPr>
                <w:b/>
                <w:bCs/>
                <w:sz w:val="22"/>
                <w:szCs w:val="22"/>
                <w:lang w:val="de-DE" w:eastAsia="en-GB"/>
              </w:rPr>
            </w:pPr>
            <w:r>
              <w:rPr>
                <w:b/>
                <w:bCs/>
                <w:sz w:val="22"/>
                <w:szCs w:val="22"/>
                <w:lang w:val="de-DE" w:eastAsia="en-GB"/>
              </w:rPr>
              <w:t>Woche 8</w:t>
            </w:r>
          </w:p>
        </w:tc>
      </w:tr>
      <w:tr w:rsidR="00FE291A" w14:paraId="558BF7C7" w14:textId="77777777">
        <w:trPr>
          <w:cantSplit/>
        </w:trPr>
        <w:tc>
          <w:tcPr>
            <w:tcW w:w="2912" w:type="dxa"/>
          </w:tcPr>
          <w:p w14:paraId="1879CDF3" w14:textId="77777777" w:rsidR="00FE291A" w:rsidRDefault="00FE291A">
            <w:pPr>
              <w:keepNext/>
              <w:suppressAutoHyphens/>
              <w:rPr>
                <w:sz w:val="22"/>
                <w:szCs w:val="22"/>
                <w:lang w:val="de-DE" w:eastAsia="en-GB"/>
              </w:rPr>
            </w:pPr>
          </w:p>
        </w:tc>
        <w:tc>
          <w:tcPr>
            <w:tcW w:w="3020" w:type="dxa"/>
          </w:tcPr>
          <w:p w14:paraId="13DEA0F2" w14:textId="77777777" w:rsidR="00FE291A" w:rsidRDefault="00C8738F">
            <w:pPr>
              <w:pStyle w:val="Default"/>
              <w:keepNext/>
              <w:suppressAutoHyphens/>
              <w:jc w:val="center"/>
              <w:rPr>
                <w:sz w:val="22"/>
                <w:szCs w:val="22"/>
                <w:lang w:val="de-DE"/>
              </w:rPr>
            </w:pPr>
            <w:r>
              <w:rPr>
                <w:b/>
                <w:bCs/>
                <w:sz w:val="22"/>
                <w:szCs w:val="22"/>
                <w:lang w:val="de-DE"/>
              </w:rPr>
              <w:t>Adalimumab</w:t>
            </w:r>
            <w:r>
              <w:rPr>
                <w:b/>
                <w:bCs/>
                <w:sz w:val="22"/>
                <w:szCs w:val="22"/>
                <w:vertAlign w:val="superscript"/>
                <w:lang w:val="de-DE"/>
              </w:rPr>
              <w:t>a</w:t>
            </w:r>
          </w:p>
          <w:p w14:paraId="5ED12A32" w14:textId="77777777" w:rsidR="00FE291A" w:rsidRDefault="00C8738F">
            <w:pPr>
              <w:pStyle w:val="Default"/>
              <w:keepNext/>
              <w:suppressAutoHyphens/>
              <w:jc w:val="center"/>
              <w:rPr>
                <w:b/>
                <w:bCs/>
                <w:sz w:val="22"/>
                <w:szCs w:val="22"/>
                <w:lang w:val="de-DE"/>
              </w:rPr>
            </w:pPr>
            <w:r>
              <w:rPr>
                <w:b/>
                <w:bCs/>
                <w:sz w:val="22"/>
                <w:szCs w:val="22"/>
                <w:lang w:val="de-DE"/>
              </w:rPr>
              <w:t>Maximal 160 mg in Woche 0/</w:t>
            </w:r>
          </w:p>
          <w:p w14:paraId="194CA88B" w14:textId="77777777" w:rsidR="00FE291A" w:rsidRDefault="00C8738F">
            <w:pPr>
              <w:pStyle w:val="Default"/>
              <w:keepNext/>
              <w:suppressAutoHyphens/>
              <w:jc w:val="center"/>
              <w:rPr>
                <w:sz w:val="22"/>
                <w:szCs w:val="22"/>
                <w:lang w:val="de-DE"/>
              </w:rPr>
            </w:pPr>
            <w:r>
              <w:rPr>
                <w:b/>
                <w:bCs/>
                <w:sz w:val="22"/>
                <w:szCs w:val="22"/>
                <w:lang w:val="de-DE"/>
              </w:rPr>
              <w:t>Placebo in Woche 1</w:t>
            </w:r>
          </w:p>
          <w:p w14:paraId="2CEA90F3" w14:textId="77777777" w:rsidR="00FE291A" w:rsidRDefault="00C8738F">
            <w:pPr>
              <w:keepNext/>
              <w:suppressAutoHyphens/>
              <w:jc w:val="center"/>
              <w:rPr>
                <w:b/>
                <w:sz w:val="22"/>
                <w:szCs w:val="22"/>
                <w:lang w:val="de-DE" w:eastAsia="en-GB"/>
              </w:rPr>
            </w:pPr>
            <w:r>
              <w:rPr>
                <w:b/>
                <w:sz w:val="22"/>
                <w:szCs w:val="22"/>
                <w:lang w:val="de-DE"/>
              </w:rPr>
              <w:t xml:space="preserve">n = 30 </w:t>
            </w:r>
          </w:p>
        </w:tc>
        <w:tc>
          <w:tcPr>
            <w:tcW w:w="3021" w:type="dxa"/>
          </w:tcPr>
          <w:p w14:paraId="3DC77373" w14:textId="77777777" w:rsidR="00FE291A" w:rsidRDefault="00C8738F">
            <w:pPr>
              <w:pStyle w:val="Default"/>
              <w:keepNext/>
              <w:suppressAutoHyphens/>
              <w:jc w:val="center"/>
              <w:rPr>
                <w:sz w:val="22"/>
                <w:szCs w:val="22"/>
                <w:vertAlign w:val="superscript"/>
                <w:lang w:val="de-DE"/>
              </w:rPr>
            </w:pPr>
            <w:r>
              <w:rPr>
                <w:b/>
                <w:bCs/>
                <w:sz w:val="22"/>
                <w:szCs w:val="22"/>
                <w:lang w:val="de-DE"/>
              </w:rPr>
              <w:t>Adalimumab</w:t>
            </w:r>
            <w:r>
              <w:rPr>
                <w:b/>
                <w:bCs/>
                <w:sz w:val="22"/>
                <w:szCs w:val="22"/>
                <w:vertAlign w:val="superscript"/>
                <w:lang w:val="de-DE"/>
              </w:rPr>
              <w:t xml:space="preserve">b, c </w:t>
            </w:r>
          </w:p>
          <w:p w14:paraId="27A4CCF5" w14:textId="77777777" w:rsidR="00FE291A" w:rsidRDefault="00C8738F">
            <w:pPr>
              <w:pStyle w:val="Default"/>
              <w:keepNext/>
              <w:suppressAutoHyphens/>
              <w:jc w:val="center"/>
              <w:rPr>
                <w:sz w:val="22"/>
                <w:szCs w:val="22"/>
                <w:lang w:val="de-DE"/>
              </w:rPr>
            </w:pPr>
            <w:r>
              <w:rPr>
                <w:b/>
                <w:bCs/>
                <w:sz w:val="22"/>
                <w:szCs w:val="22"/>
                <w:lang w:val="de-DE"/>
              </w:rPr>
              <w:t>Maximal 160 mg in Woche 0 und Woche 1</w:t>
            </w:r>
          </w:p>
          <w:p w14:paraId="7857A619" w14:textId="77777777" w:rsidR="00FE291A" w:rsidRDefault="00C8738F">
            <w:pPr>
              <w:keepNext/>
              <w:suppressAutoHyphens/>
              <w:jc w:val="center"/>
              <w:rPr>
                <w:b/>
                <w:sz w:val="22"/>
                <w:szCs w:val="22"/>
                <w:lang w:val="de-DE" w:eastAsia="en-GB"/>
              </w:rPr>
            </w:pPr>
            <w:r>
              <w:rPr>
                <w:b/>
                <w:sz w:val="22"/>
                <w:szCs w:val="22"/>
                <w:lang w:val="de-DE"/>
              </w:rPr>
              <w:t xml:space="preserve">n = 47 </w:t>
            </w:r>
          </w:p>
        </w:tc>
      </w:tr>
      <w:tr w:rsidR="00FE291A" w14:paraId="0857D324" w14:textId="77777777">
        <w:trPr>
          <w:cantSplit/>
        </w:trPr>
        <w:tc>
          <w:tcPr>
            <w:tcW w:w="2912" w:type="dxa"/>
          </w:tcPr>
          <w:p w14:paraId="75AD804E" w14:textId="77777777" w:rsidR="00FE291A" w:rsidRDefault="00C8738F">
            <w:pPr>
              <w:pStyle w:val="Default"/>
              <w:keepNext/>
              <w:suppressAutoHyphens/>
              <w:rPr>
                <w:sz w:val="22"/>
                <w:szCs w:val="22"/>
                <w:lang w:val="de-DE" w:eastAsia="en-GB"/>
              </w:rPr>
            </w:pPr>
            <w:r>
              <w:rPr>
                <w:sz w:val="22"/>
                <w:szCs w:val="22"/>
                <w:lang w:val="de-DE"/>
              </w:rPr>
              <w:t>Klinische Remission nach PUCAI</w:t>
            </w:r>
          </w:p>
        </w:tc>
        <w:tc>
          <w:tcPr>
            <w:tcW w:w="3020" w:type="dxa"/>
          </w:tcPr>
          <w:p w14:paraId="1C202993" w14:textId="77777777" w:rsidR="00FE291A" w:rsidRDefault="00C8738F">
            <w:pPr>
              <w:keepNext/>
              <w:suppressAutoHyphens/>
              <w:jc w:val="center"/>
              <w:rPr>
                <w:sz w:val="22"/>
                <w:szCs w:val="22"/>
                <w:lang w:val="de-DE" w:eastAsia="en-GB"/>
              </w:rPr>
            </w:pPr>
            <w:r>
              <w:rPr>
                <w:sz w:val="22"/>
                <w:szCs w:val="22"/>
                <w:lang w:val="de-DE" w:eastAsia="en-GB"/>
              </w:rPr>
              <w:t>10/30 (33,3 %)</w:t>
            </w:r>
          </w:p>
        </w:tc>
        <w:tc>
          <w:tcPr>
            <w:tcW w:w="3021" w:type="dxa"/>
          </w:tcPr>
          <w:p w14:paraId="18E79BFC" w14:textId="77777777" w:rsidR="00FE291A" w:rsidRDefault="00C8738F">
            <w:pPr>
              <w:keepNext/>
              <w:suppressAutoHyphens/>
              <w:jc w:val="center"/>
              <w:rPr>
                <w:sz w:val="22"/>
                <w:szCs w:val="22"/>
                <w:lang w:val="de-DE" w:eastAsia="en-GB"/>
              </w:rPr>
            </w:pPr>
            <w:r>
              <w:rPr>
                <w:sz w:val="22"/>
                <w:szCs w:val="22"/>
                <w:lang w:val="de-DE" w:eastAsia="en-GB"/>
              </w:rPr>
              <w:t>22/47 (46,8 %)</w:t>
            </w:r>
          </w:p>
        </w:tc>
      </w:tr>
      <w:tr w:rsidR="00FE291A" w14:paraId="1C5C9D3F" w14:textId="77777777">
        <w:trPr>
          <w:cantSplit/>
        </w:trPr>
        <w:tc>
          <w:tcPr>
            <w:tcW w:w="2912" w:type="dxa"/>
          </w:tcPr>
          <w:p w14:paraId="2C4BAF39" w14:textId="77777777" w:rsidR="00FE291A" w:rsidRDefault="00C8738F">
            <w:pPr>
              <w:pStyle w:val="Default"/>
              <w:suppressAutoHyphens/>
              <w:rPr>
                <w:sz w:val="22"/>
                <w:szCs w:val="22"/>
                <w:lang w:val="de-DE" w:eastAsia="en-GB"/>
              </w:rPr>
            </w:pPr>
            <w:r>
              <w:rPr>
                <w:sz w:val="22"/>
                <w:szCs w:val="22"/>
                <w:lang w:val="de-DE"/>
              </w:rPr>
              <w:t>Klinisches Ansprechen nach PUCAI</w:t>
            </w:r>
          </w:p>
        </w:tc>
        <w:tc>
          <w:tcPr>
            <w:tcW w:w="3020" w:type="dxa"/>
          </w:tcPr>
          <w:p w14:paraId="6E8DD873" w14:textId="77777777" w:rsidR="00FE291A" w:rsidRDefault="00C8738F">
            <w:pPr>
              <w:suppressAutoHyphens/>
              <w:jc w:val="center"/>
              <w:rPr>
                <w:sz w:val="22"/>
                <w:szCs w:val="22"/>
                <w:lang w:val="de-DE" w:eastAsia="en-GB"/>
              </w:rPr>
            </w:pPr>
            <w:r>
              <w:rPr>
                <w:sz w:val="22"/>
                <w:szCs w:val="22"/>
                <w:lang w:val="de-DE" w:eastAsia="en-GB"/>
              </w:rPr>
              <w:t>15/30 (50,0 %)</w:t>
            </w:r>
          </w:p>
        </w:tc>
        <w:tc>
          <w:tcPr>
            <w:tcW w:w="3021" w:type="dxa"/>
          </w:tcPr>
          <w:p w14:paraId="52B59D33" w14:textId="77777777" w:rsidR="00FE291A" w:rsidRDefault="00C8738F">
            <w:pPr>
              <w:suppressAutoHyphens/>
              <w:jc w:val="center"/>
              <w:rPr>
                <w:sz w:val="22"/>
                <w:szCs w:val="22"/>
                <w:lang w:val="de-DE" w:eastAsia="en-GB"/>
              </w:rPr>
            </w:pPr>
            <w:r>
              <w:rPr>
                <w:sz w:val="22"/>
                <w:szCs w:val="22"/>
                <w:lang w:val="de-DE" w:eastAsia="en-GB"/>
              </w:rPr>
              <w:t>32/47 (68,1 %)</w:t>
            </w:r>
          </w:p>
        </w:tc>
      </w:tr>
      <w:tr w:rsidR="00FE291A" w14:paraId="6B42CBA4" w14:textId="77777777">
        <w:trPr>
          <w:cantSplit/>
        </w:trPr>
        <w:tc>
          <w:tcPr>
            <w:tcW w:w="2912" w:type="dxa"/>
          </w:tcPr>
          <w:p w14:paraId="28094D0F" w14:textId="77777777" w:rsidR="00FE291A" w:rsidRDefault="00FE291A">
            <w:pPr>
              <w:keepNext/>
              <w:suppressAutoHyphens/>
              <w:rPr>
                <w:sz w:val="22"/>
                <w:szCs w:val="22"/>
                <w:lang w:val="de-DE" w:eastAsia="en-GB"/>
              </w:rPr>
            </w:pPr>
          </w:p>
        </w:tc>
        <w:tc>
          <w:tcPr>
            <w:tcW w:w="6041" w:type="dxa"/>
            <w:gridSpan w:val="2"/>
          </w:tcPr>
          <w:p w14:paraId="07DE03C2" w14:textId="77777777" w:rsidR="00FE291A" w:rsidRDefault="00C8738F">
            <w:pPr>
              <w:keepNext/>
              <w:suppressAutoHyphens/>
              <w:jc w:val="center"/>
              <w:rPr>
                <w:sz w:val="22"/>
                <w:szCs w:val="22"/>
                <w:lang w:val="de-DE" w:eastAsia="en-GB"/>
              </w:rPr>
            </w:pPr>
            <w:r>
              <w:rPr>
                <w:b/>
                <w:bCs/>
                <w:sz w:val="22"/>
                <w:szCs w:val="22"/>
                <w:lang w:val="de-DE"/>
              </w:rPr>
              <w:t>Woche 52</w:t>
            </w:r>
          </w:p>
        </w:tc>
      </w:tr>
      <w:tr w:rsidR="00FE291A" w:rsidRPr="002E6CD3" w14:paraId="720141A3" w14:textId="77777777">
        <w:trPr>
          <w:cantSplit/>
        </w:trPr>
        <w:tc>
          <w:tcPr>
            <w:tcW w:w="2912" w:type="dxa"/>
          </w:tcPr>
          <w:p w14:paraId="7C8B4C2F" w14:textId="77777777" w:rsidR="00FE291A" w:rsidRDefault="00FE291A">
            <w:pPr>
              <w:suppressAutoHyphens/>
              <w:rPr>
                <w:sz w:val="22"/>
                <w:szCs w:val="22"/>
                <w:lang w:val="de-DE" w:eastAsia="en-GB"/>
              </w:rPr>
            </w:pPr>
          </w:p>
        </w:tc>
        <w:tc>
          <w:tcPr>
            <w:tcW w:w="3020" w:type="dxa"/>
          </w:tcPr>
          <w:p w14:paraId="06F69FCA" w14:textId="77777777" w:rsidR="00FE291A" w:rsidRDefault="00C8738F">
            <w:pPr>
              <w:pStyle w:val="Default"/>
              <w:suppressAutoHyphens/>
              <w:jc w:val="center"/>
              <w:rPr>
                <w:sz w:val="22"/>
                <w:szCs w:val="22"/>
                <w:lang w:val="de-DE"/>
              </w:rPr>
            </w:pPr>
            <w:r>
              <w:rPr>
                <w:b/>
                <w:bCs/>
                <w:sz w:val="22"/>
                <w:szCs w:val="22"/>
                <w:lang w:val="de-DE"/>
              </w:rPr>
              <w:t>Adalimumab</w:t>
            </w:r>
            <w:r>
              <w:rPr>
                <w:b/>
                <w:bCs/>
                <w:sz w:val="22"/>
                <w:szCs w:val="22"/>
                <w:vertAlign w:val="superscript"/>
                <w:lang w:val="de-DE"/>
              </w:rPr>
              <w:t>d</w:t>
            </w:r>
          </w:p>
          <w:p w14:paraId="3E5CAD79" w14:textId="77777777" w:rsidR="00FE291A" w:rsidRDefault="00C8738F">
            <w:pPr>
              <w:pStyle w:val="Default"/>
              <w:suppressAutoHyphens/>
              <w:jc w:val="center"/>
              <w:rPr>
                <w:sz w:val="22"/>
                <w:szCs w:val="22"/>
                <w:lang w:val="de-DE"/>
              </w:rPr>
            </w:pPr>
            <w:r>
              <w:rPr>
                <w:b/>
                <w:bCs/>
                <w:sz w:val="22"/>
                <w:szCs w:val="22"/>
                <w:lang w:val="de-DE"/>
              </w:rPr>
              <w:t>Maximal 40 mg jede zweite Woche</w:t>
            </w:r>
          </w:p>
          <w:p w14:paraId="0477D16E" w14:textId="77777777" w:rsidR="00FE291A" w:rsidRDefault="00C8738F">
            <w:pPr>
              <w:suppressAutoHyphens/>
              <w:jc w:val="center"/>
              <w:rPr>
                <w:b/>
                <w:sz w:val="22"/>
                <w:szCs w:val="22"/>
                <w:lang w:val="de-DE" w:eastAsia="en-GB"/>
              </w:rPr>
            </w:pPr>
            <w:r>
              <w:rPr>
                <w:b/>
                <w:sz w:val="22"/>
                <w:szCs w:val="22"/>
                <w:lang w:val="de-DE"/>
              </w:rPr>
              <w:t>n = 31</w:t>
            </w:r>
          </w:p>
        </w:tc>
        <w:tc>
          <w:tcPr>
            <w:tcW w:w="3021" w:type="dxa"/>
          </w:tcPr>
          <w:p w14:paraId="03AA0D9B" w14:textId="77777777" w:rsidR="00FE291A" w:rsidRDefault="00C8738F">
            <w:pPr>
              <w:pStyle w:val="Default"/>
              <w:suppressAutoHyphens/>
              <w:jc w:val="center"/>
              <w:rPr>
                <w:sz w:val="22"/>
                <w:szCs w:val="22"/>
                <w:lang w:val="de-DE"/>
              </w:rPr>
            </w:pPr>
            <w:r>
              <w:rPr>
                <w:b/>
                <w:bCs/>
                <w:sz w:val="22"/>
                <w:szCs w:val="22"/>
                <w:lang w:val="de-DE"/>
              </w:rPr>
              <w:t>Adalimumab</w:t>
            </w:r>
            <w:r>
              <w:rPr>
                <w:b/>
                <w:bCs/>
                <w:sz w:val="22"/>
                <w:szCs w:val="22"/>
                <w:vertAlign w:val="superscript"/>
                <w:lang w:val="de-DE"/>
              </w:rPr>
              <w:t>e</w:t>
            </w:r>
            <w:r>
              <w:rPr>
                <w:b/>
                <w:bCs/>
                <w:sz w:val="22"/>
                <w:szCs w:val="22"/>
                <w:lang w:val="de-DE"/>
              </w:rPr>
              <w:t xml:space="preserve"> </w:t>
            </w:r>
          </w:p>
          <w:p w14:paraId="2DD89FF8" w14:textId="77777777" w:rsidR="00FE291A" w:rsidRDefault="00C8738F">
            <w:pPr>
              <w:pStyle w:val="Default"/>
              <w:suppressAutoHyphens/>
              <w:jc w:val="center"/>
              <w:rPr>
                <w:sz w:val="22"/>
                <w:szCs w:val="22"/>
                <w:lang w:val="de-DE"/>
              </w:rPr>
            </w:pPr>
            <w:r>
              <w:rPr>
                <w:b/>
                <w:bCs/>
                <w:sz w:val="22"/>
                <w:szCs w:val="22"/>
                <w:lang w:val="de-DE"/>
              </w:rPr>
              <w:t xml:space="preserve">Maximal 40 mg wöchentlich </w:t>
            </w:r>
          </w:p>
          <w:p w14:paraId="6A7DAA75" w14:textId="77777777" w:rsidR="00FE291A" w:rsidRDefault="00C8738F">
            <w:pPr>
              <w:suppressAutoHyphens/>
              <w:jc w:val="center"/>
              <w:rPr>
                <w:b/>
                <w:sz w:val="22"/>
                <w:szCs w:val="22"/>
                <w:lang w:val="de-DE" w:eastAsia="en-GB"/>
              </w:rPr>
            </w:pPr>
            <w:r>
              <w:rPr>
                <w:b/>
                <w:sz w:val="22"/>
                <w:szCs w:val="22"/>
                <w:lang w:val="de-DE"/>
              </w:rPr>
              <w:t>n = 31</w:t>
            </w:r>
          </w:p>
        </w:tc>
      </w:tr>
      <w:tr w:rsidR="00FE291A" w14:paraId="2DD1BDB6" w14:textId="77777777">
        <w:trPr>
          <w:cantSplit/>
        </w:trPr>
        <w:tc>
          <w:tcPr>
            <w:tcW w:w="2912" w:type="dxa"/>
          </w:tcPr>
          <w:p w14:paraId="35400313" w14:textId="77777777" w:rsidR="00FE291A" w:rsidRDefault="00C8738F">
            <w:pPr>
              <w:pStyle w:val="Default"/>
              <w:suppressAutoHyphens/>
              <w:rPr>
                <w:sz w:val="22"/>
                <w:szCs w:val="22"/>
                <w:lang w:val="de-DE" w:eastAsia="en-GB"/>
              </w:rPr>
            </w:pPr>
            <w:r>
              <w:rPr>
                <w:sz w:val="22"/>
                <w:szCs w:val="22"/>
                <w:lang w:val="de-DE"/>
              </w:rPr>
              <w:t>Klinische Remission nach PUCAI bei PMS-</w:t>
            </w:r>
            <w:r>
              <w:rPr>
                <w:i/>
                <w:iCs/>
                <w:sz w:val="22"/>
                <w:szCs w:val="22"/>
                <w:lang w:val="de-DE"/>
              </w:rPr>
              <w:t>Respondern</w:t>
            </w:r>
            <w:r>
              <w:rPr>
                <w:sz w:val="22"/>
                <w:szCs w:val="22"/>
                <w:lang w:val="de-DE"/>
              </w:rPr>
              <w:t xml:space="preserve"> in Woche 8</w:t>
            </w:r>
          </w:p>
        </w:tc>
        <w:tc>
          <w:tcPr>
            <w:tcW w:w="3020" w:type="dxa"/>
          </w:tcPr>
          <w:p w14:paraId="73C2C94A" w14:textId="77777777" w:rsidR="00FE291A" w:rsidRDefault="00C8738F">
            <w:pPr>
              <w:suppressAutoHyphens/>
              <w:jc w:val="center"/>
              <w:rPr>
                <w:sz w:val="22"/>
                <w:szCs w:val="22"/>
                <w:lang w:val="de-DE" w:eastAsia="en-GB"/>
              </w:rPr>
            </w:pPr>
            <w:r>
              <w:rPr>
                <w:sz w:val="22"/>
                <w:szCs w:val="22"/>
                <w:lang w:val="de-DE" w:eastAsia="en-GB"/>
              </w:rPr>
              <w:t>14/31 (45,2 %)</w:t>
            </w:r>
          </w:p>
        </w:tc>
        <w:tc>
          <w:tcPr>
            <w:tcW w:w="3021" w:type="dxa"/>
          </w:tcPr>
          <w:p w14:paraId="12B11079" w14:textId="77777777" w:rsidR="00FE291A" w:rsidRDefault="00C8738F">
            <w:pPr>
              <w:suppressAutoHyphens/>
              <w:jc w:val="center"/>
              <w:rPr>
                <w:sz w:val="22"/>
                <w:szCs w:val="22"/>
                <w:lang w:val="de-DE" w:eastAsia="en-GB"/>
              </w:rPr>
            </w:pPr>
            <w:r>
              <w:rPr>
                <w:sz w:val="22"/>
                <w:szCs w:val="22"/>
                <w:lang w:val="de-DE" w:eastAsia="en-GB"/>
              </w:rPr>
              <w:t>18/31 (58,1 %)</w:t>
            </w:r>
          </w:p>
        </w:tc>
      </w:tr>
      <w:tr w:rsidR="00FE291A" w14:paraId="12FC9AE0" w14:textId="77777777">
        <w:trPr>
          <w:cantSplit/>
        </w:trPr>
        <w:tc>
          <w:tcPr>
            <w:tcW w:w="2912" w:type="dxa"/>
          </w:tcPr>
          <w:p w14:paraId="6267BB18" w14:textId="77777777" w:rsidR="00FE291A" w:rsidRDefault="00C8738F">
            <w:pPr>
              <w:pStyle w:val="Default"/>
              <w:suppressAutoHyphens/>
              <w:rPr>
                <w:sz w:val="22"/>
                <w:szCs w:val="22"/>
                <w:lang w:val="de-DE" w:eastAsia="en-GB"/>
              </w:rPr>
            </w:pPr>
            <w:r>
              <w:rPr>
                <w:sz w:val="22"/>
                <w:szCs w:val="22"/>
                <w:lang w:val="de-DE"/>
              </w:rPr>
              <w:t>Klinisches Ansprechen nach PUCAI bei PMS-</w:t>
            </w:r>
            <w:r>
              <w:rPr>
                <w:i/>
                <w:iCs/>
                <w:sz w:val="22"/>
                <w:szCs w:val="22"/>
                <w:lang w:val="de-DE"/>
              </w:rPr>
              <w:t>Respondern</w:t>
            </w:r>
            <w:r>
              <w:rPr>
                <w:sz w:val="22"/>
                <w:szCs w:val="22"/>
                <w:lang w:val="de-DE"/>
              </w:rPr>
              <w:t xml:space="preserve"> in Woche 8</w:t>
            </w:r>
          </w:p>
        </w:tc>
        <w:tc>
          <w:tcPr>
            <w:tcW w:w="3020" w:type="dxa"/>
          </w:tcPr>
          <w:p w14:paraId="4081689A" w14:textId="77777777" w:rsidR="00FE291A" w:rsidRDefault="00C8738F">
            <w:pPr>
              <w:suppressAutoHyphens/>
              <w:jc w:val="center"/>
              <w:rPr>
                <w:sz w:val="22"/>
                <w:szCs w:val="22"/>
                <w:lang w:val="de-DE" w:eastAsia="en-GB"/>
              </w:rPr>
            </w:pPr>
            <w:r>
              <w:rPr>
                <w:sz w:val="22"/>
                <w:szCs w:val="22"/>
                <w:lang w:val="de-DE" w:eastAsia="en-GB"/>
              </w:rPr>
              <w:t>18/31 (58,1 %)</w:t>
            </w:r>
          </w:p>
        </w:tc>
        <w:tc>
          <w:tcPr>
            <w:tcW w:w="3021" w:type="dxa"/>
          </w:tcPr>
          <w:p w14:paraId="3F96B077" w14:textId="77777777" w:rsidR="00FE291A" w:rsidRDefault="00C8738F">
            <w:pPr>
              <w:suppressAutoHyphens/>
              <w:jc w:val="center"/>
              <w:rPr>
                <w:sz w:val="22"/>
                <w:szCs w:val="22"/>
                <w:lang w:val="de-DE" w:eastAsia="en-GB"/>
              </w:rPr>
            </w:pPr>
            <w:r>
              <w:rPr>
                <w:sz w:val="22"/>
                <w:szCs w:val="22"/>
                <w:lang w:val="de-DE" w:eastAsia="en-GB"/>
              </w:rPr>
              <w:t>16/31 (51,6 %)</w:t>
            </w:r>
          </w:p>
        </w:tc>
      </w:tr>
      <w:tr w:rsidR="00FE291A" w:rsidRPr="002E6CD3" w14:paraId="0063AB2C" w14:textId="77777777">
        <w:trPr>
          <w:cantSplit/>
        </w:trPr>
        <w:tc>
          <w:tcPr>
            <w:tcW w:w="8953" w:type="dxa"/>
            <w:gridSpan w:val="3"/>
          </w:tcPr>
          <w:p w14:paraId="7FCE4E73" w14:textId="77777777" w:rsidR="00FE291A" w:rsidRDefault="00C8738F">
            <w:pPr>
              <w:suppressAutoHyphens/>
              <w:rPr>
                <w:sz w:val="20"/>
                <w:szCs w:val="20"/>
                <w:lang w:val="de-DE" w:eastAsia="en-GB"/>
              </w:rPr>
            </w:pPr>
            <w:r>
              <w:rPr>
                <w:sz w:val="20"/>
                <w:szCs w:val="20"/>
                <w:vertAlign w:val="superscript"/>
                <w:lang w:val="de-DE" w:eastAsia="en-GB"/>
              </w:rPr>
              <w:t>a</w:t>
            </w:r>
            <w:r>
              <w:rPr>
                <w:sz w:val="20"/>
                <w:szCs w:val="20"/>
                <w:lang w:val="de-DE" w:eastAsia="en-GB"/>
              </w:rPr>
              <w:t xml:space="preserve"> </w:t>
            </w:r>
            <w:r>
              <w:rPr>
                <w:sz w:val="20"/>
                <w:szCs w:val="20"/>
                <w:lang w:val="de-DE"/>
              </w:rPr>
              <w:t>Adalimumab 2,4 mg/kg (maximal 160 mg) in Woche 0, Placebo in Woche 1 und 1,2 mg/kg (maximal 80 mg) in Woche 2</w:t>
            </w:r>
          </w:p>
          <w:p w14:paraId="28A49222" w14:textId="77777777" w:rsidR="00FE291A" w:rsidRDefault="00C8738F">
            <w:pPr>
              <w:suppressAutoHyphens/>
              <w:rPr>
                <w:sz w:val="20"/>
                <w:szCs w:val="20"/>
                <w:lang w:val="de-DE" w:eastAsia="en-GB"/>
              </w:rPr>
            </w:pPr>
            <w:r>
              <w:rPr>
                <w:sz w:val="20"/>
                <w:szCs w:val="20"/>
                <w:vertAlign w:val="superscript"/>
                <w:lang w:val="de-DE" w:eastAsia="en-GB"/>
              </w:rPr>
              <w:t>b</w:t>
            </w:r>
            <w:r>
              <w:rPr>
                <w:sz w:val="20"/>
                <w:szCs w:val="20"/>
                <w:lang w:val="de-DE" w:eastAsia="en-GB"/>
              </w:rPr>
              <w:t xml:space="preserve"> </w:t>
            </w:r>
            <w:r>
              <w:rPr>
                <w:sz w:val="20"/>
                <w:szCs w:val="20"/>
                <w:lang w:val="de-DE"/>
              </w:rPr>
              <w:t>Adalimumab 2,4 mg/kg (maximal 160 mg) in Woche 0 und Woche 1 und 1,2 mg/kg (maximal 80 mg) in Woche 2</w:t>
            </w:r>
          </w:p>
          <w:p w14:paraId="4C86DBAC" w14:textId="77777777" w:rsidR="00FE291A" w:rsidRDefault="00C8738F">
            <w:pPr>
              <w:suppressAutoHyphens/>
              <w:rPr>
                <w:sz w:val="20"/>
                <w:szCs w:val="20"/>
                <w:lang w:val="de-DE"/>
              </w:rPr>
            </w:pPr>
            <w:r>
              <w:rPr>
                <w:sz w:val="20"/>
                <w:szCs w:val="20"/>
                <w:vertAlign w:val="superscript"/>
                <w:lang w:val="de-DE" w:eastAsia="en-GB"/>
              </w:rPr>
              <w:t>c</w:t>
            </w:r>
            <w:r>
              <w:rPr>
                <w:sz w:val="20"/>
                <w:szCs w:val="20"/>
                <w:lang w:val="de-DE" w:eastAsia="en-GB"/>
              </w:rPr>
              <w:t xml:space="preserve"> </w:t>
            </w:r>
            <w:r>
              <w:rPr>
                <w:sz w:val="20"/>
                <w:szCs w:val="20"/>
                <w:lang w:val="de-DE"/>
              </w:rPr>
              <w:t xml:space="preserve">Ohne Patienten unter offener Adalimumab-Induktionsdosis von 2,4 mg/kg (maximal 160 mg) in </w:t>
            </w:r>
          </w:p>
          <w:p w14:paraId="6CA62D99" w14:textId="77777777" w:rsidR="00FE291A" w:rsidRDefault="00C8738F">
            <w:pPr>
              <w:suppressAutoHyphens/>
              <w:rPr>
                <w:sz w:val="20"/>
                <w:szCs w:val="20"/>
                <w:lang w:val="de-DE" w:eastAsia="en-GB"/>
              </w:rPr>
            </w:pPr>
            <w:r>
              <w:rPr>
                <w:sz w:val="20"/>
                <w:szCs w:val="20"/>
                <w:lang w:val="de-DE"/>
              </w:rPr>
              <w:t>Woche 0 und Woche 1 und 1,2 mg/kg (maximal 80 mg) in Woche 2</w:t>
            </w:r>
          </w:p>
          <w:p w14:paraId="3E3037CD" w14:textId="77777777" w:rsidR="00FE291A" w:rsidRDefault="00C8738F">
            <w:pPr>
              <w:suppressAutoHyphens/>
              <w:rPr>
                <w:sz w:val="20"/>
                <w:szCs w:val="20"/>
                <w:lang w:val="de-DE" w:eastAsia="en-GB"/>
              </w:rPr>
            </w:pPr>
            <w:r>
              <w:rPr>
                <w:sz w:val="20"/>
                <w:szCs w:val="20"/>
                <w:vertAlign w:val="superscript"/>
                <w:lang w:val="de-DE" w:eastAsia="en-GB"/>
              </w:rPr>
              <w:t>d</w:t>
            </w:r>
            <w:r>
              <w:rPr>
                <w:sz w:val="20"/>
                <w:szCs w:val="20"/>
                <w:lang w:val="de-DE" w:eastAsia="en-GB"/>
              </w:rPr>
              <w:t xml:space="preserve"> </w:t>
            </w:r>
            <w:r>
              <w:rPr>
                <w:sz w:val="20"/>
                <w:szCs w:val="20"/>
                <w:lang w:val="de-DE"/>
              </w:rPr>
              <w:t>Adalimumab 0,6 mg/kg (maximal 40 mg) jede zweite Woche</w:t>
            </w:r>
          </w:p>
          <w:p w14:paraId="5AD978A1" w14:textId="77777777" w:rsidR="00FE291A" w:rsidRDefault="00C8738F">
            <w:pPr>
              <w:suppressAutoHyphens/>
              <w:rPr>
                <w:sz w:val="20"/>
                <w:szCs w:val="20"/>
                <w:lang w:val="de-DE" w:eastAsia="en-GB"/>
              </w:rPr>
            </w:pPr>
            <w:r>
              <w:rPr>
                <w:sz w:val="20"/>
                <w:szCs w:val="20"/>
                <w:vertAlign w:val="superscript"/>
                <w:lang w:val="de-DE" w:eastAsia="en-GB"/>
              </w:rPr>
              <w:t>e</w:t>
            </w:r>
            <w:r>
              <w:rPr>
                <w:sz w:val="20"/>
                <w:szCs w:val="20"/>
                <w:lang w:val="de-DE" w:eastAsia="en-GB"/>
              </w:rPr>
              <w:t xml:space="preserve"> </w:t>
            </w:r>
            <w:r>
              <w:rPr>
                <w:sz w:val="20"/>
                <w:szCs w:val="20"/>
                <w:lang w:val="de-DE"/>
              </w:rPr>
              <w:t xml:space="preserve">Adalimumab 0,6 mg/kg (maximal 40 mg) wöchentlich </w:t>
            </w:r>
          </w:p>
          <w:p w14:paraId="63F5AB6D" w14:textId="77777777" w:rsidR="00FE291A" w:rsidRDefault="00C8738F">
            <w:pPr>
              <w:pStyle w:val="Default"/>
              <w:suppressAutoHyphens/>
              <w:rPr>
                <w:sz w:val="20"/>
                <w:szCs w:val="20"/>
                <w:lang w:val="de-DE"/>
              </w:rPr>
            </w:pPr>
            <w:r>
              <w:rPr>
                <w:sz w:val="20"/>
                <w:szCs w:val="20"/>
                <w:lang w:val="de-DE"/>
              </w:rPr>
              <w:t xml:space="preserve">Hinweis 1: Beide Behandlungsarme mit Induktionsphase erhielten 0,6 mg/kg (maximal 40 mg) in Woche 4 und Woche 6. </w:t>
            </w:r>
          </w:p>
          <w:p w14:paraId="62BE66DD" w14:textId="77777777" w:rsidR="00FE291A" w:rsidRDefault="00C8738F">
            <w:pPr>
              <w:pStyle w:val="Default"/>
              <w:keepNext/>
              <w:suppressAutoHyphens/>
              <w:rPr>
                <w:sz w:val="20"/>
                <w:szCs w:val="20"/>
                <w:lang w:val="de-DE"/>
              </w:rPr>
            </w:pPr>
            <w:r>
              <w:rPr>
                <w:sz w:val="20"/>
                <w:szCs w:val="20"/>
                <w:lang w:val="de-DE"/>
              </w:rPr>
              <w:t xml:space="preserve">Hinweis 2: Patienten mit fehlenden Werten in Woche 8 wurden als Patienten gewertet, die die Endpunkte nicht erreichten. </w:t>
            </w:r>
          </w:p>
          <w:p w14:paraId="3D7D0633" w14:textId="77777777" w:rsidR="00FE291A" w:rsidRDefault="00C8738F">
            <w:pPr>
              <w:pStyle w:val="BodyText"/>
              <w:widowControl/>
              <w:suppressAutoHyphens/>
              <w:kinsoku w:val="0"/>
              <w:overflowPunct w:val="0"/>
              <w:ind w:left="0"/>
              <w:rPr>
                <w:lang w:val="de-DE" w:eastAsia="en-GB"/>
              </w:rPr>
            </w:pPr>
            <w:r>
              <w:rPr>
                <w:sz w:val="20"/>
                <w:szCs w:val="20"/>
                <w:lang w:val="de-DE"/>
              </w:rPr>
              <w:t xml:space="preserve">Hinweis 3: Patienten mit fehlenden Werten in Woche 52 oder die randomisiert einer erneuten Induktionstherapie oder der Erhaltungstherapie zugeteilt wurden, wurden hinsichtlich der Endpunkte in Woche 52 als </w:t>
            </w:r>
            <w:r>
              <w:rPr>
                <w:i/>
                <w:iCs/>
                <w:sz w:val="20"/>
                <w:szCs w:val="20"/>
                <w:lang w:val="de-DE"/>
              </w:rPr>
              <w:t>Non-Responder</w:t>
            </w:r>
            <w:r>
              <w:rPr>
                <w:sz w:val="20"/>
                <w:szCs w:val="20"/>
                <w:lang w:val="de-DE"/>
              </w:rPr>
              <w:t xml:space="preserve"> gewertet.</w:t>
            </w:r>
          </w:p>
        </w:tc>
      </w:tr>
    </w:tbl>
    <w:p w14:paraId="0AAA65E5" w14:textId="77777777" w:rsidR="00FE291A" w:rsidRDefault="00FE291A">
      <w:pPr>
        <w:pStyle w:val="BodyText"/>
        <w:widowControl/>
        <w:kinsoku w:val="0"/>
        <w:overflowPunct w:val="0"/>
        <w:ind w:left="0"/>
        <w:rPr>
          <w:lang w:val="de-DE"/>
        </w:rPr>
      </w:pPr>
    </w:p>
    <w:p w14:paraId="4613AA6E" w14:textId="77777777" w:rsidR="00FE291A" w:rsidRDefault="00C8738F">
      <w:pPr>
        <w:widowControl/>
        <w:rPr>
          <w:color w:val="000000"/>
          <w:sz w:val="22"/>
          <w:szCs w:val="22"/>
          <w:lang w:val="de-DE"/>
        </w:rPr>
      </w:pPr>
      <w:r>
        <w:rPr>
          <w:color w:val="000000"/>
          <w:sz w:val="22"/>
          <w:szCs w:val="22"/>
          <w:lang w:val="de-DE"/>
        </w:rPr>
        <w:t xml:space="preserve">Von den mit Adalimumab behandelten Patienten, die während der Erhaltungsphase eine erneute Induktionstherapie erhielten, erreichten 2 von 6 (33 %) in Woche 52 ein klinisches Ansprechen nach FMS. </w:t>
      </w:r>
    </w:p>
    <w:p w14:paraId="7B7E1491" w14:textId="77777777" w:rsidR="00FE291A" w:rsidRDefault="00FE291A">
      <w:pPr>
        <w:widowControl/>
        <w:rPr>
          <w:color w:val="000000"/>
          <w:sz w:val="22"/>
          <w:szCs w:val="22"/>
          <w:lang w:val="de-DE"/>
        </w:rPr>
      </w:pPr>
    </w:p>
    <w:p w14:paraId="2EE7EEB2" w14:textId="77777777" w:rsidR="00FE291A" w:rsidRDefault="00C8738F">
      <w:pPr>
        <w:keepNext/>
        <w:widowControl/>
        <w:rPr>
          <w:i/>
          <w:iCs/>
          <w:color w:val="000000"/>
          <w:sz w:val="22"/>
          <w:szCs w:val="22"/>
          <w:u w:val="single"/>
          <w:lang w:val="de-DE"/>
        </w:rPr>
      </w:pPr>
      <w:r>
        <w:rPr>
          <w:i/>
          <w:iCs/>
          <w:color w:val="000000"/>
          <w:sz w:val="22"/>
          <w:szCs w:val="22"/>
          <w:u w:val="single"/>
          <w:lang w:val="de-DE"/>
        </w:rPr>
        <w:t xml:space="preserve">Lebensqualität </w:t>
      </w:r>
    </w:p>
    <w:p w14:paraId="12BCEB6C" w14:textId="77777777" w:rsidR="00FE291A" w:rsidRDefault="00FE291A">
      <w:pPr>
        <w:keepNext/>
        <w:widowControl/>
        <w:rPr>
          <w:color w:val="000000"/>
          <w:sz w:val="22"/>
          <w:szCs w:val="22"/>
          <w:lang w:val="de-DE"/>
        </w:rPr>
      </w:pPr>
    </w:p>
    <w:p w14:paraId="74A05005" w14:textId="77777777" w:rsidR="00FE291A" w:rsidRDefault="00C8738F">
      <w:pPr>
        <w:widowControl/>
        <w:rPr>
          <w:color w:val="000000"/>
          <w:sz w:val="22"/>
          <w:szCs w:val="22"/>
          <w:lang w:val="de-DE"/>
        </w:rPr>
      </w:pPr>
      <w:r>
        <w:rPr>
          <w:color w:val="000000"/>
          <w:sz w:val="22"/>
          <w:szCs w:val="22"/>
          <w:lang w:val="de-DE"/>
        </w:rPr>
        <w:t xml:space="preserve">In den mit Adalimumab behandelten Behandlungsarmen wurden bei den </w:t>
      </w:r>
      <w:r>
        <w:rPr>
          <w:i/>
          <w:iCs/>
          <w:color w:val="000000"/>
          <w:sz w:val="22"/>
          <w:szCs w:val="22"/>
          <w:lang w:val="de-DE"/>
        </w:rPr>
        <w:t>Scores</w:t>
      </w:r>
      <w:r>
        <w:rPr>
          <w:color w:val="000000"/>
          <w:sz w:val="22"/>
          <w:szCs w:val="22"/>
          <w:lang w:val="de-DE"/>
        </w:rPr>
        <w:t xml:space="preserve"> zu IMPACT-III und WPAI (</w:t>
      </w:r>
      <w:r>
        <w:rPr>
          <w:i/>
          <w:iCs/>
          <w:color w:val="000000"/>
          <w:sz w:val="22"/>
          <w:szCs w:val="22"/>
          <w:lang w:val="de-DE"/>
        </w:rPr>
        <w:t>Work Productivity and Activity Impairment</w:t>
      </w:r>
      <w:r>
        <w:rPr>
          <w:color w:val="000000"/>
          <w:sz w:val="22"/>
          <w:szCs w:val="22"/>
          <w:lang w:val="de-DE"/>
        </w:rPr>
        <w:t xml:space="preserve">) der betreuenden Personen klinisch bedeutsame Verbesserungen gegenüber </w:t>
      </w:r>
      <w:r>
        <w:rPr>
          <w:i/>
          <w:iCs/>
          <w:color w:val="000000"/>
          <w:sz w:val="22"/>
          <w:szCs w:val="22"/>
          <w:lang w:val="de-DE"/>
        </w:rPr>
        <w:t>Baseline</w:t>
      </w:r>
      <w:r>
        <w:rPr>
          <w:color w:val="000000"/>
          <w:sz w:val="22"/>
          <w:szCs w:val="22"/>
          <w:lang w:val="de-DE"/>
        </w:rPr>
        <w:t xml:space="preserve"> beobachtet. </w:t>
      </w:r>
    </w:p>
    <w:p w14:paraId="452ABC16" w14:textId="77777777" w:rsidR="00FE291A" w:rsidRDefault="00FE291A">
      <w:pPr>
        <w:widowControl/>
        <w:rPr>
          <w:color w:val="000000"/>
          <w:sz w:val="22"/>
          <w:szCs w:val="22"/>
          <w:lang w:val="de-DE"/>
        </w:rPr>
      </w:pPr>
    </w:p>
    <w:p w14:paraId="137E83F8" w14:textId="77777777" w:rsidR="00FE291A" w:rsidRDefault="00C8738F">
      <w:pPr>
        <w:widowControl/>
        <w:rPr>
          <w:color w:val="000000"/>
          <w:sz w:val="22"/>
          <w:szCs w:val="22"/>
          <w:lang w:val="de-DE"/>
        </w:rPr>
      </w:pPr>
      <w:r>
        <w:rPr>
          <w:color w:val="000000"/>
          <w:sz w:val="22"/>
          <w:szCs w:val="22"/>
          <w:lang w:val="de-DE"/>
        </w:rPr>
        <w:t xml:space="preserve">Klinisch bedeutsame Zunahmen (Verbesserungen) der Wachstumsgeschwindigkeit (Körperlänge) gegenüber </w:t>
      </w:r>
      <w:r>
        <w:rPr>
          <w:i/>
          <w:iCs/>
          <w:color w:val="000000"/>
          <w:sz w:val="22"/>
          <w:szCs w:val="22"/>
          <w:lang w:val="de-DE"/>
        </w:rPr>
        <w:t>Baseline</w:t>
      </w:r>
      <w:r>
        <w:rPr>
          <w:color w:val="000000"/>
          <w:sz w:val="22"/>
          <w:szCs w:val="22"/>
          <w:lang w:val="de-DE"/>
        </w:rPr>
        <w:t xml:space="preserve"> wurden in den Behandlungsarmen beobachtet, die Adalimumab erhielten, und klinisch bedeutsame Zunahmen (Verbesserungen) des </w:t>
      </w:r>
      <w:r>
        <w:rPr>
          <w:i/>
          <w:iCs/>
          <w:color w:val="000000"/>
          <w:sz w:val="22"/>
          <w:szCs w:val="22"/>
          <w:lang w:val="de-DE"/>
        </w:rPr>
        <w:t>Body-Mass-Index</w:t>
      </w:r>
      <w:r>
        <w:rPr>
          <w:color w:val="000000"/>
          <w:sz w:val="22"/>
          <w:szCs w:val="22"/>
          <w:lang w:val="de-DE"/>
        </w:rPr>
        <w:t xml:space="preserve"> gegenüber </w:t>
      </w:r>
      <w:r>
        <w:rPr>
          <w:i/>
          <w:iCs/>
          <w:color w:val="000000"/>
          <w:sz w:val="22"/>
          <w:szCs w:val="22"/>
          <w:lang w:val="de-DE"/>
        </w:rPr>
        <w:t>Baseline</w:t>
      </w:r>
      <w:r>
        <w:rPr>
          <w:color w:val="000000"/>
          <w:sz w:val="22"/>
          <w:szCs w:val="22"/>
          <w:lang w:val="de-DE"/>
        </w:rPr>
        <w:t xml:space="preserve"> wurden bei Studienteilnehmern unter der hohen Erhaltungsdosis von maximal 40 mg (0,6 mg/kg) wöchentlich beobachtet. </w:t>
      </w:r>
    </w:p>
    <w:p w14:paraId="77996AC0" w14:textId="77777777" w:rsidR="00FE291A" w:rsidRDefault="00FE291A">
      <w:pPr>
        <w:widowControl/>
        <w:rPr>
          <w:color w:val="000000"/>
          <w:sz w:val="22"/>
          <w:szCs w:val="22"/>
          <w:lang w:val="de-DE"/>
        </w:rPr>
      </w:pPr>
    </w:p>
    <w:p w14:paraId="53A147A7" w14:textId="77777777" w:rsidR="00FE291A" w:rsidRDefault="00C8738F">
      <w:pPr>
        <w:keepNext/>
        <w:widowControl/>
        <w:rPr>
          <w:i/>
          <w:iCs/>
          <w:color w:val="000000"/>
          <w:sz w:val="22"/>
          <w:szCs w:val="22"/>
          <w:lang w:val="de-DE"/>
        </w:rPr>
      </w:pPr>
      <w:r>
        <w:rPr>
          <w:i/>
          <w:iCs/>
          <w:color w:val="000000"/>
          <w:sz w:val="22"/>
          <w:szCs w:val="22"/>
          <w:lang w:val="de-DE"/>
        </w:rPr>
        <w:t>Uveitis bei Kindern und Jugendlichen</w:t>
      </w:r>
    </w:p>
    <w:p w14:paraId="6D46ADE7" w14:textId="77777777" w:rsidR="00FE291A" w:rsidRDefault="00FE291A">
      <w:pPr>
        <w:keepNext/>
        <w:widowControl/>
        <w:rPr>
          <w:color w:val="000000"/>
          <w:sz w:val="22"/>
          <w:szCs w:val="22"/>
          <w:lang w:val="de-DE"/>
        </w:rPr>
      </w:pPr>
    </w:p>
    <w:p w14:paraId="4B8A67C2" w14:textId="77777777" w:rsidR="00FE291A" w:rsidRDefault="00C8738F">
      <w:pPr>
        <w:widowControl/>
        <w:rPr>
          <w:color w:val="000000"/>
          <w:sz w:val="22"/>
          <w:szCs w:val="22"/>
          <w:lang w:val="de-DE"/>
        </w:rPr>
      </w:pPr>
      <w:r>
        <w:rPr>
          <w:color w:val="000000"/>
          <w:sz w:val="22"/>
          <w:szCs w:val="22"/>
          <w:lang w:val="de-DE"/>
        </w:rPr>
        <w:t xml:space="preserve">Die Sicherheit und Wirksamkeit von Adalimumab wurden in einer randomisierten, doppelmaskierten, kontrollierten Studie mit 90 Kindern und Jugendlichen im Alter von 2 bis &lt; 18 Jahren mit aktiver JIA-assoziierter nicht infektiöser Uveitis anterior untersucht, die mindestens 12 Wochen lang nicht auf die Behandlung mit Methotrexat angesprochen hatten. Die Patienten erhielten alle zwei Wochen entweder Placebo oder 20 mg Adalimumab (sofern &lt; 30 kg) oder 40 mg Adalimumab (sofern ≥ 30 kg) jeweils in Kombination mit ihrer Ausgangsdosis Methotrexat. </w:t>
      </w:r>
    </w:p>
    <w:p w14:paraId="17BB6C99" w14:textId="77777777" w:rsidR="00FE291A" w:rsidRDefault="00FE291A">
      <w:pPr>
        <w:widowControl/>
        <w:rPr>
          <w:color w:val="000000"/>
          <w:sz w:val="22"/>
          <w:szCs w:val="22"/>
          <w:lang w:val="de-DE"/>
        </w:rPr>
      </w:pPr>
    </w:p>
    <w:p w14:paraId="0C41EB5F" w14:textId="77777777" w:rsidR="00FE291A" w:rsidRDefault="00C8738F">
      <w:pPr>
        <w:widowControl/>
        <w:rPr>
          <w:color w:val="000000"/>
          <w:sz w:val="22"/>
          <w:szCs w:val="22"/>
          <w:lang w:val="de-DE"/>
        </w:rPr>
      </w:pPr>
      <w:r>
        <w:rPr>
          <w:color w:val="000000"/>
          <w:sz w:val="22"/>
          <w:szCs w:val="22"/>
          <w:lang w:val="de-DE"/>
        </w:rPr>
        <w:t xml:space="preserve">Der primäre Endpunkt war die „Dauer bis zum Behandlungsversagen“. Das Behandlungsversagen wurde definiert durch eine Verschlechterung oder eine gleichbleibende Nichtverbesserung der Augenentzündung, eine teilweise Verbesserung mit Entstehung von anhaltenden Augenbegleiterkrankungen oder eine Verschlechterung von Augenbegleiterkrankungen, eine nicht erlaubte Verwendung von Begleitmedikationen oder eine Unterbrechung der Behandlung für einen längeren Zeitraum. </w:t>
      </w:r>
    </w:p>
    <w:p w14:paraId="57EF616B" w14:textId="77777777" w:rsidR="00FE291A" w:rsidRDefault="00FE291A">
      <w:pPr>
        <w:widowControl/>
        <w:rPr>
          <w:color w:val="000000"/>
          <w:sz w:val="22"/>
          <w:szCs w:val="22"/>
          <w:lang w:val="de-DE"/>
        </w:rPr>
      </w:pPr>
    </w:p>
    <w:p w14:paraId="157931C5" w14:textId="77777777" w:rsidR="00FE291A" w:rsidRDefault="00C8738F">
      <w:pPr>
        <w:keepNext/>
        <w:widowControl/>
        <w:rPr>
          <w:i/>
          <w:iCs/>
          <w:color w:val="000000"/>
          <w:sz w:val="22"/>
          <w:szCs w:val="22"/>
          <w:lang w:val="de-DE"/>
        </w:rPr>
      </w:pPr>
      <w:r>
        <w:rPr>
          <w:i/>
          <w:iCs/>
          <w:color w:val="000000"/>
          <w:sz w:val="22"/>
          <w:szCs w:val="22"/>
          <w:lang w:val="de-DE"/>
        </w:rPr>
        <w:t xml:space="preserve">Klinisches Ansprechen </w:t>
      </w:r>
    </w:p>
    <w:p w14:paraId="65771B9F" w14:textId="77777777" w:rsidR="00FE291A" w:rsidRDefault="00FE291A">
      <w:pPr>
        <w:keepNext/>
        <w:widowControl/>
        <w:rPr>
          <w:color w:val="000000"/>
          <w:sz w:val="22"/>
          <w:szCs w:val="22"/>
          <w:lang w:val="de-DE"/>
        </w:rPr>
      </w:pPr>
    </w:p>
    <w:p w14:paraId="256B806D" w14:textId="77777777" w:rsidR="00FE291A" w:rsidRDefault="00C8738F">
      <w:pPr>
        <w:pStyle w:val="BodyText"/>
        <w:widowControl/>
        <w:kinsoku w:val="0"/>
        <w:overflowPunct w:val="0"/>
        <w:ind w:left="0"/>
        <w:rPr>
          <w:lang w:val="de-DE"/>
        </w:rPr>
      </w:pPr>
      <w:r>
        <w:rPr>
          <w:color w:val="000000"/>
          <w:lang w:val="de-DE"/>
        </w:rPr>
        <w:t xml:space="preserve">Adalimumab verzögerte signifikant die Zeit bis zum Behandlungsversagen im Vergleich zu Placebo (siehe Abbildung 3, p &lt; 0,0001 beim </w:t>
      </w:r>
      <w:r>
        <w:rPr>
          <w:i/>
          <w:iCs/>
          <w:color w:val="000000"/>
          <w:lang w:val="de-DE"/>
        </w:rPr>
        <w:t>Log-Rank-Test</w:t>
      </w:r>
      <w:r>
        <w:rPr>
          <w:color w:val="000000"/>
          <w:lang w:val="de-DE"/>
        </w:rPr>
        <w:t xml:space="preserve">). Die mittlere Zeit bis zum Behandlungsversagen lag bei 24,1 Wochen für Patienten, die mit Placebo behandelt wurden, während die mittlere Zeit für das Behandlungsversagen für mit Adalimumab behandelte Patienten nicht abschätzbar war, da weniger als die Hälfte dieser Patienten ein Behandlungsversagen erfahren haben. Adalimumab verminderte </w:t>
      </w:r>
      <w:r>
        <w:rPr>
          <w:lang w:val="de-DE"/>
        </w:rPr>
        <w:t xml:space="preserve">signifikant das Risiko eines Behandlungsversagens um 75 % im Vergleich zu Placebo, wie die </w:t>
      </w:r>
      <w:r>
        <w:rPr>
          <w:i/>
          <w:iCs/>
          <w:lang w:val="de-DE"/>
        </w:rPr>
        <w:t xml:space="preserve">Hazard Ratio </w:t>
      </w:r>
      <w:r>
        <w:rPr>
          <w:lang w:val="de-DE"/>
        </w:rPr>
        <w:t>(HR = 0,25 [95 % KI 0,12; 0,49]) zeigt.</w:t>
      </w:r>
    </w:p>
    <w:p w14:paraId="282A8B06" w14:textId="77777777" w:rsidR="00FE291A" w:rsidRDefault="00FE291A">
      <w:pPr>
        <w:widowControl/>
        <w:autoSpaceDE/>
        <w:autoSpaceDN/>
        <w:adjustRightInd/>
        <w:rPr>
          <w:sz w:val="22"/>
          <w:szCs w:val="22"/>
          <w:lang w:val="de-DE"/>
        </w:rPr>
      </w:pPr>
    </w:p>
    <w:p w14:paraId="03242C37" w14:textId="77777777" w:rsidR="00FE291A" w:rsidRDefault="00C8738F">
      <w:pPr>
        <w:keepNext/>
        <w:widowControl/>
        <w:rPr>
          <w:sz w:val="22"/>
          <w:szCs w:val="22"/>
          <w:lang w:val="de-DE"/>
        </w:rPr>
      </w:pPr>
      <w:r>
        <w:rPr>
          <w:b/>
          <w:bCs/>
          <w:sz w:val="22"/>
          <w:szCs w:val="22"/>
          <w:lang w:val="de-DE"/>
        </w:rPr>
        <w:t>Abbildung</w:t>
      </w:r>
      <w:r>
        <w:rPr>
          <w:b/>
          <w:sz w:val="22"/>
          <w:szCs w:val="22"/>
          <w:lang w:val="de-DE"/>
        </w:rPr>
        <w:t xml:space="preserve"> 3: </w:t>
      </w:r>
      <w:r>
        <w:rPr>
          <w:b/>
          <w:bCs/>
          <w:sz w:val="22"/>
          <w:szCs w:val="22"/>
          <w:lang w:val="de-DE"/>
        </w:rPr>
        <w:t>Kaplan-Meier-Kurven zur Darstellung der Dauer bis zum Behandlungsversagen in der pädiatrischen Uveitis-Studie</w:t>
      </w:r>
    </w:p>
    <w:p w14:paraId="1DC0F4F4" w14:textId="77777777" w:rsidR="00FE291A" w:rsidRDefault="00FE291A">
      <w:pPr>
        <w:keepNext/>
        <w:rPr>
          <w:b/>
          <w:sz w:val="22"/>
          <w:szCs w:val="21"/>
          <w:lang w:val="de-DE"/>
        </w:rPr>
      </w:pPr>
    </w:p>
    <w:tbl>
      <w:tblPr>
        <w:tblW w:w="9498" w:type="dxa"/>
        <w:tblLayout w:type="fixed"/>
        <w:tblLook w:val="04A0" w:firstRow="1" w:lastRow="0" w:firstColumn="1" w:lastColumn="0" w:noHBand="0" w:noVBand="1"/>
      </w:tblPr>
      <w:tblGrid>
        <w:gridCol w:w="675"/>
        <w:gridCol w:w="3303"/>
        <w:gridCol w:w="1170"/>
        <w:gridCol w:w="1350"/>
        <w:gridCol w:w="900"/>
        <w:gridCol w:w="2100"/>
      </w:tblGrid>
      <w:tr w:rsidR="00FE291A" w14:paraId="40C55B8D" w14:textId="77777777">
        <w:trPr>
          <w:cantSplit/>
          <w:trHeight w:val="3806"/>
        </w:trPr>
        <w:tc>
          <w:tcPr>
            <w:tcW w:w="675" w:type="dxa"/>
            <w:textDirection w:val="btLr"/>
          </w:tcPr>
          <w:p w14:paraId="0E81E640" w14:textId="77777777" w:rsidR="00FE291A" w:rsidRDefault="00C8738F">
            <w:pPr>
              <w:pStyle w:val="Default"/>
              <w:jc w:val="center"/>
              <w:rPr>
                <w:sz w:val="22"/>
                <w:szCs w:val="22"/>
                <w:lang w:val="de-DE"/>
              </w:rPr>
            </w:pPr>
            <w:r>
              <w:rPr>
                <w:b/>
                <w:bCs/>
                <w:sz w:val="22"/>
                <w:szCs w:val="22"/>
                <w:lang w:val="de-DE"/>
              </w:rPr>
              <w:t>WAHRSCHEINLICHKEIT DES BEHANDLUNGSVERSAGENS</w:t>
            </w:r>
          </w:p>
          <w:p w14:paraId="286AD2CF" w14:textId="77777777" w:rsidR="00FE291A" w:rsidRDefault="00FE291A">
            <w:pPr>
              <w:pStyle w:val="EMEANormal"/>
              <w:keepNext/>
              <w:ind w:left="113" w:right="113"/>
              <w:jc w:val="center"/>
              <w:rPr>
                <w:b/>
                <w:szCs w:val="22"/>
                <w:lang w:val="de-DE"/>
              </w:rPr>
            </w:pPr>
          </w:p>
        </w:tc>
        <w:tc>
          <w:tcPr>
            <w:tcW w:w="8823" w:type="dxa"/>
            <w:gridSpan w:val="5"/>
            <w:vAlign w:val="bottom"/>
          </w:tcPr>
          <w:p w14:paraId="25261376" w14:textId="0AC08D87" w:rsidR="00FE291A" w:rsidRDefault="009C5B62">
            <w:pPr>
              <w:pStyle w:val="EMEANormal"/>
              <w:keepNext/>
              <w:rPr>
                <w:szCs w:val="22"/>
                <w:lang w:val="de-DE"/>
              </w:rPr>
            </w:pPr>
            <w:r>
              <w:rPr>
                <w:noProof/>
                <w:szCs w:val="22"/>
                <w:lang w:val="de-DE" w:eastAsia="en-GB"/>
              </w:rPr>
              <w:drawing>
                <wp:inline distT="0" distB="0" distL="0" distR="0" wp14:anchorId="459BC52C" wp14:editId="16851698">
                  <wp:extent cx="5486400" cy="4572000"/>
                  <wp:effectExtent l="0" t="0" r="0" b="0"/>
                  <wp:docPr id="14" name="Bild 15"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Humira PED UV KM Curve REVISED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4572000"/>
                          </a:xfrm>
                          <a:prstGeom prst="rect">
                            <a:avLst/>
                          </a:prstGeom>
                          <a:noFill/>
                          <a:ln>
                            <a:noFill/>
                          </a:ln>
                        </pic:spPr>
                      </pic:pic>
                    </a:graphicData>
                  </a:graphic>
                </wp:inline>
              </w:drawing>
            </w:r>
          </w:p>
        </w:tc>
      </w:tr>
      <w:tr w:rsidR="00FE291A" w14:paraId="704C8B97" w14:textId="77777777">
        <w:tc>
          <w:tcPr>
            <w:tcW w:w="675" w:type="dxa"/>
          </w:tcPr>
          <w:p w14:paraId="6E560736" w14:textId="77777777" w:rsidR="00FE291A" w:rsidRDefault="00FE291A">
            <w:pPr>
              <w:pStyle w:val="EMEANormal"/>
              <w:keepNext/>
              <w:rPr>
                <w:szCs w:val="22"/>
                <w:lang w:val="de-DE"/>
              </w:rPr>
            </w:pPr>
          </w:p>
        </w:tc>
        <w:tc>
          <w:tcPr>
            <w:tcW w:w="8823" w:type="dxa"/>
            <w:gridSpan w:val="5"/>
          </w:tcPr>
          <w:p w14:paraId="755F9E65" w14:textId="77777777" w:rsidR="00FE291A" w:rsidRDefault="00C8738F">
            <w:pPr>
              <w:pStyle w:val="EMEANormal"/>
              <w:keepNext/>
              <w:jc w:val="center"/>
              <w:rPr>
                <w:b/>
                <w:szCs w:val="22"/>
                <w:lang w:val="de-DE"/>
              </w:rPr>
            </w:pPr>
            <w:r>
              <w:rPr>
                <w:b/>
                <w:szCs w:val="22"/>
                <w:lang w:val="de-DE"/>
              </w:rPr>
              <w:t>DAUER (WOCHEN)</w:t>
            </w:r>
          </w:p>
        </w:tc>
      </w:tr>
      <w:tr w:rsidR="00FE291A" w14:paraId="1FA5731A" w14:textId="77777777">
        <w:tc>
          <w:tcPr>
            <w:tcW w:w="675" w:type="dxa"/>
          </w:tcPr>
          <w:p w14:paraId="43940648" w14:textId="77777777" w:rsidR="00FE291A" w:rsidRDefault="00FE291A">
            <w:pPr>
              <w:pStyle w:val="EMEANormal"/>
              <w:keepNext/>
              <w:rPr>
                <w:szCs w:val="22"/>
                <w:lang w:val="de-DE"/>
              </w:rPr>
            </w:pPr>
          </w:p>
        </w:tc>
        <w:tc>
          <w:tcPr>
            <w:tcW w:w="3303" w:type="dxa"/>
          </w:tcPr>
          <w:p w14:paraId="20C1DDB0" w14:textId="77777777" w:rsidR="00FE291A" w:rsidRDefault="00C8738F">
            <w:pPr>
              <w:pStyle w:val="EMEANormal"/>
              <w:keepNext/>
              <w:rPr>
                <w:szCs w:val="22"/>
                <w:lang w:val="de-DE"/>
              </w:rPr>
            </w:pPr>
            <w:r>
              <w:rPr>
                <w:szCs w:val="22"/>
                <w:lang w:val="de-DE"/>
              </w:rPr>
              <w:t>Behandlung</w:t>
            </w:r>
          </w:p>
        </w:tc>
        <w:tc>
          <w:tcPr>
            <w:tcW w:w="1170" w:type="dxa"/>
            <w:vAlign w:val="bottom"/>
          </w:tcPr>
          <w:p w14:paraId="48626122" w14:textId="06ABE691" w:rsidR="00FE291A" w:rsidRDefault="009C5B62">
            <w:pPr>
              <w:pStyle w:val="EMEANormal"/>
              <w:keepNext/>
              <w:jc w:val="center"/>
              <w:rPr>
                <w:szCs w:val="22"/>
                <w:lang w:val="de-DE"/>
              </w:rPr>
            </w:pPr>
            <w:r>
              <w:rPr>
                <w:noProof/>
                <w:szCs w:val="22"/>
                <w:lang w:val="de-DE" w:eastAsia="en-GB"/>
              </w:rPr>
              <w:drawing>
                <wp:inline distT="0" distB="0" distL="0" distR="0" wp14:anchorId="302344BF" wp14:editId="7CACA7BD">
                  <wp:extent cx="468630" cy="154305"/>
                  <wp:effectExtent l="0" t="0" r="0" b="0"/>
                  <wp:docPr id="15" name="Bild 16"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descr="Humira PED UV KM Curv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8630" cy="154305"/>
                          </a:xfrm>
                          <a:prstGeom prst="rect">
                            <a:avLst/>
                          </a:prstGeom>
                          <a:noFill/>
                          <a:ln>
                            <a:noFill/>
                          </a:ln>
                        </pic:spPr>
                      </pic:pic>
                    </a:graphicData>
                  </a:graphic>
                </wp:inline>
              </w:drawing>
            </w:r>
          </w:p>
        </w:tc>
        <w:tc>
          <w:tcPr>
            <w:tcW w:w="1350" w:type="dxa"/>
          </w:tcPr>
          <w:p w14:paraId="01353809" w14:textId="77777777" w:rsidR="00FE291A" w:rsidRDefault="00C8738F">
            <w:pPr>
              <w:pStyle w:val="EMEANormal"/>
              <w:keepNext/>
              <w:rPr>
                <w:szCs w:val="22"/>
                <w:lang w:val="de-DE"/>
              </w:rPr>
            </w:pPr>
            <w:r>
              <w:rPr>
                <w:szCs w:val="22"/>
                <w:lang w:val="de-DE"/>
              </w:rPr>
              <w:t>Placebo</w:t>
            </w:r>
          </w:p>
        </w:tc>
        <w:tc>
          <w:tcPr>
            <w:tcW w:w="900" w:type="dxa"/>
            <w:vAlign w:val="center"/>
          </w:tcPr>
          <w:p w14:paraId="71B36D36" w14:textId="4FF6B520" w:rsidR="00FE291A" w:rsidRDefault="009C5B62">
            <w:pPr>
              <w:pStyle w:val="EMEANormal"/>
              <w:keepNext/>
              <w:rPr>
                <w:szCs w:val="22"/>
                <w:lang w:val="de-DE"/>
              </w:rPr>
            </w:pPr>
            <w:r>
              <w:rPr>
                <w:noProof/>
                <w:szCs w:val="22"/>
                <w:lang w:val="de-DE" w:eastAsia="en-GB"/>
              </w:rPr>
              <w:drawing>
                <wp:inline distT="0" distB="0" distL="0" distR="0" wp14:anchorId="5E44251B" wp14:editId="4D5BA5DC">
                  <wp:extent cx="445770" cy="68580"/>
                  <wp:effectExtent l="0" t="0" r="0" b="0"/>
                  <wp:docPr id="16" name="Bild 17"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descr="Humira PED UV KM Curv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770" cy="68580"/>
                          </a:xfrm>
                          <a:prstGeom prst="rect">
                            <a:avLst/>
                          </a:prstGeom>
                          <a:noFill/>
                          <a:ln>
                            <a:noFill/>
                          </a:ln>
                        </pic:spPr>
                      </pic:pic>
                    </a:graphicData>
                  </a:graphic>
                </wp:inline>
              </w:drawing>
            </w:r>
          </w:p>
        </w:tc>
        <w:tc>
          <w:tcPr>
            <w:tcW w:w="2100" w:type="dxa"/>
          </w:tcPr>
          <w:p w14:paraId="0B719673" w14:textId="77777777" w:rsidR="00FE291A" w:rsidRDefault="00C8738F">
            <w:pPr>
              <w:pStyle w:val="EMEANormal"/>
              <w:keepNext/>
              <w:rPr>
                <w:szCs w:val="22"/>
                <w:lang w:val="de-DE"/>
              </w:rPr>
            </w:pPr>
            <w:r>
              <w:rPr>
                <w:szCs w:val="22"/>
                <w:lang w:val="de-DE"/>
              </w:rPr>
              <w:t>Adalimumab</w:t>
            </w:r>
          </w:p>
        </w:tc>
      </w:tr>
      <w:tr w:rsidR="00FE291A" w:rsidRPr="002E6CD3" w14:paraId="4B9695AF" w14:textId="77777777">
        <w:tc>
          <w:tcPr>
            <w:tcW w:w="675" w:type="dxa"/>
          </w:tcPr>
          <w:p w14:paraId="293D5E33" w14:textId="77777777" w:rsidR="00FE291A" w:rsidRDefault="00FE291A">
            <w:pPr>
              <w:pStyle w:val="EMEANormal"/>
              <w:rPr>
                <w:szCs w:val="22"/>
                <w:lang w:val="de-DE"/>
              </w:rPr>
            </w:pPr>
          </w:p>
        </w:tc>
        <w:tc>
          <w:tcPr>
            <w:tcW w:w="8823" w:type="dxa"/>
            <w:gridSpan w:val="5"/>
          </w:tcPr>
          <w:p w14:paraId="32539562" w14:textId="77777777" w:rsidR="00FE291A" w:rsidRDefault="00C8738F">
            <w:pPr>
              <w:pStyle w:val="EMEANormal"/>
              <w:rPr>
                <w:szCs w:val="22"/>
                <w:lang w:val="de-DE"/>
              </w:rPr>
            </w:pPr>
            <w:r>
              <w:rPr>
                <w:szCs w:val="22"/>
                <w:lang w:val="de-DE"/>
              </w:rPr>
              <w:t>Hinweis: P = Placebo (Anzahl Risikopatienten); H = Adalimumab (Anzahl Risikopatienten).</w:t>
            </w:r>
          </w:p>
        </w:tc>
      </w:tr>
    </w:tbl>
    <w:p w14:paraId="6AF9468B" w14:textId="77777777" w:rsidR="00FE291A" w:rsidRDefault="00FE291A">
      <w:pPr>
        <w:widowControl/>
        <w:kinsoku w:val="0"/>
        <w:overflowPunct w:val="0"/>
        <w:rPr>
          <w:sz w:val="22"/>
          <w:szCs w:val="22"/>
          <w:lang w:val="de-DE"/>
        </w:rPr>
      </w:pPr>
    </w:p>
    <w:p w14:paraId="781438E1" w14:textId="77777777" w:rsidR="00FE291A" w:rsidRDefault="00C8738F">
      <w:pPr>
        <w:pStyle w:val="Heading1"/>
        <w:keepNext/>
        <w:widowControl/>
        <w:numPr>
          <w:ilvl w:val="1"/>
          <w:numId w:val="16"/>
        </w:numPr>
        <w:tabs>
          <w:tab w:val="left" w:pos="567"/>
        </w:tabs>
        <w:kinsoku w:val="0"/>
        <w:overflowPunct w:val="0"/>
        <w:ind w:left="0" w:firstLine="0"/>
        <w:rPr>
          <w:b w:val="0"/>
          <w:bCs w:val="0"/>
          <w:lang w:val="de-DE"/>
        </w:rPr>
      </w:pPr>
      <w:r>
        <w:rPr>
          <w:lang w:val="de-DE"/>
        </w:rPr>
        <w:t>Pharmakokinetische Eigenschaften</w:t>
      </w:r>
    </w:p>
    <w:p w14:paraId="3AD70FA4" w14:textId="77777777" w:rsidR="00FE291A" w:rsidRDefault="00FE291A">
      <w:pPr>
        <w:keepNext/>
        <w:widowControl/>
        <w:kinsoku w:val="0"/>
        <w:overflowPunct w:val="0"/>
        <w:rPr>
          <w:sz w:val="22"/>
          <w:szCs w:val="22"/>
          <w:lang w:val="de-DE"/>
        </w:rPr>
      </w:pPr>
    </w:p>
    <w:p w14:paraId="677FE2D0" w14:textId="77777777" w:rsidR="00FE291A" w:rsidRDefault="00C8738F">
      <w:pPr>
        <w:pStyle w:val="BodyText"/>
        <w:keepNext/>
        <w:widowControl/>
        <w:kinsoku w:val="0"/>
        <w:overflowPunct w:val="0"/>
        <w:ind w:left="0"/>
        <w:rPr>
          <w:lang w:val="de-DE"/>
        </w:rPr>
      </w:pPr>
      <w:r>
        <w:rPr>
          <w:u w:val="single"/>
          <w:lang w:val="de-DE"/>
        </w:rPr>
        <w:t>Resorption und Verteilung</w:t>
      </w:r>
    </w:p>
    <w:p w14:paraId="302D3668" w14:textId="77777777" w:rsidR="00FE291A" w:rsidRDefault="00FE291A">
      <w:pPr>
        <w:widowControl/>
        <w:kinsoku w:val="0"/>
        <w:overflowPunct w:val="0"/>
        <w:rPr>
          <w:sz w:val="22"/>
          <w:szCs w:val="22"/>
          <w:lang w:val="de-DE"/>
        </w:rPr>
      </w:pPr>
    </w:p>
    <w:p w14:paraId="518CFC63" w14:textId="77777777" w:rsidR="00FE291A" w:rsidRDefault="00C8738F">
      <w:pPr>
        <w:pStyle w:val="BodyText"/>
        <w:widowControl/>
        <w:kinsoku w:val="0"/>
        <w:overflowPunct w:val="0"/>
        <w:ind w:left="0"/>
        <w:rPr>
          <w:lang w:val="de-DE"/>
        </w:rPr>
      </w:pPr>
      <w:r>
        <w:rPr>
          <w:lang w:val="de-DE"/>
        </w:rPr>
        <w:t xml:space="preserve">Nach subkutaner Gabe einer Einzeldosis von 40 mg waren die Resorption und Verteilung von Adalimumab langsam. Die maximalen Serumkonzentrationen wurden ungefähr 5 Tage nach Verabreichung erreicht. Die auf Grundlage von drei mit dem Referenzarzneimittel durchgeführten Studien geschätzte, durchschnittliche absolute Bioverfügbarkeit von Adalimumab betrug nach Gabe einer einzelnen subkutanen Dosis von 40 mg 64 %. Nach intravenösen Einzeldosen von 0,25 bis 10 mg/kg waren die Konzentrationen proportional zur Dosis. Bei Dosen von 0,5 mg/kg (~ 40 mg) lag die </w:t>
      </w:r>
      <w:r>
        <w:rPr>
          <w:i/>
          <w:iCs/>
          <w:lang w:val="de-DE"/>
        </w:rPr>
        <w:t xml:space="preserve">Clearance </w:t>
      </w:r>
      <w:r>
        <w:rPr>
          <w:lang w:val="de-DE"/>
        </w:rPr>
        <w:t>zwischen 11 und 15 ml/h, das Verteilungsvolumen (V</w:t>
      </w:r>
      <w:r>
        <w:rPr>
          <w:vertAlign w:val="subscript"/>
          <w:lang w:val="de-DE"/>
        </w:rPr>
        <w:t>ss</w:t>
      </w:r>
      <w:r>
        <w:rPr>
          <w:lang w:val="de-DE"/>
        </w:rPr>
        <w:t>) betrug 5 bis 6 Liter, und die mittlere terminale Halbwertszeit lag bei ungefähr zwei Wochen. Die Adalimumab-Konzentrationen in der Synovialflüssigkeit mehrerer Patienten mit rheumatoider Arthritis lagen zwischen 31 % und 96 % der Serumkonzentrationen.</w:t>
      </w:r>
    </w:p>
    <w:p w14:paraId="28BB3C2E" w14:textId="77777777" w:rsidR="00FE291A" w:rsidRDefault="00FE291A">
      <w:pPr>
        <w:widowControl/>
        <w:kinsoku w:val="0"/>
        <w:overflowPunct w:val="0"/>
        <w:rPr>
          <w:sz w:val="22"/>
          <w:szCs w:val="22"/>
          <w:lang w:val="de-DE"/>
        </w:rPr>
      </w:pPr>
    </w:p>
    <w:p w14:paraId="32007EDD" w14:textId="77777777" w:rsidR="00FE291A" w:rsidRDefault="00C8738F">
      <w:pPr>
        <w:pStyle w:val="BodyText"/>
        <w:widowControl/>
        <w:kinsoku w:val="0"/>
        <w:overflowPunct w:val="0"/>
        <w:ind w:left="0"/>
        <w:rPr>
          <w:lang w:val="de-DE"/>
        </w:rPr>
      </w:pPr>
      <w:r>
        <w:rPr>
          <w:lang w:val="de-DE"/>
        </w:rPr>
        <w:t xml:space="preserve">Nach subkutaner Verabreichung von 40 mg Adalimumab jede zweite Woche an erwachsene Patienten mit rheumatoider Arthritis (RA) betrugen die mittleren </w:t>
      </w:r>
      <w:r>
        <w:rPr>
          <w:i/>
          <w:iCs/>
          <w:lang w:val="de-DE"/>
        </w:rPr>
        <w:t>Steady-State</w:t>
      </w:r>
      <w:r>
        <w:rPr>
          <w:lang w:val="de-DE"/>
        </w:rPr>
        <w:t>-Talkonzentrationen ca. 5 </w:t>
      </w:r>
      <w:r>
        <w:rPr>
          <w:color w:val="000000"/>
          <w:lang w:val="de-DE" w:eastAsia="en-GB"/>
        </w:rPr>
        <w:t>µg</w:t>
      </w:r>
      <w:r>
        <w:rPr>
          <w:lang w:val="de-DE"/>
        </w:rPr>
        <w:t>/ml (ohne gleichzeitige Gabe von Methotrexat) bzw. 8 – 9 </w:t>
      </w:r>
      <w:r>
        <w:rPr>
          <w:color w:val="000000"/>
          <w:lang w:val="de-DE" w:eastAsia="en-GB"/>
        </w:rPr>
        <w:t>µg</w:t>
      </w:r>
      <w:r>
        <w:rPr>
          <w:lang w:val="de-DE"/>
        </w:rPr>
        <w:t xml:space="preserve">/ml (in Kombination mit Methotrexat). Im </w:t>
      </w:r>
      <w:r>
        <w:rPr>
          <w:i/>
          <w:iCs/>
          <w:lang w:val="de-DE"/>
        </w:rPr>
        <w:t xml:space="preserve">Steady-State </w:t>
      </w:r>
      <w:r>
        <w:rPr>
          <w:lang w:val="de-DE"/>
        </w:rPr>
        <w:t>erhöhten sich die Talkonzentrationen der Adalimumab-Serumspiegel nach subkutaner Verabreichung von 20, 40 und 80 mg entweder jede zweite oder jede Woche ungefähr proportional zur Dosis.</w:t>
      </w:r>
    </w:p>
    <w:p w14:paraId="580FA911" w14:textId="77777777" w:rsidR="00FE291A" w:rsidRDefault="00FE291A">
      <w:pPr>
        <w:widowControl/>
        <w:kinsoku w:val="0"/>
        <w:overflowPunct w:val="0"/>
        <w:rPr>
          <w:sz w:val="22"/>
          <w:szCs w:val="22"/>
          <w:lang w:val="de-DE"/>
        </w:rPr>
      </w:pPr>
    </w:p>
    <w:p w14:paraId="6BD5E7A3" w14:textId="77777777" w:rsidR="00FE291A" w:rsidRDefault="00C8738F">
      <w:pPr>
        <w:pStyle w:val="BodyText"/>
        <w:widowControl/>
        <w:kinsoku w:val="0"/>
        <w:overflowPunct w:val="0"/>
        <w:ind w:left="0"/>
        <w:rPr>
          <w:lang w:val="de-DE"/>
        </w:rPr>
      </w:pPr>
      <w:r>
        <w:rPr>
          <w:lang w:val="de-DE"/>
        </w:rPr>
        <w:t>Nach subkutaner Verabreichung von 24 mg/m</w:t>
      </w:r>
      <w:r>
        <w:rPr>
          <w:vertAlign w:val="superscript"/>
          <w:lang w:val="de-DE"/>
        </w:rPr>
        <w:t>2</w:t>
      </w:r>
      <w:r>
        <w:rPr>
          <w:lang w:val="de-DE"/>
        </w:rPr>
        <w:t xml:space="preserve"> (maximal 40 mg) jede zweite Woche an Patienten mit polyartikulärer juveniler idiopathischer Arthritis (JIA), die zwischen 4 und 17 Jahre alt waren, betrugen die mittleren </w:t>
      </w:r>
      <w:r>
        <w:rPr>
          <w:i/>
          <w:iCs/>
          <w:lang w:val="de-DE"/>
        </w:rPr>
        <w:t>Steady-State</w:t>
      </w:r>
      <w:r>
        <w:rPr>
          <w:lang w:val="de-DE"/>
        </w:rPr>
        <w:t>-Talkonzentrationen der Adalimumab-Serumspiegel für Adalimumab ohne Methotrexat-Begleittherapie 5,6 ± 5,6 </w:t>
      </w:r>
      <w:r>
        <w:rPr>
          <w:color w:val="000000"/>
          <w:lang w:val="de-DE" w:eastAsia="en-GB"/>
        </w:rPr>
        <w:t>µg</w:t>
      </w:r>
      <w:r>
        <w:rPr>
          <w:lang w:val="de-DE"/>
        </w:rPr>
        <w:t>/ml (102 % CV) und 10,9 ± 5,2 </w:t>
      </w:r>
      <w:r>
        <w:rPr>
          <w:color w:val="000000"/>
          <w:lang w:val="de-DE" w:eastAsia="en-GB"/>
        </w:rPr>
        <w:t>µg</w:t>
      </w:r>
      <w:r>
        <w:rPr>
          <w:lang w:val="de-DE"/>
        </w:rPr>
        <w:t>/ml (47,7 % CV) bei Kombinationstherapie mit Methotrexat (die Messwerte wurden von Woche 20 bis 48 erhoben).</w:t>
      </w:r>
    </w:p>
    <w:p w14:paraId="082438BA" w14:textId="77777777" w:rsidR="00FE291A" w:rsidRDefault="00FE291A">
      <w:pPr>
        <w:widowControl/>
        <w:kinsoku w:val="0"/>
        <w:overflowPunct w:val="0"/>
        <w:rPr>
          <w:sz w:val="22"/>
          <w:szCs w:val="22"/>
          <w:lang w:val="de-DE"/>
        </w:rPr>
      </w:pPr>
    </w:p>
    <w:p w14:paraId="70A0E93F" w14:textId="77777777" w:rsidR="00FE291A" w:rsidRDefault="00C8738F">
      <w:pPr>
        <w:pStyle w:val="BodyText"/>
        <w:widowControl/>
        <w:kinsoku w:val="0"/>
        <w:overflowPunct w:val="0"/>
        <w:ind w:left="0"/>
        <w:rPr>
          <w:lang w:val="de-DE"/>
        </w:rPr>
      </w:pPr>
      <w:r>
        <w:rPr>
          <w:lang w:val="de-DE"/>
        </w:rPr>
        <w:t>Bei Patienten mit polyartikulärer JIA, die 2 bis &lt; 4 Jahre alt oder 4 Jahre alt und älter waren und die &lt; 15 kg wogen und eine Dosis von Adalimumab 24 mg/m</w:t>
      </w:r>
      <w:r>
        <w:rPr>
          <w:vertAlign w:val="superscript"/>
          <w:lang w:val="de-DE"/>
        </w:rPr>
        <w:t>2</w:t>
      </w:r>
      <w:r>
        <w:rPr>
          <w:lang w:val="de-DE"/>
        </w:rPr>
        <w:t xml:space="preserve"> erhielten, betrug die mittlere </w:t>
      </w:r>
      <w:r>
        <w:rPr>
          <w:i/>
          <w:iCs/>
          <w:lang w:val="de-DE"/>
        </w:rPr>
        <w:t>Steady-State</w:t>
      </w:r>
      <w:r>
        <w:rPr>
          <w:lang w:val="de-DE"/>
        </w:rPr>
        <w:t>- Talkonzentration der Adalimumab-Serumspiegel für Adalimumab ohne Methotrexat-Begleittherapie 6,0 ± 6,1 </w:t>
      </w:r>
      <w:r>
        <w:rPr>
          <w:color w:val="000000"/>
          <w:lang w:val="de-DE" w:eastAsia="en-GB"/>
        </w:rPr>
        <w:t>µg</w:t>
      </w:r>
      <w:r>
        <w:rPr>
          <w:lang w:val="de-DE"/>
        </w:rPr>
        <w:t>/ml (101 % CV) und 7,9 ± 5,6 </w:t>
      </w:r>
      <w:r>
        <w:rPr>
          <w:color w:val="000000"/>
          <w:lang w:val="de-DE" w:eastAsia="en-GB"/>
        </w:rPr>
        <w:t>µg</w:t>
      </w:r>
      <w:r>
        <w:rPr>
          <w:lang w:val="de-DE"/>
        </w:rPr>
        <w:t>/ml (71,2 % CV) bei Kombinationstherapie mit Methotrexat.</w:t>
      </w:r>
    </w:p>
    <w:p w14:paraId="68210022" w14:textId="77777777" w:rsidR="00FE291A" w:rsidRDefault="00FE291A">
      <w:pPr>
        <w:widowControl/>
        <w:kinsoku w:val="0"/>
        <w:overflowPunct w:val="0"/>
        <w:rPr>
          <w:sz w:val="22"/>
          <w:szCs w:val="22"/>
          <w:lang w:val="de-DE"/>
        </w:rPr>
      </w:pPr>
    </w:p>
    <w:p w14:paraId="550F0812" w14:textId="77777777" w:rsidR="00FE291A" w:rsidRDefault="00C8738F">
      <w:pPr>
        <w:pStyle w:val="BodyText"/>
        <w:widowControl/>
        <w:kinsoku w:val="0"/>
        <w:overflowPunct w:val="0"/>
        <w:ind w:left="0"/>
        <w:rPr>
          <w:lang w:val="de-DE"/>
        </w:rPr>
      </w:pPr>
      <w:r>
        <w:rPr>
          <w:lang w:val="de-DE"/>
        </w:rPr>
        <w:t>Nach subkutaner Verabreichung von 24 mg/m</w:t>
      </w:r>
      <w:r>
        <w:rPr>
          <w:vertAlign w:val="superscript"/>
          <w:lang w:val="de-DE"/>
        </w:rPr>
        <w:t>2</w:t>
      </w:r>
      <w:r>
        <w:rPr>
          <w:lang w:val="de-DE"/>
        </w:rPr>
        <w:t xml:space="preserve"> (maximal 40 mg) jede zweite Woche an Patienten mit Enthesitis-assoziierter Arthritis, die 6 bis 17 Jahre alt waren, betrug die mittlere </w:t>
      </w:r>
      <w:r>
        <w:rPr>
          <w:i/>
          <w:iCs/>
          <w:lang w:val="de-DE"/>
        </w:rPr>
        <w:t>Steady-State</w:t>
      </w:r>
      <w:r>
        <w:rPr>
          <w:lang w:val="de-DE"/>
        </w:rPr>
        <w:t>-Talkonzentration der Adalimumab-Serumspiegel für Adalimumab ohne Methotrexat-Begleittherapie 8,8 ± 6,6 </w:t>
      </w:r>
      <w:r>
        <w:rPr>
          <w:color w:val="000000"/>
          <w:lang w:val="de-DE" w:eastAsia="en-GB"/>
        </w:rPr>
        <w:t>µg</w:t>
      </w:r>
      <w:r>
        <w:rPr>
          <w:lang w:val="de-DE"/>
        </w:rPr>
        <w:t>/ml und 11,8 ± 4,3 </w:t>
      </w:r>
      <w:r>
        <w:rPr>
          <w:color w:val="000000"/>
          <w:lang w:val="de-DE" w:eastAsia="en-GB"/>
        </w:rPr>
        <w:t>µg</w:t>
      </w:r>
      <w:r>
        <w:rPr>
          <w:lang w:val="de-DE"/>
        </w:rPr>
        <w:t>/ml bei Kombinationstherapie mit Methotrexat (die Messwerte wurden in Woche 24 erhoben).</w:t>
      </w:r>
    </w:p>
    <w:p w14:paraId="3CB56DB6" w14:textId="77777777" w:rsidR="00FE291A" w:rsidRDefault="00FE291A">
      <w:pPr>
        <w:widowControl/>
        <w:kinsoku w:val="0"/>
        <w:overflowPunct w:val="0"/>
        <w:rPr>
          <w:sz w:val="22"/>
          <w:szCs w:val="22"/>
          <w:lang w:val="de-DE"/>
        </w:rPr>
      </w:pPr>
    </w:p>
    <w:p w14:paraId="173EAA6C" w14:textId="77777777" w:rsidR="00FE291A" w:rsidRDefault="00C8738F">
      <w:pPr>
        <w:pStyle w:val="BodyText"/>
        <w:widowControl/>
        <w:kinsoku w:val="0"/>
        <w:overflowPunct w:val="0"/>
        <w:ind w:left="0"/>
        <w:rPr>
          <w:lang w:val="de-DE"/>
        </w:rPr>
      </w:pPr>
      <w:r>
        <w:rPr>
          <w:lang w:val="de-DE"/>
        </w:rPr>
        <w:t xml:space="preserve">Nach subkutaner Anwendung von 40 mg Adalimumab jede zweite Woche bei erwachsenen Patienten mit nicht röntgenologischer axialer Spondyloarthritis betrug die mittlere (± SD) </w:t>
      </w:r>
      <w:r>
        <w:rPr>
          <w:i/>
          <w:lang w:val="de-DE"/>
        </w:rPr>
        <w:t>Steady-State</w:t>
      </w:r>
      <w:r>
        <w:rPr>
          <w:lang w:val="de-DE"/>
        </w:rPr>
        <w:t>-Talkonzentration in Woche 68 8,0 ± 4,6 </w:t>
      </w:r>
      <w:r>
        <w:rPr>
          <w:color w:val="000000"/>
          <w:lang w:val="de-DE" w:eastAsia="en-GB"/>
        </w:rPr>
        <w:t>µg</w:t>
      </w:r>
      <w:r>
        <w:rPr>
          <w:lang w:val="de-DE"/>
        </w:rPr>
        <w:t>/ml.</w:t>
      </w:r>
    </w:p>
    <w:p w14:paraId="5A1CB9C4" w14:textId="77777777" w:rsidR="00FE291A" w:rsidRDefault="00FE291A">
      <w:pPr>
        <w:pStyle w:val="BodyText"/>
        <w:widowControl/>
        <w:kinsoku w:val="0"/>
        <w:overflowPunct w:val="0"/>
        <w:ind w:left="0"/>
        <w:rPr>
          <w:lang w:val="de-DE"/>
        </w:rPr>
      </w:pPr>
    </w:p>
    <w:p w14:paraId="1B0F6773" w14:textId="77777777" w:rsidR="00FE291A" w:rsidRDefault="00C8738F">
      <w:pPr>
        <w:pStyle w:val="BodyText"/>
        <w:widowControl/>
        <w:kinsoku w:val="0"/>
        <w:overflowPunct w:val="0"/>
        <w:ind w:left="0"/>
        <w:rPr>
          <w:lang w:val="de-DE"/>
        </w:rPr>
      </w:pPr>
      <w:r>
        <w:rPr>
          <w:lang w:val="de-DE"/>
        </w:rPr>
        <w:t xml:space="preserve">Bei erwachsenen Psoriasispatienten betrug unter der Monotherapie mit Adalimumab 40 mg jede zweite Woche die mittlere </w:t>
      </w:r>
      <w:r>
        <w:rPr>
          <w:i/>
          <w:iCs/>
          <w:lang w:val="de-DE"/>
        </w:rPr>
        <w:t>Steady-State</w:t>
      </w:r>
      <w:r>
        <w:rPr>
          <w:lang w:val="de-DE"/>
        </w:rPr>
        <w:t>-Talkonzentration 5 µg/ml.</w:t>
      </w:r>
    </w:p>
    <w:p w14:paraId="3900790D" w14:textId="77777777" w:rsidR="00FE291A" w:rsidRDefault="00FE291A">
      <w:pPr>
        <w:widowControl/>
        <w:kinsoku w:val="0"/>
        <w:overflowPunct w:val="0"/>
        <w:rPr>
          <w:sz w:val="22"/>
          <w:szCs w:val="22"/>
          <w:lang w:val="de-DE"/>
        </w:rPr>
      </w:pPr>
    </w:p>
    <w:p w14:paraId="6230AC21" w14:textId="77777777" w:rsidR="00FE291A" w:rsidRDefault="00C8738F">
      <w:pPr>
        <w:pStyle w:val="BodyText"/>
        <w:widowControl/>
        <w:kinsoku w:val="0"/>
        <w:overflowPunct w:val="0"/>
        <w:ind w:left="0"/>
        <w:rPr>
          <w:lang w:val="de-DE"/>
        </w:rPr>
      </w:pPr>
      <w:r>
        <w:rPr>
          <w:lang w:val="de-DE"/>
        </w:rPr>
        <w:t>Nachdem Kinder und Jugendliche mit chronischer Plaque-Psoriasis jede zweite Woche 0,8 mg Adalimumab/kg (maximal 40 mg) subkutan erhielten, betrugen die mittleren (± SD) Serumtalkonzentrationen von Adalimumab ungefähr 7,4 ± 5,8 </w:t>
      </w:r>
      <w:r>
        <w:rPr>
          <w:color w:val="000000"/>
          <w:lang w:val="de-DE" w:eastAsia="en-GB"/>
        </w:rPr>
        <w:t>µg</w:t>
      </w:r>
      <w:r>
        <w:rPr>
          <w:lang w:val="de-DE"/>
        </w:rPr>
        <w:t>/ml (79 % CV).</w:t>
      </w:r>
    </w:p>
    <w:p w14:paraId="004867FA" w14:textId="77777777" w:rsidR="00FE291A" w:rsidRDefault="00FE291A">
      <w:pPr>
        <w:widowControl/>
        <w:kinsoku w:val="0"/>
        <w:overflowPunct w:val="0"/>
        <w:rPr>
          <w:sz w:val="22"/>
          <w:szCs w:val="22"/>
          <w:lang w:val="de-DE"/>
        </w:rPr>
      </w:pPr>
    </w:p>
    <w:p w14:paraId="74C98A34" w14:textId="77777777" w:rsidR="00FE291A" w:rsidRDefault="00C8738F">
      <w:pPr>
        <w:pStyle w:val="BodyText"/>
        <w:widowControl/>
        <w:kinsoku w:val="0"/>
        <w:overflowPunct w:val="0"/>
        <w:ind w:left="0"/>
        <w:rPr>
          <w:lang w:val="de-DE"/>
        </w:rPr>
      </w:pPr>
      <w:r>
        <w:rPr>
          <w:lang w:val="de-DE"/>
        </w:rPr>
        <w:t>Bei erwachsenen Patienten mit Hidradenitis suppurativa wurden bei einer Dosis von 160 mg Adalimumab in Woche 0, gefolgt von 80 mg in Woche 2, Serumtalkonzentrationen für Adalimumab von etwa 7 bis 8 </w:t>
      </w:r>
      <w:r>
        <w:rPr>
          <w:color w:val="000000"/>
          <w:lang w:val="de-DE" w:eastAsia="en-GB"/>
        </w:rPr>
        <w:t>µg</w:t>
      </w:r>
      <w:r>
        <w:rPr>
          <w:lang w:val="de-DE"/>
        </w:rPr>
        <w:t xml:space="preserve">/ml in Woche 2 und Woche 4 erreicht. Die mittleren </w:t>
      </w:r>
      <w:r>
        <w:rPr>
          <w:i/>
          <w:iCs/>
          <w:lang w:val="de-DE"/>
        </w:rPr>
        <w:t>Steady-State</w:t>
      </w:r>
      <w:r>
        <w:rPr>
          <w:lang w:val="de-DE"/>
        </w:rPr>
        <w:t>-Talkonzentrationen in Woche 12 bis Woche 36 betrugen unter der Behandlung mit Adalimumab 40 mg wöchentlich etwa 8 bis 10 </w:t>
      </w:r>
      <w:r>
        <w:rPr>
          <w:color w:val="000000"/>
          <w:lang w:val="de-DE" w:eastAsia="en-GB"/>
        </w:rPr>
        <w:t>µg</w:t>
      </w:r>
      <w:r>
        <w:rPr>
          <w:lang w:val="de-DE"/>
        </w:rPr>
        <w:t>/ml.</w:t>
      </w:r>
    </w:p>
    <w:p w14:paraId="72C7E96C" w14:textId="77777777" w:rsidR="00FE291A" w:rsidRDefault="00FE291A">
      <w:pPr>
        <w:pStyle w:val="BodyText"/>
        <w:widowControl/>
        <w:kinsoku w:val="0"/>
        <w:overflowPunct w:val="0"/>
        <w:ind w:left="0"/>
        <w:rPr>
          <w:lang w:val="de-DE"/>
        </w:rPr>
      </w:pPr>
    </w:p>
    <w:p w14:paraId="7A52B81C" w14:textId="77777777" w:rsidR="00FE291A" w:rsidRDefault="00C8738F">
      <w:pPr>
        <w:pStyle w:val="BodyText"/>
        <w:widowControl/>
        <w:kinsoku w:val="0"/>
        <w:overflowPunct w:val="0"/>
        <w:ind w:left="0"/>
        <w:rPr>
          <w:lang w:val="de-DE"/>
        </w:rPr>
      </w:pPr>
      <w:r>
        <w:rPr>
          <w:lang w:val="de-DE" w:eastAsia="de-DE"/>
        </w:rPr>
        <w:t>Die Adalimumab-Exposition bei jugendlichen HS-Patienten wurde anhand von pharmakokinetischen Populationsmodellen und von Simulationen auf Basis der indikationsübergreifenden Pharmakokinetik bei anderen Kindern und Jugendlichen (Psoriasis bei Kindern und Jugendlichen, juvenile idiopathische Arthritis, Morbus Crohn bei Kindern und Jugendlichen sowie Enthesitis-assoziierte Arthritis) bestimmt. Das empfohlene Dosierungsschema bei Jugendlichen mit HS ist 40 mg jede zweite Woche. Da die Körpergröße einen möglichen Einfluss auf die Aufnahme von Adalimumab hat, kann für Jugendliche mit einem höheren Körpergewicht und einem nicht ausreichenden Ansprechen auf Adalimumab die empfohlene Erwachsenendosierung von 40 mg wöchentlich von Nutzen sein.</w:t>
      </w:r>
    </w:p>
    <w:p w14:paraId="526E0F52" w14:textId="77777777" w:rsidR="00FE291A" w:rsidRDefault="00FE291A">
      <w:pPr>
        <w:widowControl/>
        <w:kinsoku w:val="0"/>
        <w:overflowPunct w:val="0"/>
        <w:rPr>
          <w:sz w:val="22"/>
          <w:szCs w:val="22"/>
          <w:lang w:val="de-DE"/>
        </w:rPr>
      </w:pPr>
    </w:p>
    <w:p w14:paraId="634E8E16" w14:textId="77777777" w:rsidR="00FE291A" w:rsidRDefault="00C8738F">
      <w:pPr>
        <w:pStyle w:val="BodyText"/>
        <w:widowControl/>
        <w:kinsoku w:val="0"/>
        <w:overflowPunct w:val="0"/>
        <w:ind w:left="0"/>
        <w:rPr>
          <w:lang w:val="de-DE"/>
        </w:rPr>
      </w:pPr>
      <w:r>
        <w:rPr>
          <w:lang w:val="de-DE"/>
        </w:rPr>
        <w:t>Bei Patienten mit Morbus Crohn wurde mit der Induktionsdosis von 80 mg Adalimumab in Woche 0, gefolgt von 40 mg Adalimumab in Woche 2, eine Talkonzentration von Adalimumab im Serum von ca. 5,5 </w:t>
      </w:r>
      <w:r>
        <w:rPr>
          <w:color w:val="000000"/>
          <w:lang w:val="de-DE" w:eastAsia="en-GB"/>
        </w:rPr>
        <w:t>µg</w:t>
      </w:r>
      <w:r>
        <w:rPr>
          <w:lang w:val="de-DE"/>
        </w:rPr>
        <w:t>/ml während der Einleitungstherapie erreicht. Mit einer Induktionsdosis von 160 mg Adalimumab in Woche 0, gefolgt von 80 mg Adalimumab in Woche 2, wurde eine Talkonzentration im Serum von ca. 12 </w:t>
      </w:r>
      <w:r>
        <w:rPr>
          <w:color w:val="000000"/>
          <w:lang w:val="de-DE" w:eastAsia="en-GB"/>
        </w:rPr>
        <w:t>µg</w:t>
      </w:r>
      <w:r>
        <w:rPr>
          <w:lang w:val="de-DE"/>
        </w:rPr>
        <w:t xml:space="preserve">/ml während der Induktionsphase erreicht. Die durchschnittliche </w:t>
      </w:r>
      <w:r>
        <w:rPr>
          <w:i/>
          <w:iCs/>
          <w:lang w:val="de-DE"/>
        </w:rPr>
        <w:t>Steady-State</w:t>
      </w:r>
      <w:r>
        <w:rPr>
          <w:lang w:val="de-DE"/>
        </w:rPr>
        <w:t>-Talkonzentration lag bei ca. 7 </w:t>
      </w:r>
      <w:r>
        <w:rPr>
          <w:color w:val="000000"/>
          <w:lang w:val="de-DE" w:eastAsia="en-GB"/>
        </w:rPr>
        <w:t>µg</w:t>
      </w:r>
      <w:r>
        <w:rPr>
          <w:lang w:val="de-DE"/>
        </w:rPr>
        <w:t>/ml bei Patienten mit Morbus Crohn, die eine Erhaltungsdosis von 40 mg Adalimumab alle zwei Wochen erhielten.</w:t>
      </w:r>
    </w:p>
    <w:p w14:paraId="57ADBEE7" w14:textId="77777777" w:rsidR="00FE291A" w:rsidRDefault="00FE291A">
      <w:pPr>
        <w:widowControl/>
        <w:kinsoku w:val="0"/>
        <w:overflowPunct w:val="0"/>
        <w:rPr>
          <w:sz w:val="22"/>
          <w:szCs w:val="22"/>
          <w:lang w:val="de-DE"/>
        </w:rPr>
      </w:pPr>
    </w:p>
    <w:p w14:paraId="3F8186C0" w14:textId="77777777" w:rsidR="00FE291A" w:rsidRDefault="00C8738F">
      <w:pPr>
        <w:pStyle w:val="BodyText"/>
        <w:widowControl/>
        <w:kinsoku w:val="0"/>
        <w:overflowPunct w:val="0"/>
        <w:ind w:left="0"/>
        <w:rPr>
          <w:lang w:val="de-DE"/>
        </w:rPr>
      </w:pPr>
      <w:r>
        <w:rPr>
          <w:lang w:val="de-DE"/>
        </w:rPr>
        <w:t>Bei Kindern und Jugendlichen mit mittelschwerem bis schwerem Morbus Crohn war die offene Induktionsdosis von Adalimumab 160/80 mg oder 80/40 mg in Woche 0 bzw. 2, abhängig vom Körpergewicht mit einem Schnitt bei 40 kg. In Woche 4 wurden die Patienten auf Basis ihres Körpergewichts 1:1 entweder zur Erhaltungstherapie mit der Standarddosis (40/20 mg jede zweite Woche) oder mit der niedrigen Dosis (20/10 mg jede zweite Woche) randomisiert. Die mittleren (±SD) Serumtalkonzentrationen von Adalimumab, die in Woche 4 erreicht wurden, betrugen für Patienten ≥ 40 kg (160/80 mg) 15,7 ± 6,6 </w:t>
      </w:r>
      <w:r>
        <w:rPr>
          <w:color w:val="000000"/>
          <w:lang w:val="de-DE" w:eastAsia="en-GB"/>
        </w:rPr>
        <w:t>µg</w:t>
      </w:r>
      <w:r>
        <w:rPr>
          <w:lang w:val="de-DE"/>
        </w:rPr>
        <w:t>/ml und für Patienten &lt; 40 kg (80/40 mg) 10,6 ± 6,1 </w:t>
      </w:r>
      <w:r>
        <w:rPr>
          <w:color w:val="000000"/>
          <w:lang w:val="de-DE" w:eastAsia="en-GB"/>
        </w:rPr>
        <w:t>µg</w:t>
      </w:r>
      <w:r>
        <w:rPr>
          <w:lang w:val="de-DE"/>
        </w:rPr>
        <w:t>/ml.</w:t>
      </w:r>
    </w:p>
    <w:p w14:paraId="671B3DA1" w14:textId="77777777" w:rsidR="00FE291A" w:rsidRDefault="00FE291A">
      <w:pPr>
        <w:widowControl/>
        <w:kinsoku w:val="0"/>
        <w:overflowPunct w:val="0"/>
        <w:rPr>
          <w:sz w:val="22"/>
          <w:szCs w:val="22"/>
          <w:lang w:val="de-DE"/>
        </w:rPr>
      </w:pPr>
    </w:p>
    <w:p w14:paraId="1B182714" w14:textId="77777777" w:rsidR="00FE291A" w:rsidRDefault="00C8738F">
      <w:pPr>
        <w:pStyle w:val="BodyText"/>
        <w:widowControl/>
        <w:kinsoku w:val="0"/>
        <w:overflowPunct w:val="0"/>
        <w:ind w:left="0"/>
        <w:rPr>
          <w:lang w:val="de-DE"/>
        </w:rPr>
      </w:pPr>
      <w:r>
        <w:rPr>
          <w:lang w:val="de-DE"/>
        </w:rPr>
        <w:t>Für Patienten, die bei der randomisierten Therapie blieben, betrugen in Woche 52 die mittleren (±SD) Serumtalkonzentrationen von Adalimumab 9,5 ± 5,6 </w:t>
      </w:r>
      <w:r>
        <w:rPr>
          <w:color w:val="000000"/>
          <w:lang w:val="de-DE" w:eastAsia="en-GB"/>
        </w:rPr>
        <w:t>µg</w:t>
      </w:r>
      <w:r>
        <w:rPr>
          <w:lang w:val="de-DE"/>
        </w:rPr>
        <w:t>/ml für die Gruppe mit Standarddosis und 3,5 ± 2,2 </w:t>
      </w:r>
      <w:r>
        <w:rPr>
          <w:color w:val="000000"/>
          <w:lang w:val="de-DE" w:eastAsia="en-GB"/>
        </w:rPr>
        <w:t>µg</w:t>
      </w:r>
      <w:r>
        <w:rPr>
          <w:lang w:val="de-DE"/>
        </w:rPr>
        <w:t>/ml für die Gruppe mit der niedrigen Dosis. Die mittleren Talkonzentrationen blieben bei Patienten, die weiterhin jede zweite Woche eine Adalimumab-Behandlung erhielten, 52 Wochen lang erhalten. Für Patienten mit Dosiseskalation (Verabreichung von jeder zweiten Woche auf wöchentlich) betrugen die mittleren (±SD) Serumtalkonzentrationen von Adalimumab in Woche 52 15,3 ± 11,4 </w:t>
      </w:r>
      <w:r>
        <w:rPr>
          <w:color w:val="000000"/>
          <w:lang w:val="de-DE" w:eastAsia="en-GB"/>
        </w:rPr>
        <w:t>µg</w:t>
      </w:r>
      <w:r>
        <w:rPr>
          <w:lang w:val="de-DE"/>
        </w:rPr>
        <w:t>/ml (40/20 mg, wöchentlich) bzw. 6,7 ± 3,5 </w:t>
      </w:r>
      <w:r>
        <w:rPr>
          <w:color w:val="000000"/>
          <w:lang w:val="de-DE" w:eastAsia="en-GB"/>
        </w:rPr>
        <w:t>µg</w:t>
      </w:r>
      <w:r>
        <w:rPr>
          <w:lang w:val="de-DE"/>
        </w:rPr>
        <w:t>/ml (20/10 mg, wöchentlich).</w:t>
      </w:r>
    </w:p>
    <w:p w14:paraId="089FD8BA" w14:textId="77777777" w:rsidR="00FE291A" w:rsidRDefault="00FE291A">
      <w:pPr>
        <w:widowControl/>
        <w:kinsoku w:val="0"/>
        <w:overflowPunct w:val="0"/>
        <w:rPr>
          <w:sz w:val="22"/>
          <w:szCs w:val="22"/>
          <w:lang w:val="de-DE"/>
        </w:rPr>
      </w:pPr>
    </w:p>
    <w:p w14:paraId="7749FC5B" w14:textId="77777777" w:rsidR="00FE291A" w:rsidRDefault="00C8738F">
      <w:pPr>
        <w:pStyle w:val="BodyText"/>
        <w:widowControl/>
        <w:kinsoku w:val="0"/>
        <w:overflowPunct w:val="0"/>
        <w:ind w:left="0"/>
        <w:rPr>
          <w:lang w:val="de-DE"/>
        </w:rPr>
      </w:pPr>
      <w:r>
        <w:rPr>
          <w:lang w:val="de-DE"/>
        </w:rPr>
        <w:t>Bei Patienten mit Colitis ulcerosa wurde mit der Induktionsdosis von 160 mg Adalimumab in Woche 0, gefolgt von 80 mg Adalimumab in Woche 2, eine Talkonzentration von Adalimumab im Serum von ca. 12 </w:t>
      </w:r>
      <w:r>
        <w:rPr>
          <w:color w:val="000000"/>
          <w:lang w:val="de-DE" w:eastAsia="en-GB"/>
        </w:rPr>
        <w:t>µg</w:t>
      </w:r>
      <w:r>
        <w:rPr>
          <w:lang w:val="de-DE"/>
        </w:rPr>
        <w:t xml:space="preserve">/ml während der Einleitungstherapie erreicht. Die durchschnittliche </w:t>
      </w:r>
      <w:r>
        <w:rPr>
          <w:i/>
          <w:iCs/>
          <w:lang w:val="de-DE"/>
        </w:rPr>
        <w:t>Steady-State</w:t>
      </w:r>
      <w:r>
        <w:rPr>
          <w:lang w:val="de-DE"/>
        </w:rPr>
        <w:t>-Talkonzentration lag bei ca. 8 </w:t>
      </w:r>
      <w:r>
        <w:rPr>
          <w:color w:val="000000"/>
          <w:lang w:val="de-DE" w:eastAsia="en-GB"/>
        </w:rPr>
        <w:t>µg</w:t>
      </w:r>
      <w:r>
        <w:rPr>
          <w:lang w:val="de-DE"/>
        </w:rPr>
        <w:t>/ml bei Patienten mit Colitis ulcerosa, die eine Erhaltungsdosis von 40 mg Adalimumab alle zwei Wochen erhielten.</w:t>
      </w:r>
    </w:p>
    <w:p w14:paraId="6C633660" w14:textId="77777777" w:rsidR="00FE291A" w:rsidRDefault="00FE291A">
      <w:pPr>
        <w:widowControl/>
        <w:kinsoku w:val="0"/>
        <w:overflowPunct w:val="0"/>
        <w:rPr>
          <w:sz w:val="22"/>
          <w:szCs w:val="22"/>
          <w:lang w:val="de-DE"/>
        </w:rPr>
      </w:pPr>
    </w:p>
    <w:p w14:paraId="352A02E0" w14:textId="77777777" w:rsidR="00FE291A" w:rsidRDefault="00C8738F">
      <w:pPr>
        <w:widowControl/>
        <w:kinsoku w:val="0"/>
        <w:overflowPunct w:val="0"/>
        <w:rPr>
          <w:sz w:val="22"/>
          <w:szCs w:val="22"/>
          <w:lang w:val="de-DE"/>
        </w:rPr>
      </w:pPr>
      <w:r>
        <w:rPr>
          <w:sz w:val="22"/>
          <w:szCs w:val="22"/>
          <w:lang w:val="de-DE"/>
        </w:rPr>
        <w:t xml:space="preserve">Nach subkutaner Verabreichung einer körpergewichtsbasierten Dosis von 0,6 mg/kg (maximal 40 mg) jede zweite Woche bei Kindern und Jugendlichen mit Colitis ulcerosa betrug die mittlere </w:t>
      </w:r>
      <w:r>
        <w:rPr>
          <w:i/>
          <w:iCs/>
          <w:sz w:val="22"/>
          <w:szCs w:val="22"/>
          <w:lang w:val="de-DE"/>
        </w:rPr>
        <w:t>Steady-State</w:t>
      </w:r>
      <w:r>
        <w:rPr>
          <w:sz w:val="22"/>
          <w:szCs w:val="22"/>
          <w:lang w:val="de-DE"/>
        </w:rPr>
        <w:t>-Talkonzentration des Adalimumab-Serumspiegels in Woche 52 5,01 ± 3,28 </w:t>
      </w:r>
      <w:r>
        <w:rPr>
          <w:color w:val="000000"/>
          <w:sz w:val="22"/>
          <w:szCs w:val="22"/>
          <w:lang w:val="de-DE" w:eastAsia="en-GB"/>
        </w:rPr>
        <w:t>µg</w:t>
      </w:r>
      <w:r>
        <w:rPr>
          <w:sz w:val="22"/>
          <w:szCs w:val="22"/>
          <w:lang w:val="de-DE"/>
        </w:rPr>
        <w:t xml:space="preserve">/ml. Bei Patienten, die 0,6 mg/kg (maximal 40 mg) wöchentlich erhielten, betrug die mittlere (±SD) </w:t>
      </w:r>
      <w:r>
        <w:rPr>
          <w:i/>
          <w:iCs/>
          <w:sz w:val="22"/>
          <w:szCs w:val="22"/>
          <w:lang w:val="de-DE"/>
        </w:rPr>
        <w:t>Steady-State</w:t>
      </w:r>
      <w:r>
        <w:rPr>
          <w:sz w:val="22"/>
          <w:szCs w:val="22"/>
          <w:lang w:val="de-DE"/>
        </w:rPr>
        <w:t>-Talkonzentration des Adalimumab-Serumspiegels in Woche 52 15,7 ± 5,60 </w:t>
      </w:r>
      <w:r>
        <w:rPr>
          <w:color w:val="000000"/>
          <w:sz w:val="22"/>
          <w:szCs w:val="22"/>
          <w:lang w:val="de-DE" w:eastAsia="en-GB"/>
        </w:rPr>
        <w:t>µg</w:t>
      </w:r>
      <w:r>
        <w:rPr>
          <w:sz w:val="22"/>
          <w:szCs w:val="22"/>
          <w:lang w:val="de-DE"/>
        </w:rPr>
        <w:t>/ml.</w:t>
      </w:r>
    </w:p>
    <w:p w14:paraId="27BD2AE9" w14:textId="77777777" w:rsidR="00FE291A" w:rsidRDefault="00FE291A">
      <w:pPr>
        <w:widowControl/>
        <w:kinsoku w:val="0"/>
        <w:overflowPunct w:val="0"/>
        <w:rPr>
          <w:sz w:val="22"/>
          <w:szCs w:val="22"/>
          <w:lang w:val="de-DE"/>
        </w:rPr>
      </w:pPr>
    </w:p>
    <w:p w14:paraId="1F23F6D3" w14:textId="77777777" w:rsidR="00FE291A" w:rsidRDefault="00C8738F">
      <w:pPr>
        <w:pStyle w:val="BodyText"/>
        <w:widowControl/>
        <w:kinsoku w:val="0"/>
        <w:overflowPunct w:val="0"/>
        <w:ind w:left="0"/>
        <w:rPr>
          <w:lang w:val="de-DE"/>
        </w:rPr>
      </w:pPr>
      <w:r>
        <w:rPr>
          <w:lang w:val="de-DE"/>
        </w:rPr>
        <w:t xml:space="preserve">Bei erwachsenen Patienten mit Uveitis wurde mit einer Induktionsdosis von 80 mg Adalimumab in Woche 0, gefolgt von 40 mg Adalimumab alle zwei Wochen ab Woche 1, eine mittlere </w:t>
      </w:r>
      <w:r>
        <w:rPr>
          <w:i/>
          <w:iCs/>
          <w:lang w:val="de-DE"/>
        </w:rPr>
        <w:t>Steady-State</w:t>
      </w:r>
      <w:r>
        <w:rPr>
          <w:lang w:val="de-DE"/>
        </w:rPr>
        <w:t>-Konzentration von ca. 8 bis 10 </w:t>
      </w:r>
      <w:r>
        <w:rPr>
          <w:color w:val="000000"/>
          <w:lang w:val="de-DE" w:eastAsia="en-GB"/>
        </w:rPr>
        <w:t>µg</w:t>
      </w:r>
      <w:r>
        <w:rPr>
          <w:lang w:val="de-DE"/>
        </w:rPr>
        <w:t>/ml erreicht.</w:t>
      </w:r>
    </w:p>
    <w:p w14:paraId="41C0CFBF" w14:textId="77777777" w:rsidR="00FE291A" w:rsidRDefault="00FE291A">
      <w:pPr>
        <w:pStyle w:val="BodyText"/>
        <w:widowControl/>
        <w:kinsoku w:val="0"/>
        <w:overflowPunct w:val="0"/>
        <w:ind w:left="0"/>
        <w:rPr>
          <w:lang w:val="de-DE"/>
        </w:rPr>
      </w:pPr>
    </w:p>
    <w:p w14:paraId="1CEEBD16" w14:textId="77777777" w:rsidR="00FE291A" w:rsidRDefault="00C8738F">
      <w:pPr>
        <w:pStyle w:val="BodyText"/>
        <w:widowControl/>
        <w:kinsoku w:val="0"/>
        <w:overflowPunct w:val="0"/>
        <w:ind w:left="0"/>
        <w:rPr>
          <w:lang w:val="de-DE"/>
        </w:rPr>
      </w:pPr>
      <w:r>
        <w:rPr>
          <w:rFonts w:cs="Calibri"/>
          <w:lang w:val="de-DE"/>
        </w:rPr>
        <w:t>Die Adalimumab-Exposition bei pädiatrischen Uveitis-Patienten wurde anhand von pharmakokinetischen Populationsmodellen und von Simulationen auf Basis der indikationsübergreifenden Pharmakokinetik bei anderen Kindern und Jugendlichen (Psoriasis bei Kindern und Jugendlichen, juvenile idiopathische Arthritis, Morbus Crohn bei Kindern und Jugendlichen sowie Enthesitis-assoziierte Arthritis) bestimmt. Es gibt keine klinischen Expositionsdaten für die Verwendung einer Induktionsdosis bei Kindern &lt; 6 Jahren. Die prognostizierten Expositionen weisen darauf hin, dass in der Abwesenheit von Methotrexat eine Induktionsdosis zu einem anfänglichen Anstieg der systemischen Exposition führen könnte.</w:t>
      </w:r>
    </w:p>
    <w:p w14:paraId="0DD8C1A6" w14:textId="77777777" w:rsidR="00FE291A" w:rsidRDefault="00FE291A">
      <w:pPr>
        <w:widowControl/>
        <w:kinsoku w:val="0"/>
        <w:overflowPunct w:val="0"/>
        <w:rPr>
          <w:sz w:val="22"/>
          <w:szCs w:val="22"/>
          <w:lang w:val="de-DE"/>
        </w:rPr>
      </w:pPr>
    </w:p>
    <w:p w14:paraId="4F89A9D0" w14:textId="77777777" w:rsidR="00FE291A" w:rsidRDefault="00C8738F">
      <w:pPr>
        <w:widowControl/>
        <w:kinsoku w:val="0"/>
        <w:overflowPunct w:val="0"/>
        <w:rPr>
          <w:sz w:val="22"/>
          <w:szCs w:val="22"/>
          <w:lang w:val="de-DE"/>
        </w:rPr>
      </w:pPr>
      <w:r>
        <w:rPr>
          <w:sz w:val="22"/>
          <w:szCs w:val="22"/>
          <w:lang w:val="de-DE"/>
        </w:rPr>
        <w:t>Pharmakokinetische und pharmakodynamische Modelle und Simulationen sagten für Patienten, die mit 80 mg jede zweite Woche behandelt wurden, eine vergleichbare Adalimumab-Exposition und Wirksamkeit voraus wie bei Patienten, die mit 40 mg jede Woche behandelt wurden (eingeschlossen waren erwachsene Patienten mit rheumatoider Arthritis (RA), Hidradenitis suppurativa (HS), Colitis ulcerosa (CU), Morbus Crohn (MC) oder Psoriasis (Pso), jugendliche Patienten mit HS sowie Kinder und Jugendliche mit MC und CU ≥ 40 kg).</w:t>
      </w:r>
    </w:p>
    <w:p w14:paraId="6F44665A" w14:textId="77777777" w:rsidR="00FE291A" w:rsidRDefault="00FE291A">
      <w:pPr>
        <w:widowControl/>
        <w:kinsoku w:val="0"/>
        <w:overflowPunct w:val="0"/>
        <w:rPr>
          <w:sz w:val="22"/>
          <w:szCs w:val="22"/>
          <w:lang w:val="de-DE"/>
        </w:rPr>
      </w:pPr>
    </w:p>
    <w:p w14:paraId="2E178A13" w14:textId="77777777" w:rsidR="00FE291A" w:rsidRDefault="00C8738F">
      <w:pPr>
        <w:keepNext/>
        <w:keepLines/>
        <w:widowControl/>
        <w:rPr>
          <w:sz w:val="22"/>
          <w:szCs w:val="22"/>
          <w:lang w:val="de-DE"/>
        </w:rPr>
      </w:pPr>
      <w:r>
        <w:rPr>
          <w:sz w:val="22"/>
          <w:szCs w:val="22"/>
          <w:u w:val="single"/>
          <w:lang w:val="de-DE"/>
        </w:rPr>
        <w:t>Dosis-Wirkungsbeziehung bei Kindern und Jugendlichen</w:t>
      </w:r>
    </w:p>
    <w:p w14:paraId="5818CCA6" w14:textId="77777777" w:rsidR="00FE291A" w:rsidRDefault="00FE291A">
      <w:pPr>
        <w:keepNext/>
        <w:keepLines/>
        <w:widowControl/>
        <w:rPr>
          <w:sz w:val="22"/>
          <w:szCs w:val="22"/>
          <w:lang w:val="de-DE"/>
        </w:rPr>
      </w:pPr>
    </w:p>
    <w:p w14:paraId="4A6FDCAA" w14:textId="77777777" w:rsidR="00FE291A" w:rsidRDefault="00C8738F">
      <w:pPr>
        <w:keepNext/>
        <w:keepLines/>
        <w:widowControl/>
        <w:rPr>
          <w:sz w:val="22"/>
          <w:szCs w:val="22"/>
          <w:lang w:val="de-DE"/>
        </w:rPr>
      </w:pPr>
      <w:r>
        <w:rPr>
          <w:sz w:val="22"/>
          <w:szCs w:val="22"/>
          <w:lang w:val="de-DE"/>
        </w:rPr>
        <w:t>Auf Basis klinischer Studiendaten von Patienten mit JIA (pJIA und EAA) wurde eine Dosis-Wirkungsbeziehung zwischen den Plasmakonzentrationen und dem PedACR-50-Ansprechen bestimmt. Die Adalimumab-Plasmakonzentration, die offenbar zur mittleren maximalen Wahrscheinlichkeit eines PedACR-50-Ansprechens (EC</w:t>
      </w:r>
      <w:r>
        <w:rPr>
          <w:sz w:val="22"/>
          <w:szCs w:val="22"/>
          <w:vertAlign w:val="subscript"/>
          <w:lang w:val="de-DE"/>
        </w:rPr>
        <w:t>50</w:t>
      </w:r>
      <w:r>
        <w:rPr>
          <w:sz w:val="22"/>
          <w:szCs w:val="22"/>
          <w:lang w:val="de-DE"/>
        </w:rPr>
        <w:t>) führt, lag bei 3 </w:t>
      </w:r>
      <w:r>
        <w:rPr>
          <w:color w:val="000000"/>
          <w:sz w:val="22"/>
          <w:szCs w:val="22"/>
          <w:lang w:val="de-DE" w:eastAsia="en-GB"/>
        </w:rPr>
        <w:t>µg</w:t>
      </w:r>
      <w:r>
        <w:rPr>
          <w:sz w:val="22"/>
          <w:szCs w:val="22"/>
          <w:lang w:val="de-DE"/>
        </w:rPr>
        <w:t>/ml (95 % KI 1 – 6 </w:t>
      </w:r>
      <w:r>
        <w:rPr>
          <w:color w:val="000000"/>
          <w:sz w:val="22"/>
          <w:szCs w:val="22"/>
          <w:lang w:val="de-DE" w:eastAsia="en-GB"/>
        </w:rPr>
        <w:t>µg</w:t>
      </w:r>
      <w:r>
        <w:rPr>
          <w:sz w:val="22"/>
          <w:szCs w:val="22"/>
          <w:lang w:val="de-DE"/>
        </w:rPr>
        <w:t>/ml).</w:t>
      </w:r>
    </w:p>
    <w:p w14:paraId="40712FDD" w14:textId="77777777" w:rsidR="00FE291A" w:rsidRDefault="00FE291A">
      <w:pPr>
        <w:rPr>
          <w:sz w:val="22"/>
          <w:szCs w:val="22"/>
          <w:lang w:val="de-DE"/>
        </w:rPr>
      </w:pPr>
    </w:p>
    <w:p w14:paraId="5145FD69" w14:textId="77777777" w:rsidR="00FE291A" w:rsidRDefault="00C8738F">
      <w:pPr>
        <w:widowControl/>
        <w:kinsoku w:val="0"/>
        <w:overflowPunct w:val="0"/>
        <w:rPr>
          <w:sz w:val="22"/>
          <w:szCs w:val="22"/>
          <w:lang w:val="de-DE"/>
        </w:rPr>
      </w:pPr>
      <w:r>
        <w:rPr>
          <w:sz w:val="22"/>
          <w:szCs w:val="22"/>
          <w:lang w:val="de-DE"/>
        </w:rPr>
        <w:t>Dosis-Wirkungsbeziehungen zwischen der Adalimumab-Konzentration und der Wirksamkeit bei Kindern und Jugendlichen mit schwerer chronischer Plaque-Psoriasis wurden für den PASI-75 bzw. die PGA-</w:t>
      </w:r>
      <w:r>
        <w:rPr>
          <w:i/>
          <w:iCs/>
          <w:sz w:val="22"/>
          <w:szCs w:val="22"/>
          <w:lang w:val="de-DE"/>
        </w:rPr>
        <w:t>Scores</w:t>
      </w:r>
      <w:r>
        <w:rPr>
          <w:sz w:val="22"/>
          <w:szCs w:val="22"/>
          <w:lang w:val="de-DE"/>
        </w:rPr>
        <w:t xml:space="preserve"> „klares Hautbild“ oder „nahezu klares Hautbild“ festgelegt. Die Häufigkeiten des PASI-75 und der PGA-</w:t>
      </w:r>
      <w:r>
        <w:rPr>
          <w:i/>
          <w:iCs/>
          <w:sz w:val="22"/>
          <w:szCs w:val="22"/>
          <w:lang w:val="de-DE"/>
        </w:rPr>
        <w:t>Scores</w:t>
      </w:r>
      <w:r>
        <w:rPr>
          <w:sz w:val="22"/>
          <w:szCs w:val="22"/>
          <w:lang w:val="de-DE"/>
        </w:rPr>
        <w:t xml:space="preserve"> „klares Hautbild“ oder „nahezu klares Hautbild“ nahmen mit zunehmender Adalimumab-Konzentration zu, beide mit einer offensichtlich vergleichbaren EC</w:t>
      </w:r>
      <w:r>
        <w:rPr>
          <w:sz w:val="22"/>
          <w:szCs w:val="22"/>
          <w:vertAlign w:val="subscript"/>
          <w:lang w:val="de-DE"/>
        </w:rPr>
        <w:t>50</w:t>
      </w:r>
      <w:r>
        <w:rPr>
          <w:sz w:val="22"/>
          <w:szCs w:val="22"/>
          <w:lang w:val="de-DE"/>
        </w:rPr>
        <w:t xml:space="preserve"> von etwa 4,5 </w:t>
      </w:r>
      <w:r>
        <w:rPr>
          <w:color w:val="000000"/>
          <w:sz w:val="22"/>
          <w:szCs w:val="22"/>
          <w:lang w:val="de-DE" w:eastAsia="en-GB"/>
        </w:rPr>
        <w:t>µg</w:t>
      </w:r>
      <w:r>
        <w:rPr>
          <w:sz w:val="22"/>
          <w:szCs w:val="22"/>
          <w:lang w:val="de-DE"/>
        </w:rPr>
        <w:t>/ml (95 % KI 0,4 – 47,6 beziehungsweise 1,9 – 10,5).</w:t>
      </w:r>
    </w:p>
    <w:p w14:paraId="051793F8" w14:textId="77777777" w:rsidR="00FE291A" w:rsidRDefault="00FE291A">
      <w:pPr>
        <w:widowControl/>
        <w:kinsoku w:val="0"/>
        <w:overflowPunct w:val="0"/>
        <w:rPr>
          <w:sz w:val="22"/>
          <w:szCs w:val="22"/>
          <w:lang w:val="de-DE"/>
        </w:rPr>
      </w:pPr>
    </w:p>
    <w:p w14:paraId="74943701" w14:textId="77777777" w:rsidR="00FE291A" w:rsidRDefault="00C8738F">
      <w:pPr>
        <w:pStyle w:val="BodyText"/>
        <w:keepNext/>
        <w:widowControl/>
        <w:kinsoku w:val="0"/>
        <w:overflowPunct w:val="0"/>
        <w:ind w:left="0"/>
        <w:rPr>
          <w:lang w:val="de-DE"/>
        </w:rPr>
      </w:pPr>
      <w:r>
        <w:rPr>
          <w:u w:val="single"/>
          <w:lang w:val="de-DE"/>
        </w:rPr>
        <w:t>Elimination</w:t>
      </w:r>
    </w:p>
    <w:p w14:paraId="750F1E1E" w14:textId="77777777" w:rsidR="00FE291A" w:rsidRDefault="00FE291A">
      <w:pPr>
        <w:keepNext/>
        <w:widowControl/>
        <w:kinsoku w:val="0"/>
        <w:overflowPunct w:val="0"/>
        <w:rPr>
          <w:sz w:val="22"/>
          <w:szCs w:val="22"/>
          <w:lang w:val="de-DE"/>
        </w:rPr>
      </w:pPr>
    </w:p>
    <w:p w14:paraId="60034F5F" w14:textId="77777777" w:rsidR="00FE291A" w:rsidRDefault="00C8738F">
      <w:pPr>
        <w:pStyle w:val="BodyText"/>
        <w:widowControl/>
        <w:kinsoku w:val="0"/>
        <w:overflowPunct w:val="0"/>
        <w:ind w:left="0"/>
        <w:rPr>
          <w:lang w:val="de-DE"/>
        </w:rPr>
      </w:pPr>
      <w:r>
        <w:rPr>
          <w:lang w:val="de-DE"/>
        </w:rPr>
        <w:t>Pharmakokinetische Analysen anhand des Datenbestandes von über 1 300 RA-Patienten ergaben eine Tendenz zu einer höheren scheinbaren Adalimumab-</w:t>
      </w:r>
      <w:r>
        <w:rPr>
          <w:i/>
          <w:iCs/>
          <w:lang w:val="de-DE"/>
        </w:rPr>
        <w:t xml:space="preserve">Clearance </w:t>
      </w:r>
      <w:r>
        <w:rPr>
          <w:lang w:val="de-DE"/>
        </w:rPr>
        <w:t>bei steigendem Körpergewicht. Nach Korrektur hinsichtlich der Gewichtsunterschiede schien der Einfluss von Geschlecht und Alter auf die Adalimumab-</w:t>
      </w:r>
      <w:r>
        <w:rPr>
          <w:i/>
          <w:iCs/>
          <w:lang w:val="de-DE"/>
        </w:rPr>
        <w:t xml:space="preserve">Clearance </w:t>
      </w:r>
      <w:r>
        <w:rPr>
          <w:lang w:val="de-DE"/>
        </w:rPr>
        <w:t>gering zu sein. Die Serumkonzentrationen an freiem, nicht an Anti- Adalimumab-Antikörper (AAA) gebundenem Adalimumab waren niedriger bei Patienten mit messbaren AAA.</w:t>
      </w:r>
    </w:p>
    <w:p w14:paraId="7A08CDB2" w14:textId="77777777" w:rsidR="00FE291A" w:rsidRDefault="00FE291A">
      <w:pPr>
        <w:widowControl/>
        <w:kinsoku w:val="0"/>
        <w:overflowPunct w:val="0"/>
        <w:rPr>
          <w:sz w:val="22"/>
          <w:szCs w:val="22"/>
          <w:lang w:val="de-DE"/>
        </w:rPr>
      </w:pPr>
    </w:p>
    <w:p w14:paraId="3EC80BDE" w14:textId="77777777" w:rsidR="00FE291A" w:rsidRDefault="00C8738F">
      <w:pPr>
        <w:pStyle w:val="BodyText"/>
        <w:keepNext/>
        <w:widowControl/>
        <w:kinsoku w:val="0"/>
        <w:overflowPunct w:val="0"/>
        <w:ind w:left="0"/>
        <w:rPr>
          <w:lang w:val="de-DE"/>
        </w:rPr>
      </w:pPr>
      <w:r>
        <w:rPr>
          <w:u w:val="single"/>
          <w:lang w:val="de-DE"/>
        </w:rPr>
        <w:t>Eingeschränkte Leber- oder Nierenfunktion</w:t>
      </w:r>
    </w:p>
    <w:p w14:paraId="1B7C1433" w14:textId="77777777" w:rsidR="00FE291A" w:rsidRDefault="00FE291A">
      <w:pPr>
        <w:keepNext/>
        <w:widowControl/>
        <w:kinsoku w:val="0"/>
        <w:overflowPunct w:val="0"/>
        <w:rPr>
          <w:sz w:val="22"/>
          <w:szCs w:val="22"/>
          <w:lang w:val="de-DE"/>
        </w:rPr>
      </w:pPr>
    </w:p>
    <w:p w14:paraId="021FA61F" w14:textId="77777777" w:rsidR="00FE291A" w:rsidRDefault="00C8738F">
      <w:pPr>
        <w:pStyle w:val="BodyText"/>
        <w:widowControl/>
        <w:kinsoku w:val="0"/>
        <w:overflowPunct w:val="0"/>
        <w:ind w:left="0"/>
        <w:rPr>
          <w:lang w:val="de-DE"/>
        </w:rPr>
      </w:pPr>
      <w:r>
        <w:rPr>
          <w:lang w:val="de-DE"/>
        </w:rPr>
        <w:t>Adalimumab wurde bei Patienten mit eingeschränkter Leber- oder Nierenfunktion nicht untersucht.</w:t>
      </w:r>
    </w:p>
    <w:p w14:paraId="1334B294" w14:textId="77777777" w:rsidR="00FE291A" w:rsidRDefault="00FE291A">
      <w:pPr>
        <w:widowControl/>
        <w:kinsoku w:val="0"/>
        <w:overflowPunct w:val="0"/>
        <w:rPr>
          <w:sz w:val="22"/>
          <w:szCs w:val="22"/>
          <w:lang w:val="de-DE"/>
        </w:rPr>
      </w:pPr>
    </w:p>
    <w:p w14:paraId="67B39DE6" w14:textId="77777777" w:rsidR="00FE291A" w:rsidRDefault="00C8738F">
      <w:pPr>
        <w:pStyle w:val="Heading1"/>
        <w:keepNext/>
        <w:widowControl/>
        <w:numPr>
          <w:ilvl w:val="1"/>
          <w:numId w:val="16"/>
        </w:numPr>
        <w:tabs>
          <w:tab w:val="left" w:pos="567"/>
        </w:tabs>
        <w:kinsoku w:val="0"/>
        <w:overflowPunct w:val="0"/>
        <w:ind w:left="0" w:firstLine="0"/>
        <w:rPr>
          <w:b w:val="0"/>
          <w:bCs w:val="0"/>
          <w:lang w:val="de-DE"/>
        </w:rPr>
      </w:pPr>
      <w:r>
        <w:rPr>
          <w:lang w:val="de-DE"/>
        </w:rPr>
        <w:t>Präklinische Daten zur Sicherheit</w:t>
      </w:r>
    </w:p>
    <w:p w14:paraId="70BD71FE" w14:textId="77777777" w:rsidR="00FE291A" w:rsidRDefault="00FE291A">
      <w:pPr>
        <w:keepNext/>
        <w:widowControl/>
        <w:kinsoku w:val="0"/>
        <w:overflowPunct w:val="0"/>
        <w:rPr>
          <w:sz w:val="22"/>
          <w:szCs w:val="22"/>
          <w:lang w:val="de-DE"/>
        </w:rPr>
      </w:pPr>
    </w:p>
    <w:p w14:paraId="2ECB1DA1" w14:textId="77777777" w:rsidR="00FE291A" w:rsidRDefault="00C8738F">
      <w:pPr>
        <w:pStyle w:val="BodyText"/>
        <w:widowControl/>
        <w:kinsoku w:val="0"/>
        <w:overflowPunct w:val="0"/>
        <w:ind w:left="0"/>
        <w:rPr>
          <w:lang w:val="de-DE"/>
        </w:rPr>
      </w:pPr>
      <w:r>
        <w:rPr>
          <w:lang w:val="de-DE"/>
        </w:rPr>
        <w:t>Basierend auf den Studien zur Einzeldosistoxizität, Toxizität bei wiederholter Gabe und Genotoxizität lassen die präklinischen Daten keine besondere Gefahren für Menschen erkennen.</w:t>
      </w:r>
    </w:p>
    <w:p w14:paraId="413C62CF" w14:textId="77777777" w:rsidR="00FE291A" w:rsidRDefault="00FE291A">
      <w:pPr>
        <w:widowControl/>
        <w:kinsoku w:val="0"/>
        <w:overflowPunct w:val="0"/>
        <w:rPr>
          <w:sz w:val="22"/>
          <w:szCs w:val="22"/>
          <w:lang w:val="de-DE"/>
        </w:rPr>
      </w:pPr>
    </w:p>
    <w:p w14:paraId="44A77751" w14:textId="77777777" w:rsidR="00FE291A" w:rsidRDefault="00C8738F">
      <w:pPr>
        <w:pStyle w:val="BodyText"/>
        <w:widowControl/>
        <w:kinsoku w:val="0"/>
        <w:overflowPunct w:val="0"/>
        <w:ind w:left="0"/>
        <w:rPr>
          <w:lang w:val="de-DE"/>
        </w:rPr>
      </w:pPr>
      <w:r>
        <w:rPr>
          <w:lang w:val="de-DE"/>
        </w:rPr>
        <w:t>Eine Studie zur Toxizität der embryofetalen/perinatalen Entwicklung wurde bei Cynomolgus-Affen mit 0, 30 und 100 mg/kg (9 – 17 Affen/Gruppe) durchgeführt. Es gab keine Hinweise auf eine Schädigung der Feten durch Adalimumab. Weder Kanzerogenitätsstudien noch eine Standardstudie zur Fertilität und Postnataltoxizität wurden mit Adalimumab durchgeführt, da entsprechende Modelle für einen Antikörper mit begrenzter Kreuzreaktivität mit Nagetier-TNF nicht vorhanden sind und die Entwicklung neutralisierender Antikörper bei Nagetieren fehlt.</w:t>
      </w:r>
    </w:p>
    <w:p w14:paraId="67992947" w14:textId="77777777" w:rsidR="00FE291A" w:rsidRDefault="00FE291A">
      <w:pPr>
        <w:pStyle w:val="BodyText"/>
        <w:widowControl/>
        <w:kinsoku w:val="0"/>
        <w:overflowPunct w:val="0"/>
        <w:ind w:left="0"/>
        <w:rPr>
          <w:lang w:val="de-DE"/>
        </w:rPr>
      </w:pPr>
    </w:p>
    <w:p w14:paraId="79D1743D" w14:textId="77777777" w:rsidR="00FE291A" w:rsidRDefault="00FE291A">
      <w:pPr>
        <w:pStyle w:val="BodyText"/>
        <w:widowControl/>
        <w:kinsoku w:val="0"/>
        <w:overflowPunct w:val="0"/>
        <w:ind w:left="0"/>
        <w:rPr>
          <w:lang w:val="de-DE"/>
        </w:rPr>
      </w:pPr>
    </w:p>
    <w:p w14:paraId="73653421" w14:textId="77777777" w:rsidR="00FE291A" w:rsidRDefault="00C8738F">
      <w:pPr>
        <w:pStyle w:val="Heading1"/>
        <w:keepNext/>
        <w:widowControl/>
        <w:numPr>
          <w:ilvl w:val="0"/>
          <w:numId w:val="14"/>
        </w:numPr>
        <w:tabs>
          <w:tab w:val="left" w:pos="567"/>
        </w:tabs>
        <w:kinsoku w:val="0"/>
        <w:overflowPunct w:val="0"/>
        <w:ind w:left="0" w:firstLine="0"/>
        <w:rPr>
          <w:b w:val="0"/>
          <w:bCs w:val="0"/>
          <w:lang w:val="de-DE"/>
        </w:rPr>
      </w:pPr>
      <w:r>
        <w:rPr>
          <w:lang w:val="de-DE"/>
        </w:rPr>
        <w:t>PHARMAZEUTISCHE ANGABEN</w:t>
      </w:r>
    </w:p>
    <w:p w14:paraId="0C8DCC74" w14:textId="77777777" w:rsidR="00FE291A" w:rsidRDefault="00FE291A">
      <w:pPr>
        <w:keepNext/>
        <w:widowControl/>
        <w:kinsoku w:val="0"/>
        <w:overflowPunct w:val="0"/>
        <w:rPr>
          <w:sz w:val="22"/>
          <w:szCs w:val="26"/>
          <w:lang w:val="de-DE"/>
        </w:rPr>
      </w:pPr>
    </w:p>
    <w:p w14:paraId="36E9385C" w14:textId="77777777" w:rsidR="00FE291A" w:rsidRDefault="00C8738F">
      <w:pPr>
        <w:keepNext/>
        <w:widowControl/>
        <w:numPr>
          <w:ilvl w:val="1"/>
          <w:numId w:val="14"/>
        </w:numPr>
        <w:tabs>
          <w:tab w:val="left" w:pos="567"/>
        </w:tabs>
        <w:kinsoku w:val="0"/>
        <w:overflowPunct w:val="0"/>
        <w:ind w:firstLine="0"/>
        <w:rPr>
          <w:sz w:val="22"/>
          <w:szCs w:val="22"/>
          <w:lang w:val="de-DE"/>
        </w:rPr>
      </w:pPr>
      <w:r>
        <w:rPr>
          <w:b/>
          <w:bCs/>
          <w:sz w:val="22"/>
          <w:szCs w:val="22"/>
          <w:lang w:val="de-DE"/>
        </w:rPr>
        <w:t>Liste der sonstigen Bestandteile</w:t>
      </w:r>
    </w:p>
    <w:p w14:paraId="2C24006F" w14:textId="77777777" w:rsidR="00FE291A" w:rsidRDefault="00FE291A">
      <w:pPr>
        <w:keepNext/>
        <w:widowControl/>
        <w:kinsoku w:val="0"/>
        <w:overflowPunct w:val="0"/>
        <w:rPr>
          <w:sz w:val="22"/>
          <w:szCs w:val="22"/>
          <w:lang w:val="de-DE"/>
        </w:rPr>
      </w:pPr>
    </w:p>
    <w:p w14:paraId="7C316216" w14:textId="77777777" w:rsidR="00FE291A" w:rsidRDefault="00C8738F">
      <w:pPr>
        <w:pStyle w:val="BodyText"/>
        <w:keepNext/>
        <w:widowControl/>
        <w:kinsoku w:val="0"/>
        <w:overflowPunct w:val="0"/>
        <w:ind w:left="0"/>
        <w:rPr>
          <w:lang w:val="de-DE"/>
        </w:rPr>
      </w:pPr>
      <w:r>
        <w:rPr>
          <w:lang w:val="de-DE"/>
        </w:rPr>
        <w:t>(S)-Milchsäure</w:t>
      </w:r>
    </w:p>
    <w:p w14:paraId="0D8CD5F0" w14:textId="77777777" w:rsidR="00FE291A" w:rsidRDefault="00C8738F">
      <w:pPr>
        <w:pStyle w:val="BodyText"/>
        <w:keepNext/>
        <w:widowControl/>
        <w:kinsoku w:val="0"/>
        <w:overflowPunct w:val="0"/>
        <w:ind w:left="0"/>
        <w:rPr>
          <w:lang w:val="de-DE"/>
        </w:rPr>
      </w:pPr>
      <w:r>
        <w:rPr>
          <w:lang w:val="de-DE"/>
        </w:rPr>
        <w:t>Saccharose</w:t>
      </w:r>
    </w:p>
    <w:p w14:paraId="6EF81A0C" w14:textId="77777777" w:rsidR="00FE291A" w:rsidRDefault="00C8738F">
      <w:pPr>
        <w:pStyle w:val="BodyText"/>
        <w:keepNext/>
        <w:widowControl/>
        <w:kinsoku w:val="0"/>
        <w:overflowPunct w:val="0"/>
        <w:ind w:left="0"/>
        <w:rPr>
          <w:lang w:val="de-DE"/>
        </w:rPr>
      </w:pPr>
      <w:r>
        <w:rPr>
          <w:lang w:val="de-DE"/>
        </w:rPr>
        <w:t>Polysorbat 80</w:t>
      </w:r>
    </w:p>
    <w:p w14:paraId="3F0C3199" w14:textId="77777777" w:rsidR="00FE291A" w:rsidRDefault="00C8738F">
      <w:pPr>
        <w:pStyle w:val="BodyText"/>
        <w:keepNext/>
        <w:widowControl/>
        <w:kinsoku w:val="0"/>
        <w:overflowPunct w:val="0"/>
        <w:ind w:left="0"/>
        <w:rPr>
          <w:lang w:val="de-DE"/>
        </w:rPr>
      </w:pPr>
      <w:r>
        <w:rPr>
          <w:lang w:val="de-DE"/>
        </w:rPr>
        <w:t>Natriumhydroxid (zur pH-Wert-Einstellung)</w:t>
      </w:r>
    </w:p>
    <w:p w14:paraId="51D7A282" w14:textId="77777777" w:rsidR="00FE291A" w:rsidRDefault="00C8738F">
      <w:pPr>
        <w:pStyle w:val="BodyText"/>
        <w:keepNext/>
        <w:widowControl/>
        <w:kinsoku w:val="0"/>
        <w:overflowPunct w:val="0"/>
        <w:ind w:left="0"/>
        <w:rPr>
          <w:lang w:val="de-DE"/>
        </w:rPr>
      </w:pPr>
      <w:r>
        <w:rPr>
          <w:lang w:val="de-DE"/>
        </w:rPr>
        <w:t>Wasser für Injektionszwecke</w:t>
      </w:r>
    </w:p>
    <w:p w14:paraId="58822C97" w14:textId="77777777" w:rsidR="00FE291A" w:rsidRDefault="00FE291A">
      <w:pPr>
        <w:widowControl/>
        <w:kinsoku w:val="0"/>
        <w:overflowPunct w:val="0"/>
        <w:rPr>
          <w:sz w:val="22"/>
          <w:szCs w:val="22"/>
          <w:lang w:val="de-DE"/>
        </w:rPr>
      </w:pPr>
    </w:p>
    <w:p w14:paraId="14F5951E" w14:textId="77777777" w:rsidR="00FE291A" w:rsidRDefault="00C8738F">
      <w:pPr>
        <w:pStyle w:val="Heading1"/>
        <w:keepNext/>
        <w:widowControl/>
        <w:numPr>
          <w:ilvl w:val="1"/>
          <w:numId w:val="14"/>
        </w:numPr>
        <w:kinsoku w:val="0"/>
        <w:overflowPunct w:val="0"/>
        <w:ind w:left="567"/>
        <w:rPr>
          <w:b w:val="0"/>
          <w:bCs w:val="0"/>
          <w:lang w:val="de-DE"/>
        </w:rPr>
      </w:pPr>
      <w:r>
        <w:rPr>
          <w:lang w:val="de-DE"/>
        </w:rPr>
        <w:t>Inkompatibilitäten</w:t>
      </w:r>
    </w:p>
    <w:p w14:paraId="2C6667D5" w14:textId="77777777" w:rsidR="00FE291A" w:rsidRDefault="00FE291A">
      <w:pPr>
        <w:keepNext/>
        <w:widowControl/>
        <w:kinsoku w:val="0"/>
        <w:overflowPunct w:val="0"/>
        <w:rPr>
          <w:sz w:val="22"/>
          <w:szCs w:val="26"/>
          <w:lang w:val="de-DE"/>
        </w:rPr>
      </w:pPr>
    </w:p>
    <w:p w14:paraId="6FAA183D" w14:textId="77777777" w:rsidR="00FE291A" w:rsidRDefault="00C8738F">
      <w:pPr>
        <w:pStyle w:val="BodyText"/>
        <w:keepNext/>
        <w:widowControl/>
        <w:kinsoku w:val="0"/>
        <w:overflowPunct w:val="0"/>
        <w:ind w:left="0"/>
        <w:rPr>
          <w:lang w:val="de-DE"/>
        </w:rPr>
      </w:pPr>
      <w:r>
        <w:rPr>
          <w:lang w:val="de-DE"/>
        </w:rPr>
        <w:t>Da keine Kompatibilitätsstudien durchgeführt wurden, darf dieses Arzneimittel nicht mit anderen Arzneimitteln gemischt werden.</w:t>
      </w:r>
    </w:p>
    <w:p w14:paraId="6B70CF66" w14:textId="77777777" w:rsidR="00FE291A" w:rsidRDefault="00FE291A">
      <w:pPr>
        <w:widowControl/>
        <w:kinsoku w:val="0"/>
        <w:overflowPunct w:val="0"/>
        <w:rPr>
          <w:sz w:val="22"/>
          <w:szCs w:val="26"/>
          <w:lang w:val="de-DE"/>
        </w:rPr>
      </w:pPr>
    </w:p>
    <w:p w14:paraId="61D163FA" w14:textId="77777777" w:rsidR="00FE291A" w:rsidRDefault="00C8738F">
      <w:pPr>
        <w:pStyle w:val="Heading1"/>
        <w:keepNext/>
        <w:keepLines/>
        <w:widowControl/>
        <w:numPr>
          <w:ilvl w:val="1"/>
          <w:numId w:val="14"/>
        </w:numPr>
        <w:tabs>
          <w:tab w:val="left" w:pos="567"/>
        </w:tabs>
        <w:kinsoku w:val="0"/>
        <w:overflowPunct w:val="0"/>
        <w:ind w:left="0" w:firstLine="0"/>
        <w:rPr>
          <w:b w:val="0"/>
          <w:bCs w:val="0"/>
          <w:lang w:val="de-DE"/>
        </w:rPr>
      </w:pPr>
      <w:r>
        <w:rPr>
          <w:lang w:val="de-DE"/>
        </w:rPr>
        <w:t>Dauer der Haltbarkeit</w:t>
      </w:r>
    </w:p>
    <w:p w14:paraId="38F56BA0" w14:textId="77777777" w:rsidR="00FE291A" w:rsidRDefault="00FE291A">
      <w:pPr>
        <w:keepNext/>
        <w:widowControl/>
        <w:kinsoku w:val="0"/>
        <w:overflowPunct w:val="0"/>
        <w:rPr>
          <w:sz w:val="22"/>
          <w:szCs w:val="22"/>
          <w:lang w:val="de-DE"/>
        </w:rPr>
      </w:pPr>
    </w:p>
    <w:p w14:paraId="3A2EB1FE" w14:textId="77777777" w:rsidR="00FE291A" w:rsidRDefault="00C8738F">
      <w:pPr>
        <w:pStyle w:val="BodyText"/>
        <w:keepNext/>
        <w:widowControl/>
        <w:kinsoku w:val="0"/>
        <w:overflowPunct w:val="0"/>
        <w:ind w:left="0"/>
        <w:rPr>
          <w:lang w:val="de-DE"/>
        </w:rPr>
      </w:pPr>
      <w:r>
        <w:rPr>
          <w:lang w:val="de-DE"/>
        </w:rPr>
        <w:t>3 Jahre</w:t>
      </w:r>
    </w:p>
    <w:p w14:paraId="2C6F2116" w14:textId="77777777" w:rsidR="00FE291A" w:rsidRDefault="00FE291A">
      <w:pPr>
        <w:widowControl/>
        <w:kinsoku w:val="0"/>
        <w:overflowPunct w:val="0"/>
        <w:rPr>
          <w:sz w:val="22"/>
          <w:szCs w:val="22"/>
          <w:lang w:val="de-DE"/>
        </w:rPr>
      </w:pPr>
    </w:p>
    <w:p w14:paraId="3E550B3B" w14:textId="77777777" w:rsidR="00FE291A" w:rsidRDefault="00C8738F">
      <w:pPr>
        <w:pStyle w:val="Heading1"/>
        <w:keepNext/>
        <w:widowControl/>
        <w:numPr>
          <w:ilvl w:val="1"/>
          <w:numId w:val="14"/>
        </w:numPr>
        <w:tabs>
          <w:tab w:val="left" w:pos="567"/>
        </w:tabs>
        <w:kinsoku w:val="0"/>
        <w:overflowPunct w:val="0"/>
        <w:ind w:left="0" w:firstLine="0"/>
        <w:rPr>
          <w:b w:val="0"/>
          <w:bCs w:val="0"/>
          <w:lang w:val="de-DE"/>
        </w:rPr>
      </w:pPr>
      <w:r>
        <w:rPr>
          <w:lang w:val="de-DE"/>
        </w:rPr>
        <w:t>Besondere Vorsichtsmaßnahmen für die Aufbewahrung</w:t>
      </w:r>
    </w:p>
    <w:p w14:paraId="5F9C9FC9" w14:textId="77777777" w:rsidR="00FE291A" w:rsidRDefault="00FE291A">
      <w:pPr>
        <w:widowControl/>
        <w:kinsoku w:val="0"/>
        <w:overflowPunct w:val="0"/>
        <w:rPr>
          <w:sz w:val="22"/>
          <w:szCs w:val="22"/>
          <w:lang w:val="de-DE"/>
        </w:rPr>
      </w:pPr>
    </w:p>
    <w:p w14:paraId="16AADB8E" w14:textId="77777777" w:rsidR="00FE291A" w:rsidRDefault="00C8738F">
      <w:pPr>
        <w:pStyle w:val="BodyText"/>
        <w:widowControl/>
        <w:kinsoku w:val="0"/>
        <w:overflowPunct w:val="0"/>
        <w:ind w:left="0"/>
        <w:rPr>
          <w:lang w:val="de-DE"/>
        </w:rPr>
      </w:pPr>
      <w:r>
        <w:rPr>
          <w:lang w:val="de-DE"/>
        </w:rPr>
        <w:t>Im Kühlschrank lagern (2 °C – 8 °C).</w:t>
      </w:r>
    </w:p>
    <w:p w14:paraId="33B5A1E4" w14:textId="77777777" w:rsidR="00FE291A" w:rsidRDefault="00C8738F">
      <w:pPr>
        <w:pStyle w:val="BodyText"/>
        <w:widowControl/>
        <w:kinsoku w:val="0"/>
        <w:overflowPunct w:val="0"/>
        <w:ind w:left="0"/>
        <w:rPr>
          <w:lang w:val="de-DE"/>
        </w:rPr>
      </w:pPr>
      <w:r>
        <w:rPr>
          <w:lang w:val="de-DE"/>
        </w:rPr>
        <w:t>Nicht einfrieren.</w:t>
      </w:r>
    </w:p>
    <w:p w14:paraId="5A10705C" w14:textId="77777777" w:rsidR="00FE291A" w:rsidRDefault="00C8738F">
      <w:pPr>
        <w:pStyle w:val="BodyText"/>
        <w:widowControl/>
        <w:kinsoku w:val="0"/>
        <w:overflowPunct w:val="0"/>
        <w:ind w:left="0"/>
        <w:rPr>
          <w:lang w:val="de-DE"/>
        </w:rPr>
      </w:pPr>
      <w:r>
        <w:rPr>
          <w:lang w:val="de-DE"/>
        </w:rPr>
        <w:t>Die Fertigspritze oder den Fertigpen im Umkarton aufbewahren, um den Inhalt vor Licht zu schützen.</w:t>
      </w:r>
    </w:p>
    <w:p w14:paraId="43B34CAB" w14:textId="77777777" w:rsidR="00FE291A" w:rsidRDefault="00FE291A">
      <w:pPr>
        <w:widowControl/>
        <w:kinsoku w:val="0"/>
        <w:overflowPunct w:val="0"/>
        <w:rPr>
          <w:sz w:val="22"/>
          <w:szCs w:val="22"/>
          <w:lang w:val="de-DE"/>
        </w:rPr>
      </w:pPr>
    </w:p>
    <w:p w14:paraId="50910E64" w14:textId="77777777" w:rsidR="00FE291A" w:rsidRDefault="00C8738F">
      <w:pPr>
        <w:pStyle w:val="BodyText"/>
        <w:widowControl/>
        <w:kinsoku w:val="0"/>
        <w:overflowPunct w:val="0"/>
        <w:ind w:left="0"/>
        <w:rPr>
          <w:lang w:val="de-DE"/>
        </w:rPr>
      </w:pPr>
      <w:r>
        <w:rPr>
          <w:lang w:val="de-DE"/>
        </w:rPr>
        <w:t>Die Fertigspritze oder der Fertigpen darf für einen Zeitraum von bis zu 14 Tagen bei Temperaturen bis zu 25 °C gelagert werden. Die Fertigspritze oder der Fertigpen muss vor Licht geschützt aufbewahrt werden und muss entsorgt werden, wenn sie nicht innerhalb dieser 14 Tage verwendet wurden.</w:t>
      </w:r>
    </w:p>
    <w:p w14:paraId="67E1FD19" w14:textId="77777777" w:rsidR="00FE291A" w:rsidRDefault="00FE291A">
      <w:pPr>
        <w:widowControl/>
        <w:kinsoku w:val="0"/>
        <w:overflowPunct w:val="0"/>
        <w:rPr>
          <w:sz w:val="22"/>
          <w:szCs w:val="22"/>
          <w:lang w:val="de-DE"/>
        </w:rPr>
      </w:pPr>
    </w:p>
    <w:p w14:paraId="63B7A210" w14:textId="77777777" w:rsidR="00FE291A" w:rsidRDefault="00C8738F">
      <w:pPr>
        <w:pStyle w:val="Heading1"/>
        <w:keepNext/>
        <w:widowControl/>
        <w:numPr>
          <w:ilvl w:val="1"/>
          <w:numId w:val="14"/>
        </w:numPr>
        <w:tabs>
          <w:tab w:val="left" w:pos="567"/>
        </w:tabs>
        <w:kinsoku w:val="0"/>
        <w:overflowPunct w:val="0"/>
        <w:ind w:left="0" w:firstLine="0"/>
        <w:rPr>
          <w:b w:val="0"/>
          <w:bCs w:val="0"/>
          <w:lang w:val="de-DE"/>
        </w:rPr>
      </w:pPr>
      <w:r>
        <w:rPr>
          <w:lang w:val="de-DE"/>
        </w:rPr>
        <w:t>Art und Inhalt des Behältnisses</w:t>
      </w:r>
    </w:p>
    <w:p w14:paraId="16D134EE" w14:textId="77777777" w:rsidR="00FE291A" w:rsidRDefault="00FE291A">
      <w:pPr>
        <w:keepNext/>
        <w:widowControl/>
        <w:kinsoku w:val="0"/>
        <w:overflowPunct w:val="0"/>
        <w:rPr>
          <w:sz w:val="22"/>
          <w:szCs w:val="22"/>
          <w:lang w:val="de-DE"/>
        </w:rPr>
      </w:pPr>
    </w:p>
    <w:p w14:paraId="72E83E43" w14:textId="77777777" w:rsidR="00FE291A" w:rsidRDefault="00C8738F">
      <w:pPr>
        <w:keepNext/>
        <w:widowControl/>
        <w:kinsoku w:val="0"/>
        <w:overflowPunct w:val="0"/>
        <w:rPr>
          <w:sz w:val="22"/>
          <w:szCs w:val="22"/>
          <w:u w:val="single"/>
          <w:lang w:val="de-DE"/>
        </w:rPr>
      </w:pPr>
      <w:r>
        <w:rPr>
          <w:sz w:val="22"/>
          <w:szCs w:val="22"/>
          <w:u w:val="single"/>
          <w:lang w:val="de-DE"/>
        </w:rPr>
        <w:t>AMGEVITA 20 mg Injektionslösung in einer Fertigspritze</w:t>
      </w:r>
    </w:p>
    <w:p w14:paraId="52A98C32" w14:textId="77777777" w:rsidR="00FE291A" w:rsidRDefault="00FE291A">
      <w:pPr>
        <w:keepNext/>
        <w:widowControl/>
        <w:kinsoku w:val="0"/>
        <w:overflowPunct w:val="0"/>
        <w:rPr>
          <w:sz w:val="22"/>
          <w:szCs w:val="22"/>
          <w:u w:val="single"/>
          <w:lang w:val="de-DE"/>
        </w:rPr>
      </w:pPr>
    </w:p>
    <w:p w14:paraId="4D743DBE" w14:textId="77777777" w:rsidR="00FE291A" w:rsidRDefault="00C8738F">
      <w:pPr>
        <w:pStyle w:val="BodyText"/>
        <w:keepNext/>
        <w:widowControl/>
        <w:kinsoku w:val="0"/>
        <w:overflowPunct w:val="0"/>
        <w:ind w:left="0"/>
        <w:rPr>
          <w:lang w:val="de-DE"/>
        </w:rPr>
      </w:pPr>
      <w:r>
        <w:rPr>
          <w:lang w:val="de-DE"/>
        </w:rPr>
        <w:t>0,2 ml Lösung in einer Fertigspritze (Glas Typ I) mit einem Kolbenstopfen (Brombutylgummi) und einer Nadel aus rostfreiem Stahl mit einem Nadelschutz (thermoplastisches Elastomer).</w:t>
      </w:r>
    </w:p>
    <w:p w14:paraId="7F718B38" w14:textId="77777777" w:rsidR="00FE291A" w:rsidRDefault="00FE291A">
      <w:pPr>
        <w:widowControl/>
        <w:kinsoku w:val="0"/>
        <w:overflowPunct w:val="0"/>
        <w:rPr>
          <w:sz w:val="22"/>
          <w:szCs w:val="22"/>
          <w:lang w:val="de-DE"/>
        </w:rPr>
      </w:pPr>
    </w:p>
    <w:p w14:paraId="41F6E472" w14:textId="77777777" w:rsidR="00FE291A" w:rsidRDefault="00C8738F">
      <w:pPr>
        <w:pStyle w:val="BodyText"/>
        <w:widowControl/>
        <w:kinsoku w:val="0"/>
        <w:overflowPunct w:val="0"/>
        <w:ind w:left="0"/>
        <w:rPr>
          <w:lang w:val="de-DE"/>
        </w:rPr>
      </w:pPr>
      <w:r>
        <w:rPr>
          <w:lang w:val="de-DE"/>
        </w:rPr>
        <w:t>Packungsgröße mit 1 Fertigspritze.</w:t>
      </w:r>
    </w:p>
    <w:p w14:paraId="37A6C20E" w14:textId="77777777" w:rsidR="00FE291A" w:rsidRDefault="00FE291A">
      <w:pPr>
        <w:pStyle w:val="BodyText"/>
        <w:widowControl/>
        <w:kinsoku w:val="0"/>
        <w:overflowPunct w:val="0"/>
        <w:ind w:left="0"/>
        <w:rPr>
          <w:lang w:val="de-DE"/>
        </w:rPr>
      </w:pPr>
    </w:p>
    <w:p w14:paraId="136F685B" w14:textId="77777777" w:rsidR="00FE291A" w:rsidRDefault="00C8738F">
      <w:pPr>
        <w:keepNext/>
        <w:widowControl/>
        <w:kinsoku w:val="0"/>
        <w:overflowPunct w:val="0"/>
        <w:rPr>
          <w:sz w:val="22"/>
          <w:szCs w:val="22"/>
          <w:u w:val="single"/>
          <w:lang w:val="de-DE"/>
        </w:rPr>
      </w:pPr>
      <w:r>
        <w:rPr>
          <w:sz w:val="22"/>
          <w:szCs w:val="22"/>
          <w:u w:val="single"/>
          <w:lang w:val="de-DE"/>
        </w:rPr>
        <w:t>AMGEVITA 40 mg Injektionslösung in einer Fertigspritze</w:t>
      </w:r>
    </w:p>
    <w:p w14:paraId="340339A9" w14:textId="77777777" w:rsidR="00FE291A" w:rsidRDefault="00FE291A">
      <w:pPr>
        <w:keepNext/>
        <w:widowControl/>
        <w:kinsoku w:val="0"/>
        <w:overflowPunct w:val="0"/>
        <w:rPr>
          <w:sz w:val="22"/>
          <w:szCs w:val="22"/>
          <w:u w:val="single"/>
          <w:lang w:val="de-DE"/>
        </w:rPr>
      </w:pPr>
    </w:p>
    <w:p w14:paraId="7AC7D09F" w14:textId="77777777" w:rsidR="00FE291A" w:rsidRDefault="00C8738F">
      <w:pPr>
        <w:pStyle w:val="BodyText"/>
        <w:keepNext/>
        <w:widowControl/>
        <w:kinsoku w:val="0"/>
        <w:overflowPunct w:val="0"/>
        <w:ind w:left="0"/>
        <w:rPr>
          <w:lang w:val="de-DE"/>
        </w:rPr>
      </w:pPr>
      <w:r>
        <w:rPr>
          <w:lang w:val="de-DE"/>
        </w:rPr>
        <w:t>0,4 ml Lösung in einer Fertigspritze (Glas Typ I) mit einem Kolbenstopfen (Brombutylgummi) und einer Nadel aus rostfreiem Stahl mit einem Nadelschutz (thermoplastisches Elastomer).</w:t>
      </w:r>
    </w:p>
    <w:p w14:paraId="5E9B67DC" w14:textId="77777777" w:rsidR="00FE291A" w:rsidRDefault="00FE291A">
      <w:pPr>
        <w:pStyle w:val="BodyText"/>
        <w:widowControl/>
        <w:kinsoku w:val="0"/>
        <w:overflowPunct w:val="0"/>
        <w:ind w:left="0"/>
        <w:rPr>
          <w:lang w:val="de-DE"/>
        </w:rPr>
      </w:pPr>
    </w:p>
    <w:p w14:paraId="0AEC45C1" w14:textId="77777777" w:rsidR="00FE291A" w:rsidRDefault="00C8738F">
      <w:pPr>
        <w:pStyle w:val="BodyText"/>
        <w:widowControl/>
        <w:kinsoku w:val="0"/>
        <w:overflowPunct w:val="0"/>
        <w:ind w:left="0"/>
        <w:rPr>
          <w:lang w:val="de-DE"/>
        </w:rPr>
      </w:pPr>
      <w:r>
        <w:rPr>
          <w:lang w:val="de-DE"/>
        </w:rPr>
        <w:t>Packungsgrößen mit einer, zwei oder Bündelpackung mit 6 (3 Packungen mit je 2) Fertigspritze(n).</w:t>
      </w:r>
    </w:p>
    <w:p w14:paraId="253CC6FF" w14:textId="77777777" w:rsidR="00FE291A" w:rsidRDefault="00C8738F">
      <w:pPr>
        <w:pStyle w:val="BodyText"/>
        <w:widowControl/>
        <w:kinsoku w:val="0"/>
        <w:overflowPunct w:val="0"/>
        <w:ind w:left="0"/>
        <w:rPr>
          <w:lang w:val="de-DE"/>
        </w:rPr>
      </w:pPr>
      <w:r>
        <w:rPr>
          <w:lang w:val="de-DE"/>
        </w:rPr>
        <w:t>Es werden möglicherweise nicht alle Packungsgrößen in den Verkehr gebracht.</w:t>
      </w:r>
    </w:p>
    <w:p w14:paraId="27AADBDC" w14:textId="77777777" w:rsidR="00FE291A" w:rsidRDefault="00FE291A">
      <w:pPr>
        <w:pStyle w:val="BodyText"/>
        <w:widowControl/>
        <w:kinsoku w:val="0"/>
        <w:overflowPunct w:val="0"/>
        <w:ind w:left="0"/>
        <w:rPr>
          <w:lang w:val="de-DE"/>
        </w:rPr>
      </w:pPr>
    </w:p>
    <w:p w14:paraId="60C15BBD" w14:textId="77777777" w:rsidR="00FE291A" w:rsidRDefault="00C8738F">
      <w:pPr>
        <w:keepNext/>
        <w:widowControl/>
        <w:kinsoku w:val="0"/>
        <w:overflowPunct w:val="0"/>
        <w:rPr>
          <w:sz w:val="22"/>
          <w:szCs w:val="22"/>
          <w:u w:val="single"/>
          <w:lang w:val="de-DE"/>
        </w:rPr>
      </w:pPr>
      <w:r>
        <w:rPr>
          <w:sz w:val="22"/>
          <w:szCs w:val="22"/>
          <w:u w:val="single"/>
          <w:lang w:val="de-DE"/>
        </w:rPr>
        <w:t>AMGEVITA 80 mg Injektionslösung in einer Fertigspritze</w:t>
      </w:r>
    </w:p>
    <w:p w14:paraId="74E9532C" w14:textId="77777777" w:rsidR="00FE291A" w:rsidRDefault="00FE291A">
      <w:pPr>
        <w:keepNext/>
        <w:widowControl/>
        <w:kinsoku w:val="0"/>
        <w:overflowPunct w:val="0"/>
        <w:rPr>
          <w:sz w:val="22"/>
          <w:szCs w:val="22"/>
          <w:u w:val="single"/>
          <w:lang w:val="de-DE"/>
        </w:rPr>
      </w:pPr>
    </w:p>
    <w:p w14:paraId="3628C64E" w14:textId="77777777" w:rsidR="00FE291A" w:rsidRDefault="00C8738F">
      <w:pPr>
        <w:pStyle w:val="BodyText"/>
        <w:keepNext/>
        <w:widowControl/>
        <w:kinsoku w:val="0"/>
        <w:overflowPunct w:val="0"/>
        <w:ind w:left="0"/>
        <w:rPr>
          <w:lang w:val="de-DE"/>
        </w:rPr>
      </w:pPr>
      <w:r>
        <w:rPr>
          <w:lang w:val="de-DE"/>
        </w:rPr>
        <w:t>0,8 ml Lösung in einer Fertigspritze (Glas Typ I) mit einem Kolbenstopfen (Brombutylgummi) und einer Nadel aus rostfreiem Stahl mit einem Nadelschutz (thermoplastisches Elastomer).</w:t>
      </w:r>
    </w:p>
    <w:p w14:paraId="554C79F9" w14:textId="77777777" w:rsidR="00FE291A" w:rsidRDefault="00FE291A">
      <w:pPr>
        <w:pStyle w:val="BodyText"/>
        <w:widowControl/>
        <w:kinsoku w:val="0"/>
        <w:overflowPunct w:val="0"/>
        <w:ind w:left="0"/>
        <w:rPr>
          <w:lang w:val="de-DE"/>
        </w:rPr>
      </w:pPr>
    </w:p>
    <w:p w14:paraId="71F024EA" w14:textId="77777777" w:rsidR="00FE291A" w:rsidRDefault="00C8738F">
      <w:pPr>
        <w:pStyle w:val="BodyText"/>
        <w:widowControl/>
        <w:kinsoku w:val="0"/>
        <w:overflowPunct w:val="0"/>
        <w:ind w:left="0"/>
        <w:rPr>
          <w:lang w:val="de-DE"/>
        </w:rPr>
      </w:pPr>
      <w:r>
        <w:rPr>
          <w:lang w:val="de-DE"/>
        </w:rPr>
        <w:t>Packungsgrößen mit einer, zwei oder Bündelpackung mit 3 (3 Packungen mit je 1) Fertigspritze(n).</w:t>
      </w:r>
    </w:p>
    <w:p w14:paraId="24C50E95" w14:textId="77777777" w:rsidR="00FE291A" w:rsidRDefault="00C8738F">
      <w:pPr>
        <w:pStyle w:val="BodyText"/>
        <w:widowControl/>
        <w:kinsoku w:val="0"/>
        <w:overflowPunct w:val="0"/>
        <w:ind w:left="0"/>
        <w:rPr>
          <w:lang w:val="de-DE"/>
        </w:rPr>
      </w:pPr>
      <w:r>
        <w:rPr>
          <w:lang w:val="de-DE"/>
        </w:rPr>
        <w:t>Es werden möglicherweise nicht alle Packungsgrößen in den Verkehr gebracht.</w:t>
      </w:r>
    </w:p>
    <w:p w14:paraId="36CD416C" w14:textId="77777777" w:rsidR="00FE291A" w:rsidRDefault="00FE291A">
      <w:pPr>
        <w:keepNext/>
        <w:widowControl/>
        <w:kinsoku w:val="0"/>
        <w:overflowPunct w:val="0"/>
        <w:rPr>
          <w:sz w:val="22"/>
          <w:szCs w:val="22"/>
          <w:u w:val="single"/>
          <w:lang w:val="de-DE"/>
        </w:rPr>
      </w:pPr>
    </w:p>
    <w:p w14:paraId="7B539729" w14:textId="77777777" w:rsidR="00FE291A" w:rsidRDefault="00C8738F">
      <w:pPr>
        <w:keepNext/>
        <w:widowControl/>
        <w:kinsoku w:val="0"/>
        <w:overflowPunct w:val="0"/>
        <w:rPr>
          <w:sz w:val="22"/>
          <w:szCs w:val="22"/>
          <w:u w:val="single"/>
          <w:lang w:val="de-DE"/>
        </w:rPr>
      </w:pPr>
      <w:r>
        <w:rPr>
          <w:sz w:val="22"/>
          <w:szCs w:val="22"/>
          <w:u w:val="single"/>
          <w:lang w:val="de-DE"/>
        </w:rPr>
        <w:t>AMGEVITA 40 mg Injektionslösung im Fertigpen</w:t>
      </w:r>
    </w:p>
    <w:p w14:paraId="50DAF24F" w14:textId="77777777" w:rsidR="00FE291A" w:rsidRDefault="00FE291A">
      <w:pPr>
        <w:keepNext/>
        <w:widowControl/>
        <w:kinsoku w:val="0"/>
        <w:overflowPunct w:val="0"/>
        <w:rPr>
          <w:sz w:val="22"/>
          <w:szCs w:val="22"/>
          <w:u w:val="single"/>
          <w:lang w:val="de-DE"/>
        </w:rPr>
      </w:pPr>
    </w:p>
    <w:p w14:paraId="7A8EA89F" w14:textId="77777777" w:rsidR="00FE291A" w:rsidRDefault="00C8738F">
      <w:pPr>
        <w:pStyle w:val="BodyText"/>
        <w:keepNext/>
        <w:widowControl/>
        <w:kinsoku w:val="0"/>
        <w:overflowPunct w:val="0"/>
        <w:ind w:left="0"/>
        <w:rPr>
          <w:lang w:val="de-DE"/>
        </w:rPr>
      </w:pPr>
      <w:r>
        <w:rPr>
          <w:lang w:val="de-DE"/>
        </w:rPr>
        <w:t>0,4 ml Injektionslösung im Fertigpen, der eine Fertigspritze (Glas Typ I) enthält, zur Anwendung durch Patienten. Der Pen ist eine wegwerfbare, handgeführte und mechanische Injektionsvorrichtung zum Einmalgebrauch. Die Nadelschutzkappe des Fertigpens ist aus synthetischem Kautschuk hergestellt.</w:t>
      </w:r>
    </w:p>
    <w:p w14:paraId="4DE7D97E" w14:textId="77777777" w:rsidR="00FE291A" w:rsidRDefault="00FE291A">
      <w:pPr>
        <w:pStyle w:val="BodyText"/>
        <w:widowControl/>
        <w:kinsoku w:val="0"/>
        <w:overflowPunct w:val="0"/>
        <w:ind w:left="0"/>
        <w:rPr>
          <w:lang w:val="de-DE"/>
        </w:rPr>
      </w:pPr>
    </w:p>
    <w:p w14:paraId="528F88D2" w14:textId="77777777" w:rsidR="00FE291A" w:rsidRDefault="00C8738F">
      <w:pPr>
        <w:pStyle w:val="BodyText"/>
        <w:widowControl/>
        <w:kinsoku w:val="0"/>
        <w:overflowPunct w:val="0"/>
        <w:ind w:left="0"/>
        <w:rPr>
          <w:lang w:val="de-DE"/>
        </w:rPr>
      </w:pPr>
      <w:r>
        <w:rPr>
          <w:lang w:val="de-DE"/>
        </w:rPr>
        <w:t>Packungsgrößen mit einem, zwei oder Bündelpackung mit 6 (3 Packungen mit je 2) Fertigpen(s).</w:t>
      </w:r>
    </w:p>
    <w:p w14:paraId="6780B628" w14:textId="77777777" w:rsidR="00FE291A" w:rsidRDefault="00C8738F">
      <w:pPr>
        <w:pStyle w:val="BodyText"/>
        <w:widowControl/>
        <w:kinsoku w:val="0"/>
        <w:overflowPunct w:val="0"/>
        <w:ind w:left="0"/>
        <w:rPr>
          <w:lang w:val="de-DE"/>
        </w:rPr>
      </w:pPr>
      <w:r>
        <w:rPr>
          <w:lang w:val="de-DE"/>
        </w:rPr>
        <w:t>Es werden möglicherweise nicht alle Packungsgrößen in den Verkehr gebracht.</w:t>
      </w:r>
    </w:p>
    <w:p w14:paraId="4FD8FC84" w14:textId="77777777" w:rsidR="00FE291A" w:rsidRDefault="00FE291A">
      <w:pPr>
        <w:keepNext/>
        <w:widowControl/>
        <w:kinsoku w:val="0"/>
        <w:overflowPunct w:val="0"/>
        <w:rPr>
          <w:sz w:val="22"/>
          <w:szCs w:val="22"/>
          <w:u w:val="single"/>
          <w:lang w:val="de-DE"/>
        </w:rPr>
      </w:pPr>
    </w:p>
    <w:p w14:paraId="525C2194" w14:textId="77777777" w:rsidR="00FE291A" w:rsidRDefault="00C8738F">
      <w:pPr>
        <w:keepNext/>
        <w:widowControl/>
        <w:kinsoku w:val="0"/>
        <w:overflowPunct w:val="0"/>
        <w:rPr>
          <w:sz w:val="22"/>
          <w:szCs w:val="22"/>
          <w:u w:val="single"/>
          <w:lang w:val="de-DE"/>
        </w:rPr>
      </w:pPr>
      <w:r>
        <w:rPr>
          <w:sz w:val="22"/>
          <w:szCs w:val="22"/>
          <w:u w:val="single"/>
          <w:lang w:val="de-DE"/>
        </w:rPr>
        <w:t>AMGEVITA 80 mg Injektionslösung im Fertigpen</w:t>
      </w:r>
    </w:p>
    <w:p w14:paraId="33810B80" w14:textId="77777777" w:rsidR="00FE291A" w:rsidRDefault="00FE291A">
      <w:pPr>
        <w:keepNext/>
        <w:widowControl/>
        <w:kinsoku w:val="0"/>
        <w:overflowPunct w:val="0"/>
        <w:rPr>
          <w:sz w:val="22"/>
          <w:szCs w:val="22"/>
          <w:u w:val="single"/>
          <w:lang w:val="de-DE"/>
        </w:rPr>
      </w:pPr>
    </w:p>
    <w:p w14:paraId="78A2F414" w14:textId="77777777" w:rsidR="00FE291A" w:rsidRDefault="00C8738F">
      <w:pPr>
        <w:pStyle w:val="BodyText"/>
        <w:keepNext/>
        <w:widowControl/>
        <w:kinsoku w:val="0"/>
        <w:overflowPunct w:val="0"/>
        <w:ind w:left="0"/>
        <w:rPr>
          <w:lang w:val="de-DE"/>
        </w:rPr>
      </w:pPr>
      <w:r>
        <w:rPr>
          <w:lang w:val="de-DE"/>
        </w:rPr>
        <w:t>0,8 ml Injektionslösung im Fertigpen, der eine Fertigspritze (Glas Typ I) enthält, zur Anwendung durch Patienten. Der Pen ist eine wegwerfbare, handgeführte und mechanische Injektionsvorrichtung zum Einmalgebrauch. Die Nadelschutzkappe des Fertigpens ist aus synthetischem Kautschuk hergestellt.</w:t>
      </w:r>
    </w:p>
    <w:p w14:paraId="1E7AA784" w14:textId="77777777" w:rsidR="00FE291A" w:rsidRDefault="00FE291A">
      <w:pPr>
        <w:pStyle w:val="BodyText"/>
        <w:widowControl/>
        <w:kinsoku w:val="0"/>
        <w:overflowPunct w:val="0"/>
        <w:ind w:left="0"/>
        <w:rPr>
          <w:lang w:val="de-DE"/>
        </w:rPr>
      </w:pPr>
    </w:p>
    <w:p w14:paraId="62793D5B" w14:textId="77777777" w:rsidR="00FE291A" w:rsidRDefault="00C8738F">
      <w:pPr>
        <w:pStyle w:val="BodyText"/>
        <w:widowControl/>
        <w:kinsoku w:val="0"/>
        <w:overflowPunct w:val="0"/>
        <w:ind w:left="0"/>
        <w:rPr>
          <w:lang w:val="de-DE"/>
        </w:rPr>
      </w:pPr>
      <w:r>
        <w:rPr>
          <w:lang w:val="de-DE"/>
        </w:rPr>
        <w:t>Packungsgrößen mit einem, zwei oder Bündelpackung mit 3 (3 Packungen mit je 1) Fertigpen(s).</w:t>
      </w:r>
    </w:p>
    <w:p w14:paraId="6033B40F" w14:textId="77777777" w:rsidR="00FE291A" w:rsidRDefault="00C8738F">
      <w:pPr>
        <w:pStyle w:val="BodyText"/>
        <w:widowControl/>
        <w:kinsoku w:val="0"/>
        <w:overflowPunct w:val="0"/>
        <w:ind w:left="0"/>
        <w:rPr>
          <w:lang w:val="de-DE"/>
        </w:rPr>
      </w:pPr>
      <w:r>
        <w:rPr>
          <w:lang w:val="de-DE"/>
        </w:rPr>
        <w:t>Es werden möglicherweise nicht alle Packungsgrößen in den Verkehr gebracht.</w:t>
      </w:r>
    </w:p>
    <w:p w14:paraId="3A8F81C9" w14:textId="77777777" w:rsidR="00FE291A" w:rsidRDefault="00FE291A">
      <w:pPr>
        <w:pStyle w:val="BodyText"/>
        <w:widowControl/>
        <w:tabs>
          <w:tab w:val="left" w:pos="684"/>
        </w:tabs>
        <w:kinsoku w:val="0"/>
        <w:overflowPunct w:val="0"/>
        <w:ind w:left="0"/>
        <w:rPr>
          <w:lang w:val="de-DE"/>
        </w:rPr>
      </w:pPr>
    </w:p>
    <w:p w14:paraId="2E72C9CC" w14:textId="77777777" w:rsidR="00FE291A" w:rsidRDefault="00C8738F">
      <w:pPr>
        <w:pStyle w:val="Heading1"/>
        <w:widowControl/>
        <w:numPr>
          <w:ilvl w:val="1"/>
          <w:numId w:val="14"/>
        </w:numPr>
        <w:tabs>
          <w:tab w:val="left" w:pos="567"/>
        </w:tabs>
        <w:kinsoku w:val="0"/>
        <w:overflowPunct w:val="0"/>
        <w:ind w:left="567"/>
        <w:rPr>
          <w:b w:val="0"/>
          <w:bCs w:val="0"/>
          <w:lang w:val="de-DE"/>
        </w:rPr>
      </w:pPr>
      <w:r>
        <w:rPr>
          <w:lang w:val="de-DE"/>
        </w:rPr>
        <w:t>Besondere Vorsichtsmaßnahmen für die Beseitigung und sonstige Hinweise zur Handhabung</w:t>
      </w:r>
    </w:p>
    <w:p w14:paraId="04B45F6B" w14:textId="77777777" w:rsidR="00FE291A" w:rsidRDefault="00FE291A">
      <w:pPr>
        <w:widowControl/>
        <w:kinsoku w:val="0"/>
        <w:overflowPunct w:val="0"/>
        <w:rPr>
          <w:sz w:val="22"/>
          <w:szCs w:val="22"/>
          <w:lang w:val="de-DE"/>
        </w:rPr>
      </w:pPr>
    </w:p>
    <w:p w14:paraId="16BD4A37" w14:textId="77777777" w:rsidR="00FE291A" w:rsidRDefault="00C8738F">
      <w:pPr>
        <w:pStyle w:val="BodyText"/>
        <w:widowControl/>
        <w:kinsoku w:val="0"/>
        <w:overflowPunct w:val="0"/>
        <w:ind w:left="0"/>
        <w:rPr>
          <w:lang w:val="de-DE"/>
        </w:rPr>
      </w:pPr>
      <w:r>
        <w:rPr>
          <w:lang w:val="de-DE"/>
        </w:rPr>
        <w:t>Nicht verwendetes Arzneimittel oder Abfallmaterial sind entsprechend den nationalen Anforderungen zu beseitigen.</w:t>
      </w:r>
    </w:p>
    <w:p w14:paraId="76D4D840" w14:textId="77777777" w:rsidR="00FE291A" w:rsidRDefault="00FE291A">
      <w:pPr>
        <w:widowControl/>
        <w:kinsoku w:val="0"/>
        <w:overflowPunct w:val="0"/>
        <w:rPr>
          <w:sz w:val="22"/>
          <w:szCs w:val="22"/>
          <w:lang w:val="de-DE"/>
        </w:rPr>
      </w:pPr>
    </w:p>
    <w:p w14:paraId="5E78F8E6" w14:textId="77777777" w:rsidR="00FE291A" w:rsidRDefault="00FE291A">
      <w:pPr>
        <w:widowControl/>
        <w:kinsoku w:val="0"/>
        <w:overflowPunct w:val="0"/>
        <w:rPr>
          <w:sz w:val="22"/>
          <w:szCs w:val="22"/>
          <w:lang w:val="de-DE"/>
        </w:rPr>
      </w:pPr>
    </w:p>
    <w:p w14:paraId="61F16DE3" w14:textId="77777777" w:rsidR="00FE291A" w:rsidRDefault="00C8738F">
      <w:pPr>
        <w:pStyle w:val="Heading1"/>
        <w:keepNext/>
        <w:keepLines/>
        <w:widowControl/>
        <w:numPr>
          <w:ilvl w:val="0"/>
          <w:numId w:val="14"/>
        </w:numPr>
        <w:tabs>
          <w:tab w:val="left" w:pos="567"/>
        </w:tabs>
        <w:kinsoku w:val="0"/>
        <w:overflowPunct w:val="0"/>
        <w:ind w:left="567" w:hanging="567"/>
        <w:rPr>
          <w:b w:val="0"/>
          <w:bCs w:val="0"/>
          <w:lang w:val="de-DE"/>
        </w:rPr>
      </w:pPr>
      <w:r>
        <w:rPr>
          <w:lang w:val="de-DE"/>
        </w:rPr>
        <w:t>INHABER DER ZULASSUNG</w:t>
      </w:r>
    </w:p>
    <w:p w14:paraId="0611919C" w14:textId="77777777" w:rsidR="00FE291A" w:rsidRDefault="00FE291A">
      <w:pPr>
        <w:keepNext/>
        <w:keepLines/>
        <w:widowControl/>
        <w:kinsoku w:val="0"/>
        <w:overflowPunct w:val="0"/>
        <w:rPr>
          <w:sz w:val="22"/>
          <w:szCs w:val="22"/>
          <w:lang w:val="de-DE"/>
        </w:rPr>
      </w:pPr>
    </w:p>
    <w:p w14:paraId="6B0BAF9D" w14:textId="77777777" w:rsidR="00FE291A" w:rsidRDefault="00C8738F">
      <w:pPr>
        <w:pStyle w:val="BodyText"/>
        <w:keepNext/>
        <w:widowControl/>
        <w:kinsoku w:val="0"/>
        <w:overflowPunct w:val="0"/>
        <w:ind w:left="0"/>
        <w:rPr>
          <w:lang w:val="de-DE"/>
        </w:rPr>
      </w:pPr>
      <w:r>
        <w:rPr>
          <w:lang w:val="de-DE"/>
        </w:rPr>
        <w:t>Amgen Europe B.V.</w:t>
      </w:r>
    </w:p>
    <w:p w14:paraId="3A5CFEBD" w14:textId="77777777" w:rsidR="00FE291A" w:rsidRDefault="00C8738F">
      <w:pPr>
        <w:pStyle w:val="BodyText"/>
        <w:keepNext/>
        <w:widowControl/>
        <w:kinsoku w:val="0"/>
        <w:overflowPunct w:val="0"/>
        <w:ind w:left="0"/>
        <w:rPr>
          <w:lang w:val="de-DE"/>
        </w:rPr>
      </w:pPr>
      <w:r>
        <w:rPr>
          <w:lang w:val="de-DE"/>
        </w:rPr>
        <w:t>Minervum 7061</w:t>
      </w:r>
    </w:p>
    <w:p w14:paraId="1CA5774C" w14:textId="77777777" w:rsidR="00FE291A" w:rsidRDefault="00C8738F">
      <w:pPr>
        <w:pStyle w:val="BodyText"/>
        <w:keepNext/>
        <w:widowControl/>
        <w:kinsoku w:val="0"/>
        <w:overflowPunct w:val="0"/>
        <w:ind w:left="0"/>
        <w:rPr>
          <w:lang w:val="de-DE"/>
        </w:rPr>
      </w:pPr>
      <w:r>
        <w:rPr>
          <w:lang w:val="de-DE"/>
        </w:rPr>
        <w:t>4817 ZK Breda</w:t>
      </w:r>
    </w:p>
    <w:p w14:paraId="12DE61E6" w14:textId="77777777" w:rsidR="00FE291A" w:rsidRDefault="00C8738F">
      <w:pPr>
        <w:pStyle w:val="BodyText"/>
        <w:widowControl/>
        <w:kinsoku w:val="0"/>
        <w:overflowPunct w:val="0"/>
        <w:ind w:left="0"/>
        <w:rPr>
          <w:lang w:val="de-DE"/>
        </w:rPr>
      </w:pPr>
      <w:r>
        <w:rPr>
          <w:lang w:val="de-DE"/>
        </w:rPr>
        <w:t>Niederlande</w:t>
      </w:r>
    </w:p>
    <w:p w14:paraId="785E6C60" w14:textId="77777777" w:rsidR="00FE291A" w:rsidRDefault="00FE291A">
      <w:pPr>
        <w:pStyle w:val="BodyText"/>
        <w:widowControl/>
        <w:kinsoku w:val="0"/>
        <w:overflowPunct w:val="0"/>
        <w:ind w:left="0"/>
        <w:rPr>
          <w:lang w:val="de-DE"/>
        </w:rPr>
      </w:pPr>
    </w:p>
    <w:p w14:paraId="59708513" w14:textId="77777777" w:rsidR="00FE291A" w:rsidRDefault="00FE291A">
      <w:pPr>
        <w:pStyle w:val="BodyText"/>
        <w:widowControl/>
        <w:kinsoku w:val="0"/>
        <w:overflowPunct w:val="0"/>
        <w:ind w:left="0"/>
        <w:rPr>
          <w:lang w:val="de-DE"/>
        </w:rPr>
      </w:pPr>
    </w:p>
    <w:p w14:paraId="4CAE20D0" w14:textId="77777777" w:rsidR="00FE291A" w:rsidRDefault="00C8738F">
      <w:pPr>
        <w:pStyle w:val="Heading1"/>
        <w:keepNext/>
        <w:widowControl/>
        <w:numPr>
          <w:ilvl w:val="0"/>
          <w:numId w:val="14"/>
        </w:numPr>
        <w:tabs>
          <w:tab w:val="left" w:pos="567"/>
        </w:tabs>
        <w:kinsoku w:val="0"/>
        <w:overflowPunct w:val="0"/>
        <w:ind w:left="567" w:hanging="567"/>
        <w:rPr>
          <w:b w:val="0"/>
          <w:bCs w:val="0"/>
          <w:lang w:val="de-DE"/>
        </w:rPr>
      </w:pPr>
      <w:r>
        <w:rPr>
          <w:lang w:val="de-DE"/>
        </w:rPr>
        <w:t>ZULASSUNGSNUMMERN</w:t>
      </w:r>
    </w:p>
    <w:p w14:paraId="4F2DAF84" w14:textId="77777777" w:rsidR="00FE291A" w:rsidRDefault="00FE291A">
      <w:pPr>
        <w:keepNext/>
        <w:widowControl/>
        <w:kinsoku w:val="0"/>
        <w:overflowPunct w:val="0"/>
        <w:rPr>
          <w:sz w:val="22"/>
          <w:szCs w:val="22"/>
          <w:u w:val="single"/>
          <w:lang w:val="de-DE"/>
        </w:rPr>
      </w:pPr>
    </w:p>
    <w:p w14:paraId="26B340A2" w14:textId="77777777" w:rsidR="00FE291A" w:rsidRDefault="00C8738F">
      <w:pPr>
        <w:widowControl/>
        <w:kinsoku w:val="0"/>
        <w:overflowPunct w:val="0"/>
        <w:rPr>
          <w:sz w:val="22"/>
          <w:szCs w:val="22"/>
          <w:u w:val="single"/>
          <w:lang w:val="de-DE"/>
        </w:rPr>
      </w:pPr>
      <w:r>
        <w:rPr>
          <w:sz w:val="22"/>
          <w:szCs w:val="22"/>
          <w:u w:val="single"/>
          <w:lang w:val="de-DE"/>
        </w:rPr>
        <w:t>AMGEVITA 20 mg Injektionslösung in einer Fertigspritze</w:t>
      </w:r>
    </w:p>
    <w:p w14:paraId="45C34CFC" w14:textId="77777777" w:rsidR="00FE291A" w:rsidRDefault="00FE291A">
      <w:pPr>
        <w:widowControl/>
        <w:kinsoku w:val="0"/>
        <w:overflowPunct w:val="0"/>
        <w:rPr>
          <w:sz w:val="22"/>
          <w:szCs w:val="22"/>
          <w:u w:val="single"/>
          <w:lang w:val="de-DE"/>
        </w:rPr>
      </w:pPr>
    </w:p>
    <w:p w14:paraId="706D39FC" w14:textId="77777777" w:rsidR="00FE291A" w:rsidRDefault="00C8738F">
      <w:pPr>
        <w:widowControl/>
        <w:kinsoku w:val="0"/>
        <w:overflowPunct w:val="0"/>
        <w:rPr>
          <w:sz w:val="22"/>
          <w:szCs w:val="22"/>
          <w:lang w:val="de-DE"/>
        </w:rPr>
      </w:pPr>
      <w:r>
        <w:rPr>
          <w:sz w:val="22"/>
          <w:szCs w:val="22"/>
          <w:lang w:val="de-DE"/>
        </w:rPr>
        <w:t>EU/1/16/1164/010 – 1er Packung</w:t>
      </w:r>
    </w:p>
    <w:p w14:paraId="29565B9B" w14:textId="77777777" w:rsidR="00FE291A" w:rsidRDefault="00FE291A">
      <w:pPr>
        <w:widowControl/>
        <w:kinsoku w:val="0"/>
        <w:overflowPunct w:val="0"/>
        <w:rPr>
          <w:sz w:val="22"/>
          <w:szCs w:val="22"/>
          <w:lang w:val="de-DE"/>
        </w:rPr>
      </w:pPr>
    </w:p>
    <w:p w14:paraId="710501E0" w14:textId="77777777" w:rsidR="00FE291A" w:rsidRDefault="00C8738F">
      <w:pPr>
        <w:widowControl/>
        <w:kinsoku w:val="0"/>
        <w:overflowPunct w:val="0"/>
        <w:rPr>
          <w:sz w:val="22"/>
          <w:szCs w:val="22"/>
          <w:u w:val="single"/>
          <w:lang w:val="de-DE"/>
        </w:rPr>
      </w:pPr>
      <w:r>
        <w:rPr>
          <w:sz w:val="22"/>
          <w:szCs w:val="22"/>
          <w:u w:val="single"/>
          <w:lang w:val="de-DE"/>
        </w:rPr>
        <w:t>AMGEVITA 40 mg Injektionslösung in einer Fertigspritze</w:t>
      </w:r>
    </w:p>
    <w:p w14:paraId="6825F3E5" w14:textId="77777777" w:rsidR="00FE291A" w:rsidRDefault="00FE291A">
      <w:pPr>
        <w:widowControl/>
        <w:kinsoku w:val="0"/>
        <w:overflowPunct w:val="0"/>
        <w:rPr>
          <w:sz w:val="22"/>
          <w:szCs w:val="22"/>
          <w:u w:val="single"/>
          <w:lang w:val="de-DE"/>
        </w:rPr>
      </w:pPr>
    </w:p>
    <w:p w14:paraId="130A8C69" w14:textId="77777777" w:rsidR="00FE291A" w:rsidRDefault="00C8738F">
      <w:pPr>
        <w:widowControl/>
        <w:kinsoku w:val="0"/>
        <w:overflowPunct w:val="0"/>
        <w:rPr>
          <w:sz w:val="22"/>
          <w:szCs w:val="22"/>
          <w:lang w:val="de-DE"/>
        </w:rPr>
      </w:pPr>
      <w:r>
        <w:rPr>
          <w:sz w:val="22"/>
          <w:szCs w:val="22"/>
          <w:lang w:val="de-DE"/>
        </w:rPr>
        <w:t>EU/1/16/1164/011 – 1er Packung</w:t>
      </w:r>
    </w:p>
    <w:p w14:paraId="16B9410F" w14:textId="77777777" w:rsidR="00FE291A" w:rsidRDefault="00C8738F">
      <w:pPr>
        <w:widowControl/>
        <w:kinsoku w:val="0"/>
        <w:overflowPunct w:val="0"/>
        <w:rPr>
          <w:sz w:val="22"/>
          <w:szCs w:val="22"/>
          <w:lang w:val="de-DE"/>
        </w:rPr>
      </w:pPr>
      <w:r>
        <w:rPr>
          <w:sz w:val="22"/>
          <w:szCs w:val="22"/>
          <w:lang w:val="de-DE"/>
        </w:rPr>
        <w:t>EU/1/16/1164/012 – 2er Packung</w:t>
      </w:r>
    </w:p>
    <w:p w14:paraId="5C0196AB" w14:textId="77777777" w:rsidR="00FE291A" w:rsidRDefault="00C8738F">
      <w:pPr>
        <w:widowControl/>
        <w:kinsoku w:val="0"/>
        <w:overflowPunct w:val="0"/>
        <w:rPr>
          <w:sz w:val="22"/>
          <w:szCs w:val="22"/>
          <w:lang w:val="de-DE"/>
        </w:rPr>
      </w:pPr>
      <w:r>
        <w:rPr>
          <w:sz w:val="22"/>
          <w:szCs w:val="22"/>
          <w:lang w:val="de-DE"/>
        </w:rPr>
        <w:t>EU/1/16/1164/013 – 6er (3 × 2) Bündelpackung</w:t>
      </w:r>
    </w:p>
    <w:p w14:paraId="43FDFD21" w14:textId="77777777" w:rsidR="00FE291A" w:rsidRDefault="00FE291A">
      <w:pPr>
        <w:widowControl/>
        <w:kinsoku w:val="0"/>
        <w:overflowPunct w:val="0"/>
        <w:rPr>
          <w:sz w:val="22"/>
          <w:szCs w:val="22"/>
          <w:lang w:val="de-DE"/>
        </w:rPr>
      </w:pPr>
    </w:p>
    <w:p w14:paraId="01E4C11F" w14:textId="77777777" w:rsidR="00FE291A" w:rsidRDefault="00C8738F">
      <w:pPr>
        <w:widowControl/>
        <w:kinsoku w:val="0"/>
        <w:overflowPunct w:val="0"/>
        <w:rPr>
          <w:sz w:val="22"/>
          <w:szCs w:val="22"/>
          <w:u w:val="single"/>
          <w:lang w:val="de-DE"/>
        </w:rPr>
      </w:pPr>
      <w:r>
        <w:rPr>
          <w:sz w:val="22"/>
          <w:szCs w:val="22"/>
          <w:u w:val="single"/>
          <w:lang w:val="de-DE"/>
        </w:rPr>
        <w:t>AMGEVITA 80 mg Injektionslösung in einer Fertigspritze</w:t>
      </w:r>
    </w:p>
    <w:p w14:paraId="3FD1657A" w14:textId="77777777" w:rsidR="00FE291A" w:rsidRDefault="00FE291A">
      <w:pPr>
        <w:widowControl/>
        <w:kinsoku w:val="0"/>
        <w:overflowPunct w:val="0"/>
        <w:rPr>
          <w:sz w:val="22"/>
          <w:szCs w:val="22"/>
          <w:u w:val="single"/>
          <w:lang w:val="de-DE"/>
        </w:rPr>
      </w:pPr>
    </w:p>
    <w:p w14:paraId="5F2EE165" w14:textId="77777777" w:rsidR="00FE291A" w:rsidRDefault="00C8738F">
      <w:pPr>
        <w:widowControl/>
        <w:kinsoku w:val="0"/>
        <w:overflowPunct w:val="0"/>
        <w:rPr>
          <w:sz w:val="22"/>
          <w:szCs w:val="22"/>
          <w:lang w:val="de-DE"/>
        </w:rPr>
      </w:pPr>
      <w:r>
        <w:rPr>
          <w:sz w:val="22"/>
          <w:szCs w:val="22"/>
          <w:lang w:val="de-DE"/>
        </w:rPr>
        <w:t>EU/1/16/1164/017 – 1er Packung</w:t>
      </w:r>
    </w:p>
    <w:p w14:paraId="2489DC00" w14:textId="77777777" w:rsidR="00FE291A" w:rsidRDefault="00C8738F">
      <w:pPr>
        <w:widowControl/>
        <w:kinsoku w:val="0"/>
        <w:overflowPunct w:val="0"/>
        <w:rPr>
          <w:sz w:val="22"/>
          <w:szCs w:val="22"/>
          <w:lang w:val="de-DE"/>
        </w:rPr>
      </w:pPr>
      <w:r>
        <w:rPr>
          <w:sz w:val="22"/>
          <w:szCs w:val="22"/>
          <w:lang w:val="de-DE"/>
        </w:rPr>
        <w:t>EU/1/16/1164/018 – 2er Packung</w:t>
      </w:r>
    </w:p>
    <w:p w14:paraId="57C9AC96" w14:textId="77777777" w:rsidR="00FE291A" w:rsidRDefault="00C8738F">
      <w:pPr>
        <w:widowControl/>
        <w:kinsoku w:val="0"/>
        <w:overflowPunct w:val="0"/>
        <w:rPr>
          <w:sz w:val="22"/>
          <w:szCs w:val="22"/>
          <w:lang w:val="de-DE"/>
        </w:rPr>
      </w:pPr>
      <w:r>
        <w:rPr>
          <w:sz w:val="22"/>
          <w:szCs w:val="22"/>
          <w:lang w:val="de-DE"/>
        </w:rPr>
        <w:t>EU/1/16/1164/019 – 3er (3 × 1) Bündelpackung</w:t>
      </w:r>
    </w:p>
    <w:p w14:paraId="6EEEE65C" w14:textId="77777777" w:rsidR="00FE291A" w:rsidRDefault="00FE291A">
      <w:pPr>
        <w:widowControl/>
        <w:kinsoku w:val="0"/>
        <w:overflowPunct w:val="0"/>
        <w:rPr>
          <w:sz w:val="22"/>
          <w:szCs w:val="22"/>
          <w:lang w:val="de-DE"/>
        </w:rPr>
      </w:pPr>
    </w:p>
    <w:p w14:paraId="5E083887" w14:textId="77777777" w:rsidR="00FE291A" w:rsidRDefault="00C8738F">
      <w:pPr>
        <w:keepNext/>
        <w:widowControl/>
        <w:kinsoku w:val="0"/>
        <w:overflowPunct w:val="0"/>
        <w:rPr>
          <w:sz w:val="22"/>
          <w:szCs w:val="22"/>
          <w:u w:val="single"/>
          <w:lang w:val="de-DE"/>
        </w:rPr>
      </w:pPr>
      <w:r>
        <w:rPr>
          <w:sz w:val="22"/>
          <w:szCs w:val="22"/>
          <w:u w:val="single"/>
          <w:lang w:val="de-DE"/>
        </w:rPr>
        <w:t>AMGEVITA 40 mg Injektionslösung im Fertigpen</w:t>
      </w:r>
    </w:p>
    <w:p w14:paraId="7C6D7C77" w14:textId="77777777" w:rsidR="00FE291A" w:rsidRDefault="00FE291A">
      <w:pPr>
        <w:keepNext/>
        <w:widowControl/>
        <w:kinsoku w:val="0"/>
        <w:overflowPunct w:val="0"/>
        <w:rPr>
          <w:sz w:val="22"/>
          <w:szCs w:val="22"/>
          <w:u w:val="single"/>
          <w:lang w:val="de-DE"/>
        </w:rPr>
      </w:pPr>
    </w:p>
    <w:p w14:paraId="0F4CD0E0" w14:textId="77777777" w:rsidR="00FE291A" w:rsidRDefault="00C8738F">
      <w:pPr>
        <w:widowControl/>
        <w:kinsoku w:val="0"/>
        <w:overflowPunct w:val="0"/>
        <w:rPr>
          <w:sz w:val="22"/>
          <w:szCs w:val="22"/>
          <w:lang w:val="de-DE"/>
        </w:rPr>
      </w:pPr>
      <w:r>
        <w:rPr>
          <w:sz w:val="22"/>
          <w:szCs w:val="22"/>
          <w:lang w:val="de-DE"/>
        </w:rPr>
        <w:t>EU/1/16/1164/014 – 1er Packung</w:t>
      </w:r>
    </w:p>
    <w:p w14:paraId="10F5EDBB" w14:textId="77777777" w:rsidR="00FE291A" w:rsidRDefault="00C8738F">
      <w:pPr>
        <w:widowControl/>
        <w:kinsoku w:val="0"/>
        <w:overflowPunct w:val="0"/>
        <w:rPr>
          <w:sz w:val="22"/>
          <w:szCs w:val="22"/>
          <w:lang w:val="de-DE"/>
        </w:rPr>
      </w:pPr>
      <w:r>
        <w:rPr>
          <w:sz w:val="22"/>
          <w:szCs w:val="22"/>
          <w:lang w:val="de-DE"/>
        </w:rPr>
        <w:t>EU/1/16/1164/015 – 2er Packung</w:t>
      </w:r>
    </w:p>
    <w:p w14:paraId="45ADD5EE" w14:textId="77777777" w:rsidR="00FE291A" w:rsidRDefault="00C8738F">
      <w:pPr>
        <w:widowControl/>
        <w:kinsoku w:val="0"/>
        <w:overflowPunct w:val="0"/>
        <w:rPr>
          <w:sz w:val="22"/>
          <w:szCs w:val="22"/>
          <w:lang w:val="de-DE"/>
        </w:rPr>
      </w:pPr>
      <w:r>
        <w:rPr>
          <w:sz w:val="22"/>
          <w:szCs w:val="22"/>
          <w:lang w:val="de-DE"/>
        </w:rPr>
        <w:t>EU/1/16/1164/016 – 6er (3 × 2) Bündelpackung</w:t>
      </w:r>
    </w:p>
    <w:p w14:paraId="38F4F1BD" w14:textId="77777777" w:rsidR="00FE291A" w:rsidRDefault="00FE291A">
      <w:pPr>
        <w:widowControl/>
        <w:kinsoku w:val="0"/>
        <w:overflowPunct w:val="0"/>
        <w:rPr>
          <w:sz w:val="22"/>
          <w:szCs w:val="22"/>
          <w:lang w:val="de-DE"/>
        </w:rPr>
      </w:pPr>
    </w:p>
    <w:p w14:paraId="27EAB72E" w14:textId="77777777" w:rsidR="00FE291A" w:rsidRDefault="00C8738F">
      <w:pPr>
        <w:keepNext/>
        <w:widowControl/>
        <w:kinsoku w:val="0"/>
        <w:overflowPunct w:val="0"/>
        <w:rPr>
          <w:sz w:val="22"/>
          <w:szCs w:val="22"/>
          <w:u w:val="single"/>
          <w:lang w:val="de-DE"/>
        </w:rPr>
      </w:pPr>
      <w:r>
        <w:rPr>
          <w:sz w:val="22"/>
          <w:szCs w:val="22"/>
          <w:u w:val="single"/>
          <w:lang w:val="de-DE"/>
        </w:rPr>
        <w:t>AMGEVITA 80 mg Injektionslösung im Fertigpen</w:t>
      </w:r>
    </w:p>
    <w:p w14:paraId="7282192E" w14:textId="77777777" w:rsidR="00FE291A" w:rsidRDefault="00FE291A">
      <w:pPr>
        <w:keepNext/>
        <w:widowControl/>
        <w:kinsoku w:val="0"/>
        <w:overflowPunct w:val="0"/>
        <w:rPr>
          <w:sz w:val="22"/>
          <w:szCs w:val="22"/>
          <w:u w:val="single"/>
          <w:lang w:val="de-DE"/>
        </w:rPr>
      </w:pPr>
    </w:p>
    <w:p w14:paraId="040CDFC4" w14:textId="77777777" w:rsidR="00FE291A" w:rsidRDefault="00C8738F">
      <w:pPr>
        <w:widowControl/>
        <w:kinsoku w:val="0"/>
        <w:overflowPunct w:val="0"/>
        <w:rPr>
          <w:sz w:val="22"/>
          <w:szCs w:val="22"/>
          <w:lang w:val="de-DE"/>
        </w:rPr>
      </w:pPr>
      <w:r>
        <w:rPr>
          <w:sz w:val="22"/>
          <w:szCs w:val="22"/>
          <w:lang w:val="de-DE"/>
        </w:rPr>
        <w:t>EU/1/16/1164/020 – 1er Packung</w:t>
      </w:r>
    </w:p>
    <w:p w14:paraId="7CF124F6" w14:textId="77777777" w:rsidR="00FE291A" w:rsidRDefault="00C8738F">
      <w:pPr>
        <w:widowControl/>
        <w:kinsoku w:val="0"/>
        <w:overflowPunct w:val="0"/>
        <w:rPr>
          <w:sz w:val="22"/>
          <w:szCs w:val="22"/>
          <w:lang w:val="de-DE"/>
        </w:rPr>
      </w:pPr>
      <w:r>
        <w:rPr>
          <w:sz w:val="22"/>
          <w:szCs w:val="22"/>
          <w:lang w:val="de-DE"/>
        </w:rPr>
        <w:t>EU/1/16/1164/021 – 2er Packung</w:t>
      </w:r>
    </w:p>
    <w:p w14:paraId="4A23EB80" w14:textId="77777777" w:rsidR="00FE291A" w:rsidRDefault="00C8738F">
      <w:pPr>
        <w:widowControl/>
        <w:kinsoku w:val="0"/>
        <w:overflowPunct w:val="0"/>
        <w:rPr>
          <w:sz w:val="22"/>
          <w:szCs w:val="22"/>
          <w:lang w:val="de-DE"/>
        </w:rPr>
      </w:pPr>
      <w:r>
        <w:rPr>
          <w:sz w:val="22"/>
          <w:szCs w:val="22"/>
          <w:lang w:val="de-DE"/>
        </w:rPr>
        <w:t>EU/1/16/1164/022 – 3er (3 × 1) Bündelpackung</w:t>
      </w:r>
    </w:p>
    <w:p w14:paraId="5F0E6A56" w14:textId="77777777" w:rsidR="00FE291A" w:rsidRDefault="00FE291A">
      <w:pPr>
        <w:widowControl/>
        <w:kinsoku w:val="0"/>
        <w:overflowPunct w:val="0"/>
        <w:rPr>
          <w:sz w:val="22"/>
          <w:szCs w:val="22"/>
          <w:lang w:val="de-DE"/>
        </w:rPr>
      </w:pPr>
    </w:p>
    <w:p w14:paraId="4712411B" w14:textId="77777777" w:rsidR="00FE291A" w:rsidRDefault="00FE291A">
      <w:pPr>
        <w:pStyle w:val="BodyText"/>
        <w:widowControl/>
        <w:kinsoku w:val="0"/>
        <w:overflowPunct w:val="0"/>
        <w:ind w:left="0"/>
        <w:rPr>
          <w:lang w:val="de-DE"/>
        </w:rPr>
      </w:pPr>
    </w:p>
    <w:p w14:paraId="225876D0" w14:textId="77777777" w:rsidR="00FE291A" w:rsidRDefault="00C8738F">
      <w:pPr>
        <w:pStyle w:val="Heading1"/>
        <w:widowControl/>
        <w:numPr>
          <w:ilvl w:val="0"/>
          <w:numId w:val="14"/>
        </w:numPr>
        <w:tabs>
          <w:tab w:val="left" w:pos="567"/>
        </w:tabs>
        <w:kinsoku w:val="0"/>
        <w:overflowPunct w:val="0"/>
        <w:ind w:left="567" w:hanging="567"/>
        <w:rPr>
          <w:b w:val="0"/>
          <w:bCs w:val="0"/>
          <w:lang w:val="de-DE"/>
        </w:rPr>
      </w:pPr>
      <w:r>
        <w:rPr>
          <w:lang w:val="de-DE"/>
        </w:rPr>
        <w:t>DATUM DER ERTEILUNG DER ZULASSUNG/VERLÄNGERUNG DER ZULASSUNG</w:t>
      </w:r>
    </w:p>
    <w:p w14:paraId="36D2C069" w14:textId="77777777" w:rsidR="00FE291A" w:rsidRDefault="00FE291A">
      <w:pPr>
        <w:widowControl/>
        <w:kinsoku w:val="0"/>
        <w:overflowPunct w:val="0"/>
        <w:rPr>
          <w:sz w:val="22"/>
          <w:szCs w:val="22"/>
          <w:lang w:val="de-DE"/>
        </w:rPr>
      </w:pPr>
    </w:p>
    <w:p w14:paraId="4E2C547C" w14:textId="77777777" w:rsidR="00FE291A" w:rsidRDefault="00C8738F">
      <w:pPr>
        <w:pStyle w:val="BodyText"/>
        <w:widowControl/>
        <w:kinsoku w:val="0"/>
        <w:overflowPunct w:val="0"/>
        <w:ind w:left="0"/>
        <w:rPr>
          <w:lang w:val="de-DE"/>
        </w:rPr>
      </w:pPr>
      <w:r>
        <w:rPr>
          <w:lang w:val="de-DE"/>
        </w:rPr>
        <w:t>Datum der Erteilung der Zulassung: 22. März 2017</w:t>
      </w:r>
    </w:p>
    <w:p w14:paraId="15B1F8CF" w14:textId="77777777" w:rsidR="00FE291A" w:rsidRDefault="00C8738F">
      <w:pPr>
        <w:pStyle w:val="BodyText"/>
        <w:widowControl/>
        <w:kinsoku w:val="0"/>
        <w:overflowPunct w:val="0"/>
        <w:ind w:left="0"/>
        <w:rPr>
          <w:lang w:val="de-DE"/>
        </w:rPr>
      </w:pPr>
      <w:r>
        <w:rPr>
          <w:lang w:val="de-DE"/>
        </w:rPr>
        <w:t>Datum der letzten Verlängerung der Zulassung: 09. Dezember 2021</w:t>
      </w:r>
    </w:p>
    <w:p w14:paraId="67A2D5EB" w14:textId="77777777" w:rsidR="00FE291A" w:rsidRDefault="00FE291A">
      <w:pPr>
        <w:widowControl/>
        <w:kinsoku w:val="0"/>
        <w:overflowPunct w:val="0"/>
        <w:rPr>
          <w:sz w:val="22"/>
          <w:szCs w:val="22"/>
          <w:lang w:val="de-DE"/>
        </w:rPr>
      </w:pPr>
    </w:p>
    <w:p w14:paraId="6CF58577" w14:textId="77777777" w:rsidR="00FE291A" w:rsidRDefault="00FE291A">
      <w:pPr>
        <w:widowControl/>
        <w:kinsoku w:val="0"/>
        <w:overflowPunct w:val="0"/>
        <w:rPr>
          <w:sz w:val="22"/>
          <w:szCs w:val="22"/>
          <w:lang w:val="de-DE"/>
        </w:rPr>
      </w:pPr>
    </w:p>
    <w:p w14:paraId="220E120E" w14:textId="77777777" w:rsidR="00FE291A" w:rsidRDefault="00C8738F">
      <w:pPr>
        <w:pStyle w:val="Heading1"/>
        <w:keepNext/>
        <w:widowControl/>
        <w:numPr>
          <w:ilvl w:val="0"/>
          <w:numId w:val="14"/>
        </w:numPr>
        <w:tabs>
          <w:tab w:val="left" w:pos="567"/>
        </w:tabs>
        <w:kinsoku w:val="0"/>
        <w:overflowPunct w:val="0"/>
        <w:ind w:left="567" w:hanging="567"/>
        <w:rPr>
          <w:b w:val="0"/>
          <w:bCs w:val="0"/>
          <w:lang w:val="de-DE"/>
        </w:rPr>
      </w:pPr>
      <w:r>
        <w:rPr>
          <w:lang w:val="de-DE"/>
        </w:rPr>
        <w:t>STAND DER INFORMATION</w:t>
      </w:r>
    </w:p>
    <w:p w14:paraId="10D76540" w14:textId="77777777" w:rsidR="00FE291A" w:rsidRDefault="00FE291A">
      <w:pPr>
        <w:keepNext/>
        <w:widowControl/>
        <w:kinsoku w:val="0"/>
        <w:overflowPunct w:val="0"/>
        <w:rPr>
          <w:sz w:val="22"/>
          <w:szCs w:val="22"/>
          <w:lang w:val="de-DE"/>
        </w:rPr>
      </w:pPr>
    </w:p>
    <w:p w14:paraId="32540AA3" w14:textId="77777777" w:rsidR="00FE291A" w:rsidRDefault="00FE291A">
      <w:pPr>
        <w:keepNext/>
        <w:widowControl/>
        <w:kinsoku w:val="0"/>
        <w:overflowPunct w:val="0"/>
        <w:rPr>
          <w:sz w:val="22"/>
          <w:szCs w:val="22"/>
          <w:lang w:val="de-DE"/>
        </w:rPr>
      </w:pPr>
    </w:p>
    <w:p w14:paraId="5D28E681" w14:textId="77777777" w:rsidR="00FE291A" w:rsidRDefault="00FE291A">
      <w:pPr>
        <w:pStyle w:val="BodyText"/>
        <w:keepNext/>
        <w:widowControl/>
        <w:kinsoku w:val="0"/>
        <w:overflowPunct w:val="0"/>
        <w:ind w:left="0"/>
        <w:rPr>
          <w:lang w:val="de-DE"/>
        </w:rPr>
      </w:pPr>
    </w:p>
    <w:p w14:paraId="051FD429" w14:textId="77777777" w:rsidR="00FE291A" w:rsidRDefault="00C8738F">
      <w:pPr>
        <w:pStyle w:val="BodyText"/>
        <w:widowControl/>
        <w:kinsoku w:val="0"/>
        <w:overflowPunct w:val="0"/>
        <w:ind w:left="0"/>
        <w:rPr>
          <w:lang w:val="de-DE"/>
        </w:rPr>
      </w:pPr>
      <w:r>
        <w:rPr>
          <w:lang w:val="de-DE"/>
        </w:rPr>
        <w:t xml:space="preserve">Ausführliche Informationen zu diesem Arzneimittel sind auf den Internetseiten der Europäischen Arzneimittel-Agentur </w:t>
      </w:r>
      <w:r>
        <w:fldChar w:fldCharType="begin"/>
      </w:r>
      <w:r w:rsidRPr="00F076DE">
        <w:rPr>
          <w:lang w:val="de-DE"/>
          <w:rPrChange w:id="51" w:author="Author">
            <w:rPr/>
          </w:rPrChange>
        </w:rPr>
        <w:instrText>HYPERLINK "https://www.ema.europa.eu"</w:instrText>
      </w:r>
      <w:r>
        <w:fldChar w:fldCharType="separate"/>
      </w:r>
      <w:r>
        <w:rPr>
          <w:rStyle w:val="Hyperlink"/>
          <w:color w:val="0000FF"/>
          <w:lang w:val="de-DE" w:eastAsia="en-US"/>
        </w:rPr>
        <w:t>https://www.ema.europa.eu</w:t>
      </w:r>
      <w:r>
        <w:fldChar w:fldCharType="end"/>
      </w:r>
      <w:r>
        <w:rPr>
          <w:lang w:val="de-DE"/>
        </w:rPr>
        <w:t xml:space="preserve"> verfügbar.</w:t>
      </w:r>
    </w:p>
    <w:p w14:paraId="311ACE96" w14:textId="77777777" w:rsidR="00FE291A" w:rsidRDefault="00FE291A">
      <w:pPr>
        <w:pStyle w:val="BodyText"/>
        <w:widowControl/>
        <w:kinsoku w:val="0"/>
        <w:overflowPunct w:val="0"/>
        <w:ind w:left="0"/>
        <w:rPr>
          <w:lang w:val="de-DE"/>
        </w:rPr>
      </w:pPr>
    </w:p>
    <w:p w14:paraId="6C7411FA" w14:textId="77777777" w:rsidR="00FE291A" w:rsidRDefault="00C8738F">
      <w:pPr>
        <w:pStyle w:val="BodyText"/>
        <w:widowControl/>
        <w:kinsoku w:val="0"/>
        <w:overflowPunct w:val="0"/>
        <w:ind w:left="0"/>
        <w:rPr>
          <w:lang w:val="de-DE"/>
        </w:rPr>
      </w:pPr>
      <w:r>
        <w:rPr>
          <w:lang w:val="de-DE"/>
        </w:rPr>
        <w:br w:type="page"/>
      </w:r>
    </w:p>
    <w:p w14:paraId="3BE29A95" w14:textId="77777777" w:rsidR="00FE291A" w:rsidRDefault="00FE291A">
      <w:pPr>
        <w:pStyle w:val="BodyText"/>
        <w:widowControl/>
        <w:kinsoku w:val="0"/>
        <w:overflowPunct w:val="0"/>
        <w:ind w:left="0"/>
        <w:rPr>
          <w:lang w:val="de-DE"/>
        </w:rPr>
      </w:pPr>
    </w:p>
    <w:p w14:paraId="7F511C38" w14:textId="77777777" w:rsidR="00FE291A" w:rsidRDefault="00FE291A">
      <w:pPr>
        <w:pStyle w:val="BodyText"/>
        <w:widowControl/>
        <w:kinsoku w:val="0"/>
        <w:overflowPunct w:val="0"/>
        <w:ind w:left="0"/>
        <w:rPr>
          <w:lang w:val="de-DE"/>
        </w:rPr>
      </w:pPr>
    </w:p>
    <w:p w14:paraId="65B4853B" w14:textId="77777777" w:rsidR="00FE291A" w:rsidRDefault="00FE291A">
      <w:pPr>
        <w:pStyle w:val="BodyText"/>
        <w:widowControl/>
        <w:kinsoku w:val="0"/>
        <w:overflowPunct w:val="0"/>
        <w:ind w:left="0"/>
        <w:rPr>
          <w:lang w:val="de-DE"/>
        </w:rPr>
      </w:pPr>
    </w:p>
    <w:p w14:paraId="5968100F" w14:textId="77777777" w:rsidR="00FE291A" w:rsidRDefault="00FE291A">
      <w:pPr>
        <w:pStyle w:val="BodyText"/>
        <w:widowControl/>
        <w:kinsoku w:val="0"/>
        <w:overflowPunct w:val="0"/>
        <w:ind w:left="0"/>
        <w:rPr>
          <w:lang w:val="de-DE"/>
        </w:rPr>
      </w:pPr>
    </w:p>
    <w:p w14:paraId="083CF14F" w14:textId="77777777" w:rsidR="00FE291A" w:rsidRDefault="00FE291A">
      <w:pPr>
        <w:pStyle w:val="BodyText"/>
        <w:widowControl/>
        <w:kinsoku w:val="0"/>
        <w:overflowPunct w:val="0"/>
        <w:ind w:left="0"/>
        <w:rPr>
          <w:lang w:val="de-DE"/>
        </w:rPr>
      </w:pPr>
    </w:p>
    <w:p w14:paraId="25021FB8" w14:textId="77777777" w:rsidR="00FE291A" w:rsidRDefault="00FE291A">
      <w:pPr>
        <w:pStyle w:val="BodyText"/>
        <w:widowControl/>
        <w:kinsoku w:val="0"/>
        <w:overflowPunct w:val="0"/>
        <w:ind w:left="0"/>
        <w:rPr>
          <w:lang w:val="de-DE"/>
        </w:rPr>
      </w:pPr>
    </w:p>
    <w:p w14:paraId="5D879C46" w14:textId="77777777" w:rsidR="00FE291A" w:rsidRDefault="00FE291A">
      <w:pPr>
        <w:pStyle w:val="BodyText"/>
        <w:widowControl/>
        <w:kinsoku w:val="0"/>
        <w:overflowPunct w:val="0"/>
        <w:ind w:left="0"/>
        <w:rPr>
          <w:lang w:val="de-DE"/>
        </w:rPr>
      </w:pPr>
    </w:p>
    <w:p w14:paraId="36831FBE" w14:textId="77777777" w:rsidR="00FE291A" w:rsidRDefault="00FE291A">
      <w:pPr>
        <w:pStyle w:val="BodyText"/>
        <w:widowControl/>
        <w:kinsoku w:val="0"/>
        <w:overflowPunct w:val="0"/>
        <w:ind w:left="0"/>
        <w:rPr>
          <w:lang w:val="de-DE"/>
        </w:rPr>
      </w:pPr>
    </w:p>
    <w:p w14:paraId="5F658E98" w14:textId="77777777" w:rsidR="00FE291A" w:rsidRDefault="00FE291A">
      <w:pPr>
        <w:pStyle w:val="BodyText"/>
        <w:widowControl/>
        <w:kinsoku w:val="0"/>
        <w:overflowPunct w:val="0"/>
        <w:ind w:left="0"/>
        <w:rPr>
          <w:lang w:val="de-DE"/>
        </w:rPr>
      </w:pPr>
    </w:p>
    <w:p w14:paraId="561C3D80" w14:textId="77777777" w:rsidR="00FE291A" w:rsidRDefault="00FE291A">
      <w:pPr>
        <w:pStyle w:val="BodyText"/>
        <w:widowControl/>
        <w:kinsoku w:val="0"/>
        <w:overflowPunct w:val="0"/>
        <w:ind w:left="0"/>
        <w:rPr>
          <w:lang w:val="de-DE"/>
        </w:rPr>
      </w:pPr>
    </w:p>
    <w:p w14:paraId="14704101" w14:textId="77777777" w:rsidR="00FE291A" w:rsidRDefault="00FE291A">
      <w:pPr>
        <w:pStyle w:val="BodyText"/>
        <w:widowControl/>
        <w:kinsoku w:val="0"/>
        <w:overflowPunct w:val="0"/>
        <w:ind w:left="0"/>
        <w:rPr>
          <w:lang w:val="de-DE"/>
        </w:rPr>
      </w:pPr>
    </w:p>
    <w:p w14:paraId="317A6D40" w14:textId="77777777" w:rsidR="00FE291A" w:rsidRDefault="00FE291A">
      <w:pPr>
        <w:pStyle w:val="BodyText"/>
        <w:widowControl/>
        <w:kinsoku w:val="0"/>
        <w:overflowPunct w:val="0"/>
        <w:ind w:left="0"/>
        <w:rPr>
          <w:lang w:val="de-DE"/>
        </w:rPr>
      </w:pPr>
    </w:p>
    <w:p w14:paraId="40BDF855" w14:textId="77777777" w:rsidR="00FE291A" w:rsidRDefault="00FE291A">
      <w:pPr>
        <w:pStyle w:val="BodyText"/>
        <w:widowControl/>
        <w:kinsoku w:val="0"/>
        <w:overflowPunct w:val="0"/>
        <w:ind w:left="0"/>
        <w:rPr>
          <w:lang w:val="de-DE"/>
        </w:rPr>
      </w:pPr>
    </w:p>
    <w:p w14:paraId="52ECA4AD" w14:textId="77777777" w:rsidR="00FE291A" w:rsidRDefault="00FE291A">
      <w:pPr>
        <w:pStyle w:val="BodyText"/>
        <w:widowControl/>
        <w:kinsoku w:val="0"/>
        <w:overflowPunct w:val="0"/>
        <w:ind w:left="0"/>
        <w:rPr>
          <w:lang w:val="de-DE"/>
        </w:rPr>
      </w:pPr>
    </w:p>
    <w:p w14:paraId="5B766BD8" w14:textId="77777777" w:rsidR="00FE291A" w:rsidRDefault="00FE291A">
      <w:pPr>
        <w:pStyle w:val="BodyText"/>
        <w:widowControl/>
        <w:kinsoku w:val="0"/>
        <w:overflowPunct w:val="0"/>
        <w:ind w:left="0"/>
        <w:rPr>
          <w:lang w:val="de-DE"/>
        </w:rPr>
      </w:pPr>
    </w:p>
    <w:p w14:paraId="691425FE" w14:textId="77777777" w:rsidR="00FE291A" w:rsidRDefault="00FE291A">
      <w:pPr>
        <w:pStyle w:val="BodyText"/>
        <w:widowControl/>
        <w:kinsoku w:val="0"/>
        <w:overflowPunct w:val="0"/>
        <w:ind w:left="0"/>
        <w:rPr>
          <w:lang w:val="de-DE"/>
        </w:rPr>
      </w:pPr>
    </w:p>
    <w:p w14:paraId="45026A06" w14:textId="77777777" w:rsidR="00FE291A" w:rsidRDefault="00FE291A">
      <w:pPr>
        <w:pStyle w:val="BodyText"/>
        <w:widowControl/>
        <w:kinsoku w:val="0"/>
        <w:overflowPunct w:val="0"/>
        <w:ind w:left="0"/>
        <w:rPr>
          <w:lang w:val="de-DE"/>
        </w:rPr>
      </w:pPr>
    </w:p>
    <w:p w14:paraId="08AA3F7A" w14:textId="77777777" w:rsidR="00FE291A" w:rsidRDefault="00FE291A">
      <w:pPr>
        <w:pStyle w:val="BodyText"/>
        <w:widowControl/>
        <w:kinsoku w:val="0"/>
        <w:overflowPunct w:val="0"/>
        <w:ind w:left="0"/>
        <w:rPr>
          <w:lang w:val="de-DE"/>
        </w:rPr>
      </w:pPr>
    </w:p>
    <w:p w14:paraId="0651CFE4" w14:textId="77777777" w:rsidR="00FE291A" w:rsidRDefault="00FE291A">
      <w:pPr>
        <w:pStyle w:val="BodyText"/>
        <w:widowControl/>
        <w:kinsoku w:val="0"/>
        <w:overflowPunct w:val="0"/>
        <w:ind w:left="0"/>
        <w:rPr>
          <w:lang w:val="de-DE"/>
        </w:rPr>
      </w:pPr>
    </w:p>
    <w:p w14:paraId="0BA10385" w14:textId="77777777" w:rsidR="00FE291A" w:rsidRDefault="00FE291A">
      <w:pPr>
        <w:pStyle w:val="BodyText"/>
        <w:widowControl/>
        <w:kinsoku w:val="0"/>
        <w:overflowPunct w:val="0"/>
        <w:ind w:left="0"/>
        <w:rPr>
          <w:lang w:val="de-DE"/>
        </w:rPr>
      </w:pPr>
    </w:p>
    <w:p w14:paraId="3B10C6CE" w14:textId="77777777" w:rsidR="00FE291A" w:rsidRDefault="00FE291A">
      <w:pPr>
        <w:pStyle w:val="BodyText"/>
        <w:widowControl/>
        <w:kinsoku w:val="0"/>
        <w:overflowPunct w:val="0"/>
        <w:ind w:left="0"/>
        <w:rPr>
          <w:lang w:val="de-DE"/>
        </w:rPr>
      </w:pPr>
    </w:p>
    <w:p w14:paraId="0DA79D3D" w14:textId="77777777" w:rsidR="00FE291A" w:rsidRDefault="00FE291A">
      <w:pPr>
        <w:pStyle w:val="BodyText"/>
        <w:widowControl/>
        <w:kinsoku w:val="0"/>
        <w:overflowPunct w:val="0"/>
        <w:ind w:left="0"/>
        <w:rPr>
          <w:lang w:val="de-DE"/>
        </w:rPr>
      </w:pPr>
    </w:p>
    <w:p w14:paraId="7247DCD0" w14:textId="77777777" w:rsidR="00FE291A" w:rsidRDefault="00C8738F">
      <w:pPr>
        <w:widowControl/>
        <w:jc w:val="center"/>
        <w:rPr>
          <w:b/>
          <w:sz w:val="22"/>
          <w:szCs w:val="22"/>
          <w:lang w:val="de-DE"/>
        </w:rPr>
      </w:pPr>
      <w:r>
        <w:rPr>
          <w:b/>
          <w:sz w:val="22"/>
          <w:szCs w:val="22"/>
          <w:lang w:val="de-DE"/>
        </w:rPr>
        <w:t>ANHANG II</w:t>
      </w:r>
    </w:p>
    <w:p w14:paraId="49EF057B" w14:textId="77777777" w:rsidR="00FE291A" w:rsidRDefault="00FE291A">
      <w:pPr>
        <w:widowControl/>
        <w:jc w:val="center"/>
        <w:rPr>
          <w:b/>
          <w:sz w:val="22"/>
          <w:szCs w:val="22"/>
          <w:lang w:val="de-DE"/>
        </w:rPr>
      </w:pPr>
    </w:p>
    <w:p w14:paraId="71B22B81" w14:textId="77777777" w:rsidR="00FE291A" w:rsidRDefault="00C8738F">
      <w:pPr>
        <w:widowControl/>
        <w:numPr>
          <w:ilvl w:val="0"/>
          <w:numId w:val="17"/>
        </w:numPr>
        <w:tabs>
          <w:tab w:val="left" w:pos="567"/>
          <w:tab w:val="left" w:pos="1701"/>
        </w:tabs>
        <w:autoSpaceDE/>
        <w:autoSpaceDN/>
        <w:adjustRightInd/>
        <w:ind w:right="-1"/>
        <w:rPr>
          <w:b/>
          <w:sz w:val="22"/>
          <w:szCs w:val="22"/>
          <w:lang w:val="de-DE"/>
        </w:rPr>
      </w:pPr>
      <w:r>
        <w:rPr>
          <w:b/>
          <w:sz w:val="22"/>
          <w:szCs w:val="22"/>
          <w:lang w:val="de-DE"/>
        </w:rPr>
        <w:t>HERSTELLER DES WIRKSTOFFS BIOLOGISCHEN URSPRUNGS UND HERSTELLER, DIE FÜR DIE CHARGENFREIGABE VERANTWORTLICH SIND</w:t>
      </w:r>
    </w:p>
    <w:p w14:paraId="5B3BDC50" w14:textId="77777777" w:rsidR="00FE291A" w:rsidRDefault="00FE291A">
      <w:pPr>
        <w:widowControl/>
        <w:ind w:left="567" w:hanging="567"/>
        <w:rPr>
          <w:sz w:val="22"/>
          <w:szCs w:val="22"/>
          <w:lang w:val="de-DE"/>
        </w:rPr>
      </w:pPr>
    </w:p>
    <w:p w14:paraId="227FCAFF" w14:textId="77777777" w:rsidR="00FE291A" w:rsidRDefault="00C8738F">
      <w:pPr>
        <w:widowControl/>
        <w:numPr>
          <w:ilvl w:val="0"/>
          <w:numId w:val="17"/>
        </w:numPr>
        <w:tabs>
          <w:tab w:val="left" w:pos="567"/>
          <w:tab w:val="left" w:pos="1701"/>
        </w:tabs>
        <w:autoSpaceDE/>
        <w:autoSpaceDN/>
        <w:adjustRightInd/>
        <w:ind w:right="-1"/>
        <w:rPr>
          <w:b/>
          <w:sz w:val="22"/>
          <w:szCs w:val="22"/>
          <w:lang w:val="de-DE"/>
        </w:rPr>
      </w:pPr>
      <w:r>
        <w:rPr>
          <w:b/>
          <w:sz w:val="22"/>
          <w:szCs w:val="22"/>
          <w:lang w:val="de-DE"/>
        </w:rPr>
        <w:t>BEDINGUNGEN ODER EINSCHRÄNKUNGEN FÜR DIE ABGABE UND DEN GEBRAUCH</w:t>
      </w:r>
    </w:p>
    <w:p w14:paraId="1B9B5BA0" w14:textId="77777777" w:rsidR="00FE291A" w:rsidRDefault="00FE291A">
      <w:pPr>
        <w:widowControl/>
        <w:ind w:left="567" w:hanging="567"/>
        <w:rPr>
          <w:sz w:val="22"/>
          <w:szCs w:val="22"/>
          <w:lang w:val="de-DE"/>
        </w:rPr>
      </w:pPr>
    </w:p>
    <w:p w14:paraId="3216CB70" w14:textId="77777777" w:rsidR="00FE291A" w:rsidRDefault="00C8738F">
      <w:pPr>
        <w:widowControl/>
        <w:numPr>
          <w:ilvl w:val="0"/>
          <w:numId w:val="17"/>
        </w:numPr>
        <w:tabs>
          <w:tab w:val="left" w:pos="567"/>
          <w:tab w:val="left" w:pos="1701"/>
        </w:tabs>
        <w:autoSpaceDE/>
        <w:autoSpaceDN/>
        <w:adjustRightInd/>
        <w:ind w:right="-1"/>
        <w:rPr>
          <w:b/>
          <w:sz w:val="22"/>
          <w:szCs w:val="22"/>
          <w:lang w:val="de-DE"/>
        </w:rPr>
      </w:pPr>
      <w:r>
        <w:rPr>
          <w:b/>
          <w:sz w:val="22"/>
          <w:szCs w:val="22"/>
          <w:lang w:val="de-DE"/>
        </w:rPr>
        <w:t>SONSTIGE BEDINGUNGEN UND AUFLAGEN DER GENEHMIGUNG FÜR DAS INVERKEHRBRINGEN</w:t>
      </w:r>
    </w:p>
    <w:p w14:paraId="2F875803" w14:textId="77777777" w:rsidR="00FE291A" w:rsidRDefault="00FE291A">
      <w:pPr>
        <w:widowControl/>
        <w:ind w:right="1558"/>
        <w:rPr>
          <w:b/>
          <w:sz w:val="22"/>
          <w:szCs w:val="22"/>
          <w:lang w:val="de-DE"/>
        </w:rPr>
      </w:pPr>
    </w:p>
    <w:p w14:paraId="76483A23" w14:textId="77777777" w:rsidR="00FE291A" w:rsidRDefault="00C8738F">
      <w:pPr>
        <w:widowControl/>
        <w:numPr>
          <w:ilvl w:val="0"/>
          <w:numId w:val="17"/>
        </w:numPr>
        <w:tabs>
          <w:tab w:val="left" w:pos="567"/>
          <w:tab w:val="left" w:pos="1701"/>
        </w:tabs>
        <w:autoSpaceDE/>
        <w:autoSpaceDN/>
        <w:adjustRightInd/>
        <w:ind w:right="-1"/>
        <w:rPr>
          <w:b/>
          <w:sz w:val="22"/>
          <w:szCs w:val="22"/>
          <w:lang w:val="de-DE"/>
        </w:rPr>
      </w:pPr>
      <w:r>
        <w:rPr>
          <w:b/>
          <w:caps/>
          <w:sz w:val="22"/>
          <w:szCs w:val="22"/>
          <w:lang w:val="de-DE"/>
        </w:rPr>
        <w:t>BEDINGUNGEN ODER EINSCHRÄNKUNGEN FÜR DIE SICHERE UND WIRKSAME ANWENDUNG DES ARZNEIMITTELS</w:t>
      </w:r>
    </w:p>
    <w:p w14:paraId="4BEB42C1" w14:textId="77777777" w:rsidR="00FE291A" w:rsidRDefault="00C8738F">
      <w:pPr>
        <w:pStyle w:val="TitleB"/>
      </w:pPr>
      <w:r>
        <w:br w:type="page"/>
        <w:t>HERSTELLER DES WIRKSTOFFS BIOLOGISCHEN URSPRUNGS UND HERSTELLER, DIE FÜR DIE CHARGENFREIGABE VERANTWORTLICH SIND</w:t>
      </w:r>
    </w:p>
    <w:p w14:paraId="1B6CD1A3" w14:textId="77777777" w:rsidR="00FE291A" w:rsidRDefault="00FE291A">
      <w:pPr>
        <w:keepNext/>
        <w:widowControl/>
        <w:ind w:right="1416"/>
        <w:rPr>
          <w:sz w:val="22"/>
          <w:szCs w:val="22"/>
          <w:lang w:val="de-DE"/>
        </w:rPr>
      </w:pPr>
    </w:p>
    <w:p w14:paraId="38B326CB" w14:textId="77777777" w:rsidR="00FE291A" w:rsidRDefault="00C8738F">
      <w:pPr>
        <w:widowControl/>
        <w:outlineLvl w:val="0"/>
        <w:rPr>
          <w:sz w:val="22"/>
          <w:szCs w:val="22"/>
          <w:u w:val="single"/>
          <w:lang w:val="de-DE"/>
        </w:rPr>
      </w:pPr>
      <w:r>
        <w:rPr>
          <w:sz w:val="22"/>
          <w:szCs w:val="22"/>
          <w:u w:val="single"/>
          <w:lang w:val="de-DE"/>
        </w:rPr>
        <w:t>Name und Anschrift der Hersteller des Wirkstoffs biologischen Ursprungs</w:t>
      </w:r>
    </w:p>
    <w:p w14:paraId="4BE405A6" w14:textId="77777777" w:rsidR="00FE291A" w:rsidRPr="00C85130" w:rsidRDefault="00C8738F">
      <w:pPr>
        <w:widowControl/>
        <w:rPr>
          <w:rFonts w:eastAsia="SimSun"/>
          <w:color w:val="000000"/>
          <w:sz w:val="22"/>
          <w:szCs w:val="22"/>
          <w:lang w:val="de-DE" w:eastAsia="en-GB"/>
          <w:rPrChange w:id="52" w:author="Author">
            <w:rPr>
              <w:rFonts w:eastAsia="SimSun"/>
              <w:color w:val="000000"/>
              <w:sz w:val="22"/>
              <w:szCs w:val="22"/>
              <w:lang w:val="en-US" w:eastAsia="en-GB"/>
            </w:rPr>
          </w:rPrChange>
        </w:rPr>
      </w:pPr>
      <w:r w:rsidRPr="00C85130">
        <w:rPr>
          <w:rFonts w:eastAsia="SimSun"/>
          <w:color w:val="000000"/>
          <w:sz w:val="22"/>
          <w:szCs w:val="22"/>
          <w:lang w:val="de-DE" w:eastAsia="en-GB"/>
          <w:rPrChange w:id="53" w:author="Author">
            <w:rPr>
              <w:rFonts w:eastAsia="SimSun"/>
              <w:color w:val="000000"/>
              <w:sz w:val="22"/>
              <w:szCs w:val="22"/>
              <w:lang w:val="en-US" w:eastAsia="en-GB"/>
            </w:rPr>
          </w:rPrChange>
        </w:rPr>
        <w:t>Amgen Inc</w:t>
      </w:r>
      <w:r w:rsidRPr="00C85130">
        <w:rPr>
          <w:rFonts w:eastAsia="SimSun"/>
          <w:color w:val="000000"/>
          <w:sz w:val="22"/>
          <w:szCs w:val="22"/>
          <w:lang w:val="de-DE" w:eastAsia="en-GB"/>
          <w:rPrChange w:id="54" w:author="Author">
            <w:rPr>
              <w:rFonts w:eastAsia="SimSun"/>
              <w:color w:val="000000"/>
              <w:sz w:val="22"/>
              <w:szCs w:val="22"/>
              <w:lang w:val="en-US" w:eastAsia="en-GB"/>
            </w:rPr>
          </w:rPrChange>
        </w:rPr>
        <w:br/>
        <w:t>One Amgen Center Drive</w:t>
      </w:r>
      <w:r w:rsidRPr="00C85130">
        <w:rPr>
          <w:rFonts w:eastAsia="SimSun"/>
          <w:color w:val="000000"/>
          <w:sz w:val="22"/>
          <w:szCs w:val="22"/>
          <w:lang w:val="de-DE" w:eastAsia="en-GB"/>
          <w:rPrChange w:id="55" w:author="Author">
            <w:rPr>
              <w:rFonts w:eastAsia="SimSun"/>
              <w:color w:val="000000"/>
              <w:sz w:val="22"/>
              <w:szCs w:val="22"/>
              <w:lang w:val="en-US" w:eastAsia="en-GB"/>
            </w:rPr>
          </w:rPrChange>
        </w:rPr>
        <w:br/>
        <w:t>Thousand Oaks, California</w:t>
      </w:r>
      <w:r w:rsidRPr="00C85130">
        <w:rPr>
          <w:rFonts w:eastAsia="SimSun"/>
          <w:color w:val="000000"/>
          <w:sz w:val="22"/>
          <w:szCs w:val="22"/>
          <w:lang w:val="de-DE" w:eastAsia="en-GB"/>
          <w:rPrChange w:id="56" w:author="Author">
            <w:rPr>
              <w:rFonts w:eastAsia="SimSun"/>
              <w:color w:val="000000"/>
              <w:sz w:val="22"/>
              <w:szCs w:val="22"/>
              <w:lang w:val="en-US" w:eastAsia="en-GB"/>
            </w:rPr>
          </w:rPrChange>
        </w:rPr>
        <w:br/>
        <w:t xml:space="preserve">91320 </w:t>
      </w:r>
      <w:r w:rsidRPr="00C85130">
        <w:rPr>
          <w:rFonts w:eastAsia="SimSun"/>
          <w:color w:val="000000"/>
          <w:sz w:val="22"/>
          <w:szCs w:val="22"/>
          <w:lang w:val="de-DE" w:eastAsia="en-GB"/>
          <w:rPrChange w:id="57" w:author="Author">
            <w:rPr>
              <w:rFonts w:eastAsia="SimSun"/>
              <w:color w:val="000000"/>
              <w:sz w:val="22"/>
              <w:szCs w:val="22"/>
              <w:lang w:val="en-US" w:eastAsia="en-GB"/>
            </w:rPr>
          </w:rPrChange>
        </w:rPr>
        <w:br/>
        <w:t>Vereinigte Staaten</w:t>
      </w:r>
    </w:p>
    <w:p w14:paraId="05B98B39" w14:textId="77777777" w:rsidR="00FE291A" w:rsidRPr="00C85130" w:rsidRDefault="00FE291A">
      <w:pPr>
        <w:widowControl/>
        <w:rPr>
          <w:rFonts w:eastAsia="SimSun"/>
          <w:color w:val="000000"/>
          <w:sz w:val="22"/>
          <w:szCs w:val="22"/>
          <w:lang w:val="de-DE" w:eastAsia="en-GB"/>
          <w:rPrChange w:id="58" w:author="Author">
            <w:rPr>
              <w:rFonts w:eastAsia="SimSun"/>
              <w:color w:val="000000"/>
              <w:sz w:val="22"/>
              <w:szCs w:val="22"/>
              <w:lang w:val="en-US" w:eastAsia="en-GB"/>
            </w:rPr>
          </w:rPrChange>
        </w:rPr>
      </w:pPr>
    </w:p>
    <w:p w14:paraId="3A1EBBFC" w14:textId="77777777" w:rsidR="00FE291A" w:rsidRDefault="00C8738F">
      <w:pPr>
        <w:rPr>
          <w:rFonts w:eastAsia="SimSun"/>
          <w:color w:val="000000"/>
          <w:sz w:val="22"/>
          <w:szCs w:val="22"/>
          <w:lang w:val="en-US" w:eastAsia="en-GB"/>
        </w:rPr>
      </w:pPr>
      <w:r>
        <w:rPr>
          <w:rFonts w:eastAsia="SimSun"/>
          <w:color w:val="000000"/>
          <w:sz w:val="22"/>
          <w:szCs w:val="22"/>
          <w:lang w:val="en-US" w:eastAsia="en-GB"/>
        </w:rPr>
        <w:t>Immunex Rhode Island Corporation</w:t>
      </w:r>
    </w:p>
    <w:p w14:paraId="481E87D1" w14:textId="77777777" w:rsidR="00FE291A" w:rsidRDefault="00C8738F">
      <w:pPr>
        <w:rPr>
          <w:rFonts w:eastAsia="SimSun"/>
          <w:color w:val="000000"/>
          <w:sz w:val="22"/>
          <w:szCs w:val="22"/>
          <w:lang w:val="en-US" w:eastAsia="en-GB"/>
        </w:rPr>
      </w:pPr>
      <w:r>
        <w:rPr>
          <w:rFonts w:eastAsia="SimSun"/>
          <w:color w:val="000000"/>
          <w:sz w:val="22"/>
          <w:szCs w:val="22"/>
          <w:lang w:val="en-US" w:eastAsia="en-GB"/>
        </w:rPr>
        <w:t>40 Technology Way</w:t>
      </w:r>
    </w:p>
    <w:p w14:paraId="564D2B86" w14:textId="77777777" w:rsidR="00FE291A" w:rsidRDefault="00C8738F">
      <w:pPr>
        <w:rPr>
          <w:rFonts w:eastAsia="SimSun"/>
          <w:color w:val="000000"/>
          <w:sz w:val="22"/>
          <w:szCs w:val="22"/>
          <w:lang w:val="de-DE" w:eastAsia="en-GB"/>
        </w:rPr>
      </w:pPr>
      <w:r>
        <w:rPr>
          <w:rFonts w:eastAsia="SimSun"/>
          <w:color w:val="000000"/>
          <w:sz w:val="22"/>
          <w:szCs w:val="22"/>
          <w:lang w:val="de-DE" w:eastAsia="en-GB"/>
        </w:rPr>
        <w:t>West Greenwich</w:t>
      </w:r>
    </w:p>
    <w:p w14:paraId="698BA246" w14:textId="77777777" w:rsidR="00FE291A" w:rsidRDefault="00C8738F">
      <w:pPr>
        <w:rPr>
          <w:rFonts w:eastAsia="SimSun"/>
          <w:color w:val="000000"/>
          <w:sz w:val="22"/>
          <w:szCs w:val="22"/>
          <w:lang w:val="de-DE" w:eastAsia="en-GB"/>
        </w:rPr>
      </w:pPr>
      <w:r>
        <w:rPr>
          <w:rFonts w:eastAsia="SimSun"/>
          <w:color w:val="000000"/>
          <w:sz w:val="22"/>
          <w:szCs w:val="22"/>
          <w:lang w:val="de-DE" w:eastAsia="en-GB"/>
        </w:rPr>
        <w:t>Rhode Island, 02817</w:t>
      </w:r>
    </w:p>
    <w:p w14:paraId="2CDD352B" w14:textId="77777777" w:rsidR="00FE291A" w:rsidRDefault="00C8738F">
      <w:pPr>
        <w:widowControl/>
        <w:ind w:right="1416"/>
        <w:rPr>
          <w:rFonts w:eastAsia="SimSun"/>
          <w:color w:val="000000"/>
          <w:sz w:val="22"/>
          <w:szCs w:val="22"/>
          <w:lang w:val="de-DE" w:eastAsia="en-GB"/>
        </w:rPr>
      </w:pPr>
      <w:r>
        <w:rPr>
          <w:rFonts w:eastAsia="SimSun"/>
          <w:color w:val="000000"/>
          <w:sz w:val="22"/>
          <w:szCs w:val="22"/>
          <w:lang w:val="de-DE" w:eastAsia="en-GB"/>
        </w:rPr>
        <w:t>Vereinigte Staaten</w:t>
      </w:r>
    </w:p>
    <w:p w14:paraId="3D4D6F04" w14:textId="77777777" w:rsidR="00FE291A" w:rsidRDefault="00FE291A">
      <w:pPr>
        <w:widowControl/>
        <w:ind w:right="1416"/>
        <w:rPr>
          <w:sz w:val="22"/>
          <w:szCs w:val="22"/>
          <w:lang w:val="de-DE"/>
        </w:rPr>
      </w:pPr>
    </w:p>
    <w:p w14:paraId="5EA8AF5D" w14:textId="77777777" w:rsidR="00FE291A" w:rsidRDefault="00C8738F">
      <w:pPr>
        <w:widowControl/>
        <w:outlineLvl w:val="0"/>
        <w:rPr>
          <w:sz w:val="22"/>
          <w:szCs w:val="22"/>
          <w:lang w:val="de-DE"/>
        </w:rPr>
      </w:pPr>
      <w:r>
        <w:rPr>
          <w:sz w:val="22"/>
          <w:szCs w:val="22"/>
          <w:u w:val="single"/>
          <w:lang w:val="de-DE"/>
        </w:rPr>
        <w:t>Name und Anschrift der Hersteller, die für die Chargenfreigabe verantwortlich sind</w:t>
      </w:r>
    </w:p>
    <w:p w14:paraId="085C647F" w14:textId="77777777" w:rsidR="00FE291A" w:rsidRDefault="00C8738F">
      <w:pPr>
        <w:widowControl/>
        <w:rPr>
          <w:rFonts w:eastAsia="SimSun"/>
          <w:color w:val="000000"/>
          <w:sz w:val="22"/>
          <w:szCs w:val="22"/>
          <w:lang w:val="de-DE" w:eastAsia="en-GB"/>
        </w:rPr>
      </w:pPr>
      <w:r>
        <w:rPr>
          <w:rFonts w:eastAsia="SimSun"/>
          <w:color w:val="000000"/>
          <w:sz w:val="22"/>
          <w:szCs w:val="22"/>
          <w:lang w:val="de-DE" w:eastAsia="en-GB"/>
        </w:rPr>
        <w:t>Amgen Europe B.V.</w:t>
      </w:r>
      <w:r>
        <w:rPr>
          <w:rFonts w:eastAsia="SimSun"/>
          <w:color w:val="000000"/>
          <w:sz w:val="22"/>
          <w:szCs w:val="22"/>
          <w:lang w:val="de-DE" w:eastAsia="en-GB"/>
        </w:rPr>
        <w:br/>
        <w:t>Minervum 7061</w:t>
      </w:r>
      <w:r>
        <w:rPr>
          <w:rFonts w:eastAsia="SimSun"/>
          <w:color w:val="000000"/>
          <w:sz w:val="22"/>
          <w:szCs w:val="22"/>
          <w:lang w:val="de-DE" w:eastAsia="en-GB"/>
        </w:rPr>
        <w:br/>
        <w:t>4817 ZK Breda</w:t>
      </w:r>
      <w:r>
        <w:rPr>
          <w:rFonts w:eastAsia="SimSun"/>
          <w:color w:val="000000"/>
          <w:sz w:val="22"/>
          <w:szCs w:val="22"/>
          <w:lang w:val="de-DE" w:eastAsia="en-GB"/>
        </w:rPr>
        <w:br/>
        <w:t>Niederlande</w:t>
      </w:r>
      <w:r>
        <w:rPr>
          <w:rFonts w:eastAsia="SimSun"/>
          <w:color w:val="000000"/>
          <w:sz w:val="22"/>
          <w:szCs w:val="22"/>
          <w:lang w:val="de-DE" w:eastAsia="en-GB"/>
        </w:rPr>
        <w:br/>
      </w:r>
      <w:r>
        <w:rPr>
          <w:rFonts w:eastAsia="SimSun"/>
          <w:color w:val="000000"/>
          <w:sz w:val="22"/>
          <w:szCs w:val="22"/>
          <w:lang w:val="de-DE" w:eastAsia="en-GB"/>
        </w:rPr>
        <w:br/>
        <w:t>Amgen Technology Ireland UC</w:t>
      </w:r>
      <w:r>
        <w:rPr>
          <w:rFonts w:eastAsia="SimSun"/>
          <w:color w:val="000000"/>
          <w:sz w:val="22"/>
          <w:szCs w:val="22"/>
          <w:lang w:val="de-DE" w:eastAsia="en-GB"/>
        </w:rPr>
        <w:br/>
        <w:t>Pottery Road</w:t>
      </w:r>
      <w:r>
        <w:rPr>
          <w:rFonts w:eastAsia="SimSun"/>
          <w:color w:val="000000"/>
          <w:sz w:val="22"/>
          <w:szCs w:val="22"/>
          <w:lang w:val="de-DE" w:eastAsia="en-GB"/>
        </w:rPr>
        <w:br/>
        <w:t>Dun Laoghaire, Co Dublin</w:t>
      </w:r>
      <w:r>
        <w:rPr>
          <w:rFonts w:eastAsia="SimSun"/>
          <w:color w:val="000000"/>
          <w:sz w:val="22"/>
          <w:szCs w:val="22"/>
          <w:lang w:val="de-DE" w:eastAsia="en-GB"/>
        </w:rPr>
        <w:br/>
        <w:t>Irland</w:t>
      </w:r>
    </w:p>
    <w:p w14:paraId="5B880A37" w14:textId="77777777" w:rsidR="00FE291A" w:rsidRDefault="00FE291A">
      <w:pPr>
        <w:widowControl/>
        <w:rPr>
          <w:sz w:val="22"/>
          <w:szCs w:val="22"/>
          <w:lang w:val="de-DE"/>
        </w:rPr>
      </w:pPr>
    </w:p>
    <w:p w14:paraId="0CFCD506" w14:textId="77777777" w:rsidR="00FE291A" w:rsidRDefault="00C8738F">
      <w:pPr>
        <w:rPr>
          <w:sz w:val="22"/>
          <w:szCs w:val="22"/>
          <w:lang w:val="de-DE" w:eastAsia="ja-JP"/>
        </w:rPr>
      </w:pPr>
      <w:r>
        <w:rPr>
          <w:sz w:val="22"/>
          <w:szCs w:val="22"/>
          <w:lang w:val="de-DE" w:eastAsia="ja-JP"/>
        </w:rPr>
        <w:t>Amgen NV</w:t>
      </w:r>
    </w:p>
    <w:p w14:paraId="5A84F004" w14:textId="77777777" w:rsidR="00FE291A" w:rsidRDefault="00C8738F">
      <w:pPr>
        <w:rPr>
          <w:sz w:val="22"/>
          <w:szCs w:val="22"/>
          <w:lang w:val="de-DE" w:eastAsia="ja-JP"/>
        </w:rPr>
      </w:pPr>
      <w:r>
        <w:rPr>
          <w:sz w:val="22"/>
          <w:szCs w:val="22"/>
          <w:lang w:val="de-DE" w:eastAsia="ja-JP"/>
        </w:rPr>
        <w:t>Telecomlaan 5-7</w:t>
      </w:r>
    </w:p>
    <w:p w14:paraId="38F8A311" w14:textId="77777777" w:rsidR="00FE291A" w:rsidRDefault="00C8738F">
      <w:pPr>
        <w:rPr>
          <w:sz w:val="22"/>
          <w:szCs w:val="22"/>
          <w:lang w:val="de-DE" w:eastAsia="ja-JP"/>
        </w:rPr>
      </w:pPr>
      <w:r>
        <w:rPr>
          <w:sz w:val="22"/>
          <w:szCs w:val="22"/>
          <w:lang w:val="de-DE" w:eastAsia="ja-JP"/>
        </w:rPr>
        <w:t>1831 Diegem</w:t>
      </w:r>
    </w:p>
    <w:p w14:paraId="3594A64F" w14:textId="77777777" w:rsidR="00FE291A" w:rsidRDefault="00C8738F">
      <w:pPr>
        <w:widowControl/>
        <w:rPr>
          <w:sz w:val="22"/>
          <w:szCs w:val="22"/>
          <w:lang w:val="de-DE"/>
        </w:rPr>
      </w:pPr>
      <w:r>
        <w:rPr>
          <w:sz w:val="22"/>
          <w:szCs w:val="22"/>
          <w:lang w:val="de-DE"/>
        </w:rPr>
        <w:t xml:space="preserve">Belgien </w:t>
      </w:r>
    </w:p>
    <w:p w14:paraId="22BCE417" w14:textId="77777777" w:rsidR="00FE291A" w:rsidRDefault="00FE291A">
      <w:pPr>
        <w:widowControl/>
        <w:rPr>
          <w:sz w:val="22"/>
          <w:szCs w:val="22"/>
          <w:lang w:val="de-DE"/>
        </w:rPr>
      </w:pPr>
    </w:p>
    <w:p w14:paraId="43871375" w14:textId="77777777" w:rsidR="00FE291A" w:rsidRDefault="00C8738F">
      <w:pPr>
        <w:widowControl/>
        <w:rPr>
          <w:sz w:val="22"/>
          <w:szCs w:val="22"/>
          <w:lang w:val="de-DE"/>
        </w:rPr>
      </w:pPr>
      <w:r>
        <w:rPr>
          <w:sz w:val="22"/>
          <w:szCs w:val="22"/>
          <w:lang w:val="de-DE"/>
        </w:rPr>
        <w:t>In der Druckversion der Packungsbeilage des Arzneimittels müssen Name und Anschrift des Herstellers, der für die Freigabe der betreffenden Charge verantwortlich ist, angegeben werden.</w:t>
      </w:r>
    </w:p>
    <w:p w14:paraId="300245D3" w14:textId="77777777" w:rsidR="00FE291A" w:rsidRDefault="00FE291A">
      <w:pPr>
        <w:widowControl/>
        <w:rPr>
          <w:sz w:val="22"/>
          <w:szCs w:val="22"/>
          <w:lang w:val="de-DE"/>
        </w:rPr>
      </w:pPr>
    </w:p>
    <w:p w14:paraId="623D6CB8" w14:textId="77777777" w:rsidR="00FE291A" w:rsidRDefault="00FE291A">
      <w:pPr>
        <w:widowControl/>
        <w:rPr>
          <w:sz w:val="22"/>
          <w:szCs w:val="22"/>
          <w:lang w:val="de-DE"/>
        </w:rPr>
      </w:pPr>
    </w:p>
    <w:p w14:paraId="6980AA1B" w14:textId="77777777" w:rsidR="00FE291A" w:rsidRDefault="00C8738F">
      <w:pPr>
        <w:pStyle w:val="TitleB"/>
      </w:pPr>
      <w:r>
        <w:t xml:space="preserve">BEDINGUNGEN ODER EINSCHRÄNKUNGEN FÜR DIE ABGABE UND DEN GEBRAUCH </w:t>
      </w:r>
    </w:p>
    <w:p w14:paraId="080AB0CB" w14:textId="77777777" w:rsidR="00FE291A" w:rsidRDefault="00FE291A">
      <w:pPr>
        <w:keepNext/>
        <w:widowControl/>
        <w:rPr>
          <w:sz w:val="22"/>
          <w:szCs w:val="22"/>
          <w:lang w:val="de-DE"/>
        </w:rPr>
      </w:pPr>
    </w:p>
    <w:p w14:paraId="1D2D0D34" w14:textId="77777777" w:rsidR="00FE291A" w:rsidRDefault="00C8738F">
      <w:pPr>
        <w:widowControl/>
        <w:numPr>
          <w:ilvl w:val="12"/>
          <w:numId w:val="0"/>
        </w:numPr>
        <w:rPr>
          <w:sz w:val="22"/>
          <w:szCs w:val="22"/>
          <w:lang w:val="de-DE"/>
        </w:rPr>
      </w:pPr>
      <w:r>
        <w:rPr>
          <w:sz w:val="22"/>
          <w:szCs w:val="22"/>
          <w:lang w:val="de-DE"/>
        </w:rPr>
        <w:t>Arzneimittel auf eingeschränkte ärztliche Verschreibung (siehe Anhang I: Zusammenfassung der Merkmale des Arzneimittels, Abschnitt 4.2).</w:t>
      </w:r>
    </w:p>
    <w:p w14:paraId="646032DE" w14:textId="77777777" w:rsidR="00FE291A" w:rsidRDefault="00FE291A">
      <w:pPr>
        <w:widowControl/>
        <w:numPr>
          <w:ilvl w:val="12"/>
          <w:numId w:val="0"/>
        </w:numPr>
        <w:rPr>
          <w:sz w:val="22"/>
          <w:szCs w:val="22"/>
          <w:lang w:val="de-DE"/>
        </w:rPr>
      </w:pPr>
    </w:p>
    <w:p w14:paraId="598C6A94" w14:textId="77777777" w:rsidR="00FE291A" w:rsidRDefault="00FE291A">
      <w:pPr>
        <w:widowControl/>
        <w:numPr>
          <w:ilvl w:val="12"/>
          <w:numId w:val="0"/>
        </w:numPr>
        <w:rPr>
          <w:sz w:val="22"/>
          <w:szCs w:val="22"/>
          <w:lang w:val="de-DE"/>
        </w:rPr>
      </w:pPr>
    </w:p>
    <w:p w14:paraId="7AE19A3C" w14:textId="77777777" w:rsidR="00FE291A" w:rsidRDefault="00C8738F">
      <w:pPr>
        <w:pStyle w:val="TitleB"/>
      </w:pPr>
      <w:r>
        <w:t>SONSTIGE BEDINGUNGEN UND AUFLAGEN DER GENEHMIGUNG FÜR DAS INVERKEHRBRINGEN</w:t>
      </w:r>
    </w:p>
    <w:p w14:paraId="3BE6F445" w14:textId="77777777" w:rsidR="00FE291A" w:rsidRDefault="00FE291A">
      <w:pPr>
        <w:keepNext/>
        <w:widowControl/>
        <w:ind w:right="-1"/>
        <w:rPr>
          <w:sz w:val="22"/>
          <w:szCs w:val="22"/>
          <w:u w:val="single"/>
          <w:lang w:val="de-DE"/>
        </w:rPr>
      </w:pPr>
    </w:p>
    <w:p w14:paraId="2635DA4D" w14:textId="77777777" w:rsidR="00FE291A" w:rsidRDefault="00C8738F">
      <w:pPr>
        <w:keepNext/>
        <w:widowControl/>
        <w:numPr>
          <w:ilvl w:val="0"/>
          <w:numId w:val="18"/>
        </w:numPr>
        <w:tabs>
          <w:tab w:val="left" w:pos="567"/>
        </w:tabs>
        <w:autoSpaceDE/>
        <w:autoSpaceDN/>
        <w:adjustRightInd/>
        <w:ind w:right="-1" w:hanging="720"/>
        <w:rPr>
          <w:b/>
          <w:sz w:val="22"/>
          <w:szCs w:val="22"/>
          <w:lang w:val="de-DE"/>
        </w:rPr>
      </w:pPr>
      <w:r>
        <w:rPr>
          <w:b/>
          <w:sz w:val="22"/>
          <w:szCs w:val="22"/>
          <w:lang w:val="de-DE"/>
        </w:rPr>
        <w:t>Regelmäßig aktualisierte Unbedenklichkeitsberichte [Periodic Safety Update Reports (PSURs)]</w:t>
      </w:r>
    </w:p>
    <w:p w14:paraId="7B0490A3" w14:textId="77777777" w:rsidR="00FE291A" w:rsidRDefault="00FE291A">
      <w:pPr>
        <w:keepNext/>
        <w:widowControl/>
        <w:tabs>
          <w:tab w:val="left" w:pos="0"/>
        </w:tabs>
        <w:ind w:right="567"/>
        <w:rPr>
          <w:sz w:val="22"/>
          <w:szCs w:val="22"/>
          <w:lang w:val="de-DE"/>
        </w:rPr>
      </w:pPr>
    </w:p>
    <w:p w14:paraId="792DC728" w14:textId="77777777" w:rsidR="00FE291A" w:rsidRDefault="00C8738F">
      <w:pPr>
        <w:widowControl/>
        <w:tabs>
          <w:tab w:val="left" w:pos="0"/>
        </w:tabs>
        <w:ind w:right="567"/>
        <w:rPr>
          <w:sz w:val="22"/>
          <w:szCs w:val="22"/>
          <w:lang w:val="de-DE"/>
        </w:rPr>
      </w:pPr>
      <w:r>
        <w:rPr>
          <w:sz w:val="22"/>
          <w:szCs w:val="22"/>
          <w:lang w:val="de-DE"/>
        </w:rPr>
        <w:t>Die Anforderungen an die Einreichung von PSURs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6C3E32CE" w14:textId="77777777" w:rsidR="00FE291A" w:rsidRDefault="00FE291A">
      <w:pPr>
        <w:widowControl/>
        <w:tabs>
          <w:tab w:val="left" w:pos="0"/>
        </w:tabs>
        <w:ind w:right="567"/>
        <w:rPr>
          <w:sz w:val="22"/>
          <w:szCs w:val="22"/>
          <w:lang w:val="de-DE"/>
        </w:rPr>
      </w:pPr>
    </w:p>
    <w:p w14:paraId="292FEA9E" w14:textId="77777777" w:rsidR="00FE291A" w:rsidRDefault="00FE291A">
      <w:pPr>
        <w:widowControl/>
        <w:tabs>
          <w:tab w:val="left" w:pos="0"/>
        </w:tabs>
        <w:ind w:right="567"/>
        <w:rPr>
          <w:sz w:val="22"/>
          <w:szCs w:val="22"/>
          <w:lang w:val="de-DE"/>
        </w:rPr>
      </w:pPr>
    </w:p>
    <w:p w14:paraId="2E488AE3" w14:textId="77777777" w:rsidR="00FE291A" w:rsidRDefault="00C8738F">
      <w:pPr>
        <w:pStyle w:val="TitleB"/>
      </w:pPr>
      <w:r>
        <w:t>BEDINGUNGEN ODER EINSCHRÄNKUNGEN FÜR DIE SICHERE UND WIRKSAME ANWENDUNG DES ARZNEIMITTELS</w:t>
      </w:r>
    </w:p>
    <w:p w14:paraId="3004F7FD" w14:textId="77777777" w:rsidR="00FE291A" w:rsidRDefault="00FE291A">
      <w:pPr>
        <w:keepNext/>
        <w:widowControl/>
        <w:ind w:right="-1"/>
        <w:rPr>
          <w:sz w:val="22"/>
          <w:szCs w:val="22"/>
          <w:u w:val="single"/>
          <w:lang w:val="de-DE"/>
        </w:rPr>
      </w:pPr>
    </w:p>
    <w:p w14:paraId="49AA705D" w14:textId="77777777" w:rsidR="00FE291A" w:rsidRDefault="00C8738F">
      <w:pPr>
        <w:keepNext/>
        <w:widowControl/>
        <w:numPr>
          <w:ilvl w:val="0"/>
          <w:numId w:val="18"/>
        </w:numPr>
        <w:tabs>
          <w:tab w:val="left" w:pos="567"/>
        </w:tabs>
        <w:autoSpaceDE/>
        <w:autoSpaceDN/>
        <w:adjustRightInd/>
        <w:ind w:right="-1" w:hanging="720"/>
        <w:rPr>
          <w:b/>
          <w:sz w:val="22"/>
          <w:szCs w:val="22"/>
          <w:lang w:val="de-DE"/>
        </w:rPr>
      </w:pPr>
      <w:r>
        <w:rPr>
          <w:b/>
          <w:sz w:val="22"/>
          <w:szCs w:val="22"/>
          <w:lang w:val="de-DE"/>
        </w:rPr>
        <w:t>Risikomanagement-Plan (RMP)</w:t>
      </w:r>
    </w:p>
    <w:p w14:paraId="2AA57641" w14:textId="77777777" w:rsidR="00FE291A" w:rsidRDefault="00FE291A">
      <w:pPr>
        <w:keepNext/>
        <w:widowControl/>
        <w:ind w:left="720"/>
        <w:rPr>
          <w:b/>
          <w:sz w:val="22"/>
          <w:szCs w:val="22"/>
          <w:lang w:val="de-DE"/>
        </w:rPr>
      </w:pPr>
    </w:p>
    <w:p w14:paraId="28B6669E" w14:textId="77777777" w:rsidR="00FE291A" w:rsidRDefault="00C8738F">
      <w:pPr>
        <w:widowControl/>
        <w:tabs>
          <w:tab w:val="left" w:pos="0"/>
        </w:tabs>
        <w:ind w:right="567"/>
        <w:rPr>
          <w:sz w:val="22"/>
          <w:szCs w:val="22"/>
          <w:lang w:val="de-DE"/>
        </w:rPr>
      </w:pPr>
      <w:r>
        <w:rPr>
          <w:sz w:val="22"/>
          <w:szCs w:val="22"/>
          <w:lang w:val="de-DE"/>
        </w:rPr>
        <w:t>Der Inhaber der Genehmigung für das Inverkehrbringen (MAH) führt die notwendigen, im vereinbarten RMP beschriebenen und in Modul 1.8.2 der Zulassung dargelegten Pharmakovigilanzaktivitäten und Maßnahmen sowie alle künftigen vereinbarten Aktualisierungen des RMP durch.</w:t>
      </w:r>
    </w:p>
    <w:p w14:paraId="788B8E6A" w14:textId="77777777" w:rsidR="00FE291A" w:rsidRDefault="00FE291A">
      <w:pPr>
        <w:widowControl/>
        <w:ind w:right="-1"/>
        <w:rPr>
          <w:sz w:val="22"/>
          <w:szCs w:val="22"/>
          <w:lang w:val="de-DE"/>
        </w:rPr>
      </w:pPr>
    </w:p>
    <w:p w14:paraId="1CE3829A" w14:textId="77777777" w:rsidR="00FE291A" w:rsidRDefault="00C8738F">
      <w:pPr>
        <w:keepNext/>
        <w:widowControl/>
        <w:rPr>
          <w:sz w:val="22"/>
          <w:szCs w:val="22"/>
          <w:lang w:val="de-DE"/>
        </w:rPr>
      </w:pPr>
      <w:r>
        <w:rPr>
          <w:sz w:val="22"/>
          <w:szCs w:val="22"/>
          <w:lang w:val="de-DE"/>
        </w:rPr>
        <w:t>Ein aktualisierter RMP ist einzureichen:</w:t>
      </w:r>
    </w:p>
    <w:p w14:paraId="5F161ECB" w14:textId="77777777" w:rsidR="00FE291A" w:rsidRDefault="00C8738F">
      <w:pPr>
        <w:keepNext/>
        <w:widowControl/>
        <w:numPr>
          <w:ilvl w:val="0"/>
          <w:numId w:val="19"/>
        </w:numPr>
        <w:tabs>
          <w:tab w:val="clear" w:pos="720"/>
          <w:tab w:val="left" w:pos="567"/>
        </w:tabs>
        <w:autoSpaceDE/>
        <w:autoSpaceDN/>
        <w:adjustRightInd/>
        <w:ind w:left="567" w:hanging="567"/>
        <w:rPr>
          <w:sz w:val="22"/>
          <w:szCs w:val="22"/>
          <w:lang w:val="de-DE"/>
        </w:rPr>
      </w:pPr>
      <w:r>
        <w:rPr>
          <w:sz w:val="22"/>
          <w:szCs w:val="22"/>
          <w:lang w:val="de-DE"/>
        </w:rPr>
        <w:t>nach Aufforderung durch die Europäische Arzneimittel-Agentur;</w:t>
      </w:r>
    </w:p>
    <w:p w14:paraId="6EA82B35" w14:textId="77777777" w:rsidR="00FE291A" w:rsidRDefault="00C8738F">
      <w:pPr>
        <w:keepNext/>
        <w:widowControl/>
        <w:numPr>
          <w:ilvl w:val="0"/>
          <w:numId w:val="19"/>
        </w:numPr>
        <w:tabs>
          <w:tab w:val="clear" w:pos="720"/>
        </w:tabs>
        <w:autoSpaceDE/>
        <w:autoSpaceDN/>
        <w:adjustRightInd/>
        <w:ind w:left="567" w:hanging="567"/>
        <w:rPr>
          <w:sz w:val="22"/>
          <w:szCs w:val="22"/>
          <w:lang w:val="de-DE"/>
        </w:rPr>
      </w:pPr>
      <w:r>
        <w:rPr>
          <w:sz w:val="22"/>
          <w:szCs w:val="22"/>
          <w:lang w:val="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448E8BD0" w14:textId="77777777" w:rsidR="00FE291A" w:rsidRDefault="00FE291A">
      <w:pPr>
        <w:keepNext/>
        <w:widowControl/>
        <w:autoSpaceDE/>
        <w:autoSpaceDN/>
        <w:adjustRightInd/>
        <w:rPr>
          <w:sz w:val="22"/>
          <w:szCs w:val="22"/>
          <w:lang w:val="de-DE"/>
        </w:rPr>
      </w:pPr>
    </w:p>
    <w:p w14:paraId="2B967245" w14:textId="77777777" w:rsidR="00FE291A" w:rsidRDefault="00C8738F">
      <w:pPr>
        <w:widowControl/>
        <w:numPr>
          <w:ilvl w:val="0"/>
          <w:numId w:val="18"/>
        </w:numPr>
        <w:tabs>
          <w:tab w:val="clear" w:pos="720"/>
          <w:tab w:val="left" w:pos="567"/>
        </w:tabs>
        <w:autoSpaceDE/>
        <w:autoSpaceDN/>
        <w:adjustRightInd/>
        <w:ind w:left="567" w:right="-1" w:hanging="567"/>
        <w:rPr>
          <w:sz w:val="22"/>
          <w:szCs w:val="22"/>
          <w:lang w:val="de-DE"/>
        </w:rPr>
      </w:pPr>
      <w:r>
        <w:rPr>
          <w:b/>
          <w:sz w:val="22"/>
          <w:szCs w:val="22"/>
          <w:lang w:val="de-DE"/>
        </w:rPr>
        <w:t>Zusätzliche Maßnahmen zur Risikominimierung</w:t>
      </w:r>
    </w:p>
    <w:p w14:paraId="45AA9463" w14:textId="77777777" w:rsidR="00FE291A" w:rsidRDefault="00FE291A">
      <w:pPr>
        <w:widowControl/>
        <w:ind w:right="-1"/>
        <w:rPr>
          <w:sz w:val="22"/>
          <w:szCs w:val="22"/>
          <w:lang w:val="de-DE"/>
        </w:rPr>
      </w:pPr>
    </w:p>
    <w:p w14:paraId="3C0B7334" w14:textId="77777777" w:rsidR="00FE291A" w:rsidRDefault="00C8738F">
      <w:pPr>
        <w:widowControl/>
        <w:tabs>
          <w:tab w:val="left" w:pos="0"/>
        </w:tabs>
        <w:ind w:right="567"/>
        <w:rPr>
          <w:sz w:val="22"/>
          <w:szCs w:val="22"/>
          <w:lang w:val="de-DE"/>
        </w:rPr>
      </w:pPr>
      <w:r>
        <w:rPr>
          <w:sz w:val="22"/>
          <w:szCs w:val="22"/>
          <w:lang w:val="de-DE"/>
        </w:rPr>
        <w:t>Die Patientenpässe (für Erwachsene und für Kinder) enthalten die folgenden Hauptelemente:</w:t>
      </w:r>
    </w:p>
    <w:p w14:paraId="1E4F788B" w14:textId="77777777" w:rsidR="00FE291A" w:rsidRDefault="00FE291A">
      <w:pPr>
        <w:widowControl/>
        <w:tabs>
          <w:tab w:val="left" w:pos="0"/>
        </w:tabs>
        <w:ind w:right="567"/>
        <w:rPr>
          <w:sz w:val="22"/>
          <w:szCs w:val="22"/>
          <w:lang w:val="de-DE"/>
        </w:rPr>
      </w:pPr>
    </w:p>
    <w:p w14:paraId="69D0407D" w14:textId="77777777" w:rsidR="00FE291A" w:rsidRDefault="00C8738F">
      <w:pPr>
        <w:widowControl/>
        <w:numPr>
          <w:ilvl w:val="0"/>
          <w:numId w:val="20"/>
        </w:numPr>
        <w:tabs>
          <w:tab w:val="left" w:pos="0"/>
        </w:tabs>
        <w:ind w:left="567" w:hanging="567"/>
        <w:rPr>
          <w:sz w:val="22"/>
          <w:szCs w:val="22"/>
          <w:lang w:val="de-DE"/>
        </w:rPr>
      </w:pPr>
      <w:r>
        <w:rPr>
          <w:sz w:val="22"/>
          <w:szCs w:val="22"/>
          <w:lang w:val="de-DE"/>
        </w:rPr>
        <w:t>Infektionen, einschließlich Tuberkulose</w:t>
      </w:r>
    </w:p>
    <w:p w14:paraId="7546ED00" w14:textId="77777777" w:rsidR="00FE291A" w:rsidRDefault="00C8738F">
      <w:pPr>
        <w:widowControl/>
        <w:numPr>
          <w:ilvl w:val="0"/>
          <w:numId w:val="20"/>
        </w:numPr>
        <w:tabs>
          <w:tab w:val="left" w:pos="0"/>
        </w:tabs>
        <w:ind w:left="567" w:hanging="567"/>
        <w:rPr>
          <w:sz w:val="22"/>
          <w:szCs w:val="22"/>
          <w:lang w:val="de-DE"/>
        </w:rPr>
      </w:pPr>
      <w:r>
        <w:rPr>
          <w:sz w:val="22"/>
          <w:szCs w:val="22"/>
          <w:lang w:val="de-DE"/>
        </w:rPr>
        <w:t>Krebserkrankungen</w:t>
      </w:r>
    </w:p>
    <w:p w14:paraId="3CFF00ED" w14:textId="77777777" w:rsidR="00FE291A" w:rsidRDefault="00C8738F">
      <w:pPr>
        <w:widowControl/>
        <w:numPr>
          <w:ilvl w:val="0"/>
          <w:numId w:val="20"/>
        </w:numPr>
        <w:tabs>
          <w:tab w:val="left" w:pos="0"/>
        </w:tabs>
        <w:ind w:left="567" w:hanging="567"/>
        <w:rPr>
          <w:sz w:val="22"/>
          <w:szCs w:val="22"/>
          <w:lang w:val="de-DE"/>
        </w:rPr>
      </w:pPr>
      <w:r>
        <w:rPr>
          <w:sz w:val="22"/>
          <w:szCs w:val="22"/>
          <w:lang w:val="de-DE"/>
        </w:rPr>
        <w:t>Störungen des Nervensystems</w:t>
      </w:r>
    </w:p>
    <w:p w14:paraId="1DD35B8B" w14:textId="77777777" w:rsidR="00FE291A" w:rsidRDefault="00C8738F">
      <w:pPr>
        <w:widowControl/>
        <w:numPr>
          <w:ilvl w:val="0"/>
          <w:numId w:val="20"/>
        </w:numPr>
        <w:tabs>
          <w:tab w:val="left" w:pos="0"/>
        </w:tabs>
        <w:ind w:left="567" w:hanging="567"/>
        <w:rPr>
          <w:sz w:val="22"/>
          <w:szCs w:val="22"/>
          <w:lang w:val="de-DE"/>
        </w:rPr>
      </w:pPr>
      <w:r>
        <w:rPr>
          <w:sz w:val="22"/>
          <w:szCs w:val="22"/>
          <w:lang w:val="de-DE"/>
        </w:rPr>
        <w:t>Impfungen</w:t>
      </w:r>
    </w:p>
    <w:p w14:paraId="506B95FF" w14:textId="77777777" w:rsidR="00FE291A" w:rsidRDefault="00FE291A">
      <w:pPr>
        <w:widowControl/>
        <w:ind w:right="-1"/>
        <w:rPr>
          <w:sz w:val="22"/>
          <w:szCs w:val="22"/>
          <w:lang w:val="de-DE"/>
        </w:rPr>
      </w:pPr>
    </w:p>
    <w:p w14:paraId="4A6641CF" w14:textId="77777777" w:rsidR="00FE291A" w:rsidRDefault="00FE291A">
      <w:pPr>
        <w:widowControl/>
        <w:jc w:val="center"/>
        <w:rPr>
          <w:sz w:val="22"/>
          <w:szCs w:val="22"/>
          <w:lang w:val="de-DE"/>
        </w:rPr>
      </w:pPr>
    </w:p>
    <w:p w14:paraId="4FF78ACC" w14:textId="77777777" w:rsidR="00FE291A" w:rsidRDefault="00C8738F">
      <w:pPr>
        <w:pStyle w:val="BodyText"/>
        <w:widowControl/>
        <w:kinsoku w:val="0"/>
        <w:overflowPunct w:val="0"/>
        <w:ind w:left="0"/>
        <w:jc w:val="center"/>
        <w:rPr>
          <w:lang w:val="de-DE"/>
        </w:rPr>
      </w:pPr>
      <w:r>
        <w:rPr>
          <w:lang w:val="de-DE"/>
        </w:rPr>
        <w:br w:type="page"/>
      </w:r>
    </w:p>
    <w:p w14:paraId="6694A3D3" w14:textId="77777777" w:rsidR="00FE291A" w:rsidRDefault="00FE291A">
      <w:pPr>
        <w:pStyle w:val="BodyText"/>
        <w:widowControl/>
        <w:kinsoku w:val="0"/>
        <w:overflowPunct w:val="0"/>
        <w:ind w:left="0"/>
        <w:jc w:val="center"/>
        <w:rPr>
          <w:lang w:val="de-DE"/>
        </w:rPr>
      </w:pPr>
    </w:p>
    <w:p w14:paraId="6F5DCF2F" w14:textId="77777777" w:rsidR="00FE291A" w:rsidRDefault="00FE291A">
      <w:pPr>
        <w:pStyle w:val="BodyText"/>
        <w:widowControl/>
        <w:kinsoku w:val="0"/>
        <w:overflowPunct w:val="0"/>
        <w:ind w:left="0"/>
        <w:jc w:val="center"/>
        <w:rPr>
          <w:lang w:val="de-DE"/>
        </w:rPr>
      </w:pPr>
    </w:p>
    <w:p w14:paraId="7CE22FBD" w14:textId="77777777" w:rsidR="00FE291A" w:rsidRDefault="00FE291A">
      <w:pPr>
        <w:pStyle w:val="BodyText"/>
        <w:widowControl/>
        <w:kinsoku w:val="0"/>
        <w:overflowPunct w:val="0"/>
        <w:ind w:left="0"/>
        <w:jc w:val="center"/>
        <w:rPr>
          <w:lang w:val="de-DE"/>
        </w:rPr>
      </w:pPr>
    </w:p>
    <w:p w14:paraId="0C4E54A2" w14:textId="77777777" w:rsidR="00FE291A" w:rsidRDefault="00FE291A">
      <w:pPr>
        <w:pStyle w:val="BodyText"/>
        <w:widowControl/>
        <w:kinsoku w:val="0"/>
        <w:overflowPunct w:val="0"/>
        <w:ind w:left="0"/>
        <w:jc w:val="center"/>
        <w:rPr>
          <w:lang w:val="de-DE"/>
        </w:rPr>
      </w:pPr>
    </w:p>
    <w:p w14:paraId="34117EC7" w14:textId="77777777" w:rsidR="00FE291A" w:rsidRDefault="00FE291A">
      <w:pPr>
        <w:pStyle w:val="BodyText"/>
        <w:widowControl/>
        <w:kinsoku w:val="0"/>
        <w:overflowPunct w:val="0"/>
        <w:ind w:left="0"/>
        <w:jc w:val="center"/>
        <w:rPr>
          <w:lang w:val="de-DE"/>
        </w:rPr>
      </w:pPr>
    </w:p>
    <w:p w14:paraId="1E396D6A" w14:textId="77777777" w:rsidR="00FE291A" w:rsidRDefault="00FE291A">
      <w:pPr>
        <w:pStyle w:val="BodyText"/>
        <w:widowControl/>
        <w:kinsoku w:val="0"/>
        <w:overflowPunct w:val="0"/>
        <w:ind w:left="0"/>
        <w:jc w:val="center"/>
        <w:rPr>
          <w:lang w:val="de-DE"/>
        </w:rPr>
      </w:pPr>
    </w:p>
    <w:p w14:paraId="1C273C2C" w14:textId="77777777" w:rsidR="00FE291A" w:rsidRDefault="00FE291A">
      <w:pPr>
        <w:pStyle w:val="BodyText"/>
        <w:widowControl/>
        <w:kinsoku w:val="0"/>
        <w:overflowPunct w:val="0"/>
        <w:ind w:left="0"/>
        <w:jc w:val="center"/>
        <w:rPr>
          <w:lang w:val="de-DE"/>
        </w:rPr>
      </w:pPr>
    </w:p>
    <w:p w14:paraId="283C3476" w14:textId="77777777" w:rsidR="00FE291A" w:rsidRDefault="00FE291A">
      <w:pPr>
        <w:pStyle w:val="BodyText"/>
        <w:widowControl/>
        <w:kinsoku w:val="0"/>
        <w:overflowPunct w:val="0"/>
        <w:ind w:left="0"/>
        <w:jc w:val="center"/>
        <w:rPr>
          <w:lang w:val="de-DE"/>
        </w:rPr>
      </w:pPr>
    </w:p>
    <w:p w14:paraId="28B5497E" w14:textId="77777777" w:rsidR="00FE291A" w:rsidRDefault="00FE291A">
      <w:pPr>
        <w:pStyle w:val="BodyText"/>
        <w:widowControl/>
        <w:kinsoku w:val="0"/>
        <w:overflowPunct w:val="0"/>
        <w:ind w:left="0"/>
        <w:jc w:val="center"/>
        <w:rPr>
          <w:lang w:val="de-DE"/>
        </w:rPr>
      </w:pPr>
    </w:p>
    <w:p w14:paraId="4DD12A35" w14:textId="77777777" w:rsidR="00FE291A" w:rsidRDefault="00FE291A">
      <w:pPr>
        <w:pStyle w:val="BodyText"/>
        <w:widowControl/>
        <w:kinsoku w:val="0"/>
        <w:overflowPunct w:val="0"/>
        <w:ind w:left="0"/>
        <w:jc w:val="center"/>
        <w:rPr>
          <w:lang w:val="de-DE"/>
        </w:rPr>
      </w:pPr>
    </w:p>
    <w:p w14:paraId="6C4D1F60" w14:textId="77777777" w:rsidR="00FE291A" w:rsidRDefault="00FE291A">
      <w:pPr>
        <w:pStyle w:val="BodyText"/>
        <w:widowControl/>
        <w:kinsoku w:val="0"/>
        <w:overflowPunct w:val="0"/>
        <w:ind w:left="0"/>
        <w:jc w:val="center"/>
        <w:rPr>
          <w:lang w:val="de-DE"/>
        </w:rPr>
      </w:pPr>
    </w:p>
    <w:p w14:paraId="65B983D5" w14:textId="77777777" w:rsidR="00FE291A" w:rsidRDefault="00FE291A">
      <w:pPr>
        <w:pStyle w:val="BodyText"/>
        <w:widowControl/>
        <w:kinsoku w:val="0"/>
        <w:overflowPunct w:val="0"/>
        <w:ind w:left="0"/>
        <w:jc w:val="center"/>
        <w:rPr>
          <w:lang w:val="de-DE"/>
        </w:rPr>
      </w:pPr>
    </w:p>
    <w:p w14:paraId="19037A31" w14:textId="77777777" w:rsidR="00FE291A" w:rsidRDefault="00FE291A">
      <w:pPr>
        <w:pStyle w:val="BodyText"/>
        <w:widowControl/>
        <w:kinsoku w:val="0"/>
        <w:overflowPunct w:val="0"/>
        <w:ind w:left="0"/>
        <w:jc w:val="center"/>
        <w:rPr>
          <w:lang w:val="de-DE"/>
        </w:rPr>
      </w:pPr>
    </w:p>
    <w:p w14:paraId="35736E49" w14:textId="77777777" w:rsidR="00FE291A" w:rsidRDefault="00FE291A">
      <w:pPr>
        <w:pStyle w:val="BodyText"/>
        <w:widowControl/>
        <w:kinsoku w:val="0"/>
        <w:overflowPunct w:val="0"/>
        <w:ind w:left="0"/>
        <w:jc w:val="center"/>
        <w:rPr>
          <w:lang w:val="de-DE"/>
        </w:rPr>
      </w:pPr>
    </w:p>
    <w:p w14:paraId="285AC11C" w14:textId="77777777" w:rsidR="00FE291A" w:rsidRDefault="00FE291A">
      <w:pPr>
        <w:pStyle w:val="BodyText"/>
        <w:widowControl/>
        <w:kinsoku w:val="0"/>
        <w:overflowPunct w:val="0"/>
        <w:ind w:left="0"/>
        <w:jc w:val="center"/>
        <w:rPr>
          <w:lang w:val="de-DE"/>
        </w:rPr>
      </w:pPr>
    </w:p>
    <w:p w14:paraId="3CAF19CD" w14:textId="77777777" w:rsidR="00FE291A" w:rsidRDefault="00FE291A">
      <w:pPr>
        <w:pStyle w:val="BodyText"/>
        <w:widowControl/>
        <w:kinsoku w:val="0"/>
        <w:overflowPunct w:val="0"/>
        <w:ind w:left="0"/>
        <w:jc w:val="center"/>
        <w:rPr>
          <w:lang w:val="de-DE"/>
        </w:rPr>
      </w:pPr>
    </w:p>
    <w:p w14:paraId="247DA404" w14:textId="77777777" w:rsidR="00FE291A" w:rsidRDefault="00FE291A">
      <w:pPr>
        <w:pStyle w:val="BodyText"/>
        <w:widowControl/>
        <w:kinsoku w:val="0"/>
        <w:overflowPunct w:val="0"/>
        <w:ind w:left="0"/>
        <w:jc w:val="center"/>
        <w:rPr>
          <w:lang w:val="de-DE"/>
        </w:rPr>
      </w:pPr>
    </w:p>
    <w:p w14:paraId="0309FF6E" w14:textId="77777777" w:rsidR="00FE291A" w:rsidRDefault="00FE291A">
      <w:pPr>
        <w:pStyle w:val="BodyText"/>
        <w:widowControl/>
        <w:kinsoku w:val="0"/>
        <w:overflowPunct w:val="0"/>
        <w:ind w:left="0"/>
        <w:jc w:val="center"/>
        <w:rPr>
          <w:lang w:val="de-DE"/>
        </w:rPr>
      </w:pPr>
    </w:p>
    <w:p w14:paraId="3198C780" w14:textId="77777777" w:rsidR="00FE291A" w:rsidRDefault="00FE291A">
      <w:pPr>
        <w:pStyle w:val="BodyText"/>
        <w:widowControl/>
        <w:kinsoku w:val="0"/>
        <w:overflowPunct w:val="0"/>
        <w:ind w:left="0"/>
        <w:jc w:val="center"/>
        <w:rPr>
          <w:lang w:val="de-DE"/>
        </w:rPr>
      </w:pPr>
    </w:p>
    <w:p w14:paraId="4D2A373E" w14:textId="77777777" w:rsidR="00FE291A" w:rsidRDefault="00FE291A">
      <w:pPr>
        <w:pStyle w:val="BodyText"/>
        <w:widowControl/>
        <w:kinsoku w:val="0"/>
        <w:overflowPunct w:val="0"/>
        <w:ind w:left="0"/>
        <w:jc w:val="center"/>
        <w:rPr>
          <w:lang w:val="de-DE"/>
        </w:rPr>
      </w:pPr>
    </w:p>
    <w:p w14:paraId="679629C7" w14:textId="77777777" w:rsidR="00FE291A" w:rsidRDefault="00FE291A">
      <w:pPr>
        <w:pStyle w:val="BodyText"/>
        <w:widowControl/>
        <w:kinsoku w:val="0"/>
        <w:overflowPunct w:val="0"/>
        <w:ind w:left="0"/>
        <w:jc w:val="center"/>
        <w:rPr>
          <w:lang w:val="de-DE"/>
        </w:rPr>
      </w:pPr>
    </w:p>
    <w:p w14:paraId="06CD927C" w14:textId="77777777" w:rsidR="00FE291A" w:rsidRDefault="00FE291A">
      <w:pPr>
        <w:pStyle w:val="BodyText"/>
        <w:widowControl/>
        <w:kinsoku w:val="0"/>
        <w:overflowPunct w:val="0"/>
        <w:ind w:left="0"/>
        <w:jc w:val="center"/>
        <w:rPr>
          <w:lang w:val="de-DE"/>
        </w:rPr>
      </w:pPr>
    </w:p>
    <w:p w14:paraId="177954B3" w14:textId="77777777" w:rsidR="00FE291A" w:rsidRDefault="00C8738F">
      <w:pPr>
        <w:widowControl/>
        <w:jc w:val="center"/>
        <w:outlineLvl w:val="0"/>
        <w:rPr>
          <w:b/>
          <w:sz w:val="22"/>
          <w:szCs w:val="22"/>
          <w:lang w:val="de-DE"/>
        </w:rPr>
      </w:pPr>
      <w:r>
        <w:rPr>
          <w:b/>
          <w:sz w:val="22"/>
          <w:szCs w:val="22"/>
          <w:lang w:val="de-DE"/>
        </w:rPr>
        <w:t>ANHANG III</w:t>
      </w:r>
    </w:p>
    <w:p w14:paraId="24B30C9A" w14:textId="77777777" w:rsidR="00FE291A" w:rsidRDefault="00FE291A">
      <w:pPr>
        <w:widowControl/>
        <w:jc w:val="center"/>
        <w:rPr>
          <w:b/>
          <w:sz w:val="22"/>
          <w:szCs w:val="22"/>
          <w:lang w:val="de-DE"/>
        </w:rPr>
      </w:pPr>
    </w:p>
    <w:p w14:paraId="03F744EB" w14:textId="77777777" w:rsidR="00FE291A" w:rsidRDefault="00C8738F">
      <w:pPr>
        <w:pStyle w:val="BodyText"/>
        <w:widowControl/>
        <w:kinsoku w:val="0"/>
        <w:overflowPunct w:val="0"/>
        <w:ind w:left="0"/>
        <w:jc w:val="center"/>
        <w:rPr>
          <w:lang w:val="de-DE"/>
        </w:rPr>
      </w:pPr>
      <w:r>
        <w:rPr>
          <w:b/>
          <w:lang w:val="de-DE"/>
        </w:rPr>
        <w:t>ETIKETTIERUNG UND PACKUNGSBEILAGE</w:t>
      </w:r>
    </w:p>
    <w:p w14:paraId="401B9E19" w14:textId="77777777" w:rsidR="00FE291A" w:rsidRDefault="00C8738F">
      <w:pPr>
        <w:widowControl/>
        <w:rPr>
          <w:b/>
          <w:sz w:val="22"/>
          <w:szCs w:val="22"/>
          <w:lang w:val="de-DE"/>
        </w:rPr>
      </w:pPr>
      <w:r>
        <w:rPr>
          <w:sz w:val="22"/>
          <w:lang w:val="de-DE"/>
        </w:rPr>
        <w:br w:type="page"/>
      </w:r>
    </w:p>
    <w:p w14:paraId="7E8CFDCB" w14:textId="77777777" w:rsidR="00FE291A" w:rsidRDefault="00FE291A">
      <w:pPr>
        <w:widowControl/>
        <w:outlineLvl w:val="0"/>
        <w:rPr>
          <w:b/>
          <w:sz w:val="22"/>
          <w:lang w:val="de-DE"/>
        </w:rPr>
      </w:pPr>
    </w:p>
    <w:p w14:paraId="01F1575A" w14:textId="77777777" w:rsidR="00FE291A" w:rsidRDefault="00FE291A">
      <w:pPr>
        <w:widowControl/>
        <w:outlineLvl w:val="0"/>
        <w:rPr>
          <w:b/>
          <w:sz w:val="22"/>
          <w:lang w:val="de-DE"/>
        </w:rPr>
      </w:pPr>
    </w:p>
    <w:p w14:paraId="22B0BBE3" w14:textId="77777777" w:rsidR="00FE291A" w:rsidRDefault="00FE291A">
      <w:pPr>
        <w:widowControl/>
        <w:outlineLvl w:val="0"/>
        <w:rPr>
          <w:b/>
          <w:sz w:val="22"/>
          <w:lang w:val="de-DE"/>
        </w:rPr>
      </w:pPr>
    </w:p>
    <w:p w14:paraId="7124C30A" w14:textId="77777777" w:rsidR="00FE291A" w:rsidRDefault="00FE291A">
      <w:pPr>
        <w:widowControl/>
        <w:outlineLvl w:val="0"/>
        <w:rPr>
          <w:b/>
          <w:sz w:val="22"/>
          <w:lang w:val="de-DE"/>
        </w:rPr>
      </w:pPr>
    </w:p>
    <w:p w14:paraId="2A5B43BB" w14:textId="77777777" w:rsidR="00FE291A" w:rsidRDefault="00FE291A">
      <w:pPr>
        <w:widowControl/>
        <w:outlineLvl w:val="0"/>
        <w:rPr>
          <w:b/>
          <w:sz w:val="22"/>
          <w:lang w:val="de-DE"/>
        </w:rPr>
      </w:pPr>
    </w:p>
    <w:p w14:paraId="0A422265" w14:textId="77777777" w:rsidR="00FE291A" w:rsidRDefault="00FE291A">
      <w:pPr>
        <w:widowControl/>
        <w:outlineLvl w:val="0"/>
        <w:rPr>
          <w:b/>
          <w:sz w:val="22"/>
          <w:lang w:val="de-DE"/>
        </w:rPr>
      </w:pPr>
    </w:p>
    <w:p w14:paraId="262E3EC8" w14:textId="77777777" w:rsidR="00FE291A" w:rsidRDefault="00FE291A">
      <w:pPr>
        <w:widowControl/>
        <w:outlineLvl w:val="0"/>
        <w:rPr>
          <w:b/>
          <w:sz w:val="22"/>
          <w:lang w:val="de-DE"/>
        </w:rPr>
      </w:pPr>
    </w:p>
    <w:p w14:paraId="572B3A13" w14:textId="77777777" w:rsidR="00FE291A" w:rsidRDefault="00FE291A">
      <w:pPr>
        <w:widowControl/>
        <w:outlineLvl w:val="0"/>
        <w:rPr>
          <w:b/>
          <w:sz w:val="22"/>
          <w:lang w:val="de-DE"/>
        </w:rPr>
      </w:pPr>
    </w:p>
    <w:p w14:paraId="305FC651" w14:textId="77777777" w:rsidR="00FE291A" w:rsidRDefault="00FE291A">
      <w:pPr>
        <w:widowControl/>
        <w:outlineLvl w:val="0"/>
        <w:rPr>
          <w:b/>
          <w:sz w:val="22"/>
          <w:lang w:val="de-DE"/>
        </w:rPr>
      </w:pPr>
    </w:p>
    <w:p w14:paraId="6547DBFA" w14:textId="77777777" w:rsidR="00FE291A" w:rsidRDefault="00FE291A">
      <w:pPr>
        <w:widowControl/>
        <w:outlineLvl w:val="0"/>
        <w:rPr>
          <w:b/>
          <w:sz w:val="22"/>
          <w:lang w:val="de-DE"/>
        </w:rPr>
      </w:pPr>
    </w:p>
    <w:p w14:paraId="10CEFBC3" w14:textId="77777777" w:rsidR="00FE291A" w:rsidRDefault="00FE291A">
      <w:pPr>
        <w:widowControl/>
        <w:outlineLvl w:val="0"/>
        <w:rPr>
          <w:b/>
          <w:sz w:val="22"/>
          <w:lang w:val="de-DE"/>
        </w:rPr>
      </w:pPr>
    </w:p>
    <w:p w14:paraId="6F9D1791" w14:textId="77777777" w:rsidR="00FE291A" w:rsidRDefault="00FE291A">
      <w:pPr>
        <w:widowControl/>
        <w:outlineLvl w:val="0"/>
        <w:rPr>
          <w:b/>
          <w:sz w:val="22"/>
          <w:lang w:val="de-DE"/>
        </w:rPr>
      </w:pPr>
    </w:p>
    <w:p w14:paraId="789E0A90" w14:textId="77777777" w:rsidR="00FE291A" w:rsidRDefault="00FE291A">
      <w:pPr>
        <w:widowControl/>
        <w:outlineLvl w:val="0"/>
        <w:rPr>
          <w:b/>
          <w:sz w:val="22"/>
          <w:lang w:val="de-DE"/>
        </w:rPr>
      </w:pPr>
    </w:p>
    <w:p w14:paraId="62081DF0" w14:textId="77777777" w:rsidR="00FE291A" w:rsidRDefault="00FE291A">
      <w:pPr>
        <w:widowControl/>
        <w:outlineLvl w:val="0"/>
        <w:rPr>
          <w:b/>
          <w:sz w:val="22"/>
          <w:lang w:val="de-DE"/>
        </w:rPr>
      </w:pPr>
    </w:p>
    <w:p w14:paraId="6C71621E" w14:textId="77777777" w:rsidR="00FE291A" w:rsidRDefault="00FE291A">
      <w:pPr>
        <w:widowControl/>
        <w:outlineLvl w:val="0"/>
        <w:rPr>
          <w:b/>
          <w:sz w:val="22"/>
          <w:lang w:val="de-DE"/>
        </w:rPr>
      </w:pPr>
    </w:p>
    <w:p w14:paraId="54CE023F" w14:textId="77777777" w:rsidR="00FE291A" w:rsidRDefault="00FE291A">
      <w:pPr>
        <w:widowControl/>
        <w:outlineLvl w:val="0"/>
        <w:rPr>
          <w:b/>
          <w:sz w:val="22"/>
          <w:lang w:val="de-DE"/>
        </w:rPr>
      </w:pPr>
    </w:p>
    <w:p w14:paraId="7E3913B5" w14:textId="77777777" w:rsidR="00FE291A" w:rsidRDefault="00FE291A">
      <w:pPr>
        <w:widowControl/>
        <w:outlineLvl w:val="0"/>
        <w:rPr>
          <w:b/>
          <w:sz w:val="22"/>
          <w:lang w:val="de-DE"/>
        </w:rPr>
      </w:pPr>
    </w:p>
    <w:p w14:paraId="6EB60B60" w14:textId="77777777" w:rsidR="00FE291A" w:rsidRDefault="00FE291A">
      <w:pPr>
        <w:widowControl/>
        <w:outlineLvl w:val="0"/>
        <w:rPr>
          <w:b/>
          <w:sz w:val="22"/>
          <w:lang w:val="de-DE"/>
        </w:rPr>
      </w:pPr>
    </w:p>
    <w:p w14:paraId="58DF4F32" w14:textId="77777777" w:rsidR="00FE291A" w:rsidRDefault="00FE291A">
      <w:pPr>
        <w:widowControl/>
        <w:outlineLvl w:val="0"/>
        <w:rPr>
          <w:b/>
          <w:sz w:val="22"/>
          <w:lang w:val="de-DE"/>
        </w:rPr>
      </w:pPr>
    </w:p>
    <w:p w14:paraId="09EE0B9B" w14:textId="77777777" w:rsidR="00FE291A" w:rsidRDefault="00FE291A">
      <w:pPr>
        <w:widowControl/>
        <w:outlineLvl w:val="0"/>
        <w:rPr>
          <w:b/>
          <w:sz w:val="22"/>
          <w:lang w:val="de-DE"/>
        </w:rPr>
      </w:pPr>
    </w:p>
    <w:p w14:paraId="0C3FF601" w14:textId="77777777" w:rsidR="00FE291A" w:rsidRDefault="00FE291A">
      <w:pPr>
        <w:widowControl/>
        <w:jc w:val="center"/>
        <w:outlineLvl w:val="0"/>
        <w:rPr>
          <w:rStyle w:val="DoNotTranslateExternal1"/>
          <w:sz w:val="22"/>
          <w:lang w:val="de-DE"/>
        </w:rPr>
      </w:pPr>
    </w:p>
    <w:p w14:paraId="0CCD3CCA" w14:textId="77777777" w:rsidR="00FE291A" w:rsidRDefault="00FE291A">
      <w:pPr>
        <w:widowControl/>
        <w:jc w:val="center"/>
        <w:outlineLvl w:val="0"/>
        <w:rPr>
          <w:rStyle w:val="DoNotTranslateExternal1"/>
          <w:sz w:val="22"/>
          <w:lang w:val="de-DE"/>
        </w:rPr>
      </w:pPr>
    </w:p>
    <w:p w14:paraId="38A1BC3E" w14:textId="77777777" w:rsidR="00FE291A" w:rsidRDefault="00C8738F">
      <w:pPr>
        <w:pStyle w:val="TitleA"/>
        <w:widowControl/>
      </w:pPr>
      <w:r>
        <w:rPr>
          <w:rStyle w:val="DoNotTranslateExternal1"/>
          <w:b/>
        </w:rPr>
        <w:t>A.</w:t>
      </w:r>
      <w:r>
        <w:t xml:space="preserve"> ETIKETTIERUNG</w:t>
      </w:r>
    </w:p>
    <w:p w14:paraId="2FBF6C78" w14:textId="77777777" w:rsidR="00FE291A" w:rsidRDefault="00C8738F">
      <w:pPr>
        <w:widowControl/>
        <w:pBdr>
          <w:top w:val="single" w:sz="4" w:space="1" w:color="auto"/>
          <w:left w:val="single" w:sz="4" w:space="4" w:color="auto"/>
          <w:bottom w:val="single" w:sz="4" w:space="1" w:color="auto"/>
          <w:right w:val="single" w:sz="4" w:space="4" w:color="auto"/>
        </w:pBdr>
        <w:outlineLvl w:val="0"/>
        <w:rPr>
          <w:b/>
          <w:sz w:val="22"/>
          <w:szCs w:val="22"/>
          <w:lang w:val="de-DE"/>
        </w:rPr>
      </w:pPr>
      <w:r>
        <w:rPr>
          <w:b/>
          <w:sz w:val="22"/>
          <w:lang w:val="de-DE"/>
        </w:rPr>
        <w:br w:type="page"/>
      </w:r>
      <w:r>
        <w:rPr>
          <w:b/>
          <w:sz w:val="22"/>
          <w:szCs w:val="22"/>
          <w:lang w:val="de-DE"/>
        </w:rPr>
        <w:t>ANGABEN AUF DER ÄUSSEREN UMHÜLLUNG</w:t>
      </w:r>
    </w:p>
    <w:p w14:paraId="5DB0F82E" w14:textId="77777777" w:rsidR="00FE291A" w:rsidRDefault="00FE291A">
      <w:pPr>
        <w:widowControl/>
        <w:pBdr>
          <w:top w:val="single" w:sz="4" w:space="1" w:color="auto"/>
          <w:left w:val="single" w:sz="4" w:space="4" w:color="auto"/>
          <w:bottom w:val="single" w:sz="4" w:space="1" w:color="auto"/>
          <w:right w:val="single" w:sz="4" w:space="4" w:color="auto"/>
        </w:pBdr>
        <w:ind w:left="567" w:hanging="567"/>
        <w:rPr>
          <w:sz w:val="22"/>
          <w:szCs w:val="22"/>
          <w:lang w:val="de-DE"/>
        </w:rPr>
      </w:pPr>
    </w:p>
    <w:p w14:paraId="692DEC94" w14:textId="77777777" w:rsidR="00FE291A" w:rsidRDefault="00C8738F">
      <w:pPr>
        <w:widowControl/>
        <w:pBdr>
          <w:top w:val="single" w:sz="4" w:space="1" w:color="auto"/>
          <w:left w:val="single" w:sz="4" w:space="4" w:color="auto"/>
          <w:bottom w:val="single" w:sz="4" w:space="1" w:color="auto"/>
          <w:right w:val="single" w:sz="4" w:space="4" w:color="auto"/>
        </w:pBdr>
        <w:rPr>
          <w:sz w:val="22"/>
          <w:szCs w:val="22"/>
          <w:lang w:val="de-DE"/>
        </w:rPr>
      </w:pPr>
      <w:r>
        <w:rPr>
          <w:b/>
          <w:sz w:val="22"/>
          <w:szCs w:val="22"/>
          <w:lang w:val="de-DE"/>
        </w:rPr>
        <w:t>KARTON FÜR DIE FERTIGSPRITZE</w:t>
      </w:r>
    </w:p>
    <w:p w14:paraId="21D9CAE0" w14:textId="77777777" w:rsidR="00FE291A" w:rsidRDefault="00FE291A">
      <w:pPr>
        <w:widowControl/>
        <w:rPr>
          <w:sz w:val="22"/>
          <w:szCs w:val="22"/>
          <w:lang w:val="de-DE"/>
        </w:rPr>
      </w:pPr>
    </w:p>
    <w:p w14:paraId="3B48B670" w14:textId="77777777" w:rsidR="00FE291A" w:rsidRDefault="00FE291A">
      <w:pPr>
        <w:widowControl/>
        <w:rPr>
          <w:sz w:val="22"/>
          <w:szCs w:val="22"/>
          <w:lang w:val="de-DE"/>
        </w:rPr>
      </w:pPr>
    </w:p>
    <w:p w14:paraId="6F8BAFF7" w14:textId="77777777" w:rsidR="00FE291A" w:rsidRDefault="00C8738F">
      <w:pPr>
        <w:keepNext/>
        <w:widowControl/>
        <w:numPr>
          <w:ilvl w:val="1"/>
          <w:numId w:val="2"/>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sz w:val="22"/>
          <w:szCs w:val="22"/>
          <w:lang w:val="de-DE"/>
        </w:rPr>
      </w:pPr>
      <w:r>
        <w:rPr>
          <w:b/>
          <w:sz w:val="22"/>
          <w:szCs w:val="22"/>
          <w:lang w:val="de-DE"/>
        </w:rPr>
        <w:t>BEZEICHNUNG DES ARZNEIMITTELS</w:t>
      </w:r>
    </w:p>
    <w:p w14:paraId="5CEA894B" w14:textId="77777777" w:rsidR="00FE291A" w:rsidRDefault="00FE291A">
      <w:pPr>
        <w:keepNext/>
        <w:widowControl/>
        <w:rPr>
          <w:sz w:val="22"/>
          <w:szCs w:val="22"/>
          <w:lang w:val="de-DE"/>
        </w:rPr>
      </w:pPr>
    </w:p>
    <w:p w14:paraId="2CA1F81C" w14:textId="77777777" w:rsidR="00FE291A" w:rsidRDefault="00C8738F">
      <w:pPr>
        <w:widowControl/>
        <w:rPr>
          <w:sz w:val="22"/>
          <w:szCs w:val="22"/>
          <w:lang w:val="de-DE"/>
        </w:rPr>
      </w:pPr>
      <w:r>
        <w:rPr>
          <w:sz w:val="22"/>
          <w:szCs w:val="22"/>
          <w:lang w:val="de-DE"/>
        </w:rPr>
        <w:t>AMGEVITA 20 mg Injektionslösung in einer Fertigspritze</w:t>
      </w:r>
    </w:p>
    <w:p w14:paraId="5CB8194B" w14:textId="77777777" w:rsidR="00FE291A" w:rsidRDefault="00C8738F">
      <w:pPr>
        <w:widowControl/>
        <w:rPr>
          <w:b/>
          <w:sz w:val="22"/>
          <w:szCs w:val="22"/>
          <w:lang w:val="de-DE"/>
        </w:rPr>
      </w:pPr>
      <w:r>
        <w:rPr>
          <w:sz w:val="22"/>
          <w:szCs w:val="22"/>
          <w:lang w:val="de-DE"/>
        </w:rPr>
        <w:t>Adalimumab</w:t>
      </w:r>
    </w:p>
    <w:p w14:paraId="1DAF4B42" w14:textId="77777777" w:rsidR="00FE291A" w:rsidRDefault="00FE291A">
      <w:pPr>
        <w:widowControl/>
        <w:rPr>
          <w:sz w:val="22"/>
          <w:szCs w:val="22"/>
          <w:lang w:val="de-DE"/>
        </w:rPr>
      </w:pPr>
    </w:p>
    <w:p w14:paraId="68E6E3DD" w14:textId="77777777" w:rsidR="00FE291A" w:rsidRDefault="00FE291A">
      <w:pPr>
        <w:widowControl/>
        <w:rPr>
          <w:sz w:val="22"/>
          <w:szCs w:val="22"/>
          <w:lang w:val="de-DE"/>
        </w:rPr>
      </w:pPr>
    </w:p>
    <w:p w14:paraId="7CC07AA9" w14:textId="77777777" w:rsidR="00FE291A" w:rsidRDefault="00C8738F">
      <w:pPr>
        <w:keepNext/>
        <w:widowControl/>
        <w:numPr>
          <w:ilvl w:val="1"/>
          <w:numId w:val="2"/>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WIRKSTOFF</w:t>
      </w:r>
    </w:p>
    <w:p w14:paraId="7F2E9C61" w14:textId="77777777" w:rsidR="00FE291A" w:rsidRDefault="00FE291A">
      <w:pPr>
        <w:keepNext/>
        <w:widowControl/>
        <w:rPr>
          <w:sz w:val="22"/>
          <w:szCs w:val="22"/>
          <w:lang w:val="de-DE"/>
        </w:rPr>
      </w:pPr>
    </w:p>
    <w:p w14:paraId="3A322029" w14:textId="77777777" w:rsidR="00FE291A" w:rsidRDefault="00C8738F">
      <w:pPr>
        <w:widowControl/>
        <w:rPr>
          <w:sz w:val="22"/>
          <w:szCs w:val="22"/>
          <w:lang w:val="de-DE"/>
        </w:rPr>
      </w:pPr>
      <w:r>
        <w:rPr>
          <w:sz w:val="22"/>
          <w:szCs w:val="22"/>
          <w:lang w:val="de-DE"/>
        </w:rPr>
        <w:t>Jede Fertigspritze enthält 20 mg Adalimumab in 0,4 ml Lösung.</w:t>
      </w:r>
    </w:p>
    <w:p w14:paraId="3008A687" w14:textId="77777777" w:rsidR="00FE291A" w:rsidRDefault="00FE291A">
      <w:pPr>
        <w:widowControl/>
        <w:rPr>
          <w:sz w:val="22"/>
          <w:szCs w:val="22"/>
          <w:lang w:val="de-DE"/>
        </w:rPr>
      </w:pPr>
    </w:p>
    <w:p w14:paraId="56E95685" w14:textId="77777777" w:rsidR="00FE291A" w:rsidRDefault="00FE291A">
      <w:pPr>
        <w:widowControl/>
        <w:rPr>
          <w:sz w:val="22"/>
          <w:szCs w:val="22"/>
          <w:lang w:val="de-DE"/>
        </w:rPr>
      </w:pPr>
    </w:p>
    <w:p w14:paraId="50A8FF1D" w14:textId="77777777" w:rsidR="00FE291A" w:rsidRDefault="00C8738F">
      <w:pPr>
        <w:keepNext/>
        <w:widowControl/>
        <w:numPr>
          <w:ilvl w:val="1"/>
          <w:numId w:val="2"/>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sz w:val="22"/>
          <w:szCs w:val="22"/>
          <w:lang w:val="de-DE"/>
        </w:rPr>
      </w:pPr>
      <w:r>
        <w:rPr>
          <w:b/>
          <w:sz w:val="22"/>
          <w:szCs w:val="22"/>
          <w:lang w:val="de-DE"/>
        </w:rPr>
        <w:t>SONSTIGE BESTANDTEILE</w:t>
      </w:r>
    </w:p>
    <w:p w14:paraId="7E4FCA5B" w14:textId="77777777" w:rsidR="00FE291A" w:rsidRDefault="00FE291A">
      <w:pPr>
        <w:widowControl/>
        <w:rPr>
          <w:sz w:val="22"/>
          <w:szCs w:val="22"/>
          <w:lang w:val="de-DE"/>
        </w:rPr>
      </w:pPr>
    </w:p>
    <w:p w14:paraId="5613088F" w14:textId="77777777" w:rsidR="00FE291A" w:rsidRDefault="00C8738F">
      <w:pPr>
        <w:widowControl/>
        <w:rPr>
          <w:sz w:val="22"/>
          <w:szCs w:val="22"/>
          <w:lang w:val="de-DE"/>
        </w:rPr>
      </w:pPr>
      <w:r>
        <w:rPr>
          <w:sz w:val="22"/>
          <w:szCs w:val="22"/>
          <w:lang w:val="de-DE"/>
        </w:rPr>
        <w:t>Essigsäure 99 %, Saccharose, Polysorbat 80, Natriumhydroxid und Wasser für Injektionszwecke.</w:t>
      </w:r>
    </w:p>
    <w:p w14:paraId="333C2766" w14:textId="77777777" w:rsidR="00FE291A" w:rsidRDefault="00FE291A">
      <w:pPr>
        <w:widowControl/>
        <w:rPr>
          <w:sz w:val="22"/>
          <w:szCs w:val="22"/>
          <w:lang w:val="de-DE"/>
        </w:rPr>
      </w:pPr>
    </w:p>
    <w:p w14:paraId="25C0388B" w14:textId="77777777" w:rsidR="00FE291A" w:rsidRDefault="00FE291A">
      <w:pPr>
        <w:widowControl/>
        <w:rPr>
          <w:sz w:val="22"/>
          <w:szCs w:val="22"/>
          <w:lang w:val="de-DE"/>
        </w:rPr>
      </w:pPr>
    </w:p>
    <w:p w14:paraId="5A45E0B8" w14:textId="77777777" w:rsidR="00FE291A" w:rsidRDefault="00C8738F">
      <w:pPr>
        <w:keepNext/>
        <w:widowControl/>
        <w:numPr>
          <w:ilvl w:val="1"/>
          <w:numId w:val="2"/>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sz w:val="22"/>
          <w:szCs w:val="22"/>
          <w:lang w:val="de-DE"/>
        </w:rPr>
      </w:pPr>
      <w:r>
        <w:rPr>
          <w:b/>
          <w:sz w:val="22"/>
          <w:szCs w:val="22"/>
          <w:lang w:val="de-DE"/>
        </w:rPr>
        <w:t>DARREICHUNGSFORM UND INHALT</w:t>
      </w:r>
    </w:p>
    <w:p w14:paraId="45CAE3D6" w14:textId="77777777" w:rsidR="00FE291A" w:rsidRDefault="00FE291A">
      <w:pPr>
        <w:widowControl/>
        <w:rPr>
          <w:sz w:val="22"/>
          <w:szCs w:val="22"/>
          <w:lang w:val="de-DE"/>
        </w:rPr>
      </w:pPr>
    </w:p>
    <w:p w14:paraId="13935F4A" w14:textId="77777777" w:rsidR="00FE291A" w:rsidRDefault="00C8738F">
      <w:pPr>
        <w:widowControl/>
        <w:rPr>
          <w:sz w:val="22"/>
          <w:szCs w:val="22"/>
          <w:lang w:val="de-DE"/>
        </w:rPr>
      </w:pPr>
      <w:r>
        <w:rPr>
          <w:sz w:val="22"/>
          <w:szCs w:val="22"/>
          <w:highlight w:val="lightGray"/>
          <w:lang w:val="de-DE"/>
        </w:rPr>
        <w:t>Injektionslösung</w:t>
      </w:r>
    </w:p>
    <w:p w14:paraId="17BB457E" w14:textId="77777777" w:rsidR="00FE291A" w:rsidRDefault="00C8738F">
      <w:pPr>
        <w:widowControl/>
        <w:rPr>
          <w:sz w:val="22"/>
          <w:szCs w:val="22"/>
          <w:lang w:val="de-DE"/>
        </w:rPr>
      </w:pPr>
      <w:r>
        <w:rPr>
          <w:sz w:val="22"/>
          <w:szCs w:val="22"/>
        </w:rPr>
        <w:t>20 mg/0,4 ml</w:t>
      </w:r>
    </w:p>
    <w:p w14:paraId="0665C1AD" w14:textId="77777777" w:rsidR="00FE291A" w:rsidRDefault="00C8738F">
      <w:pPr>
        <w:widowControl/>
        <w:rPr>
          <w:sz w:val="22"/>
          <w:szCs w:val="22"/>
          <w:lang w:val="de-DE"/>
        </w:rPr>
      </w:pPr>
      <w:r>
        <w:rPr>
          <w:sz w:val="22"/>
          <w:szCs w:val="22"/>
          <w:lang w:val="de-DE"/>
        </w:rPr>
        <w:t>1 Fertigspritze.</w:t>
      </w:r>
    </w:p>
    <w:p w14:paraId="08C3C798" w14:textId="77777777" w:rsidR="00FE291A" w:rsidRDefault="00FE291A">
      <w:pPr>
        <w:widowControl/>
        <w:rPr>
          <w:sz w:val="22"/>
          <w:szCs w:val="22"/>
          <w:lang w:val="de-DE"/>
        </w:rPr>
      </w:pPr>
    </w:p>
    <w:p w14:paraId="59CCB91B" w14:textId="77777777" w:rsidR="00FE291A" w:rsidRDefault="00FE291A">
      <w:pPr>
        <w:widowControl/>
        <w:rPr>
          <w:sz w:val="22"/>
          <w:szCs w:val="22"/>
          <w:lang w:val="de-DE"/>
        </w:rPr>
      </w:pPr>
    </w:p>
    <w:p w14:paraId="1DE62511" w14:textId="77777777" w:rsidR="00FE291A" w:rsidRDefault="00C8738F">
      <w:pPr>
        <w:keepNext/>
        <w:widowControl/>
        <w:numPr>
          <w:ilvl w:val="1"/>
          <w:numId w:val="2"/>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sz w:val="22"/>
          <w:szCs w:val="22"/>
          <w:lang w:val="de-DE"/>
        </w:rPr>
      </w:pPr>
      <w:r>
        <w:rPr>
          <w:b/>
          <w:sz w:val="22"/>
          <w:szCs w:val="22"/>
          <w:lang w:val="de-DE"/>
        </w:rPr>
        <w:t>HINWEISE ZUR UND ART(EN) DER ANWENDUNG</w:t>
      </w:r>
    </w:p>
    <w:p w14:paraId="2128B201" w14:textId="77777777" w:rsidR="00FE291A" w:rsidRDefault="00FE291A">
      <w:pPr>
        <w:keepNext/>
        <w:widowControl/>
        <w:rPr>
          <w:sz w:val="22"/>
          <w:szCs w:val="22"/>
          <w:lang w:val="de-DE"/>
        </w:rPr>
      </w:pPr>
    </w:p>
    <w:p w14:paraId="31418603" w14:textId="77777777" w:rsidR="00FE291A" w:rsidRDefault="00C8738F">
      <w:pPr>
        <w:widowControl/>
        <w:rPr>
          <w:sz w:val="22"/>
          <w:szCs w:val="22"/>
          <w:lang w:val="de-DE"/>
        </w:rPr>
      </w:pPr>
      <w:r>
        <w:rPr>
          <w:sz w:val="22"/>
          <w:szCs w:val="22"/>
          <w:lang w:val="de-DE"/>
        </w:rPr>
        <w:t>Zur subkutanen Anwendung.</w:t>
      </w:r>
    </w:p>
    <w:p w14:paraId="39BEFD07" w14:textId="77777777" w:rsidR="00FE291A" w:rsidRDefault="00C8738F">
      <w:pPr>
        <w:widowControl/>
        <w:rPr>
          <w:sz w:val="22"/>
          <w:szCs w:val="22"/>
          <w:lang w:val="de-DE"/>
        </w:rPr>
      </w:pPr>
      <w:r>
        <w:rPr>
          <w:sz w:val="22"/>
          <w:szCs w:val="22"/>
          <w:lang w:val="de-DE"/>
        </w:rPr>
        <w:t>Packungsbeilage beachten.</w:t>
      </w:r>
    </w:p>
    <w:p w14:paraId="6EFDCA82" w14:textId="77777777" w:rsidR="00FE291A" w:rsidRDefault="00C8738F">
      <w:pPr>
        <w:widowControl/>
        <w:rPr>
          <w:sz w:val="22"/>
          <w:szCs w:val="22"/>
          <w:lang w:val="de-DE"/>
        </w:rPr>
      </w:pPr>
      <w:r>
        <w:rPr>
          <w:sz w:val="22"/>
          <w:szCs w:val="22"/>
          <w:lang w:val="de-DE"/>
        </w:rPr>
        <w:t>Nur zum Einmalgebrauch.</w:t>
      </w:r>
    </w:p>
    <w:p w14:paraId="194EDCAF" w14:textId="77777777" w:rsidR="00FE291A" w:rsidRDefault="00FE291A">
      <w:pPr>
        <w:widowControl/>
        <w:rPr>
          <w:sz w:val="22"/>
          <w:szCs w:val="22"/>
          <w:lang w:val="de-DE"/>
        </w:rPr>
      </w:pPr>
    </w:p>
    <w:p w14:paraId="0174D801" w14:textId="77777777" w:rsidR="00FE291A" w:rsidRDefault="00FE291A">
      <w:pPr>
        <w:widowControl/>
        <w:rPr>
          <w:sz w:val="22"/>
          <w:szCs w:val="22"/>
          <w:lang w:val="de-DE"/>
        </w:rPr>
      </w:pPr>
    </w:p>
    <w:p w14:paraId="7A8F5B34" w14:textId="77777777" w:rsidR="00FE291A" w:rsidRDefault="00C8738F">
      <w:pPr>
        <w:keepNext/>
        <w:widowControl/>
        <w:numPr>
          <w:ilvl w:val="1"/>
          <w:numId w:val="2"/>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sz w:val="22"/>
          <w:szCs w:val="22"/>
          <w:lang w:val="de-DE"/>
        </w:rPr>
      </w:pPr>
      <w:r>
        <w:rPr>
          <w:b/>
          <w:sz w:val="22"/>
          <w:szCs w:val="22"/>
          <w:lang w:val="de-DE"/>
        </w:rPr>
        <w:t>WARNHINWEIS, DASS DAS ARZNEIMITTEL FÜR KINDER UNZUGÄNGLICH AUFZUBEWAHREN IST</w:t>
      </w:r>
    </w:p>
    <w:p w14:paraId="68AAC69C" w14:textId="77777777" w:rsidR="00FE291A" w:rsidRDefault="00FE291A">
      <w:pPr>
        <w:keepNext/>
        <w:widowControl/>
        <w:rPr>
          <w:sz w:val="22"/>
          <w:szCs w:val="22"/>
          <w:lang w:val="de-DE"/>
        </w:rPr>
      </w:pPr>
    </w:p>
    <w:p w14:paraId="7A9249A0" w14:textId="77777777" w:rsidR="00FE291A" w:rsidRDefault="00C8738F">
      <w:pPr>
        <w:widowControl/>
        <w:outlineLvl w:val="0"/>
        <w:rPr>
          <w:sz w:val="22"/>
          <w:szCs w:val="22"/>
          <w:lang w:val="de-DE"/>
        </w:rPr>
      </w:pPr>
      <w:r>
        <w:rPr>
          <w:sz w:val="22"/>
          <w:szCs w:val="22"/>
          <w:lang w:val="de-DE"/>
        </w:rPr>
        <w:t>Arzneimittel für Kinder unzugänglich aufbewahren.</w:t>
      </w:r>
    </w:p>
    <w:p w14:paraId="591F8219" w14:textId="77777777" w:rsidR="00FE291A" w:rsidRDefault="00FE291A">
      <w:pPr>
        <w:widowControl/>
        <w:rPr>
          <w:sz w:val="22"/>
          <w:szCs w:val="22"/>
          <w:lang w:val="de-DE"/>
        </w:rPr>
      </w:pPr>
    </w:p>
    <w:p w14:paraId="28CEE667" w14:textId="77777777" w:rsidR="00FE291A" w:rsidRDefault="00FE291A">
      <w:pPr>
        <w:widowControl/>
        <w:rPr>
          <w:sz w:val="22"/>
          <w:szCs w:val="22"/>
          <w:lang w:val="de-DE"/>
        </w:rPr>
      </w:pPr>
    </w:p>
    <w:p w14:paraId="2469D7C9" w14:textId="77777777" w:rsidR="00FE291A" w:rsidRDefault="00C8738F">
      <w:pPr>
        <w:keepNext/>
        <w:widowControl/>
        <w:numPr>
          <w:ilvl w:val="1"/>
          <w:numId w:val="2"/>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sz w:val="22"/>
          <w:szCs w:val="22"/>
          <w:lang w:val="de-DE"/>
        </w:rPr>
      </w:pPr>
      <w:r>
        <w:rPr>
          <w:b/>
          <w:sz w:val="22"/>
          <w:szCs w:val="22"/>
          <w:lang w:val="de-DE"/>
        </w:rPr>
        <w:t>WEITERE WARNHINWEISE, FALLS ERFORDERLICH</w:t>
      </w:r>
    </w:p>
    <w:p w14:paraId="0B87EFBF" w14:textId="77777777" w:rsidR="00FE291A" w:rsidRDefault="00FE291A">
      <w:pPr>
        <w:keepNext/>
        <w:widowControl/>
        <w:rPr>
          <w:sz w:val="22"/>
          <w:szCs w:val="22"/>
          <w:lang w:val="de-DE"/>
        </w:rPr>
      </w:pPr>
    </w:p>
    <w:p w14:paraId="79052EED" w14:textId="77777777" w:rsidR="00FE291A" w:rsidRDefault="00FE291A">
      <w:pPr>
        <w:widowControl/>
        <w:tabs>
          <w:tab w:val="left" w:pos="749"/>
        </w:tabs>
        <w:rPr>
          <w:sz w:val="22"/>
          <w:szCs w:val="22"/>
          <w:lang w:val="de-DE"/>
        </w:rPr>
      </w:pPr>
    </w:p>
    <w:p w14:paraId="56E6314F" w14:textId="77777777" w:rsidR="00FE291A" w:rsidRDefault="00C8738F">
      <w:pPr>
        <w:keepNext/>
        <w:widowControl/>
        <w:numPr>
          <w:ilvl w:val="1"/>
          <w:numId w:val="2"/>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sz w:val="22"/>
          <w:szCs w:val="22"/>
          <w:lang w:val="de-DE"/>
        </w:rPr>
      </w:pPr>
      <w:r>
        <w:rPr>
          <w:b/>
          <w:sz w:val="22"/>
          <w:szCs w:val="22"/>
          <w:lang w:val="de-DE"/>
        </w:rPr>
        <w:t>VERFALLDATUM</w:t>
      </w:r>
    </w:p>
    <w:p w14:paraId="57FE7D3D" w14:textId="77777777" w:rsidR="00FE291A" w:rsidRDefault="00FE291A">
      <w:pPr>
        <w:keepNext/>
        <w:widowControl/>
        <w:rPr>
          <w:sz w:val="22"/>
          <w:szCs w:val="22"/>
          <w:lang w:val="de-DE"/>
        </w:rPr>
      </w:pPr>
    </w:p>
    <w:p w14:paraId="59176952" w14:textId="77777777" w:rsidR="00FE291A" w:rsidRDefault="00C8738F">
      <w:pPr>
        <w:widowControl/>
        <w:rPr>
          <w:sz w:val="22"/>
          <w:szCs w:val="22"/>
          <w:lang w:val="de-DE"/>
        </w:rPr>
      </w:pPr>
      <w:r>
        <w:rPr>
          <w:sz w:val="22"/>
          <w:szCs w:val="22"/>
          <w:lang w:val="de-DE"/>
        </w:rPr>
        <w:t>verwendbar bis</w:t>
      </w:r>
    </w:p>
    <w:p w14:paraId="723058A9" w14:textId="77777777" w:rsidR="00FE291A" w:rsidRDefault="00FE291A">
      <w:pPr>
        <w:widowControl/>
        <w:rPr>
          <w:sz w:val="22"/>
          <w:szCs w:val="22"/>
          <w:lang w:val="de-DE"/>
        </w:rPr>
      </w:pPr>
    </w:p>
    <w:p w14:paraId="43C63E7C" w14:textId="77777777" w:rsidR="00FE291A" w:rsidRDefault="00FE291A">
      <w:pPr>
        <w:widowControl/>
        <w:rPr>
          <w:sz w:val="22"/>
          <w:lang w:val="de-DE"/>
        </w:rPr>
      </w:pPr>
    </w:p>
    <w:p w14:paraId="2757F4E3" w14:textId="77777777" w:rsidR="00FE291A" w:rsidRDefault="00C8738F">
      <w:pPr>
        <w:keepNext/>
        <w:widowControl/>
        <w:numPr>
          <w:ilvl w:val="1"/>
          <w:numId w:val="2"/>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sz w:val="22"/>
          <w:szCs w:val="22"/>
          <w:lang w:val="de-DE"/>
        </w:rPr>
      </w:pPr>
      <w:r>
        <w:rPr>
          <w:b/>
          <w:sz w:val="22"/>
          <w:szCs w:val="22"/>
          <w:lang w:val="de-DE"/>
        </w:rPr>
        <w:t>BESONDERE VORSICHTSMASSNAHMEN FÜR DIE AUFBEWAHRUNG</w:t>
      </w:r>
    </w:p>
    <w:p w14:paraId="745A7A22" w14:textId="77777777" w:rsidR="00FE291A" w:rsidRDefault="00FE291A">
      <w:pPr>
        <w:keepNext/>
        <w:widowControl/>
        <w:rPr>
          <w:sz w:val="22"/>
          <w:szCs w:val="22"/>
          <w:lang w:val="de-DE"/>
        </w:rPr>
      </w:pPr>
    </w:p>
    <w:p w14:paraId="4E0C6A1B" w14:textId="77777777" w:rsidR="00FE291A" w:rsidRDefault="00C8738F">
      <w:pPr>
        <w:keepNext/>
        <w:widowControl/>
        <w:ind w:left="567" w:hanging="567"/>
        <w:rPr>
          <w:sz w:val="22"/>
          <w:szCs w:val="22"/>
          <w:lang w:val="de-DE"/>
        </w:rPr>
      </w:pPr>
      <w:r>
        <w:rPr>
          <w:sz w:val="22"/>
          <w:szCs w:val="22"/>
          <w:lang w:val="de-DE"/>
        </w:rPr>
        <w:t>Im Kühlschrank lagern.</w:t>
      </w:r>
    </w:p>
    <w:p w14:paraId="4D4F5C1C" w14:textId="77777777" w:rsidR="00FE291A" w:rsidRDefault="00C8738F">
      <w:pPr>
        <w:keepNext/>
        <w:widowControl/>
        <w:ind w:left="567" w:hanging="567"/>
        <w:rPr>
          <w:sz w:val="22"/>
          <w:szCs w:val="22"/>
          <w:lang w:val="de-DE"/>
        </w:rPr>
      </w:pPr>
      <w:r>
        <w:rPr>
          <w:sz w:val="22"/>
          <w:szCs w:val="22"/>
          <w:lang w:val="de-DE"/>
        </w:rPr>
        <w:t>Nicht einfrieren.</w:t>
      </w:r>
    </w:p>
    <w:p w14:paraId="788D70E4" w14:textId="77777777" w:rsidR="00FE291A" w:rsidRDefault="00C8738F">
      <w:pPr>
        <w:widowControl/>
        <w:ind w:left="567" w:hanging="567"/>
        <w:rPr>
          <w:sz w:val="22"/>
          <w:szCs w:val="22"/>
          <w:lang w:val="de-DE"/>
        </w:rPr>
      </w:pPr>
      <w:r>
        <w:rPr>
          <w:sz w:val="22"/>
          <w:szCs w:val="22"/>
          <w:lang w:val="de-DE"/>
        </w:rPr>
        <w:t>Im Originalkarton aufbewahren, um den Inhalt vor Licht zu schützen.</w:t>
      </w:r>
    </w:p>
    <w:p w14:paraId="6530C90C" w14:textId="77777777" w:rsidR="00FE291A" w:rsidRDefault="00FE291A">
      <w:pPr>
        <w:widowControl/>
        <w:ind w:left="567" w:hanging="567"/>
        <w:rPr>
          <w:sz w:val="22"/>
          <w:szCs w:val="22"/>
          <w:lang w:val="de-DE"/>
        </w:rPr>
      </w:pPr>
    </w:p>
    <w:p w14:paraId="1B9DB2B2" w14:textId="77777777" w:rsidR="00FE291A" w:rsidRDefault="00FE291A">
      <w:pPr>
        <w:widowControl/>
        <w:ind w:left="567" w:hanging="567"/>
        <w:rPr>
          <w:sz w:val="22"/>
          <w:szCs w:val="22"/>
          <w:lang w:val="de-DE"/>
        </w:rPr>
      </w:pPr>
    </w:p>
    <w:p w14:paraId="0BDD0845" w14:textId="77777777" w:rsidR="00FE291A" w:rsidRDefault="00C8738F">
      <w:pPr>
        <w:keepNext/>
        <w:widowControl/>
        <w:numPr>
          <w:ilvl w:val="1"/>
          <w:numId w:val="2"/>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GEGEBENENFALLS BESONDERE VORSICHTSMASSNAHMEN FÜR DIE BESEITIGUNG VON NICHT VERWENDETEM ARZNEIMITTEL ODER DAVON STAMMENDEN ABFALLMATERIALIEN</w:t>
      </w:r>
    </w:p>
    <w:p w14:paraId="3992FBFC" w14:textId="77777777" w:rsidR="00FE291A" w:rsidRDefault="00FE291A">
      <w:pPr>
        <w:widowControl/>
        <w:rPr>
          <w:sz w:val="22"/>
          <w:szCs w:val="22"/>
          <w:lang w:val="de-DE"/>
        </w:rPr>
      </w:pPr>
    </w:p>
    <w:p w14:paraId="56D9BFDF" w14:textId="77777777" w:rsidR="00FE291A" w:rsidRDefault="00FE291A">
      <w:pPr>
        <w:widowControl/>
        <w:rPr>
          <w:sz w:val="22"/>
          <w:szCs w:val="22"/>
          <w:lang w:val="de-DE"/>
        </w:rPr>
      </w:pPr>
    </w:p>
    <w:p w14:paraId="7AA2B93B" w14:textId="77777777" w:rsidR="00FE291A" w:rsidRDefault="00C8738F">
      <w:pPr>
        <w:keepNext/>
        <w:widowControl/>
        <w:numPr>
          <w:ilvl w:val="1"/>
          <w:numId w:val="2"/>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NAME UND ANSCHRIFT DES PHARMAZEUTISCHEN UNTERNEHMERS</w:t>
      </w:r>
    </w:p>
    <w:p w14:paraId="4FA909DD" w14:textId="77777777" w:rsidR="00FE291A" w:rsidRDefault="00FE291A">
      <w:pPr>
        <w:widowControl/>
        <w:rPr>
          <w:sz w:val="22"/>
          <w:szCs w:val="22"/>
          <w:lang w:val="de-DE"/>
        </w:rPr>
      </w:pPr>
    </w:p>
    <w:p w14:paraId="22EC3FD3" w14:textId="77777777" w:rsidR="00FE291A" w:rsidRDefault="00C8738F">
      <w:pPr>
        <w:widowControl/>
        <w:rPr>
          <w:rFonts w:eastAsia="SimSun"/>
          <w:sz w:val="22"/>
          <w:szCs w:val="22"/>
          <w:lang w:val="de-DE" w:eastAsia="en-GB"/>
        </w:rPr>
      </w:pPr>
      <w:r>
        <w:rPr>
          <w:rFonts w:eastAsia="SimSun"/>
          <w:sz w:val="22"/>
          <w:szCs w:val="22"/>
          <w:lang w:val="de-DE" w:eastAsia="en-GB"/>
        </w:rPr>
        <w:t>Amgen Europe B.V.</w:t>
      </w:r>
    </w:p>
    <w:p w14:paraId="5C5941A4" w14:textId="77777777" w:rsidR="00FE291A" w:rsidRDefault="00C8738F">
      <w:pPr>
        <w:widowControl/>
        <w:rPr>
          <w:rFonts w:eastAsia="SimSun"/>
          <w:sz w:val="22"/>
          <w:szCs w:val="22"/>
          <w:lang w:val="de-DE" w:eastAsia="en-GB"/>
        </w:rPr>
      </w:pPr>
      <w:r>
        <w:rPr>
          <w:rFonts w:eastAsia="SimSun"/>
          <w:sz w:val="22"/>
          <w:szCs w:val="22"/>
          <w:lang w:val="de-DE" w:eastAsia="en-GB"/>
        </w:rPr>
        <w:t>Minervum 7061,</w:t>
      </w:r>
    </w:p>
    <w:p w14:paraId="67380F10" w14:textId="77777777" w:rsidR="00FE291A" w:rsidRDefault="00C8738F">
      <w:pPr>
        <w:widowControl/>
        <w:rPr>
          <w:rFonts w:eastAsia="SimSun"/>
          <w:sz w:val="22"/>
          <w:szCs w:val="22"/>
          <w:lang w:val="de-DE" w:eastAsia="en-GB"/>
        </w:rPr>
      </w:pPr>
      <w:r>
        <w:rPr>
          <w:rFonts w:eastAsia="SimSun"/>
          <w:sz w:val="22"/>
          <w:szCs w:val="22"/>
          <w:lang w:val="de-DE" w:eastAsia="en-GB"/>
        </w:rPr>
        <w:t>4817 ZK Breda,</w:t>
      </w:r>
    </w:p>
    <w:p w14:paraId="6CA6B486" w14:textId="77777777" w:rsidR="00FE291A" w:rsidRDefault="00C8738F">
      <w:pPr>
        <w:widowControl/>
        <w:rPr>
          <w:rFonts w:eastAsia="SimSun"/>
          <w:sz w:val="22"/>
          <w:szCs w:val="22"/>
          <w:lang w:val="de-DE" w:eastAsia="en-GB"/>
        </w:rPr>
      </w:pPr>
      <w:r>
        <w:rPr>
          <w:rFonts w:eastAsia="SimSun"/>
          <w:sz w:val="22"/>
          <w:szCs w:val="22"/>
          <w:lang w:val="de-DE" w:eastAsia="en-GB"/>
        </w:rPr>
        <w:t>Niederlande</w:t>
      </w:r>
    </w:p>
    <w:p w14:paraId="52685F1B" w14:textId="77777777" w:rsidR="00FE291A" w:rsidRDefault="00FE291A">
      <w:pPr>
        <w:widowControl/>
        <w:rPr>
          <w:sz w:val="22"/>
          <w:szCs w:val="22"/>
          <w:lang w:val="de-DE"/>
        </w:rPr>
      </w:pPr>
    </w:p>
    <w:p w14:paraId="09157457" w14:textId="77777777" w:rsidR="00FE291A" w:rsidRDefault="00FE291A">
      <w:pPr>
        <w:widowControl/>
        <w:rPr>
          <w:sz w:val="22"/>
          <w:szCs w:val="22"/>
          <w:lang w:val="de-DE"/>
        </w:rPr>
      </w:pPr>
    </w:p>
    <w:p w14:paraId="171CE5CE" w14:textId="77777777" w:rsidR="00FE291A" w:rsidRDefault="00C8738F">
      <w:pPr>
        <w:keepNext/>
        <w:widowControl/>
        <w:numPr>
          <w:ilvl w:val="1"/>
          <w:numId w:val="2"/>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sz w:val="22"/>
          <w:szCs w:val="22"/>
          <w:lang w:val="de-DE"/>
        </w:rPr>
      </w:pPr>
      <w:r>
        <w:rPr>
          <w:b/>
          <w:sz w:val="22"/>
          <w:szCs w:val="22"/>
          <w:lang w:val="de-DE"/>
        </w:rPr>
        <w:t>ZULASSUNGSNUMMER</w:t>
      </w:r>
    </w:p>
    <w:p w14:paraId="4AA8CC27" w14:textId="77777777" w:rsidR="00FE291A" w:rsidRDefault="00FE291A">
      <w:pPr>
        <w:widowControl/>
        <w:rPr>
          <w:sz w:val="22"/>
          <w:szCs w:val="22"/>
          <w:lang w:val="de-DE"/>
        </w:rPr>
      </w:pPr>
    </w:p>
    <w:p w14:paraId="48ACD679" w14:textId="77777777" w:rsidR="00FE291A" w:rsidRDefault="00C8738F">
      <w:pPr>
        <w:widowControl/>
        <w:rPr>
          <w:sz w:val="22"/>
          <w:szCs w:val="22"/>
          <w:lang w:val="de-DE"/>
        </w:rPr>
      </w:pPr>
      <w:r>
        <w:rPr>
          <w:sz w:val="22"/>
          <w:szCs w:val="22"/>
          <w:lang w:val="de-DE"/>
        </w:rPr>
        <w:t xml:space="preserve">EU/1/16/1164/001 </w:t>
      </w:r>
    </w:p>
    <w:p w14:paraId="29ACC5C9" w14:textId="77777777" w:rsidR="00FE291A" w:rsidRDefault="00FE291A">
      <w:pPr>
        <w:widowControl/>
        <w:rPr>
          <w:sz w:val="22"/>
          <w:szCs w:val="22"/>
          <w:lang w:val="de-DE"/>
        </w:rPr>
      </w:pPr>
    </w:p>
    <w:p w14:paraId="642C8416" w14:textId="77777777" w:rsidR="00FE291A" w:rsidRDefault="00FE291A">
      <w:pPr>
        <w:widowControl/>
        <w:rPr>
          <w:sz w:val="22"/>
          <w:szCs w:val="22"/>
          <w:lang w:val="de-DE"/>
        </w:rPr>
      </w:pPr>
    </w:p>
    <w:p w14:paraId="1AD4388E" w14:textId="77777777" w:rsidR="00FE291A" w:rsidRDefault="00C8738F">
      <w:pPr>
        <w:keepNext/>
        <w:widowControl/>
        <w:numPr>
          <w:ilvl w:val="1"/>
          <w:numId w:val="2"/>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CHARGENBEZEICHNUNG</w:t>
      </w:r>
    </w:p>
    <w:p w14:paraId="5A8A5D07" w14:textId="77777777" w:rsidR="00FE291A" w:rsidRDefault="00FE291A">
      <w:pPr>
        <w:widowControl/>
        <w:rPr>
          <w:i/>
          <w:sz w:val="22"/>
          <w:szCs w:val="22"/>
          <w:lang w:val="de-DE"/>
        </w:rPr>
      </w:pPr>
    </w:p>
    <w:p w14:paraId="091FAD4A" w14:textId="77777777" w:rsidR="00FE291A" w:rsidRDefault="00C8738F">
      <w:pPr>
        <w:widowControl/>
        <w:rPr>
          <w:sz w:val="22"/>
          <w:szCs w:val="22"/>
          <w:lang w:val="de-DE"/>
        </w:rPr>
      </w:pPr>
      <w:r>
        <w:rPr>
          <w:sz w:val="22"/>
          <w:szCs w:val="22"/>
          <w:lang w:val="de-DE"/>
        </w:rPr>
        <w:t>Ch.-B.</w:t>
      </w:r>
    </w:p>
    <w:p w14:paraId="1F4797E6" w14:textId="77777777" w:rsidR="00FE291A" w:rsidRDefault="00FE291A">
      <w:pPr>
        <w:widowControl/>
        <w:rPr>
          <w:sz w:val="22"/>
          <w:szCs w:val="22"/>
          <w:lang w:val="de-DE"/>
        </w:rPr>
      </w:pPr>
    </w:p>
    <w:p w14:paraId="189B05E2" w14:textId="77777777" w:rsidR="00FE291A" w:rsidRDefault="00FE291A">
      <w:pPr>
        <w:widowControl/>
        <w:rPr>
          <w:sz w:val="22"/>
          <w:szCs w:val="22"/>
          <w:lang w:val="de-DE"/>
        </w:rPr>
      </w:pPr>
    </w:p>
    <w:p w14:paraId="0E3D72D7" w14:textId="77777777" w:rsidR="00FE291A" w:rsidRDefault="00C8738F">
      <w:pPr>
        <w:keepNext/>
        <w:widowControl/>
        <w:numPr>
          <w:ilvl w:val="1"/>
          <w:numId w:val="2"/>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sz w:val="22"/>
          <w:szCs w:val="22"/>
          <w:lang w:val="de-DE"/>
        </w:rPr>
      </w:pPr>
      <w:r>
        <w:rPr>
          <w:b/>
          <w:sz w:val="22"/>
          <w:szCs w:val="22"/>
          <w:lang w:val="de-DE"/>
        </w:rPr>
        <w:t>VERKAUFSABGRENZUNG</w:t>
      </w:r>
    </w:p>
    <w:p w14:paraId="666B5D5F" w14:textId="77777777" w:rsidR="00FE291A" w:rsidRDefault="00FE291A">
      <w:pPr>
        <w:widowControl/>
        <w:rPr>
          <w:i/>
          <w:sz w:val="22"/>
          <w:szCs w:val="22"/>
          <w:lang w:val="de-DE"/>
        </w:rPr>
      </w:pPr>
    </w:p>
    <w:p w14:paraId="3FE9F95A" w14:textId="77777777" w:rsidR="00FE291A" w:rsidRDefault="00FE291A">
      <w:pPr>
        <w:widowControl/>
        <w:rPr>
          <w:sz w:val="22"/>
          <w:szCs w:val="22"/>
          <w:lang w:val="de-DE"/>
        </w:rPr>
      </w:pPr>
    </w:p>
    <w:p w14:paraId="0E0FC47F" w14:textId="77777777" w:rsidR="00FE291A" w:rsidRDefault="00C8738F">
      <w:pPr>
        <w:keepNext/>
        <w:widowControl/>
        <w:numPr>
          <w:ilvl w:val="1"/>
          <w:numId w:val="2"/>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sz w:val="22"/>
          <w:szCs w:val="22"/>
          <w:lang w:val="de-DE"/>
        </w:rPr>
      </w:pPr>
      <w:r>
        <w:rPr>
          <w:b/>
          <w:sz w:val="22"/>
          <w:szCs w:val="22"/>
          <w:lang w:val="de-DE"/>
        </w:rPr>
        <w:t>HINWEISE FÜR DEN GEBRAUCH</w:t>
      </w:r>
    </w:p>
    <w:p w14:paraId="0DF1E49A" w14:textId="77777777" w:rsidR="00FE291A" w:rsidRDefault="00FE291A">
      <w:pPr>
        <w:widowControl/>
        <w:rPr>
          <w:sz w:val="22"/>
          <w:szCs w:val="22"/>
          <w:lang w:val="de-DE"/>
        </w:rPr>
      </w:pPr>
    </w:p>
    <w:p w14:paraId="13DB9EB9" w14:textId="77777777" w:rsidR="00FE291A" w:rsidRDefault="00FE291A">
      <w:pPr>
        <w:widowControl/>
        <w:rPr>
          <w:sz w:val="22"/>
          <w:szCs w:val="22"/>
          <w:lang w:val="de-DE"/>
        </w:rPr>
      </w:pPr>
    </w:p>
    <w:p w14:paraId="6B64CA37" w14:textId="77777777" w:rsidR="00FE291A" w:rsidRDefault="00C8738F">
      <w:pPr>
        <w:keepNext/>
        <w:widowControl/>
        <w:numPr>
          <w:ilvl w:val="1"/>
          <w:numId w:val="2"/>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sz w:val="22"/>
          <w:szCs w:val="22"/>
          <w:lang w:val="de-DE"/>
        </w:rPr>
      </w:pPr>
      <w:r>
        <w:rPr>
          <w:b/>
          <w:sz w:val="22"/>
          <w:szCs w:val="22"/>
          <w:lang w:val="de-DE"/>
        </w:rPr>
        <w:t>ANGABEN IN BLINDENSCHRIFT</w:t>
      </w:r>
    </w:p>
    <w:p w14:paraId="14AE83DD" w14:textId="77777777" w:rsidR="00FE291A" w:rsidRDefault="00FE291A">
      <w:pPr>
        <w:widowControl/>
        <w:rPr>
          <w:sz w:val="22"/>
          <w:szCs w:val="22"/>
          <w:lang w:val="de-DE"/>
        </w:rPr>
      </w:pPr>
    </w:p>
    <w:p w14:paraId="06056DB6" w14:textId="77777777" w:rsidR="00FE291A" w:rsidRDefault="00C8738F">
      <w:pPr>
        <w:widowControl/>
        <w:rPr>
          <w:sz w:val="22"/>
          <w:szCs w:val="22"/>
          <w:lang w:val="de-DE"/>
        </w:rPr>
      </w:pPr>
      <w:r>
        <w:rPr>
          <w:sz w:val="22"/>
          <w:szCs w:val="22"/>
          <w:lang w:val="de-DE"/>
        </w:rPr>
        <w:t>AMGEVITA 20 mg/0,4 ml Spritze</w:t>
      </w:r>
    </w:p>
    <w:p w14:paraId="194E89FB" w14:textId="77777777" w:rsidR="00FE291A" w:rsidRDefault="00FE291A">
      <w:pPr>
        <w:widowControl/>
        <w:rPr>
          <w:sz w:val="22"/>
          <w:szCs w:val="22"/>
          <w:shd w:val="clear" w:color="auto" w:fill="CCCCCC"/>
          <w:lang w:val="de-DE"/>
        </w:rPr>
      </w:pPr>
    </w:p>
    <w:p w14:paraId="751011C3" w14:textId="77777777" w:rsidR="00FE291A" w:rsidRDefault="00FE291A">
      <w:pPr>
        <w:widowControl/>
        <w:rPr>
          <w:sz w:val="22"/>
          <w:szCs w:val="22"/>
          <w:shd w:val="clear" w:color="auto" w:fill="CCCCCC"/>
          <w:lang w:val="de-DE"/>
        </w:rPr>
      </w:pPr>
    </w:p>
    <w:p w14:paraId="04864CCC" w14:textId="77777777" w:rsidR="00FE291A" w:rsidRDefault="00C8738F">
      <w:pPr>
        <w:keepNext/>
        <w:widowControl/>
        <w:numPr>
          <w:ilvl w:val="1"/>
          <w:numId w:val="2"/>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i/>
          <w:sz w:val="22"/>
          <w:szCs w:val="22"/>
          <w:lang w:val="de-DE"/>
        </w:rPr>
      </w:pPr>
      <w:r>
        <w:rPr>
          <w:b/>
          <w:sz w:val="22"/>
          <w:szCs w:val="22"/>
          <w:lang w:val="de-DE"/>
        </w:rPr>
        <w:t>INDIVIDUELLES ERKENNUNGSMERKMAL – 2D-BARCODE</w:t>
      </w:r>
    </w:p>
    <w:p w14:paraId="2F3CD167" w14:textId="77777777" w:rsidR="00FE291A" w:rsidRDefault="00FE291A">
      <w:pPr>
        <w:widowControl/>
        <w:rPr>
          <w:sz w:val="22"/>
          <w:szCs w:val="22"/>
          <w:lang w:val="de-DE"/>
        </w:rPr>
      </w:pPr>
    </w:p>
    <w:p w14:paraId="4B3A2519" w14:textId="77777777" w:rsidR="00FE291A" w:rsidRDefault="00C8738F">
      <w:pPr>
        <w:widowControl/>
        <w:rPr>
          <w:sz w:val="22"/>
          <w:szCs w:val="22"/>
          <w:shd w:val="clear" w:color="auto" w:fill="CCCCCC"/>
          <w:lang w:val="de-DE"/>
        </w:rPr>
      </w:pPr>
      <w:r>
        <w:rPr>
          <w:sz w:val="22"/>
          <w:szCs w:val="22"/>
          <w:highlight w:val="lightGray"/>
          <w:lang w:val="de-DE"/>
        </w:rPr>
        <w:t>2D-Barcode mit individuellem Erkennungsmerkmal.</w:t>
      </w:r>
    </w:p>
    <w:p w14:paraId="10AE1144" w14:textId="77777777" w:rsidR="00FE291A" w:rsidRDefault="00FE291A">
      <w:pPr>
        <w:widowControl/>
        <w:rPr>
          <w:sz w:val="22"/>
          <w:szCs w:val="22"/>
          <w:lang w:val="de-DE"/>
        </w:rPr>
      </w:pPr>
    </w:p>
    <w:p w14:paraId="00D927BD" w14:textId="77777777" w:rsidR="00FE291A" w:rsidRDefault="00FE291A">
      <w:pPr>
        <w:widowControl/>
        <w:rPr>
          <w:sz w:val="22"/>
          <w:szCs w:val="22"/>
          <w:lang w:val="de-DE"/>
        </w:rPr>
      </w:pPr>
    </w:p>
    <w:p w14:paraId="25D61C75" w14:textId="77777777" w:rsidR="00FE291A" w:rsidRDefault="00C8738F">
      <w:pPr>
        <w:keepNext/>
        <w:widowControl/>
        <w:numPr>
          <w:ilvl w:val="1"/>
          <w:numId w:val="2"/>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i/>
          <w:sz w:val="22"/>
          <w:szCs w:val="22"/>
          <w:lang w:val="de-DE"/>
        </w:rPr>
      </w:pPr>
      <w:r>
        <w:rPr>
          <w:b/>
          <w:sz w:val="22"/>
          <w:szCs w:val="22"/>
          <w:lang w:val="de-DE"/>
        </w:rPr>
        <w:t>INDIVIDUELLES ERKENNUNGSMERKMAL – VOM MENSCHEN LESBARES FORMAT</w:t>
      </w:r>
    </w:p>
    <w:p w14:paraId="220E8115" w14:textId="77777777" w:rsidR="00FE291A" w:rsidRDefault="00FE291A">
      <w:pPr>
        <w:widowControl/>
        <w:rPr>
          <w:sz w:val="22"/>
          <w:szCs w:val="22"/>
          <w:lang w:val="de-DE"/>
        </w:rPr>
      </w:pPr>
    </w:p>
    <w:p w14:paraId="217ADA09" w14:textId="77777777" w:rsidR="00FE291A" w:rsidRDefault="00C8738F">
      <w:pPr>
        <w:widowControl/>
        <w:rPr>
          <w:sz w:val="22"/>
          <w:szCs w:val="22"/>
          <w:lang w:val="de-DE"/>
        </w:rPr>
      </w:pPr>
      <w:r>
        <w:rPr>
          <w:sz w:val="22"/>
          <w:szCs w:val="22"/>
          <w:lang w:val="de-DE"/>
        </w:rPr>
        <w:t>PC</w:t>
      </w:r>
    </w:p>
    <w:p w14:paraId="010B4D79" w14:textId="77777777" w:rsidR="00FE291A" w:rsidRDefault="00C8738F">
      <w:pPr>
        <w:widowControl/>
        <w:rPr>
          <w:sz w:val="22"/>
          <w:szCs w:val="22"/>
          <w:lang w:val="de-DE"/>
        </w:rPr>
      </w:pPr>
      <w:r>
        <w:rPr>
          <w:sz w:val="22"/>
          <w:szCs w:val="22"/>
          <w:lang w:val="de-DE"/>
        </w:rPr>
        <w:t>SN</w:t>
      </w:r>
    </w:p>
    <w:p w14:paraId="29A7CDA6" w14:textId="77777777" w:rsidR="00FE291A" w:rsidRDefault="00C8738F">
      <w:pPr>
        <w:widowControl/>
        <w:rPr>
          <w:sz w:val="22"/>
          <w:szCs w:val="22"/>
          <w:lang w:val="de-DE"/>
        </w:rPr>
      </w:pPr>
      <w:r>
        <w:rPr>
          <w:sz w:val="22"/>
          <w:szCs w:val="22"/>
          <w:lang w:val="de-DE"/>
        </w:rPr>
        <w:t>NN</w:t>
      </w:r>
    </w:p>
    <w:p w14:paraId="25891B5B" w14:textId="77777777" w:rsidR="00FE291A" w:rsidRDefault="00FE291A">
      <w:pPr>
        <w:widowControl/>
        <w:rPr>
          <w:vanish/>
          <w:sz w:val="22"/>
          <w:szCs w:val="22"/>
          <w:lang w:val="de-DE"/>
        </w:rPr>
      </w:pPr>
    </w:p>
    <w:p w14:paraId="17EB48AE" w14:textId="77777777" w:rsidR="00FE291A" w:rsidRDefault="00FE291A">
      <w:pPr>
        <w:widowControl/>
        <w:rPr>
          <w:sz w:val="22"/>
          <w:szCs w:val="22"/>
          <w:shd w:val="clear" w:color="auto" w:fill="CCCCCC"/>
          <w:lang w:val="de-DE"/>
        </w:rPr>
      </w:pPr>
    </w:p>
    <w:p w14:paraId="384FEDCA" w14:textId="77777777" w:rsidR="00FE291A" w:rsidRDefault="00C8738F">
      <w:pPr>
        <w:widowControl/>
        <w:pBdr>
          <w:top w:val="single" w:sz="4" w:space="1" w:color="auto"/>
          <w:left w:val="single" w:sz="4" w:space="4" w:color="auto"/>
          <w:bottom w:val="single" w:sz="4" w:space="1" w:color="auto"/>
          <w:right w:val="single" w:sz="4" w:space="4" w:color="auto"/>
        </w:pBdr>
        <w:rPr>
          <w:b/>
          <w:sz w:val="22"/>
          <w:szCs w:val="22"/>
          <w:lang w:val="de-DE"/>
        </w:rPr>
      </w:pPr>
      <w:r>
        <w:rPr>
          <w:sz w:val="22"/>
          <w:lang w:val="de-DE"/>
        </w:rPr>
        <w:br w:type="page"/>
      </w:r>
      <w:r>
        <w:rPr>
          <w:b/>
          <w:sz w:val="22"/>
          <w:szCs w:val="22"/>
          <w:lang w:val="de-DE"/>
        </w:rPr>
        <w:t>MINDESTANGABEN AUF KLEINEN BEHÄLTNISSEN</w:t>
      </w:r>
    </w:p>
    <w:p w14:paraId="6D622929" w14:textId="77777777" w:rsidR="00FE291A" w:rsidRDefault="00FE291A">
      <w:pPr>
        <w:widowControl/>
        <w:pBdr>
          <w:top w:val="single" w:sz="4" w:space="1" w:color="auto"/>
          <w:left w:val="single" w:sz="4" w:space="4" w:color="auto"/>
          <w:bottom w:val="single" w:sz="4" w:space="1" w:color="auto"/>
          <w:right w:val="single" w:sz="4" w:space="4" w:color="auto"/>
        </w:pBdr>
        <w:rPr>
          <w:b/>
          <w:sz w:val="22"/>
          <w:szCs w:val="22"/>
          <w:lang w:val="de-DE"/>
        </w:rPr>
      </w:pPr>
    </w:p>
    <w:p w14:paraId="69D1EE5F" w14:textId="77777777" w:rsidR="00FE291A" w:rsidRDefault="00C8738F">
      <w:pPr>
        <w:widowControl/>
        <w:pBdr>
          <w:top w:val="single" w:sz="4" w:space="1" w:color="auto"/>
          <w:left w:val="single" w:sz="4" w:space="4" w:color="auto"/>
          <w:bottom w:val="single" w:sz="4" w:space="1" w:color="auto"/>
          <w:right w:val="single" w:sz="4" w:space="4" w:color="auto"/>
        </w:pBdr>
        <w:rPr>
          <w:b/>
          <w:sz w:val="22"/>
          <w:szCs w:val="22"/>
          <w:lang w:val="de-DE"/>
        </w:rPr>
      </w:pPr>
      <w:r>
        <w:rPr>
          <w:b/>
          <w:sz w:val="22"/>
          <w:szCs w:val="22"/>
          <w:lang w:val="de-DE"/>
        </w:rPr>
        <w:t>ETIKETT DER SPRITZE</w:t>
      </w:r>
    </w:p>
    <w:p w14:paraId="35B2A2AE" w14:textId="77777777" w:rsidR="00FE291A" w:rsidRDefault="00FE291A">
      <w:pPr>
        <w:widowControl/>
        <w:rPr>
          <w:sz w:val="22"/>
          <w:szCs w:val="22"/>
          <w:lang w:val="de-DE"/>
        </w:rPr>
      </w:pPr>
    </w:p>
    <w:p w14:paraId="2117C3D5" w14:textId="77777777" w:rsidR="00FE291A" w:rsidRDefault="00FE291A">
      <w:pPr>
        <w:widowControl/>
        <w:rPr>
          <w:sz w:val="22"/>
          <w:szCs w:val="22"/>
          <w:lang w:val="de-DE"/>
        </w:rPr>
      </w:pPr>
    </w:p>
    <w:p w14:paraId="27C074F5" w14:textId="77777777" w:rsidR="00FE291A" w:rsidRDefault="00C8738F">
      <w:pPr>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BEZEICHNUNG DES ARZNEIMITTELS SOWIE ART(EN) DER ANWENDUNG</w:t>
      </w:r>
    </w:p>
    <w:p w14:paraId="1D53A5C9" w14:textId="77777777" w:rsidR="00FE291A" w:rsidRDefault="00FE291A">
      <w:pPr>
        <w:widowControl/>
        <w:ind w:left="567" w:hanging="567"/>
        <w:rPr>
          <w:sz w:val="22"/>
          <w:szCs w:val="22"/>
          <w:lang w:val="de-DE"/>
        </w:rPr>
      </w:pPr>
    </w:p>
    <w:p w14:paraId="2D0BCE23" w14:textId="77777777" w:rsidR="00FE291A" w:rsidRPr="00C85130" w:rsidRDefault="00C8738F">
      <w:pPr>
        <w:widowControl/>
        <w:rPr>
          <w:sz w:val="22"/>
          <w:szCs w:val="22"/>
          <w:lang w:val="de-DE"/>
          <w:rPrChange w:id="59" w:author="Author">
            <w:rPr>
              <w:sz w:val="22"/>
              <w:szCs w:val="22"/>
              <w:lang w:val="es-ES"/>
            </w:rPr>
          </w:rPrChange>
        </w:rPr>
      </w:pPr>
      <w:r w:rsidRPr="00C85130">
        <w:rPr>
          <w:sz w:val="22"/>
          <w:szCs w:val="22"/>
          <w:lang w:val="de-DE"/>
          <w:rPrChange w:id="60" w:author="Author">
            <w:rPr>
              <w:sz w:val="22"/>
              <w:szCs w:val="22"/>
              <w:lang w:val="es-ES"/>
            </w:rPr>
          </w:rPrChange>
        </w:rPr>
        <w:t>AMGEVITA 20 mg Injektion</w:t>
      </w:r>
    </w:p>
    <w:p w14:paraId="38EFDE72" w14:textId="77777777" w:rsidR="00FE291A" w:rsidRPr="00C85130" w:rsidRDefault="00C8738F">
      <w:pPr>
        <w:widowControl/>
        <w:rPr>
          <w:sz w:val="22"/>
          <w:szCs w:val="22"/>
          <w:lang w:val="de-DE"/>
          <w:rPrChange w:id="61" w:author="Author">
            <w:rPr>
              <w:sz w:val="22"/>
              <w:szCs w:val="22"/>
              <w:lang w:val="es-ES"/>
            </w:rPr>
          </w:rPrChange>
        </w:rPr>
      </w:pPr>
      <w:r w:rsidRPr="00C85130">
        <w:rPr>
          <w:sz w:val="22"/>
          <w:szCs w:val="22"/>
          <w:lang w:val="de-DE"/>
          <w:rPrChange w:id="62" w:author="Author">
            <w:rPr>
              <w:sz w:val="22"/>
              <w:szCs w:val="22"/>
              <w:lang w:val="es-ES"/>
            </w:rPr>
          </w:rPrChange>
        </w:rPr>
        <w:t>Adalimumab</w:t>
      </w:r>
    </w:p>
    <w:p w14:paraId="65358B10" w14:textId="77777777" w:rsidR="00FE291A" w:rsidRPr="00C85130" w:rsidRDefault="00C8738F">
      <w:pPr>
        <w:widowControl/>
        <w:rPr>
          <w:sz w:val="22"/>
          <w:szCs w:val="22"/>
          <w:lang w:val="de-DE"/>
          <w:rPrChange w:id="63" w:author="Author">
            <w:rPr>
              <w:sz w:val="22"/>
              <w:szCs w:val="22"/>
              <w:lang w:val="es-ES"/>
            </w:rPr>
          </w:rPrChange>
        </w:rPr>
      </w:pPr>
      <w:r w:rsidRPr="00C85130">
        <w:rPr>
          <w:sz w:val="22"/>
          <w:szCs w:val="22"/>
          <w:lang w:val="de-DE"/>
          <w:rPrChange w:id="64" w:author="Author">
            <w:rPr>
              <w:sz w:val="22"/>
              <w:szCs w:val="22"/>
              <w:lang w:val="es-ES"/>
            </w:rPr>
          </w:rPrChange>
        </w:rPr>
        <w:t>s.c.</w:t>
      </w:r>
    </w:p>
    <w:p w14:paraId="5224C1DF" w14:textId="77777777" w:rsidR="00FE291A" w:rsidRPr="00C85130" w:rsidRDefault="00FE291A">
      <w:pPr>
        <w:widowControl/>
        <w:rPr>
          <w:sz w:val="22"/>
          <w:szCs w:val="22"/>
          <w:lang w:val="de-DE"/>
          <w:rPrChange w:id="65" w:author="Author">
            <w:rPr>
              <w:sz w:val="22"/>
              <w:szCs w:val="22"/>
              <w:lang w:val="es-ES"/>
            </w:rPr>
          </w:rPrChange>
        </w:rPr>
      </w:pPr>
    </w:p>
    <w:p w14:paraId="672E78C7" w14:textId="77777777" w:rsidR="00FE291A" w:rsidRPr="00C85130" w:rsidRDefault="00FE291A">
      <w:pPr>
        <w:widowControl/>
        <w:rPr>
          <w:sz w:val="22"/>
          <w:szCs w:val="22"/>
          <w:lang w:val="de-DE"/>
          <w:rPrChange w:id="66" w:author="Author">
            <w:rPr>
              <w:sz w:val="22"/>
              <w:szCs w:val="22"/>
              <w:lang w:val="es-ES"/>
            </w:rPr>
          </w:rPrChange>
        </w:rPr>
      </w:pPr>
    </w:p>
    <w:p w14:paraId="7CDC524A" w14:textId="77777777" w:rsidR="00FE291A" w:rsidRDefault="00C8738F">
      <w:pPr>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HINWEISE ZUR ANWENDUNG</w:t>
      </w:r>
    </w:p>
    <w:p w14:paraId="2B4DE595" w14:textId="77777777" w:rsidR="00FE291A" w:rsidRDefault="00FE291A">
      <w:pPr>
        <w:widowControl/>
        <w:rPr>
          <w:sz w:val="22"/>
          <w:szCs w:val="22"/>
          <w:lang w:val="de-DE"/>
        </w:rPr>
      </w:pPr>
    </w:p>
    <w:p w14:paraId="666D52FA" w14:textId="77777777" w:rsidR="00FE291A" w:rsidRDefault="00FE291A">
      <w:pPr>
        <w:widowControl/>
        <w:rPr>
          <w:sz w:val="22"/>
          <w:szCs w:val="22"/>
          <w:lang w:val="de-DE"/>
        </w:rPr>
      </w:pPr>
    </w:p>
    <w:p w14:paraId="0B153676" w14:textId="77777777" w:rsidR="00FE291A" w:rsidRDefault="00C8738F">
      <w:pPr>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VERFALLDATUM</w:t>
      </w:r>
    </w:p>
    <w:p w14:paraId="47D70716" w14:textId="77777777" w:rsidR="00FE291A" w:rsidRDefault="00FE291A">
      <w:pPr>
        <w:widowControl/>
        <w:rPr>
          <w:sz w:val="22"/>
          <w:szCs w:val="22"/>
          <w:lang w:val="de-DE"/>
        </w:rPr>
      </w:pPr>
    </w:p>
    <w:p w14:paraId="1F37B601" w14:textId="77777777" w:rsidR="00FE291A" w:rsidRDefault="00C8738F">
      <w:pPr>
        <w:widowControl/>
        <w:rPr>
          <w:sz w:val="22"/>
          <w:szCs w:val="22"/>
          <w:lang w:val="de-DE"/>
        </w:rPr>
      </w:pPr>
      <w:r>
        <w:rPr>
          <w:sz w:val="22"/>
          <w:szCs w:val="22"/>
          <w:lang w:val="de-DE"/>
        </w:rPr>
        <w:t>EXP</w:t>
      </w:r>
    </w:p>
    <w:p w14:paraId="374E0421" w14:textId="77777777" w:rsidR="00FE291A" w:rsidRDefault="00FE291A">
      <w:pPr>
        <w:widowControl/>
        <w:rPr>
          <w:sz w:val="22"/>
          <w:szCs w:val="22"/>
          <w:lang w:val="de-DE"/>
        </w:rPr>
      </w:pPr>
    </w:p>
    <w:p w14:paraId="47012F91" w14:textId="77777777" w:rsidR="00FE291A" w:rsidRDefault="00FE291A">
      <w:pPr>
        <w:widowControl/>
        <w:rPr>
          <w:sz w:val="22"/>
          <w:szCs w:val="22"/>
          <w:lang w:val="de-DE"/>
        </w:rPr>
      </w:pPr>
    </w:p>
    <w:p w14:paraId="138AB5C1" w14:textId="77777777" w:rsidR="00FE291A" w:rsidRDefault="00C8738F">
      <w:pPr>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CHARGENBEZEICHNUNG</w:t>
      </w:r>
    </w:p>
    <w:p w14:paraId="4B6B6C0D" w14:textId="77777777" w:rsidR="00FE291A" w:rsidRDefault="00FE291A">
      <w:pPr>
        <w:widowControl/>
        <w:ind w:right="113"/>
        <w:rPr>
          <w:sz w:val="22"/>
          <w:szCs w:val="22"/>
          <w:lang w:val="de-DE"/>
        </w:rPr>
      </w:pPr>
    </w:p>
    <w:p w14:paraId="731D1EBD" w14:textId="77777777" w:rsidR="00FE291A" w:rsidRDefault="00C8738F">
      <w:pPr>
        <w:widowControl/>
        <w:ind w:right="113"/>
        <w:rPr>
          <w:sz w:val="22"/>
          <w:szCs w:val="22"/>
          <w:lang w:val="de-DE"/>
        </w:rPr>
      </w:pPr>
      <w:r>
        <w:rPr>
          <w:sz w:val="22"/>
          <w:szCs w:val="22"/>
          <w:lang w:val="de-DE"/>
        </w:rPr>
        <w:t>Lot</w:t>
      </w:r>
    </w:p>
    <w:p w14:paraId="3F3127B4" w14:textId="77777777" w:rsidR="00FE291A" w:rsidRDefault="00FE291A">
      <w:pPr>
        <w:widowControl/>
        <w:ind w:right="113"/>
        <w:rPr>
          <w:sz w:val="22"/>
          <w:szCs w:val="22"/>
          <w:lang w:val="de-DE"/>
        </w:rPr>
      </w:pPr>
    </w:p>
    <w:p w14:paraId="5BCD05B9" w14:textId="77777777" w:rsidR="00FE291A" w:rsidRDefault="00FE291A">
      <w:pPr>
        <w:widowControl/>
        <w:ind w:right="113"/>
        <w:rPr>
          <w:sz w:val="22"/>
          <w:szCs w:val="22"/>
          <w:lang w:val="de-DE"/>
        </w:rPr>
      </w:pPr>
    </w:p>
    <w:p w14:paraId="6361622C" w14:textId="77777777" w:rsidR="00FE291A" w:rsidRDefault="00C8738F">
      <w:pPr>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INHALT NACH GEWICHT, VOLUMEN ODER EINHEITEN</w:t>
      </w:r>
    </w:p>
    <w:p w14:paraId="2A001544" w14:textId="77777777" w:rsidR="00FE291A" w:rsidRDefault="00FE291A">
      <w:pPr>
        <w:widowControl/>
        <w:ind w:right="113"/>
        <w:rPr>
          <w:sz w:val="22"/>
          <w:szCs w:val="22"/>
          <w:lang w:val="de-DE"/>
        </w:rPr>
      </w:pPr>
    </w:p>
    <w:p w14:paraId="603C9F07" w14:textId="77777777" w:rsidR="00FE291A" w:rsidRDefault="00C8738F">
      <w:pPr>
        <w:widowControl/>
        <w:ind w:right="113"/>
        <w:rPr>
          <w:sz w:val="22"/>
          <w:szCs w:val="22"/>
          <w:lang w:val="de-DE"/>
        </w:rPr>
      </w:pPr>
      <w:r>
        <w:rPr>
          <w:sz w:val="22"/>
          <w:szCs w:val="22"/>
          <w:lang w:val="de-DE"/>
        </w:rPr>
        <w:t>0,4 ml</w:t>
      </w:r>
    </w:p>
    <w:p w14:paraId="10ADBAC5" w14:textId="77777777" w:rsidR="00FE291A" w:rsidRDefault="00FE291A">
      <w:pPr>
        <w:widowControl/>
        <w:ind w:right="113"/>
        <w:rPr>
          <w:sz w:val="22"/>
          <w:szCs w:val="22"/>
          <w:lang w:val="de-DE"/>
        </w:rPr>
      </w:pPr>
    </w:p>
    <w:p w14:paraId="73E2C844" w14:textId="77777777" w:rsidR="00FE291A" w:rsidRDefault="00FE291A">
      <w:pPr>
        <w:widowControl/>
        <w:ind w:right="113"/>
        <w:rPr>
          <w:sz w:val="22"/>
          <w:szCs w:val="22"/>
          <w:lang w:val="de-DE"/>
        </w:rPr>
      </w:pPr>
    </w:p>
    <w:p w14:paraId="5E29DB74" w14:textId="77777777" w:rsidR="00FE291A" w:rsidRDefault="00C8738F">
      <w:pPr>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WEITERE ANGABEN</w:t>
      </w:r>
    </w:p>
    <w:p w14:paraId="06D4C9A2" w14:textId="77777777" w:rsidR="00FE291A" w:rsidRDefault="00FE291A">
      <w:pPr>
        <w:widowControl/>
        <w:ind w:right="113"/>
        <w:rPr>
          <w:sz w:val="22"/>
          <w:szCs w:val="22"/>
          <w:lang w:val="de-DE"/>
        </w:rPr>
      </w:pPr>
    </w:p>
    <w:p w14:paraId="2C48132F" w14:textId="77777777" w:rsidR="00FE291A" w:rsidRDefault="00FE291A">
      <w:pPr>
        <w:widowControl/>
        <w:ind w:right="113"/>
        <w:rPr>
          <w:sz w:val="22"/>
          <w:szCs w:val="22"/>
          <w:lang w:val="de-DE"/>
        </w:rPr>
      </w:pPr>
    </w:p>
    <w:p w14:paraId="6414C8EA" w14:textId="77777777" w:rsidR="00FE291A" w:rsidRDefault="00FE291A">
      <w:pPr>
        <w:widowControl/>
        <w:ind w:right="113"/>
        <w:rPr>
          <w:sz w:val="22"/>
          <w:szCs w:val="22"/>
          <w:lang w:val="de-DE"/>
        </w:rPr>
      </w:pPr>
    </w:p>
    <w:p w14:paraId="0C6CA6DB" w14:textId="77777777" w:rsidR="00FE291A" w:rsidRDefault="00C8738F">
      <w:pPr>
        <w:widowControl/>
        <w:pBdr>
          <w:top w:val="single" w:sz="4" w:space="1" w:color="auto"/>
          <w:left w:val="single" w:sz="4" w:space="4" w:color="auto"/>
          <w:bottom w:val="single" w:sz="4" w:space="1" w:color="auto"/>
          <w:right w:val="single" w:sz="4" w:space="4" w:color="auto"/>
        </w:pBdr>
        <w:outlineLvl w:val="0"/>
        <w:rPr>
          <w:b/>
          <w:sz w:val="22"/>
          <w:szCs w:val="22"/>
          <w:lang w:val="de-DE"/>
        </w:rPr>
      </w:pPr>
      <w:r>
        <w:rPr>
          <w:sz w:val="22"/>
          <w:szCs w:val="22"/>
          <w:lang w:val="de-DE"/>
        </w:rPr>
        <w:br w:type="page"/>
      </w:r>
      <w:r>
        <w:rPr>
          <w:b/>
          <w:sz w:val="22"/>
          <w:szCs w:val="22"/>
          <w:lang w:val="de-DE"/>
        </w:rPr>
        <w:t>ANGABEN AUF DER ÄUSSEREN UMHÜLLUNG</w:t>
      </w:r>
    </w:p>
    <w:p w14:paraId="3F49DDF9" w14:textId="77777777" w:rsidR="00FE291A" w:rsidRDefault="00FE291A">
      <w:pPr>
        <w:widowControl/>
        <w:pBdr>
          <w:top w:val="single" w:sz="4" w:space="1" w:color="auto"/>
          <w:left w:val="single" w:sz="4" w:space="4" w:color="auto"/>
          <w:bottom w:val="single" w:sz="4" w:space="1" w:color="auto"/>
          <w:right w:val="single" w:sz="4" w:space="4" w:color="auto"/>
        </w:pBdr>
        <w:ind w:left="567" w:hanging="567"/>
        <w:rPr>
          <w:sz w:val="22"/>
          <w:szCs w:val="22"/>
          <w:lang w:val="de-DE"/>
        </w:rPr>
      </w:pPr>
    </w:p>
    <w:p w14:paraId="0FD57F10" w14:textId="77777777" w:rsidR="00FE291A" w:rsidRDefault="00C8738F">
      <w:pPr>
        <w:widowControl/>
        <w:pBdr>
          <w:top w:val="single" w:sz="4" w:space="1" w:color="auto"/>
          <w:left w:val="single" w:sz="4" w:space="4" w:color="auto"/>
          <w:bottom w:val="single" w:sz="4" w:space="1" w:color="auto"/>
          <w:right w:val="single" w:sz="4" w:space="4" w:color="auto"/>
        </w:pBdr>
        <w:rPr>
          <w:sz w:val="22"/>
          <w:szCs w:val="22"/>
          <w:lang w:val="de-DE"/>
        </w:rPr>
      </w:pPr>
      <w:r>
        <w:rPr>
          <w:b/>
          <w:sz w:val="22"/>
          <w:szCs w:val="22"/>
          <w:lang w:val="de-DE"/>
        </w:rPr>
        <w:t>KARTON FÜR DIE FERTIGSPRITZE</w:t>
      </w:r>
    </w:p>
    <w:p w14:paraId="0C7847FB" w14:textId="77777777" w:rsidR="00FE291A" w:rsidRDefault="00FE291A">
      <w:pPr>
        <w:widowControl/>
        <w:rPr>
          <w:sz w:val="22"/>
          <w:szCs w:val="22"/>
          <w:lang w:val="de-DE"/>
        </w:rPr>
      </w:pPr>
    </w:p>
    <w:p w14:paraId="7D6E2060" w14:textId="77777777" w:rsidR="00FE291A" w:rsidRDefault="00FE291A">
      <w:pPr>
        <w:widowControl/>
        <w:rPr>
          <w:sz w:val="22"/>
          <w:szCs w:val="22"/>
          <w:lang w:val="de-DE"/>
        </w:rPr>
      </w:pPr>
    </w:p>
    <w:p w14:paraId="04DD0BEC" w14:textId="77777777" w:rsidR="00FE291A" w:rsidRDefault="00C8738F">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BEZEICHNUNG DES ARZNEIMITTELS</w:t>
      </w:r>
    </w:p>
    <w:p w14:paraId="2F1F18C1" w14:textId="77777777" w:rsidR="00FE291A" w:rsidRDefault="00FE291A">
      <w:pPr>
        <w:keepNext/>
        <w:widowControl/>
        <w:rPr>
          <w:sz w:val="22"/>
          <w:szCs w:val="22"/>
          <w:lang w:val="de-DE"/>
        </w:rPr>
      </w:pPr>
    </w:p>
    <w:p w14:paraId="57056A8B" w14:textId="77777777" w:rsidR="00FE291A" w:rsidRDefault="00C8738F">
      <w:pPr>
        <w:widowControl/>
        <w:rPr>
          <w:sz w:val="22"/>
          <w:szCs w:val="22"/>
          <w:lang w:val="de-DE"/>
        </w:rPr>
      </w:pPr>
      <w:r>
        <w:rPr>
          <w:sz w:val="22"/>
          <w:szCs w:val="22"/>
          <w:lang w:val="de-DE"/>
        </w:rPr>
        <w:t>AMGEVITA 40 mg Injektionslösung in einer Fertigspritze</w:t>
      </w:r>
    </w:p>
    <w:p w14:paraId="05D54CD0" w14:textId="77777777" w:rsidR="00FE291A" w:rsidRDefault="00C8738F">
      <w:pPr>
        <w:widowControl/>
        <w:rPr>
          <w:b/>
          <w:sz w:val="22"/>
          <w:szCs w:val="22"/>
          <w:lang w:val="de-DE"/>
        </w:rPr>
      </w:pPr>
      <w:r>
        <w:rPr>
          <w:sz w:val="22"/>
          <w:szCs w:val="22"/>
          <w:lang w:val="de-DE"/>
        </w:rPr>
        <w:t>Adalimumab</w:t>
      </w:r>
    </w:p>
    <w:p w14:paraId="62F073C5" w14:textId="77777777" w:rsidR="00FE291A" w:rsidRDefault="00FE291A">
      <w:pPr>
        <w:widowControl/>
        <w:rPr>
          <w:sz w:val="22"/>
          <w:szCs w:val="22"/>
          <w:lang w:val="de-DE"/>
        </w:rPr>
      </w:pPr>
    </w:p>
    <w:p w14:paraId="3D962CDA" w14:textId="77777777" w:rsidR="00FE291A" w:rsidRDefault="00FE291A">
      <w:pPr>
        <w:widowControl/>
        <w:rPr>
          <w:sz w:val="22"/>
          <w:szCs w:val="22"/>
          <w:lang w:val="de-DE"/>
        </w:rPr>
      </w:pPr>
    </w:p>
    <w:p w14:paraId="45436A55" w14:textId="77777777" w:rsidR="00FE291A" w:rsidRDefault="00C8738F">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WIRKSTOFF</w:t>
      </w:r>
    </w:p>
    <w:p w14:paraId="46530F21" w14:textId="77777777" w:rsidR="00FE291A" w:rsidRDefault="00FE291A">
      <w:pPr>
        <w:keepNext/>
        <w:widowControl/>
        <w:rPr>
          <w:sz w:val="22"/>
          <w:szCs w:val="22"/>
          <w:lang w:val="de-DE"/>
        </w:rPr>
      </w:pPr>
    </w:p>
    <w:p w14:paraId="7B782D11" w14:textId="77777777" w:rsidR="00FE291A" w:rsidRDefault="00C8738F">
      <w:pPr>
        <w:widowControl/>
        <w:rPr>
          <w:sz w:val="22"/>
          <w:szCs w:val="22"/>
          <w:lang w:val="de-DE"/>
        </w:rPr>
      </w:pPr>
      <w:r>
        <w:rPr>
          <w:sz w:val="22"/>
          <w:szCs w:val="22"/>
          <w:lang w:val="de-DE"/>
        </w:rPr>
        <w:t>Jede Fertigspritze enthält 40 mg Adalimumab in 0,8 ml Lösung.</w:t>
      </w:r>
    </w:p>
    <w:p w14:paraId="4C65DB56" w14:textId="77777777" w:rsidR="00FE291A" w:rsidRDefault="00FE291A">
      <w:pPr>
        <w:widowControl/>
        <w:rPr>
          <w:sz w:val="22"/>
          <w:szCs w:val="22"/>
          <w:lang w:val="de-DE"/>
        </w:rPr>
      </w:pPr>
    </w:p>
    <w:p w14:paraId="7A9C5D50" w14:textId="77777777" w:rsidR="00FE291A" w:rsidRDefault="00FE291A">
      <w:pPr>
        <w:widowControl/>
        <w:rPr>
          <w:sz w:val="22"/>
          <w:szCs w:val="22"/>
          <w:lang w:val="de-DE"/>
        </w:rPr>
      </w:pPr>
    </w:p>
    <w:p w14:paraId="5BB4B58E" w14:textId="77777777" w:rsidR="00FE291A" w:rsidRDefault="00C8738F">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SONSTIGE BESTANDTEILE</w:t>
      </w:r>
    </w:p>
    <w:p w14:paraId="3EA5ED37" w14:textId="77777777" w:rsidR="00FE291A" w:rsidRDefault="00FE291A">
      <w:pPr>
        <w:widowControl/>
        <w:rPr>
          <w:sz w:val="22"/>
          <w:szCs w:val="22"/>
          <w:lang w:val="de-DE"/>
        </w:rPr>
      </w:pPr>
    </w:p>
    <w:p w14:paraId="7E8A2EA5" w14:textId="77777777" w:rsidR="00FE291A" w:rsidRDefault="00C8738F">
      <w:pPr>
        <w:widowControl/>
        <w:rPr>
          <w:sz w:val="22"/>
          <w:szCs w:val="22"/>
          <w:lang w:val="de-DE"/>
        </w:rPr>
      </w:pPr>
      <w:r>
        <w:rPr>
          <w:sz w:val="22"/>
          <w:szCs w:val="22"/>
          <w:lang w:val="de-DE"/>
        </w:rPr>
        <w:t>Essigsäure 99 %, Saccharose, Polysorbat 80, Natriumhydroxid und Wasser für Injektionszwecke.</w:t>
      </w:r>
    </w:p>
    <w:p w14:paraId="162C5DB7" w14:textId="77777777" w:rsidR="00FE291A" w:rsidRDefault="00FE291A">
      <w:pPr>
        <w:widowControl/>
        <w:rPr>
          <w:sz w:val="22"/>
          <w:szCs w:val="22"/>
          <w:lang w:val="de-DE"/>
        </w:rPr>
      </w:pPr>
    </w:p>
    <w:p w14:paraId="3F13ED01" w14:textId="77777777" w:rsidR="00FE291A" w:rsidRDefault="00FE291A">
      <w:pPr>
        <w:widowControl/>
        <w:rPr>
          <w:sz w:val="22"/>
          <w:szCs w:val="22"/>
          <w:lang w:val="de-DE"/>
        </w:rPr>
      </w:pPr>
    </w:p>
    <w:p w14:paraId="7A7809B0" w14:textId="77777777" w:rsidR="00FE291A" w:rsidRDefault="00C8738F">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DARREICHUNGSFORM UND INHALT</w:t>
      </w:r>
    </w:p>
    <w:p w14:paraId="6A18AC55" w14:textId="77777777" w:rsidR="00FE291A" w:rsidRDefault="00FE291A">
      <w:pPr>
        <w:widowControl/>
        <w:rPr>
          <w:sz w:val="22"/>
          <w:szCs w:val="22"/>
          <w:lang w:val="de-DE"/>
        </w:rPr>
      </w:pPr>
    </w:p>
    <w:p w14:paraId="4F981B69" w14:textId="77777777" w:rsidR="00FE291A" w:rsidRDefault="00C8738F">
      <w:pPr>
        <w:widowControl/>
        <w:rPr>
          <w:sz w:val="22"/>
          <w:szCs w:val="22"/>
          <w:lang w:val="de-DE"/>
        </w:rPr>
      </w:pPr>
      <w:r>
        <w:rPr>
          <w:sz w:val="22"/>
          <w:szCs w:val="22"/>
          <w:highlight w:val="lightGray"/>
          <w:lang w:val="de-DE"/>
        </w:rPr>
        <w:t>Injektionslösung</w:t>
      </w:r>
    </w:p>
    <w:p w14:paraId="19605F84" w14:textId="77777777" w:rsidR="00FE291A" w:rsidRDefault="00C8738F">
      <w:pPr>
        <w:widowControl/>
        <w:rPr>
          <w:sz w:val="22"/>
          <w:szCs w:val="22"/>
          <w:lang w:val="de-DE"/>
        </w:rPr>
      </w:pPr>
      <w:r>
        <w:rPr>
          <w:sz w:val="22"/>
          <w:szCs w:val="22"/>
          <w:lang w:val="da-DK"/>
        </w:rPr>
        <w:t>40 mg/0,8 ml</w:t>
      </w:r>
    </w:p>
    <w:p w14:paraId="213D12A9" w14:textId="77777777" w:rsidR="00FE291A" w:rsidRDefault="00C8738F">
      <w:pPr>
        <w:widowControl/>
        <w:rPr>
          <w:sz w:val="22"/>
          <w:szCs w:val="22"/>
          <w:lang w:val="de-DE"/>
        </w:rPr>
      </w:pPr>
      <w:r>
        <w:rPr>
          <w:sz w:val="22"/>
          <w:szCs w:val="22"/>
          <w:lang w:val="de-DE"/>
        </w:rPr>
        <w:t>1 Fertigspritze.</w:t>
      </w:r>
    </w:p>
    <w:p w14:paraId="3F01B0B7" w14:textId="77777777" w:rsidR="00FE291A" w:rsidRDefault="00C8738F">
      <w:pPr>
        <w:widowControl/>
        <w:rPr>
          <w:sz w:val="22"/>
          <w:szCs w:val="22"/>
          <w:highlight w:val="lightGray"/>
          <w:lang w:val="de-DE"/>
        </w:rPr>
      </w:pPr>
      <w:r>
        <w:rPr>
          <w:sz w:val="22"/>
          <w:szCs w:val="22"/>
          <w:highlight w:val="lightGray"/>
          <w:lang w:val="de-DE"/>
        </w:rPr>
        <w:t>2 Fertigspritzen.</w:t>
      </w:r>
    </w:p>
    <w:p w14:paraId="3EE535B8" w14:textId="77777777" w:rsidR="00FE291A" w:rsidRDefault="00C8738F">
      <w:pPr>
        <w:widowControl/>
        <w:rPr>
          <w:sz w:val="22"/>
          <w:szCs w:val="22"/>
          <w:highlight w:val="lightGray"/>
          <w:lang w:val="de-DE"/>
        </w:rPr>
      </w:pPr>
      <w:r>
        <w:rPr>
          <w:sz w:val="22"/>
          <w:szCs w:val="22"/>
          <w:highlight w:val="lightGray"/>
          <w:lang w:val="de-DE"/>
        </w:rPr>
        <w:t>4 Fertigspritzen.</w:t>
      </w:r>
    </w:p>
    <w:p w14:paraId="7A4ABA7E" w14:textId="77777777" w:rsidR="00FE291A" w:rsidRDefault="00FE291A">
      <w:pPr>
        <w:widowControl/>
        <w:rPr>
          <w:sz w:val="22"/>
          <w:szCs w:val="22"/>
          <w:lang w:val="de-DE"/>
        </w:rPr>
      </w:pPr>
    </w:p>
    <w:p w14:paraId="1FE16E22" w14:textId="77777777" w:rsidR="00FE291A" w:rsidRDefault="00FE291A">
      <w:pPr>
        <w:widowControl/>
        <w:rPr>
          <w:sz w:val="22"/>
          <w:szCs w:val="22"/>
          <w:lang w:val="de-DE"/>
        </w:rPr>
      </w:pPr>
    </w:p>
    <w:p w14:paraId="264AD9A8" w14:textId="77777777" w:rsidR="00FE291A" w:rsidRDefault="00C8738F">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HINWEISE ZUR UND ART(EN) DER ANWENDUNG</w:t>
      </w:r>
    </w:p>
    <w:p w14:paraId="208CCA90" w14:textId="77777777" w:rsidR="00FE291A" w:rsidRDefault="00FE291A">
      <w:pPr>
        <w:keepNext/>
        <w:widowControl/>
        <w:rPr>
          <w:sz w:val="22"/>
          <w:szCs w:val="22"/>
          <w:lang w:val="de-DE"/>
        </w:rPr>
      </w:pPr>
    </w:p>
    <w:p w14:paraId="5443C98F" w14:textId="77777777" w:rsidR="00FE291A" w:rsidRDefault="00C8738F">
      <w:pPr>
        <w:widowControl/>
        <w:rPr>
          <w:sz w:val="22"/>
          <w:szCs w:val="22"/>
          <w:lang w:val="de-DE"/>
        </w:rPr>
      </w:pPr>
      <w:r>
        <w:rPr>
          <w:sz w:val="22"/>
          <w:szCs w:val="22"/>
          <w:lang w:val="de-DE"/>
        </w:rPr>
        <w:t>Zur subkutanen Anwendung.</w:t>
      </w:r>
    </w:p>
    <w:p w14:paraId="47984538" w14:textId="77777777" w:rsidR="00FE291A" w:rsidRDefault="00C8738F">
      <w:pPr>
        <w:widowControl/>
        <w:rPr>
          <w:sz w:val="22"/>
          <w:szCs w:val="22"/>
          <w:lang w:val="de-DE"/>
        </w:rPr>
      </w:pPr>
      <w:r>
        <w:rPr>
          <w:sz w:val="22"/>
          <w:szCs w:val="22"/>
          <w:lang w:val="de-DE"/>
        </w:rPr>
        <w:t>Packungsbeilage beachten.</w:t>
      </w:r>
    </w:p>
    <w:p w14:paraId="37A4601E" w14:textId="77777777" w:rsidR="00FE291A" w:rsidRDefault="00C8738F">
      <w:pPr>
        <w:widowControl/>
        <w:rPr>
          <w:sz w:val="22"/>
          <w:szCs w:val="22"/>
          <w:lang w:val="de-DE"/>
        </w:rPr>
      </w:pPr>
      <w:r>
        <w:rPr>
          <w:sz w:val="22"/>
          <w:szCs w:val="22"/>
          <w:lang w:val="de-DE"/>
        </w:rPr>
        <w:t>Nur zum Einmalgebrauch.</w:t>
      </w:r>
    </w:p>
    <w:p w14:paraId="38083285" w14:textId="77777777" w:rsidR="00FE291A" w:rsidRDefault="00FE291A">
      <w:pPr>
        <w:widowControl/>
        <w:rPr>
          <w:sz w:val="22"/>
          <w:szCs w:val="22"/>
          <w:lang w:val="de-DE"/>
        </w:rPr>
      </w:pPr>
    </w:p>
    <w:p w14:paraId="2D86E711" w14:textId="77777777" w:rsidR="00FE291A" w:rsidRDefault="00FE291A">
      <w:pPr>
        <w:widowControl/>
        <w:rPr>
          <w:sz w:val="22"/>
          <w:szCs w:val="22"/>
          <w:lang w:val="de-DE"/>
        </w:rPr>
      </w:pPr>
    </w:p>
    <w:p w14:paraId="2B5B4D58" w14:textId="77777777" w:rsidR="00FE291A" w:rsidRDefault="00C8738F">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WARNHINWEIS, DASS DAS ARZNEIMITTEL FÜR KINDER UNZUGÄNGLICH AUFZUBEWAHREN IST</w:t>
      </w:r>
    </w:p>
    <w:p w14:paraId="68B2FE76" w14:textId="77777777" w:rsidR="00FE291A" w:rsidRDefault="00FE291A">
      <w:pPr>
        <w:keepNext/>
        <w:widowControl/>
        <w:rPr>
          <w:sz w:val="22"/>
          <w:szCs w:val="22"/>
          <w:lang w:val="de-DE"/>
        </w:rPr>
      </w:pPr>
    </w:p>
    <w:p w14:paraId="35D8D85F" w14:textId="77777777" w:rsidR="00FE291A" w:rsidRDefault="00C8738F">
      <w:pPr>
        <w:widowControl/>
        <w:outlineLvl w:val="0"/>
        <w:rPr>
          <w:sz w:val="22"/>
          <w:szCs w:val="22"/>
          <w:lang w:val="de-DE"/>
        </w:rPr>
      </w:pPr>
      <w:r>
        <w:rPr>
          <w:sz w:val="22"/>
          <w:szCs w:val="22"/>
          <w:lang w:val="de-DE"/>
        </w:rPr>
        <w:t>Arzneimittel für Kinder unzugänglich aufbewahren.</w:t>
      </w:r>
    </w:p>
    <w:p w14:paraId="5AF196BE" w14:textId="77777777" w:rsidR="00FE291A" w:rsidRDefault="00FE291A">
      <w:pPr>
        <w:widowControl/>
        <w:rPr>
          <w:sz w:val="22"/>
          <w:szCs w:val="22"/>
          <w:lang w:val="de-DE"/>
        </w:rPr>
      </w:pPr>
    </w:p>
    <w:p w14:paraId="0130D5E3" w14:textId="77777777" w:rsidR="00FE291A" w:rsidRDefault="00FE291A">
      <w:pPr>
        <w:widowControl/>
        <w:rPr>
          <w:sz w:val="22"/>
          <w:szCs w:val="22"/>
          <w:lang w:val="de-DE"/>
        </w:rPr>
      </w:pPr>
    </w:p>
    <w:p w14:paraId="498A174B" w14:textId="77777777" w:rsidR="00FE291A" w:rsidRDefault="00C8738F">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WEITERE WARNHINWEISE, FALLS ERFORDERLICH</w:t>
      </w:r>
    </w:p>
    <w:p w14:paraId="51AC6A11" w14:textId="77777777" w:rsidR="00FE291A" w:rsidRDefault="00FE291A">
      <w:pPr>
        <w:keepNext/>
        <w:widowControl/>
        <w:rPr>
          <w:sz w:val="22"/>
          <w:szCs w:val="22"/>
          <w:lang w:val="de-DE"/>
        </w:rPr>
      </w:pPr>
    </w:p>
    <w:p w14:paraId="5E6E00F7" w14:textId="77777777" w:rsidR="00FE291A" w:rsidRDefault="00FE291A">
      <w:pPr>
        <w:widowControl/>
        <w:tabs>
          <w:tab w:val="left" w:pos="749"/>
        </w:tabs>
        <w:rPr>
          <w:sz w:val="22"/>
          <w:szCs w:val="22"/>
          <w:lang w:val="de-DE"/>
        </w:rPr>
      </w:pPr>
    </w:p>
    <w:p w14:paraId="3D27E80F" w14:textId="77777777" w:rsidR="00FE291A" w:rsidRDefault="00C8738F">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VERFALLDATUM</w:t>
      </w:r>
    </w:p>
    <w:p w14:paraId="3EFE699B" w14:textId="77777777" w:rsidR="00FE291A" w:rsidRDefault="00FE291A">
      <w:pPr>
        <w:keepNext/>
        <w:widowControl/>
        <w:rPr>
          <w:sz w:val="22"/>
          <w:szCs w:val="22"/>
          <w:lang w:val="de-DE"/>
        </w:rPr>
      </w:pPr>
    </w:p>
    <w:p w14:paraId="41263733" w14:textId="77777777" w:rsidR="00FE291A" w:rsidRDefault="00C8738F">
      <w:pPr>
        <w:widowControl/>
        <w:rPr>
          <w:sz w:val="22"/>
          <w:szCs w:val="22"/>
          <w:lang w:val="de-DE"/>
        </w:rPr>
      </w:pPr>
      <w:r>
        <w:rPr>
          <w:sz w:val="22"/>
          <w:szCs w:val="22"/>
          <w:lang w:val="de-DE"/>
        </w:rPr>
        <w:t>verwendbar bis</w:t>
      </w:r>
    </w:p>
    <w:p w14:paraId="72207BD6" w14:textId="77777777" w:rsidR="00FE291A" w:rsidRDefault="00FE291A">
      <w:pPr>
        <w:widowControl/>
        <w:rPr>
          <w:sz w:val="22"/>
          <w:szCs w:val="22"/>
          <w:lang w:val="de-DE"/>
        </w:rPr>
      </w:pPr>
    </w:p>
    <w:p w14:paraId="633BB88D" w14:textId="77777777" w:rsidR="00FE291A" w:rsidRDefault="00FE291A">
      <w:pPr>
        <w:widowControl/>
        <w:rPr>
          <w:sz w:val="22"/>
          <w:szCs w:val="22"/>
          <w:lang w:val="de-DE"/>
        </w:rPr>
      </w:pPr>
    </w:p>
    <w:p w14:paraId="0523E426" w14:textId="77777777" w:rsidR="00FE291A" w:rsidRDefault="00C8738F">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BESONDERE VORSICHTSMASSNAHMEN FÜR DIE AUFBEWAHRUNG</w:t>
      </w:r>
    </w:p>
    <w:p w14:paraId="4CF440FF" w14:textId="77777777" w:rsidR="00FE291A" w:rsidRDefault="00FE291A">
      <w:pPr>
        <w:keepNext/>
        <w:widowControl/>
        <w:rPr>
          <w:sz w:val="22"/>
          <w:szCs w:val="22"/>
          <w:lang w:val="de-DE"/>
        </w:rPr>
      </w:pPr>
    </w:p>
    <w:p w14:paraId="516E6382" w14:textId="77777777" w:rsidR="00FE291A" w:rsidRDefault="00C8738F">
      <w:pPr>
        <w:keepNext/>
        <w:widowControl/>
        <w:ind w:left="567" w:hanging="567"/>
        <w:rPr>
          <w:sz w:val="22"/>
          <w:szCs w:val="22"/>
          <w:lang w:val="de-DE"/>
        </w:rPr>
      </w:pPr>
      <w:r>
        <w:rPr>
          <w:sz w:val="22"/>
          <w:szCs w:val="22"/>
          <w:lang w:val="de-DE"/>
        </w:rPr>
        <w:t>Im Kühlschrank lagern.</w:t>
      </w:r>
    </w:p>
    <w:p w14:paraId="12EC4925" w14:textId="77777777" w:rsidR="00FE291A" w:rsidRDefault="00C8738F">
      <w:pPr>
        <w:keepNext/>
        <w:widowControl/>
        <w:ind w:left="567" w:hanging="567"/>
        <w:rPr>
          <w:sz w:val="22"/>
          <w:szCs w:val="22"/>
          <w:lang w:val="de-DE"/>
        </w:rPr>
      </w:pPr>
      <w:r>
        <w:rPr>
          <w:sz w:val="22"/>
          <w:szCs w:val="22"/>
          <w:lang w:val="de-DE"/>
        </w:rPr>
        <w:t>Nicht einfrieren.</w:t>
      </w:r>
    </w:p>
    <w:p w14:paraId="0DBEDEE5" w14:textId="77777777" w:rsidR="00FE291A" w:rsidRDefault="00C8738F">
      <w:pPr>
        <w:keepNext/>
        <w:widowControl/>
        <w:ind w:left="567" w:hanging="567"/>
        <w:rPr>
          <w:sz w:val="22"/>
          <w:szCs w:val="22"/>
          <w:lang w:val="de-DE"/>
        </w:rPr>
      </w:pPr>
      <w:r>
        <w:rPr>
          <w:sz w:val="22"/>
          <w:szCs w:val="22"/>
          <w:lang w:val="de-DE"/>
        </w:rPr>
        <w:t>Im Originalkarton aufbewahren, um den Inhalt vor Licht zu schützen.</w:t>
      </w:r>
    </w:p>
    <w:p w14:paraId="6E79B17C" w14:textId="77777777" w:rsidR="00FE291A" w:rsidRDefault="00FE291A">
      <w:pPr>
        <w:widowControl/>
        <w:ind w:left="567" w:hanging="567"/>
        <w:rPr>
          <w:sz w:val="22"/>
          <w:szCs w:val="22"/>
          <w:lang w:val="de-DE"/>
        </w:rPr>
      </w:pPr>
    </w:p>
    <w:p w14:paraId="4D9AC806" w14:textId="77777777" w:rsidR="00FE291A" w:rsidRDefault="00FE291A">
      <w:pPr>
        <w:widowControl/>
        <w:ind w:left="567" w:hanging="567"/>
        <w:rPr>
          <w:sz w:val="22"/>
          <w:szCs w:val="22"/>
          <w:lang w:val="de-DE"/>
        </w:rPr>
      </w:pPr>
    </w:p>
    <w:p w14:paraId="45F87043" w14:textId="77777777" w:rsidR="00FE291A" w:rsidRDefault="00C8738F">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GEGEBENENFALLS BESONDERE VORSICHTSMASSNAHMEN FÜR DIE BESEITIGUNG VON NICHT VERWENDETEM ARZNEIMITTEL ODER DAVON STAMMENDEN ABFALLMATERIALIEN</w:t>
      </w:r>
    </w:p>
    <w:p w14:paraId="66F78B43" w14:textId="77777777" w:rsidR="00FE291A" w:rsidRDefault="00FE291A">
      <w:pPr>
        <w:widowControl/>
        <w:rPr>
          <w:sz w:val="22"/>
          <w:szCs w:val="22"/>
          <w:lang w:val="de-DE"/>
        </w:rPr>
      </w:pPr>
    </w:p>
    <w:p w14:paraId="41A669C6" w14:textId="77777777" w:rsidR="00FE291A" w:rsidRDefault="00FE291A">
      <w:pPr>
        <w:widowControl/>
        <w:rPr>
          <w:sz w:val="22"/>
          <w:szCs w:val="22"/>
          <w:lang w:val="de-DE"/>
        </w:rPr>
      </w:pPr>
    </w:p>
    <w:p w14:paraId="2834A201" w14:textId="77777777" w:rsidR="00FE291A" w:rsidRDefault="00C8738F">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NAME UND ANSCHRIFT DES PHARMAZEUTISCHEN UNTERNEHMERS</w:t>
      </w:r>
    </w:p>
    <w:p w14:paraId="0637C860" w14:textId="77777777" w:rsidR="00FE291A" w:rsidRDefault="00FE291A">
      <w:pPr>
        <w:widowControl/>
        <w:rPr>
          <w:sz w:val="22"/>
          <w:szCs w:val="22"/>
          <w:lang w:val="de-DE"/>
        </w:rPr>
      </w:pPr>
    </w:p>
    <w:p w14:paraId="250EAD58" w14:textId="77777777" w:rsidR="00FE291A" w:rsidRDefault="00C8738F">
      <w:pPr>
        <w:widowControl/>
        <w:rPr>
          <w:rFonts w:eastAsia="SimSun"/>
          <w:sz w:val="22"/>
          <w:szCs w:val="22"/>
          <w:lang w:val="de-DE" w:eastAsia="en-GB"/>
        </w:rPr>
      </w:pPr>
      <w:r>
        <w:rPr>
          <w:rFonts w:eastAsia="SimSun"/>
          <w:sz w:val="22"/>
          <w:szCs w:val="22"/>
          <w:lang w:val="de-DE" w:eastAsia="en-GB"/>
        </w:rPr>
        <w:t>Amgen Europe B.V.</w:t>
      </w:r>
    </w:p>
    <w:p w14:paraId="3F1CD1B9" w14:textId="77777777" w:rsidR="00FE291A" w:rsidRDefault="00C8738F">
      <w:pPr>
        <w:widowControl/>
        <w:rPr>
          <w:rFonts w:eastAsia="SimSun"/>
          <w:sz w:val="22"/>
          <w:szCs w:val="22"/>
          <w:lang w:val="de-DE" w:eastAsia="en-GB"/>
        </w:rPr>
      </w:pPr>
      <w:r>
        <w:rPr>
          <w:rFonts w:eastAsia="SimSun"/>
          <w:sz w:val="22"/>
          <w:szCs w:val="22"/>
          <w:lang w:val="de-DE" w:eastAsia="en-GB"/>
        </w:rPr>
        <w:t>Minervum 7061,</w:t>
      </w:r>
    </w:p>
    <w:p w14:paraId="4FA68E5B" w14:textId="77777777" w:rsidR="00FE291A" w:rsidRDefault="00C8738F">
      <w:pPr>
        <w:widowControl/>
        <w:rPr>
          <w:rFonts w:eastAsia="SimSun"/>
          <w:sz w:val="22"/>
          <w:szCs w:val="22"/>
          <w:lang w:val="de-DE" w:eastAsia="en-GB"/>
        </w:rPr>
      </w:pPr>
      <w:r>
        <w:rPr>
          <w:rFonts w:eastAsia="SimSun"/>
          <w:sz w:val="22"/>
          <w:szCs w:val="22"/>
          <w:lang w:val="de-DE" w:eastAsia="en-GB"/>
        </w:rPr>
        <w:t>4817 ZK Breda,</w:t>
      </w:r>
    </w:p>
    <w:p w14:paraId="43B02554" w14:textId="77777777" w:rsidR="00FE291A" w:rsidRDefault="00C8738F">
      <w:pPr>
        <w:widowControl/>
        <w:rPr>
          <w:rFonts w:eastAsia="SimSun"/>
          <w:sz w:val="22"/>
          <w:szCs w:val="22"/>
          <w:lang w:val="de-DE" w:eastAsia="en-GB"/>
        </w:rPr>
      </w:pPr>
      <w:r>
        <w:rPr>
          <w:rFonts w:eastAsia="SimSun"/>
          <w:sz w:val="22"/>
          <w:szCs w:val="22"/>
          <w:lang w:val="de-DE" w:eastAsia="en-GB"/>
        </w:rPr>
        <w:t>Niederlande</w:t>
      </w:r>
    </w:p>
    <w:p w14:paraId="5794F369" w14:textId="77777777" w:rsidR="00FE291A" w:rsidRDefault="00FE291A">
      <w:pPr>
        <w:widowControl/>
        <w:rPr>
          <w:sz w:val="22"/>
          <w:szCs w:val="22"/>
          <w:lang w:val="de-DE"/>
        </w:rPr>
      </w:pPr>
    </w:p>
    <w:p w14:paraId="084AF291" w14:textId="77777777" w:rsidR="00FE291A" w:rsidRDefault="00FE291A">
      <w:pPr>
        <w:widowControl/>
        <w:rPr>
          <w:sz w:val="22"/>
          <w:szCs w:val="22"/>
          <w:lang w:val="de-DE"/>
        </w:rPr>
      </w:pPr>
    </w:p>
    <w:p w14:paraId="3E485BF9" w14:textId="77777777" w:rsidR="00FE291A" w:rsidRDefault="00C8738F">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ZULASSUNGSNUMMERN</w:t>
      </w:r>
    </w:p>
    <w:p w14:paraId="78FD3B3E" w14:textId="77777777" w:rsidR="00FE291A" w:rsidRDefault="00FE291A">
      <w:pPr>
        <w:widowControl/>
        <w:rPr>
          <w:sz w:val="22"/>
          <w:szCs w:val="22"/>
          <w:lang w:val="de-DE"/>
        </w:rPr>
      </w:pPr>
    </w:p>
    <w:p w14:paraId="25D6A6EC" w14:textId="77777777" w:rsidR="00FE291A" w:rsidRDefault="00C8738F">
      <w:pPr>
        <w:widowControl/>
        <w:outlineLvl w:val="0"/>
        <w:rPr>
          <w:sz w:val="22"/>
          <w:szCs w:val="22"/>
          <w:lang w:val="de-DE"/>
        </w:rPr>
      </w:pPr>
      <w:r>
        <w:rPr>
          <w:sz w:val="22"/>
          <w:szCs w:val="22"/>
          <w:lang w:val="de-DE"/>
        </w:rPr>
        <w:t xml:space="preserve">EU/1/16/1164/002 </w:t>
      </w:r>
      <w:r>
        <w:rPr>
          <w:sz w:val="22"/>
          <w:szCs w:val="22"/>
          <w:highlight w:val="lightGray"/>
          <w:lang w:val="de-DE"/>
        </w:rPr>
        <w:t>1er Packung</w:t>
      </w:r>
    </w:p>
    <w:p w14:paraId="36CE66B4" w14:textId="77777777" w:rsidR="00FE291A" w:rsidRDefault="00C8738F">
      <w:pPr>
        <w:widowControl/>
        <w:outlineLvl w:val="0"/>
        <w:rPr>
          <w:sz w:val="22"/>
          <w:szCs w:val="22"/>
          <w:highlight w:val="lightGray"/>
          <w:lang w:val="de-DE"/>
        </w:rPr>
      </w:pPr>
      <w:r>
        <w:rPr>
          <w:sz w:val="22"/>
          <w:szCs w:val="22"/>
          <w:highlight w:val="lightGray"/>
          <w:lang w:val="de-DE"/>
        </w:rPr>
        <w:t>EU/1/16/1164/003 2er Packung</w:t>
      </w:r>
    </w:p>
    <w:p w14:paraId="2746DF5C" w14:textId="77777777" w:rsidR="00FE291A" w:rsidRDefault="00C8738F">
      <w:pPr>
        <w:widowControl/>
        <w:outlineLvl w:val="0"/>
        <w:rPr>
          <w:sz w:val="22"/>
          <w:szCs w:val="22"/>
          <w:highlight w:val="lightGray"/>
          <w:lang w:val="de-DE"/>
        </w:rPr>
      </w:pPr>
      <w:r>
        <w:rPr>
          <w:sz w:val="22"/>
          <w:szCs w:val="22"/>
          <w:highlight w:val="lightGray"/>
          <w:lang w:val="de-DE"/>
        </w:rPr>
        <w:t>EU/1/16/1164/004 4er Packung</w:t>
      </w:r>
    </w:p>
    <w:p w14:paraId="64F38956" w14:textId="77777777" w:rsidR="00FE291A" w:rsidRDefault="00FE291A">
      <w:pPr>
        <w:widowControl/>
        <w:rPr>
          <w:sz w:val="22"/>
          <w:szCs w:val="22"/>
          <w:lang w:val="de-DE"/>
        </w:rPr>
      </w:pPr>
    </w:p>
    <w:p w14:paraId="6DE89BEE" w14:textId="77777777" w:rsidR="00FE291A" w:rsidRDefault="00FE291A">
      <w:pPr>
        <w:widowControl/>
        <w:rPr>
          <w:sz w:val="22"/>
          <w:szCs w:val="22"/>
          <w:lang w:val="de-DE"/>
        </w:rPr>
      </w:pPr>
    </w:p>
    <w:p w14:paraId="0FB2E4B0" w14:textId="77777777" w:rsidR="00FE291A" w:rsidRDefault="00C8738F">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CHARGENBEZEICHNUNG</w:t>
      </w:r>
    </w:p>
    <w:p w14:paraId="5CFBE4B7" w14:textId="77777777" w:rsidR="00FE291A" w:rsidRDefault="00FE291A">
      <w:pPr>
        <w:widowControl/>
        <w:rPr>
          <w:i/>
          <w:sz w:val="22"/>
          <w:szCs w:val="22"/>
          <w:lang w:val="de-DE"/>
        </w:rPr>
      </w:pPr>
    </w:p>
    <w:p w14:paraId="468223D6" w14:textId="77777777" w:rsidR="00FE291A" w:rsidRDefault="00C8738F">
      <w:pPr>
        <w:widowControl/>
        <w:rPr>
          <w:sz w:val="22"/>
          <w:szCs w:val="22"/>
          <w:lang w:val="de-DE"/>
        </w:rPr>
      </w:pPr>
      <w:r>
        <w:rPr>
          <w:sz w:val="22"/>
          <w:szCs w:val="22"/>
          <w:lang w:val="de-DE"/>
        </w:rPr>
        <w:t>Ch.-B.</w:t>
      </w:r>
    </w:p>
    <w:p w14:paraId="09A59D0A" w14:textId="77777777" w:rsidR="00FE291A" w:rsidRDefault="00FE291A">
      <w:pPr>
        <w:widowControl/>
        <w:rPr>
          <w:sz w:val="22"/>
          <w:szCs w:val="22"/>
          <w:lang w:val="de-DE"/>
        </w:rPr>
      </w:pPr>
    </w:p>
    <w:p w14:paraId="3186495F" w14:textId="77777777" w:rsidR="00FE291A" w:rsidRDefault="00FE291A">
      <w:pPr>
        <w:widowControl/>
        <w:rPr>
          <w:sz w:val="22"/>
          <w:szCs w:val="22"/>
          <w:lang w:val="de-DE"/>
        </w:rPr>
      </w:pPr>
    </w:p>
    <w:p w14:paraId="07B998F5" w14:textId="77777777" w:rsidR="00FE291A" w:rsidRDefault="00C8738F">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VERKAUFSABGRENZUNG</w:t>
      </w:r>
    </w:p>
    <w:p w14:paraId="762DA181" w14:textId="77777777" w:rsidR="00FE291A" w:rsidRDefault="00FE291A">
      <w:pPr>
        <w:widowControl/>
        <w:rPr>
          <w:i/>
          <w:sz w:val="22"/>
          <w:szCs w:val="22"/>
          <w:lang w:val="de-DE"/>
        </w:rPr>
      </w:pPr>
    </w:p>
    <w:p w14:paraId="4F99BC09" w14:textId="77777777" w:rsidR="00FE291A" w:rsidRDefault="00FE291A">
      <w:pPr>
        <w:widowControl/>
        <w:rPr>
          <w:sz w:val="22"/>
          <w:szCs w:val="22"/>
          <w:lang w:val="de-DE"/>
        </w:rPr>
      </w:pPr>
    </w:p>
    <w:p w14:paraId="57CF8DF1" w14:textId="77777777" w:rsidR="00FE291A" w:rsidRDefault="00C8738F">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HINWEISE FÜR DEN GEBRAUCH</w:t>
      </w:r>
    </w:p>
    <w:p w14:paraId="50854D3D" w14:textId="77777777" w:rsidR="00FE291A" w:rsidRDefault="00FE291A">
      <w:pPr>
        <w:widowControl/>
        <w:rPr>
          <w:sz w:val="22"/>
          <w:szCs w:val="22"/>
          <w:lang w:val="de-DE"/>
        </w:rPr>
      </w:pPr>
    </w:p>
    <w:p w14:paraId="24F0EC36" w14:textId="77777777" w:rsidR="00FE291A" w:rsidRDefault="00FE291A">
      <w:pPr>
        <w:widowControl/>
        <w:rPr>
          <w:sz w:val="22"/>
          <w:szCs w:val="22"/>
          <w:lang w:val="de-DE"/>
        </w:rPr>
      </w:pPr>
    </w:p>
    <w:p w14:paraId="49A29F4B" w14:textId="77777777" w:rsidR="00FE291A" w:rsidRDefault="00C8738F">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ANGABEN IN BLINDENSCHRIFT</w:t>
      </w:r>
    </w:p>
    <w:p w14:paraId="7EC5EB9D" w14:textId="77777777" w:rsidR="00FE291A" w:rsidRDefault="00FE291A">
      <w:pPr>
        <w:widowControl/>
        <w:rPr>
          <w:sz w:val="22"/>
          <w:szCs w:val="22"/>
          <w:lang w:val="de-DE"/>
        </w:rPr>
      </w:pPr>
    </w:p>
    <w:p w14:paraId="09ECF168" w14:textId="77777777" w:rsidR="00FE291A" w:rsidRDefault="00C8738F">
      <w:pPr>
        <w:widowControl/>
        <w:rPr>
          <w:sz w:val="22"/>
          <w:szCs w:val="22"/>
          <w:shd w:val="clear" w:color="auto" w:fill="CCCCCC"/>
          <w:lang w:val="de-DE"/>
        </w:rPr>
      </w:pPr>
      <w:r>
        <w:rPr>
          <w:sz w:val="22"/>
          <w:szCs w:val="22"/>
          <w:lang w:val="de-DE"/>
        </w:rPr>
        <w:t>AMGEVITA 40 mg/0,8 ml Spritze</w:t>
      </w:r>
    </w:p>
    <w:p w14:paraId="61F5D090" w14:textId="77777777" w:rsidR="00FE291A" w:rsidRDefault="00FE291A">
      <w:pPr>
        <w:widowControl/>
        <w:rPr>
          <w:sz w:val="22"/>
          <w:szCs w:val="22"/>
          <w:shd w:val="clear" w:color="auto" w:fill="CCCCCC"/>
          <w:lang w:val="de-DE"/>
        </w:rPr>
      </w:pPr>
    </w:p>
    <w:p w14:paraId="2E4EFD7B" w14:textId="77777777" w:rsidR="00FE291A" w:rsidRDefault="00FE291A">
      <w:pPr>
        <w:widowControl/>
        <w:rPr>
          <w:sz w:val="22"/>
          <w:szCs w:val="22"/>
          <w:shd w:val="clear" w:color="auto" w:fill="CCCCCC"/>
          <w:lang w:val="de-DE"/>
        </w:rPr>
      </w:pPr>
    </w:p>
    <w:p w14:paraId="275F1101" w14:textId="77777777" w:rsidR="00FE291A" w:rsidRDefault="00C8738F">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i/>
          <w:sz w:val="22"/>
          <w:szCs w:val="22"/>
          <w:lang w:val="de-DE"/>
        </w:rPr>
      </w:pPr>
      <w:r>
        <w:rPr>
          <w:b/>
          <w:sz w:val="22"/>
          <w:szCs w:val="22"/>
          <w:lang w:val="de-DE"/>
        </w:rPr>
        <w:t>INDIVIDUELLES ERKENNUNGSMERKMAL – 2D-BARCODE</w:t>
      </w:r>
    </w:p>
    <w:p w14:paraId="051C2B7C" w14:textId="77777777" w:rsidR="00FE291A" w:rsidRDefault="00FE291A">
      <w:pPr>
        <w:widowControl/>
        <w:rPr>
          <w:sz w:val="22"/>
          <w:szCs w:val="22"/>
          <w:lang w:val="de-DE"/>
        </w:rPr>
      </w:pPr>
    </w:p>
    <w:p w14:paraId="24BCD88A" w14:textId="77777777" w:rsidR="00FE291A" w:rsidRDefault="00C8738F">
      <w:pPr>
        <w:widowControl/>
        <w:rPr>
          <w:sz w:val="22"/>
          <w:szCs w:val="22"/>
          <w:shd w:val="clear" w:color="auto" w:fill="CCCCCC"/>
          <w:lang w:val="de-DE"/>
        </w:rPr>
      </w:pPr>
      <w:r>
        <w:rPr>
          <w:sz w:val="22"/>
          <w:szCs w:val="22"/>
          <w:highlight w:val="lightGray"/>
          <w:lang w:val="de-DE"/>
        </w:rPr>
        <w:t>2D-Barcode mit individuellem Erkennungsmerkmal.</w:t>
      </w:r>
    </w:p>
    <w:p w14:paraId="7BCBEB37" w14:textId="77777777" w:rsidR="00FE291A" w:rsidRDefault="00FE291A">
      <w:pPr>
        <w:widowControl/>
        <w:rPr>
          <w:sz w:val="22"/>
          <w:szCs w:val="22"/>
          <w:lang w:val="de-DE"/>
        </w:rPr>
      </w:pPr>
    </w:p>
    <w:p w14:paraId="590B88F3" w14:textId="77777777" w:rsidR="00FE291A" w:rsidRDefault="00FE291A">
      <w:pPr>
        <w:widowControl/>
        <w:rPr>
          <w:sz w:val="22"/>
          <w:szCs w:val="22"/>
          <w:lang w:val="de-DE"/>
        </w:rPr>
      </w:pPr>
    </w:p>
    <w:p w14:paraId="2A91C8BE" w14:textId="77777777" w:rsidR="00FE291A" w:rsidRDefault="00C8738F">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i/>
          <w:sz w:val="22"/>
          <w:szCs w:val="22"/>
          <w:lang w:val="de-DE"/>
        </w:rPr>
      </w:pPr>
      <w:r>
        <w:rPr>
          <w:b/>
          <w:sz w:val="22"/>
          <w:szCs w:val="22"/>
          <w:lang w:val="de-DE"/>
        </w:rPr>
        <w:t>INDIVIDUELLES ERKENNUNGSMERKMAL – VOM MENSCHEN LESBARES FORMAT</w:t>
      </w:r>
    </w:p>
    <w:p w14:paraId="35CEDB2B" w14:textId="77777777" w:rsidR="00FE291A" w:rsidRDefault="00FE291A">
      <w:pPr>
        <w:keepNext/>
        <w:widowControl/>
        <w:rPr>
          <w:sz w:val="22"/>
          <w:szCs w:val="22"/>
          <w:lang w:val="de-DE"/>
        </w:rPr>
      </w:pPr>
    </w:p>
    <w:p w14:paraId="5BBAD8A9" w14:textId="77777777" w:rsidR="00FE291A" w:rsidRDefault="00C8738F">
      <w:pPr>
        <w:keepNext/>
        <w:widowControl/>
        <w:rPr>
          <w:sz w:val="22"/>
          <w:szCs w:val="22"/>
          <w:lang w:val="de-DE"/>
        </w:rPr>
      </w:pPr>
      <w:r>
        <w:rPr>
          <w:sz w:val="22"/>
          <w:szCs w:val="22"/>
          <w:lang w:val="de-DE"/>
        </w:rPr>
        <w:t>PC</w:t>
      </w:r>
    </w:p>
    <w:p w14:paraId="2A16B5A5" w14:textId="77777777" w:rsidR="00FE291A" w:rsidRDefault="00C8738F">
      <w:pPr>
        <w:keepNext/>
        <w:widowControl/>
        <w:rPr>
          <w:sz w:val="22"/>
          <w:szCs w:val="22"/>
          <w:lang w:val="de-DE"/>
        </w:rPr>
      </w:pPr>
      <w:r>
        <w:rPr>
          <w:sz w:val="22"/>
          <w:szCs w:val="22"/>
          <w:lang w:val="de-DE"/>
        </w:rPr>
        <w:t>SN</w:t>
      </w:r>
    </w:p>
    <w:p w14:paraId="44434425" w14:textId="77777777" w:rsidR="00FE291A" w:rsidRDefault="00C8738F">
      <w:pPr>
        <w:widowControl/>
        <w:rPr>
          <w:sz w:val="22"/>
          <w:szCs w:val="22"/>
          <w:shd w:val="clear" w:color="auto" w:fill="CCCCCC"/>
          <w:lang w:val="de-DE"/>
        </w:rPr>
      </w:pPr>
      <w:r>
        <w:rPr>
          <w:sz w:val="22"/>
          <w:szCs w:val="22"/>
          <w:lang w:val="de-DE"/>
        </w:rPr>
        <w:t>NN</w:t>
      </w:r>
    </w:p>
    <w:p w14:paraId="639A2B09" w14:textId="77777777" w:rsidR="00FE291A" w:rsidRDefault="00C8738F">
      <w:pPr>
        <w:widowControl/>
        <w:pBdr>
          <w:top w:val="single" w:sz="4" w:space="1" w:color="auto"/>
          <w:left w:val="single" w:sz="4" w:space="4" w:color="auto"/>
          <w:bottom w:val="single" w:sz="4" w:space="1" w:color="auto"/>
          <w:right w:val="single" w:sz="4" w:space="4" w:color="auto"/>
        </w:pBdr>
        <w:outlineLvl w:val="0"/>
        <w:rPr>
          <w:b/>
          <w:sz w:val="22"/>
          <w:szCs w:val="22"/>
          <w:lang w:val="de-DE"/>
        </w:rPr>
      </w:pPr>
      <w:r>
        <w:rPr>
          <w:sz w:val="22"/>
          <w:lang w:val="de-DE"/>
        </w:rPr>
        <w:br w:type="page"/>
      </w:r>
      <w:r>
        <w:rPr>
          <w:b/>
          <w:sz w:val="22"/>
          <w:szCs w:val="22"/>
          <w:lang w:val="de-DE"/>
        </w:rPr>
        <w:t>ANGABEN AUF DER ÄUSSEREN UMHÜLLUNG</w:t>
      </w:r>
    </w:p>
    <w:p w14:paraId="2C71F22E" w14:textId="77777777" w:rsidR="00FE291A" w:rsidRDefault="00FE291A">
      <w:pPr>
        <w:widowControl/>
        <w:pBdr>
          <w:top w:val="single" w:sz="4" w:space="1" w:color="auto"/>
          <w:left w:val="single" w:sz="4" w:space="4" w:color="auto"/>
          <w:bottom w:val="single" w:sz="4" w:space="1" w:color="auto"/>
          <w:right w:val="single" w:sz="4" w:space="4" w:color="auto"/>
        </w:pBdr>
        <w:ind w:left="567" w:hanging="567"/>
        <w:rPr>
          <w:sz w:val="22"/>
          <w:szCs w:val="22"/>
          <w:lang w:val="de-DE"/>
        </w:rPr>
      </w:pPr>
    </w:p>
    <w:p w14:paraId="2A64967E" w14:textId="77777777" w:rsidR="00FE291A" w:rsidRDefault="00C8738F">
      <w:pPr>
        <w:widowControl/>
        <w:pBdr>
          <w:top w:val="single" w:sz="4" w:space="1" w:color="auto"/>
          <w:left w:val="single" w:sz="4" w:space="4" w:color="auto"/>
          <w:bottom w:val="single" w:sz="4" w:space="1" w:color="auto"/>
          <w:right w:val="single" w:sz="4" w:space="4" w:color="auto"/>
        </w:pBdr>
        <w:rPr>
          <w:sz w:val="22"/>
          <w:szCs w:val="22"/>
          <w:lang w:val="de-DE"/>
        </w:rPr>
      </w:pPr>
      <w:r>
        <w:rPr>
          <w:b/>
          <w:sz w:val="22"/>
          <w:szCs w:val="22"/>
          <w:lang w:val="de-DE"/>
        </w:rPr>
        <w:t>UMKARTON DER BÜNDELPACKUNG FÜR DIE FERTIGSPRITZE (mit blue box)</w:t>
      </w:r>
    </w:p>
    <w:p w14:paraId="6FEE3A0F" w14:textId="77777777" w:rsidR="00FE291A" w:rsidRDefault="00FE291A">
      <w:pPr>
        <w:widowControl/>
        <w:rPr>
          <w:sz w:val="22"/>
          <w:szCs w:val="22"/>
          <w:lang w:val="de-DE"/>
        </w:rPr>
      </w:pPr>
    </w:p>
    <w:p w14:paraId="21364CEF" w14:textId="77777777" w:rsidR="00FE291A" w:rsidRDefault="00FE291A">
      <w:pPr>
        <w:widowControl/>
        <w:rPr>
          <w:sz w:val="22"/>
          <w:szCs w:val="22"/>
          <w:lang w:val="de-DE"/>
        </w:rPr>
      </w:pPr>
    </w:p>
    <w:p w14:paraId="3B322D7D" w14:textId="77777777" w:rsidR="00FE291A" w:rsidRDefault="00C8738F">
      <w:pPr>
        <w:keepNext/>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BEZEICHNUNG DES ARZNEIMITTELS</w:t>
      </w:r>
    </w:p>
    <w:p w14:paraId="0F07E4E3" w14:textId="77777777" w:rsidR="00FE291A" w:rsidRDefault="00FE291A">
      <w:pPr>
        <w:keepNext/>
        <w:widowControl/>
        <w:rPr>
          <w:sz w:val="22"/>
          <w:szCs w:val="22"/>
          <w:lang w:val="de-DE"/>
        </w:rPr>
      </w:pPr>
    </w:p>
    <w:p w14:paraId="3CE48F17" w14:textId="77777777" w:rsidR="00FE291A" w:rsidRDefault="00C8738F">
      <w:pPr>
        <w:widowControl/>
        <w:rPr>
          <w:sz w:val="22"/>
          <w:szCs w:val="22"/>
          <w:lang w:val="de-DE"/>
        </w:rPr>
      </w:pPr>
      <w:r>
        <w:rPr>
          <w:sz w:val="22"/>
          <w:szCs w:val="22"/>
          <w:lang w:val="de-DE"/>
        </w:rPr>
        <w:t>AMGEVITA 40 mg Injektionslösung in einer Fertigspritze</w:t>
      </w:r>
    </w:p>
    <w:p w14:paraId="275228CB" w14:textId="77777777" w:rsidR="00FE291A" w:rsidRDefault="00C8738F">
      <w:pPr>
        <w:widowControl/>
        <w:rPr>
          <w:b/>
          <w:sz w:val="22"/>
          <w:szCs w:val="22"/>
          <w:lang w:val="de-DE"/>
        </w:rPr>
      </w:pPr>
      <w:r>
        <w:rPr>
          <w:sz w:val="22"/>
          <w:szCs w:val="22"/>
          <w:lang w:val="de-DE"/>
        </w:rPr>
        <w:t>Adalimumab</w:t>
      </w:r>
    </w:p>
    <w:p w14:paraId="15F3B982" w14:textId="77777777" w:rsidR="00FE291A" w:rsidRDefault="00FE291A">
      <w:pPr>
        <w:widowControl/>
        <w:rPr>
          <w:sz w:val="22"/>
          <w:szCs w:val="22"/>
          <w:lang w:val="de-DE"/>
        </w:rPr>
      </w:pPr>
    </w:p>
    <w:p w14:paraId="422067D3" w14:textId="77777777" w:rsidR="00FE291A" w:rsidRDefault="00FE291A">
      <w:pPr>
        <w:widowControl/>
        <w:rPr>
          <w:sz w:val="22"/>
          <w:szCs w:val="22"/>
          <w:lang w:val="de-DE"/>
        </w:rPr>
      </w:pPr>
    </w:p>
    <w:p w14:paraId="703BDAF2" w14:textId="77777777" w:rsidR="00FE291A" w:rsidRDefault="00C8738F">
      <w:pPr>
        <w:keepNext/>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WIRKSTOFF</w:t>
      </w:r>
    </w:p>
    <w:p w14:paraId="434B7930" w14:textId="77777777" w:rsidR="00FE291A" w:rsidRDefault="00FE291A">
      <w:pPr>
        <w:keepNext/>
        <w:widowControl/>
        <w:rPr>
          <w:sz w:val="22"/>
          <w:szCs w:val="22"/>
          <w:lang w:val="de-DE"/>
        </w:rPr>
      </w:pPr>
    </w:p>
    <w:p w14:paraId="41750945" w14:textId="77777777" w:rsidR="00FE291A" w:rsidRDefault="00C8738F">
      <w:pPr>
        <w:widowControl/>
        <w:rPr>
          <w:sz w:val="22"/>
          <w:szCs w:val="22"/>
          <w:lang w:val="de-DE"/>
        </w:rPr>
      </w:pPr>
      <w:r>
        <w:rPr>
          <w:sz w:val="22"/>
          <w:szCs w:val="22"/>
          <w:lang w:val="de-DE"/>
        </w:rPr>
        <w:t>Jede Fertigspritze enthält 40 mg Adalimumab in 0,8 ml Lösung.</w:t>
      </w:r>
    </w:p>
    <w:p w14:paraId="41F165F2" w14:textId="77777777" w:rsidR="00FE291A" w:rsidRDefault="00FE291A">
      <w:pPr>
        <w:widowControl/>
        <w:rPr>
          <w:sz w:val="22"/>
          <w:szCs w:val="22"/>
          <w:lang w:val="de-DE"/>
        </w:rPr>
      </w:pPr>
    </w:p>
    <w:p w14:paraId="64E0D27F" w14:textId="77777777" w:rsidR="00FE291A" w:rsidRDefault="00FE291A">
      <w:pPr>
        <w:widowControl/>
        <w:rPr>
          <w:sz w:val="22"/>
          <w:szCs w:val="22"/>
          <w:lang w:val="de-DE"/>
        </w:rPr>
      </w:pPr>
    </w:p>
    <w:p w14:paraId="1FF84D52" w14:textId="77777777" w:rsidR="00FE291A" w:rsidRDefault="00C8738F">
      <w:pPr>
        <w:keepNext/>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SONSTIGE BESTANDTEILE</w:t>
      </w:r>
    </w:p>
    <w:p w14:paraId="13BB0DF2" w14:textId="77777777" w:rsidR="00FE291A" w:rsidRDefault="00FE291A">
      <w:pPr>
        <w:widowControl/>
        <w:rPr>
          <w:sz w:val="22"/>
          <w:szCs w:val="22"/>
          <w:lang w:val="de-DE"/>
        </w:rPr>
      </w:pPr>
    </w:p>
    <w:p w14:paraId="0A12B783" w14:textId="77777777" w:rsidR="00FE291A" w:rsidRDefault="00C8738F">
      <w:pPr>
        <w:widowControl/>
        <w:rPr>
          <w:sz w:val="22"/>
          <w:szCs w:val="22"/>
          <w:lang w:val="de-DE"/>
        </w:rPr>
      </w:pPr>
      <w:r>
        <w:rPr>
          <w:sz w:val="22"/>
          <w:szCs w:val="22"/>
          <w:lang w:val="de-DE"/>
        </w:rPr>
        <w:t>Essigsäure 99 %, Saccharose, Polysorbat 80, Natriumhydroxid und Wasser für Injektionszwecke.</w:t>
      </w:r>
    </w:p>
    <w:p w14:paraId="0B16D1B8" w14:textId="77777777" w:rsidR="00FE291A" w:rsidRDefault="00FE291A">
      <w:pPr>
        <w:widowControl/>
        <w:rPr>
          <w:sz w:val="22"/>
          <w:szCs w:val="22"/>
          <w:lang w:val="de-DE"/>
        </w:rPr>
      </w:pPr>
    </w:p>
    <w:p w14:paraId="05782B02" w14:textId="77777777" w:rsidR="00FE291A" w:rsidRDefault="00FE291A">
      <w:pPr>
        <w:widowControl/>
        <w:rPr>
          <w:sz w:val="22"/>
          <w:szCs w:val="22"/>
          <w:lang w:val="de-DE"/>
        </w:rPr>
      </w:pPr>
    </w:p>
    <w:p w14:paraId="6E1690D0" w14:textId="77777777" w:rsidR="00FE291A" w:rsidRDefault="00C8738F">
      <w:pPr>
        <w:keepNext/>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DARREICHUNGSFORM UND INHALT</w:t>
      </w:r>
    </w:p>
    <w:p w14:paraId="72BE7864" w14:textId="77777777" w:rsidR="00FE291A" w:rsidRDefault="00FE291A">
      <w:pPr>
        <w:widowControl/>
        <w:rPr>
          <w:sz w:val="22"/>
          <w:szCs w:val="22"/>
          <w:lang w:val="de-DE"/>
        </w:rPr>
      </w:pPr>
    </w:p>
    <w:p w14:paraId="101D85D9" w14:textId="77777777" w:rsidR="00FE291A" w:rsidRDefault="00C8738F">
      <w:pPr>
        <w:widowControl/>
        <w:rPr>
          <w:sz w:val="22"/>
          <w:szCs w:val="22"/>
          <w:lang w:val="de-DE"/>
        </w:rPr>
      </w:pPr>
      <w:r>
        <w:rPr>
          <w:sz w:val="22"/>
          <w:szCs w:val="22"/>
          <w:highlight w:val="lightGray"/>
          <w:lang w:val="de-DE"/>
        </w:rPr>
        <w:t>Injektionslösung</w:t>
      </w:r>
    </w:p>
    <w:p w14:paraId="57A49080" w14:textId="77777777" w:rsidR="00FE291A" w:rsidRDefault="00C8738F">
      <w:pPr>
        <w:widowControl/>
        <w:rPr>
          <w:sz w:val="22"/>
          <w:szCs w:val="22"/>
          <w:lang w:val="de-DE"/>
        </w:rPr>
      </w:pPr>
      <w:r>
        <w:rPr>
          <w:sz w:val="22"/>
          <w:szCs w:val="22"/>
          <w:lang w:val="de-DE"/>
        </w:rPr>
        <w:t>40 mg/0,8 ml</w:t>
      </w:r>
    </w:p>
    <w:p w14:paraId="5F4860F4" w14:textId="77777777" w:rsidR="00FE291A" w:rsidRDefault="00C8738F">
      <w:pPr>
        <w:widowControl/>
        <w:rPr>
          <w:sz w:val="22"/>
          <w:szCs w:val="22"/>
          <w:lang w:val="de-DE"/>
        </w:rPr>
      </w:pPr>
      <w:r>
        <w:rPr>
          <w:sz w:val="22"/>
          <w:szCs w:val="22"/>
          <w:lang w:val="de-DE"/>
        </w:rPr>
        <w:t>Bündelpackung: 6 (3 Packungen mit 2) Fertigspritzen.</w:t>
      </w:r>
    </w:p>
    <w:p w14:paraId="76BC6467" w14:textId="77777777" w:rsidR="00FE291A" w:rsidRDefault="00FE291A">
      <w:pPr>
        <w:widowControl/>
        <w:rPr>
          <w:sz w:val="22"/>
          <w:szCs w:val="22"/>
          <w:lang w:val="de-DE"/>
        </w:rPr>
      </w:pPr>
    </w:p>
    <w:p w14:paraId="3464B59C" w14:textId="77777777" w:rsidR="00FE291A" w:rsidRDefault="00FE291A">
      <w:pPr>
        <w:widowControl/>
        <w:rPr>
          <w:sz w:val="22"/>
          <w:szCs w:val="22"/>
          <w:lang w:val="de-DE"/>
        </w:rPr>
      </w:pPr>
    </w:p>
    <w:p w14:paraId="1697F49F" w14:textId="77777777" w:rsidR="00FE291A" w:rsidRDefault="00C8738F">
      <w:pPr>
        <w:keepNext/>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HINWEISE ZUR UND ART(EN) DER ANWENDUNG</w:t>
      </w:r>
    </w:p>
    <w:p w14:paraId="5E902E28" w14:textId="77777777" w:rsidR="00FE291A" w:rsidRDefault="00FE291A">
      <w:pPr>
        <w:keepNext/>
        <w:widowControl/>
        <w:rPr>
          <w:sz w:val="22"/>
          <w:szCs w:val="22"/>
          <w:lang w:val="de-DE"/>
        </w:rPr>
      </w:pPr>
    </w:p>
    <w:p w14:paraId="5C47AFC9" w14:textId="77777777" w:rsidR="00FE291A" w:rsidRDefault="00C8738F">
      <w:pPr>
        <w:widowControl/>
        <w:rPr>
          <w:sz w:val="22"/>
          <w:szCs w:val="22"/>
          <w:lang w:val="de-DE"/>
        </w:rPr>
      </w:pPr>
      <w:r>
        <w:rPr>
          <w:sz w:val="22"/>
          <w:szCs w:val="22"/>
          <w:lang w:val="de-DE"/>
        </w:rPr>
        <w:t>Zur subkutanen Anwendung.</w:t>
      </w:r>
    </w:p>
    <w:p w14:paraId="452FAA81" w14:textId="77777777" w:rsidR="00FE291A" w:rsidRDefault="00C8738F">
      <w:pPr>
        <w:widowControl/>
        <w:rPr>
          <w:sz w:val="22"/>
          <w:szCs w:val="22"/>
          <w:lang w:val="de-DE"/>
        </w:rPr>
      </w:pPr>
      <w:r>
        <w:rPr>
          <w:sz w:val="22"/>
          <w:szCs w:val="22"/>
          <w:lang w:val="de-DE"/>
        </w:rPr>
        <w:t>Packungsbeilage beachten.</w:t>
      </w:r>
    </w:p>
    <w:p w14:paraId="50ACF3B3" w14:textId="77777777" w:rsidR="00FE291A" w:rsidRDefault="00C8738F">
      <w:pPr>
        <w:widowControl/>
        <w:rPr>
          <w:sz w:val="22"/>
          <w:szCs w:val="22"/>
          <w:lang w:val="de-DE"/>
        </w:rPr>
      </w:pPr>
      <w:r>
        <w:rPr>
          <w:sz w:val="22"/>
          <w:szCs w:val="22"/>
          <w:lang w:val="de-DE"/>
        </w:rPr>
        <w:t>Nur zum Einmalgebrauch.</w:t>
      </w:r>
    </w:p>
    <w:p w14:paraId="160DF5E4" w14:textId="77777777" w:rsidR="00FE291A" w:rsidRDefault="00FE291A">
      <w:pPr>
        <w:widowControl/>
        <w:rPr>
          <w:sz w:val="22"/>
          <w:szCs w:val="22"/>
          <w:lang w:val="de-DE"/>
        </w:rPr>
      </w:pPr>
    </w:p>
    <w:p w14:paraId="309EF9D4" w14:textId="77777777" w:rsidR="00FE291A" w:rsidRDefault="00FE291A">
      <w:pPr>
        <w:widowControl/>
        <w:rPr>
          <w:sz w:val="22"/>
          <w:szCs w:val="22"/>
          <w:lang w:val="de-DE"/>
        </w:rPr>
      </w:pPr>
    </w:p>
    <w:p w14:paraId="5DE3173A" w14:textId="77777777" w:rsidR="00FE291A" w:rsidRDefault="00C8738F">
      <w:pPr>
        <w:keepNext/>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WARNHINWEIS, DASS DAS ARZNEIMITTEL FÜR KINDER UNZUGÄNGLICH AUFZUBEWAHREN IST</w:t>
      </w:r>
    </w:p>
    <w:p w14:paraId="6BFEE469" w14:textId="77777777" w:rsidR="00FE291A" w:rsidRDefault="00FE291A">
      <w:pPr>
        <w:keepNext/>
        <w:widowControl/>
        <w:rPr>
          <w:sz w:val="22"/>
          <w:szCs w:val="22"/>
          <w:lang w:val="de-DE"/>
        </w:rPr>
      </w:pPr>
    </w:p>
    <w:p w14:paraId="2C8D6FE8" w14:textId="77777777" w:rsidR="00FE291A" w:rsidRDefault="00C8738F">
      <w:pPr>
        <w:widowControl/>
        <w:outlineLvl w:val="0"/>
        <w:rPr>
          <w:sz w:val="22"/>
          <w:szCs w:val="22"/>
          <w:lang w:val="de-DE"/>
        </w:rPr>
      </w:pPr>
      <w:r>
        <w:rPr>
          <w:sz w:val="22"/>
          <w:szCs w:val="22"/>
          <w:lang w:val="de-DE"/>
        </w:rPr>
        <w:t>Arzneimittel für Kinder unzugänglich aufbewahren.</w:t>
      </w:r>
    </w:p>
    <w:p w14:paraId="490AD027" w14:textId="77777777" w:rsidR="00FE291A" w:rsidRDefault="00FE291A">
      <w:pPr>
        <w:widowControl/>
        <w:rPr>
          <w:sz w:val="22"/>
          <w:szCs w:val="22"/>
          <w:lang w:val="de-DE"/>
        </w:rPr>
      </w:pPr>
    </w:p>
    <w:p w14:paraId="3EE03CD6" w14:textId="77777777" w:rsidR="00FE291A" w:rsidRDefault="00FE291A">
      <w:pPr>
        <w:widowControl/>
        <w:rPr>
          <w:sz w:val="22"/>
          <w:szCs w:val="22"/>
          <w:lang w:val="de-DE"/>
        </w:rPr>
      </w:pPr>
    </w:p>
    <w:p w14:paraId="3B8AC153" w14:textId="77777777" w:rsidR="00FE291A" w:rsidRDefault="00C8738F">
      <w:pPr>
        <w:keepNext/>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WEITERE WARNHINWEISE, FALLS ERFORDERLICH</w:t>
      </w:r>
    </w:p>
    <w:p w14:paraId="55274FFD" w14:textId="77777777" w:rsidR="00FE291A" w:rsidRDefault="00FE291A">
      <w:pPr>
        <w:keepNext/>
        <w:widowControl/>
        <w:rPr>
          <w:sz w:val="22"/>
          <w:szCs w:val="22"/>
          <w:lang w:val="de-DE"/>
        </w:rPr>
      </w:pPr>
    </w:p>
    <w:p w14:paraId="603477A6" w14:textId="77777777" w:rsidR="00FE291A" w:rsidRDefault="00FE291A">
      <w:pPr>
        <w:widowControl/>
        <w:tabs>
          <w:tab w:val="left" w:pos="749"/>
        </w:tabs>
        <w:rPr>
          <w:sz w:val="22"/>
          <w:szCs w:val="22"/>
          <w:lang w:val="de-DE"/>
        </w:rPr>
      </w:pPr>
    </w:p>
    <w:p w14:paraId="57DEF3DE" w14:textId="77777777" w:rsidR="00FE291A" w:rsidRDefault="00C8738F">
      <w:pPr>
        <w:keepNext/>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VERFALLDATUM</w:t>
      </w:r>
    </w:p>
    <w:p w14:paraId="1F3E8050" w14:textId="77777777" w:rsidR="00FE291A" w:rsidRDefault="00FE291A">
      <w:pPr>
        <w:keepNext/>
        <w:widowControl/>
        <w:rPr>
          <w:sz w:val="22"/>
          <w:szCs w:val="22"/>
          <w:lang w:val="de-DE"/>
        </w:rPr>
      </w:pPr>
    </w:p>
    <w:p w14:paraId="3BCD4FC9" w14:textId="77777777" w:rsidR="00FE291A" w:rsidRDefault="00C8738F">
      <w:pPr>
        <w:widowControl/>
        <w:rPr>
          <w:sz w:val="22"/>
          <w:szCs w:val="22"/>
          <w:lang w:val="de-DE"/>
        </w:rPr>
      </w:pPr>
      <w:r>
        <w:rPr>
          <w:sz w:val="22"/>
          <w:szCs w:val="22"/>
          <w:lang w:val="de-DE"/>
        </w:rPr>
        <w:t>verwendbar bis</w:t>
      </w:r>
    </w:p>
    <w:p w14:paraId="4E7A99E0" w14:textId="77777777" w:rsidR="00FE291A" w:rsidRDefault="00FE291A">
      <w:pPr>
        <w:widowControl/>
        <w:rPr>
          <w:sz w:val="22"/>
          <w:szCs w:val="22"/>
          <w:lang w:val="de-DE"/>
        </w:rPr>
      </w:pPr>
    </w:p>
    <w:p w14:paraId="506E07A2" w14:textId="77777777" w:rsidR="00FE291A" w:rsidRDefault="00FE291A">
      <w:pPr>
        <w:widowControl/>
        <w:rPr>
          <w:sz w:val="22"/>
          <w:szCs w:val="22"/>
          <w:lang w:val="de-DE"/>
        </w:rPr>
      </w:pPr>
    </w:p>
    <w:p w14:paraId="2827A2DA" w14:textId="77777777" w:rsidR="00FE291A" w:rsidRDefault="00C8738F">
      <w:pPr>
        <w:keepNext/>
        <w:keepLines/>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BESONDERE VORSICHTSMASSNAHMEN FÜR DIE AUFBEWAHRUNG</w:t>
      </w:r>
    </w:p>
    <w:p w14:paraId="139F463C" w14:textId="77777777" w:rsidR="00FE291A" w:rsidRDefault="00FE291A">
      <w:pPr>
        <w:keepNext/>
        <w:keepLines/>
        <w:widowControl/>
        <w:rPr>
          <w:sz w:val="22"/>
          <w:szCs w:val="22"/>
          <w:lang w:val="de-DE"/>
        </w:rPr>
      </w:pPr>
    </w:p>
    <w:p w14:paraId="605638BF" w14:textId="77777777" w:rsidR="00FE291A" w:rsidRDefault="00C8738F">
      <w:pPr>
        <w:keepNext/>
        <w:keepLines/>
        <w:widowControl/>
        <w:ind w:left="567" w:hanging="567"/>
        <w:rPr>
          <w:sz w:val="22"/>
          <w:szCs w:val="22"/>
          <w:lang w:val="de-DE"/>
        </w:rPr>
      </w:pPr>
      <w:r>
        <w:rPr>
          <w:sz w:val="22"/>
          <w:szCs w:val="22"/>
          <w:lang w:val="de-DE"/>
        </w:rPr>
        <w:t>Im Kühlschrank lagern.</w:t>
      </w:r>
    </w:p>
    <w:p w14:paraId="66CBE621" w14:textId="77777777" w:rsidR="00FE291A" w:rsidRDefault="00C8738F">
      <w:pPr>
        <w:keepNext/>
        <w:keepLines/>
        <w:widowControl/>
        <w:ind w:left="567" w:hanging="567"/>
        <w:rPr>
          <w:sz w:val="22"/>
          <w:szCs w:val="22"/>
          <w:lang w:val="de-DE"/>
        </w:rPr>
      </w:pPr>
      <w:r>
        <w:rPr>
          <w:sz w:val="22"/>
          <w:szCs w:val="22"/>
          <w:lang w:val="de-DE"/>
        </w:rPr>
        <w:t>Nicht einfrieren.</w:t>
      </w:r>
    </w:p>
    <w:p w14:paraId="37486BA9" w14:textId="77777777" w:rsidR="00FE291A" w:rsidRDefault="00C8738F">
      <w:pPr>
        <w:widowControl/>
        <w:ind w:left="567" w:hanging="567"/>
        <w:rPr>
          <w:sz w:val="22"/>
          <w:szCs w:val="22"/>
          <w:lang w:val="de-DE"/>
        </w:rPr>
      </w:pPr>
      <w:r>
        <w:rPr>
          <w:sz w:val="22"/>
          <w:szCs w:val="22"/>
          <w:lang w:val="de-DE"/>
        </w:rPr>
        <w:t>Im Originalkarton aufbewahren, um den Inhalt vor Licht zu schützen.</w:t>
      </w:r>
    </w:p>
    <w:p w14:paraId="70570CE8" w14:textId="77777777" w:rsidR="00FE291A" w:rsidRDefault="00FE291A">
      <w:pPr>
        <w:widowControl/>
        <w:ind w:left="567" w:hanging="567"/>
        <w:rPr>
          <w:sz w:val="22"/>
          <w:szCs w:val="22"/>
          <w:lang w:val="de-DE"/>
        </w:rPr>
      </w:pPr>
    </w:p>
    <w:p w14:paraId="56970A4E" w14:textId="77777777" w:rsidR="00FE291A" w:rsidRDefault="00FE291A">
      <w:pPr>
        <w:widowControl/>
        <w:ind w:left="567" w:hanging="567"/>
        <w:rPr>
          <w:sz w:val="22"/>
          <w:szCs w:val="22"/>
          <w:lang w:val="de-DE"/>
        </w:rPr>
      </w:pPr>
    </w:p>
    <w:p w14:paraId="7B732D12" w14:textId="77777777" w:rsidR="00FE291A" w:rsidRDefault="00C8738F">
      <w:pPr>
        <w:keepNext/>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GEGEBENENFALLS BESONDERE VORSICHTSMASSNAHMEN FÜR DIE BESEITIGUNG VON NICHT VERWENDETEM ARZNEIMITTEL ODER DAVON STAMMENDEN ABFALLMATERIALIEN</w:t>
      </w:r>
    </w:p>
    <w:p w14:paraId="0C950A79" w14:textId="77777777" w:rsidR="00FE291A" w:rsidRDefault="00FE291A">
      <w:pPr>
        <w:widowControl/>
        <w:rPr>
          <w:sz w:val="22"/>
          <w:szCs w:val="22"/>
          <w:lang w:val="de-DE"/>
        </w:rPr>
      </w:pPr>
    </w:p>
    <w:p w14:paraId="4CBF6C0B" w14:textId="77777777" w:rsidR="00FE291A" w:rsidRDefault="00FE291A">
      <w:pPr>
        <w:widowControl/>
        <w:rPr>
          <w:sz w:val="22"/>
          <w:szCs w:val="22"/>
          <w:lang w:val="de-DE"/>
        </w:rPr>
      </w:pPr>
    </w:p>
    <w:p w14:paraId="66A0C2A7" w14:textId="77777777" w:rsidR="00FE291A" w:rsidRDefault="00C8738F">
      <w:pPr>
        <w:keepNext/>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NAME UND ANSCHRIFT DES PHARMAZEUTISCHEN UNTERNEHMERS</w:t>
      </w:r>
    </w:p>
    <w:p w14:paraId="405866A5" w14:textId="77777777" w:rsidR="00FE291A" w:rsidRDefault="00FE291A">
      <w:pPr>
        <w:widowControl/>
        <w:rPr>
          <w:sz w:val="22"/>
          <w:szCs w:val="22"/>
          <w:lang w:val="de-DE"/>
        </w:rPr>
      </w:pPr>
    </w:p>
    <w:p w14:paraId="1A66A9F3" w14:textId="77777777" w:rsidR="00FE291A" w:rsidRDefault="00C8738F">
      <w:pPr>
        <w:widowControl/>
        <w:rPr>
          <w:rFonts w:eastAsia="SimSun"/>
          <w:sz w:val="22"/>
          <w:szCs w:val="22"/>
          <w:lang w:val="de-DE" w:eastAsia="en-GB"/>
        </w:rPr>
      </w:pPr>
      <w:r>
        <w:rPr>
          <w:rFonts w:eastAsia="SimSun"/>
          <w:sz w:val="22"/>
          <w:szCs w:val="22"/>
          <w:lang w:val="de-DE" w:eastAsia="en-GB"/>
        </w:rPr>
        <w:t>Amgen Europe B.V.</w:t>
      </w:r>
    </w:p>
    <w:p w14:paraId="6F92993B" w14:textId="77777777" w:rsidR="00FE291A" w:rsidRDefault="00C8738F">
      <w:pPr>
        <w:widowControl/>
        <w:rPr>
          <w:rFonts w:eastAsia="SimSun"/>
          <w:sz w:val="22"/>
          <w:szCs w:val="22"/>
          <w:lang w:val="de-DE" w:eastAsia="en-GB"/>
        </w:rPr>
      </w:pPr>
      <w:r>
        <w:rPr>
          <w:rFonts w:eastAsia="SimSun"/>
          <w:sz w:val="22"/>
          <w:szCs w:val="22"/>
          <w:lang w:val="de-DE" w:eastAsia="en-GB"/>
        </w:rPr>
        <w:t>Minervum 7061,</w:t>
      </w:r>
    </w:p>
    <w:p w14:paraId="660D50FC" w14:textId="77777777" w:rsidR="00FE291A" w:rsidRDefault="00C8738F">
      <w:pPr>
        <w:widowControl/>
        <w:rPr>
          <w:rFonts w:eastAsia="SimSun"/>
          <w:sz w:val="22"/>
          <w:szCs w:val="22"/>
          <w:lang w:val="de-DE" w:eastAsia="en-GB"/>
        </w:rPr>
      </w:pPr>
      <w:r>
        <w:rPr>
          <w:rFonts w:eastAsia="SimSun"/>
          <w:sz w:val="22"/>
          <w:szCs w:val="22"/>
          <w:lang w:val="de-DE" w:eastAsia="en-GB"/>
        </w:rPr>
        <w:t>4817 ZK Breda,</w:t>
      </w:r>
    </w:p>
    <w:p w14:paraId="27E8CAC2" w14:textId="77777777" w:rsidR="00FE291A" w:rsidRDefault="00C8738F">
      <w:pPr>
        <w:widowControl/>
        <w:rPr>
          <w:rFonts w:eastAsia="SimSun"/>
          <w:sz w:val="22"/>
          <w:szCs w:val="22"/>
          <w:lang w:val="de-DE" w:eastAsia="en-GB"/>
        </w:rPr>
      </w:pPr>
      <w:r>
        <w:rPr>
          <w:rFonts w:eastAsia="SimSun"/>
          <w:sz w:val="22"/>
          <w:szCs w:val="22"/>
          <w:lang w:val="de-DE" w:eastAsia="en-GB"/>
        </w:rPr>
        <w:t>Niederlande</w:t>
      </w:r>
    </w:p>
    <w:p w14:paraId="28B74DF1" w14:textId="77777777" w:rsidR="00FE291A" w:rsidRDefault="00FE291A">
      <w:pPr>
        <w:widowControl/>
        <w:rPr>
          <w:sz w:val="22"/>
          <w:szCs w:val="22"/>
          <w:lang w:val="de-DE"/>
        </w:rPr>
      </w:pPr>
    </w:p>
    <w:p w14:paraId="1B35EBBF" w14:textId="77777777" w:rsidR="00FE291A" w:rsidRDefault="00FE291A">
      <w:pPr>
        <w:widowControl/>
        <w:rPr>
          <w:sz w:val="22"/>
          <w:szCs w:val="22"/>
          <w:lang w:val="de-DE"/>
        </w:rPr>
      </w:pPr>
    </w:p>
    <w:p w14:paraId="7EA1C604" w14:textId="77777777" w:rsidR="00FE291A" w:rsidRDefault="00C8738F">
      <w:pPr>
        <w:keepNext/>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ZULASSUNGSNUMMER</w:t>
      </w:r>
    </w:p>
    <w:p w14:paraId="1F367A2C" w14:textId="77777777" w:rsidR="00FE291A" w:rsidRDefault="00FE291A">
      <w:pPr>
        <w:widowControl/>
        <w:rPr>
          <w:sz w:val="22"/>
          <w:szCs w:val="22"/>
          <w:lang w:val="de-DE"/>
        </w:rPr>
      </w:pPr>
    </w:p>
    <w:p w14:paraId="07F9A10F" w14:textId="77777777" w:rsidR="00FE291A" w:rsidRDefault="00C8738F">
      <w:pPr>
        <w:widowControl/>
        <w:outlineLvl w:val="0"/>
        <w:rPr>
          <w:sz w:val="22"/>
          <w:szCs w:val="22"/>
          <w:lang w:val="de-DE"/>
        </w:rPr>
      </w:pPr>
      <w:r>
        <w:rPr>
          <w:sz w:val="22"/>
          <w:szCs w:val="22"/>
          <w:lang w:val="de-DE"/>
        </w:rPr>
        <w:t>EU/1/16/1164/005</w:t>
      </w:r>
    </w:p>
    <w:p w14:paraId="0EA48356" w14:textId="77777777" w:rsidR="00FE291A" w:rsidRDefault="00FE291A">
      <w:pPr>
        <w:widowControl/>
        <w:rPr>
          <w:sz w:val="22"/>
          <w:szCs w:val="22"/>
          <w:lang w:val="de-DE"/>
        </w:rPr>
      </w:pPr>
    </w:p>
    <w:p w14:paraId="584F2746" w14:textId="77777777" w:rsidR="00FE291A" w:rsidRDefault="00FE291A">
      <w:pPr>
        <w:widowControl/>
        <w:rPr>
          <w:sz w:val="22"/>
          <w:szCs w:val="22"/>
          <w:lang w:val="de-DE"/>
        </w:rPr>
      </w:pPr>
    </w:p>
    <w:p w14:paraId="6FA288A3" w14:textId="77777777" w:rsidR="00FE291A" w:rsidRDefault="00C8738F">
      <w:pPr>
        <w:keepNext/>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CHARGENBEZEICHNUNG</w:t>
      </w:r>
    </w:p>
    <w:p w14:paraId="4960B7BF" w14:textId="77777777" w:rsidR="00FE291A" w:rsidRDefault="00FE291A">
      <w:pPr>
        <w:widowControl/>
        <w:rPr>
          <w:i/>
          <w:sz w:val="22"/>
          <w:szCs w:val="22"/>
          <w:lang w:val="de-DE"/>
        </w:rPr>
      </w:pPr>
    </w:p>
    <w:p w14:paraId="1E75EED5" w14:textId="77777777" w:rsidR="00FE291A" w:rsidRDefault="00C8738F">
      <w:pPr>
        <w:widowControl/>
        <w:rPr>
          <w:sz w:val="22"/>
          <w:szCs w:val="22"/>
          <w:lang w:val="de-DE"/>
        </w:rPr>
      </w:pPr>
      <w:r>
        <w:rPr>
          <w:sz w:val="22"/>
          <w:szCs w:val="22"/>
          <w:lang w:val="de-DE"/>
        </w:rPr>
        <w:t>Ch.-B.</w:t>
      </w:r>
    </w:p>
    <w:p w14:paraId="2D58300E" w14:textId="77777777" w:rsidR="00FE291A" w:rsidRDefault="00FE291A">
      <w:pPr>
        <w:widowControl/>
        <w:rPr>
          <w:sz w:val="22"/>
          <w:szCs w:val="22"/>
          <w:lang w:val="de-DE"/>
        </w:rPr>
      </w:pPr>
    </w:p>
    <w:p w14:paraId="2B385849" w14:textId="77777777" w:rsidR="00FE291A" w:rsidRDefault="00FE291A">
      <w:pPr>
        <w:widowControl/>
        <w:rPr>
          <w:sz w:val="22"/>
          <w:szCs w:val="22"/>
          <w:lang w:val="de-DE"/>
        </w:rPr>
      </w:pPr>
    </w:p>
    <w:p w14:paraId="2B9FC223" w14:textId="77777777" w:rsidR="00FE291A" w:rsidRDefault="00C8738F">
      <w:pPr>
        <w:keepNext/>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VERKAUFSABGRENZUNG</w:t>
      </w:r>
    </w:p>
    <w:p w14:paraId="2AE7757C" w14:textId="77777777" w:rsidR="00FE291A" w:rsidRDefault="00FE291A">
      <w:pPr>
        <w:widowControl/>
        <w:rPr>
          <w:i/>
          <w:sz w:val="22"/>
          <w:szCs w:val="22"/>
          <w:lang w:val="de-DE"/>
        </w:rPr>
      </w:pPr>
    </w:p>
    <w:p w14:paraId="0C92D571" w14:textId="77777777" w:rsidR="00FE291A" w:rsidRDefault="00FE291A">
      <w:pPr>
        <w:widowControl/>
        <w:rPr>
          <w:sz w:val="22"/>
          <w:szCs w:val="22"/>
          <w:lang w:val="de-DE"/>
        </w:rPr>
      </w:pPr>
    </w:p>
    <w:p w14:paraId="7812F6C9" w14:textId="77777777" w:rsidR="00FE291A" w:rsidRDefault="00C8738F">
      <w:pPr>
        <w:keepNext/>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HINWEISE FÜR DEN GEBRAUCH</w:t>
      </w:r>
    </w:p>
    <w:p w14:paraId="0A9279B4" w14:textId="77777777" w:rsidR="00FE291A" w:rsidRDefault="00FE291A">
      <w:pPr>
        <w:widowControl/>
        <w:rPr>
          <w:sz w:val="22"/>
          <w:szCs w:val="22"/>
          <w:lang w:val="de-DE"/>
        </w:rPr>
      </w:pPr>
    </w:p>
    <w:p w14:paraId="3053AB75" w14:textId="77777777" w:rsidR="00FE291A" w:rsidRDefault="00FE291A">
      <w:pPr>
        <w:widowControl/>
        <w:rPr>
          <w:sz w:val="22"/>
          <w:szCs w:val="22"/>
          <w:lang w:val="de-DE"/>
        </w:rPr>
      </w:pPr>
    </w:p>
    <w:p w14:paraId="14E582C5" w14:textId="77777777" w:rsidR="00FE291A" w:rsidRDefault="00C8738F">
      <w:pPr>
        <w:keepNext/>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ANGABEN IN BLINDENSCHRIFT</w:t>
      </w:r>
    </w:p>
    <w:p w14:paraId="43D67C2F" w14:textId="77777777" w:rsidR="00FE291A" w:rsidRDefault="00FE291A">
      <w:pPr>
        <w:widowControl/>
        <w:rPr>
          <w:sz w:val="22"/>
          <w:szCs w:val="22"/>
          <w:lang w:val="de-DE"/>
        </w:rPr>
      </w:pPr>
    </w:p>
    <w:p w14:paraId="1666EEE5" w14:textId="77777777" w:rsidR="00FE291A" w:rsidRDefault="00C8738F">
      <w:pPr>
        <w:widowControl/>
        <w:rPr>
          <w:sz w:val="22"/>
          <w:szCs w:val="22"/>
          <w:shd w:val="clear" w:color="auto" w:fill="CCCCCC"/>
          <w:lang w:val="de-DE"/>
        </w:rPr>
      </w:pPr>
      <w:r>
        <w:rPr>
          <w:sz w:val="22"/>
          <w:szCs w:val="22"/>
          <w:lang w:val="de-DE"/>
        </w:rPr>
        <w:t>AMGEVITA 40 mg/0,8 ml Spritze</w:t>
      </w:r>
    </w:p>
    <w:p w14:paraId="05E7762D" w14:textId="77777777" w:rsidR="00FE291A" w:rsidRDefault="00FE291A">
      <w:pPr>
        <w:widowControl/>
        <w:rPr>
          <w:sz w:val="22"/>
          <w:szCs w:val="22"/>
          <w:shd w:val="clear" w:color="auto" w:fill="CCCCCC"/>
          <w:lang w:val="de-DE"/>
        </w:rPr>
      </w:pPr>
    </w:p>
    <w:p w14:paraId="1BAD4B8E" w14:textId="77777777" w:rsidR="00FE291A" w:rsidRDefault="00FE291A">
      <w:pPr>
        <w:widowControl/>
        <w:rPr>
          <w:sz w:val="22"/>
          <w:szCs w:val="22"/>
          <w:shd w:val="clear" w:color="auto" w:fill="CCCCCC"/>
          <w:lang w:val="de-DE"/>
        </w:rPr>
      </w:pPr>
    </w:p>
    <w:p w14:paraId="62384AB2" w14:textId="77777777" w:rsidR="00FE291A" w:rsidRDefault="00C8738F">
      <w:pPr>
        <w:keepNext/>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i/>
          <w:sz w:val="22"/>
          <w:szCs w:val="22"/>
          <w:lang w:val="de-DE"/>
        </w:rPr>
      </w:pPr>
      <w:r>
        <w:rPr>
          <w:b/>
          <w:sz w:val="22"/>
          <w:szCs w:val="22"/>
          <w:lang w:val="de-DE"/>
        </w:rPr>
        <w:t>INDIVIDUELLES ERKENNUNGSMERKMAL – 2D-BARCODE</w:t>
      </w:r>
    </w:p>
    <w:p w14:paraId="24966CC7" w14:textId="77777777" w:rsidR="00FE291A" w:rsidRDefault="00FE291A">
      <w:pPr>
        <w:widowControl/>
        <w:rPr>
          <w:sz w:val="22"/>
          <w:szCs w:val="22"/>
          <w:lang w:val="de-DE"/>
        </w:rPr>
      </w:pPr>
    </w:p>
    <w:p w14:paraId="39D7C72A" w14:textId="77777777" w:rsidR="00FE291A" w:rsidRDefault="00C8738F">
      <w:pPr>
        <w:widowControl/>
        <w:rPr>
          <w:sz w:val="22"/>
          <w:szCs w:val="22"/>
          <w:shd w:val="clear" w:color="auto" w:fill="CCCCCC"/>
          <w:lang w:val="de-DE"/>
        </w:rPr>
      </w:pPr>
      <w:r>
        <w:rPr>
          <w:sz w:val="22"/>
          <w:szCs w:val="22"/>
          <w:highlight w:val="lightGray"/>
          <w:lang w:val="de-DE"/>
        </w:rPr>
        <w:t>2D-Barcode mit individuellem Erkennungsmerkmal.</w:t>
      </w:r>
    </w:p>
    <w:p w14:paraId="26006AEE" w14:textId="77777777" w:rsidR="00FE291A" w:rsidRDefault="00FE291A">
      <w:pPr>
        <w:widowControl/>
        <w:rPr>
          <w:sz w:val="22"/>
          <w:szCs w:val="22"/>
          <w:lang w:val="de-DE"/>
        </w:rPr>
      </w:pPr>
    </w:p>
    <w:p w14:paraId="7912E9AD" w14:textId="77777777" w:rsidR="00FE291A" w:rsidRDefault="00FE291A">
      <w:pPr>
        <w:widowControl/>
        <w:rPr>
          <w:sz w:val="22"/>
          <w:szCs w:val="22"/>
          <w:lang w:val="de-DE"/>
        </w:rPr>
      </w:pPr>
    </w:p>
    <w:p w14:paraId="659B7B0C" w14:textId="77777777" w:rsidR="00FE291A" w:rsidRDefault="00C8738F">
      <w:pPr>
        <w:keepNext/>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i/>
          <w:sz w:val="22"/>
          <w:szCs w:val="22"/>
          <w:lang w:val="de-DE"/>
        </w:rPr>
      </w:pPr>
      <w:r>
        <w:rPr>
          <w:b/>
          <w:sz w:val="22"/>
          <w:szCs w:val="22"/>
          <w:lang w:val="de-DE"/>
        </w:rPr>
        <w:t>INDIVIDUELLES ERKENNUNGSMERKMAL – VOM MENSCHEN LESBARES FORMAT</w:t>
      </w:r>
    </w:p>
    <w:p w14:paraId="18CC561A" w14:textId="77777777" w:rsidR="00FE291A" w:rsidRDefault="00FE291A">
      <w:pPr>
        <w:keepNext/>
        <w:widowControl/>
        <w:rPr>
          <w:sz w:val="22"/>
          <w:szCs w:val="22"/>
          <w:lang w:val="de-DE"/>
        </w:rPr>
      </w:pPr>
    </w:p>
    <w:p w14:paraId="720FD5A5" w14:textId="77777777" w:rsidR="00FE291A" w:rsidRDefault="00C8738F">
      <w:pPr>
        <w:keepNext/>
        <w:widowControl/>
        <w:rPr>
          <w:sz w:val="22"/>
          <w:szCs w:val="22"/>
          <w:lang w:val="de-DE"/>
        </w:rPr>
      </w:pPr>
      <w:r>
        <w:rPr>
          <w:sz w:val="22"/>
          <w:szCs w:val="22"/>
          <w:lang w:val="de-DE"/>
        </w:rPr>
        <w:t>PC</w:t>
      </w:r>
    </w:p>
    <w:p w14:paraId="64840F9A" w14:textId="77777777" w:rsidR="00FE291A" w:rsidRDefault="00C8738F">
      <w:pPr>
        <w:keepNext/>
        <w:widowControl/>
        <w:rPr>
          <w:sz w:val="22"/>
          <w:szCs w:val="22"/>
          <w:lang w:val="de-DE"/>
        </w:rPr>
      </w:pPr>
      <w:r>
        <w:rPr>
          <w:sz w:val="22"/>
          <w:szCs w:val="22"/>
          <w:lang w:val="de-DE"/>
        </w:rPr>
        <w:t>SN</w:t>
      </w:r>
    </w:p>
    <w:p w14:paraId="3957801B" w14:textId="77777777" w:rsidR="00FE291A" w:rsidRDefault="00C8738F">
      <w:pPr>
        <w:widowControl/>
        <w:rPr>
          <w:sz w:val="22"/>
          <w:szCs w:val="22"/>
          <w:lang w:val="de-DE"/>
        </w:rPr>
      </w:pPr>
      <w:r>
        <w:rPr>
          <w:sz w:val="22"/>
          <w:szCs w:val="22"/>
          <w:lang w:val="de-DE"/>
        </w:rPr>
        <w:t>NN</w:t>
      </w:r>
    </w:p>
    <w:p w14:paraId="6CDA5AA1" w14:textId="77777777" w:rsidR="00FE291A" w:rsidRDefault="00C8738F">
      <w:pPr>
        <w:widowControl/>
        <w:pBdr>
          <w:top w:val="single" w:sz="4" w:space="1" w:color="auto"/>
          <w:left w:val="single" w:sz="4" w:space="4" w:color="auto"/>
          <w:bottom w:val="single" w:sz="4" w:space="1" w:color="auto"/>
          <w:right w:val="single" w:sz="4" w:space="4" w:color="auto"/>
        </w:pBdr>
        <w:rPr>
          <w:b/>
          <w:sz w:val="22"/>
          <w:szCs w:val="22"/>
          <w:lang w:val="de-DE"/>
        </w:rPr>
      </w:pPr>
      <w:r>
        <w:rPr>
          <w:sz w:val="22"/>
          <w:lang w:val="de-DE"/>
        </w:rPr>
        <w:br w:type="page"/>
      </w:r>
      <w:r>
        <w:rPr>
          <w:b/>
          <w:sz w:val="22"/>
          <w:szCs w:val="22"/>
          <w:lang w:val="de-DE"/>
        </w:rPr>
        <w:t>ANGABEN AUF DER ÄUSSEREN UMHÜLLUNG</w:t>
      </w:r>
    </w:p>
    <w:p w14:paraId="0FD3D5FE" w14:textId="77777777" w:rsidR="00FE291A" w:rsidRDefault="00FE291A">
      <w:pPr>
        <w:pBdr>
          <w:top w:val="single" w:sz="4" w:space="1" w:color="auto"/>
          <w:left w:val="single" w:sz="4" w:space="4" w:color="auto"/>
          <w:bottom w:val="single" w:sz="4" w:space="1" w:color="auto"/>
          <w:right w:val="single" w:sz="4" w:space="4" w:color="auto"/>
        </w:pBdr>
        <w:ind w:left="567" w:hanging="567"/>
        <w:rPr>
          <w:sz w:val="22"/>
          <w:szCs w:val="22"/>
          <w:lang w:val="de-DE"/>
        </w:rPr>
      </w:pPr>
    </w:p>
    <w:p w14:paraId="4CC51C5B" w14:textId="77777777" w:rsidR="00FE291A" w:rsidRDefault="00C8738F">
      <w:pPr>
        <w:pBdr>
          <w:top w:val="single" w:sz="4" w:space="1" w:color="auto"/>
          <w:left w:val="single" w:sz="4" w:space="4" w:color="auto"/>
          <w:bottom w:val="single" w:sz="4" w:space="1" w:color="auto"/>
          <w:right w:val="single" w:sz="4" w:space="4" w:color="auto"/>
        </w:pBdr>
        <w:rPr>
          <w:sz w:val="22"/>
          <w:szCs w:val="22"/>
          <w:lang w:val="de-DE"/>
        </w:rPr>
      </w:pPr>
      <w:r>
        <w:rPr>
          <w:b/>
          <w:sz w:val="22"/>
          <w:szCs w:val="22"/>
          <w:lang w:val="de-DE"/>
        </w:rPr>
        <w:t>INNERER KARTON DER BÜNDELPACKUNG FÜR DIE FERTIGSPRITZE (ohne blue box)</w:t>
      </w:r>
    </w:p>
    <w:p w14:paraId="40DDB9E8" w14:textId="77777777" w:rsidR="00FE291A" w:rsidRDefault="00FE291A">
      <w:pPr>
        <w:rPr>
          <w:sz w:val="22"/>
          <w:szCs w:val="22"/>
          <w:lang w:val="de-DE"/>
        </w:rPr>
      </w:pPr>
    </w:p>
    <w:p w14:paraId="1531D3DF" w14:textId="77777777" w:rsidR="00FE291A" w:rsidRDefault="00FE291A">
      <w:pPr>
        <w:rPr>
          <w:sz w:val="22"/>
          <w:szCs w:val="22"/>
          <w:lang w:val="de-DE"/>
        </w:rPr>
      </w:pPr>
    </w:p>
    <w:p w14:paraId="3399DCA4" w14:textId="77777777" w:rsidR="00FE291A" w:rsidRDefault="00C8738F">
      <w:pPr>
        <w:keepNext/>
        <w:numPr>
          <w:ilvl w:val="0"/>
          <w:numId w:val="2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BEZEICHNUNG DES ARZNEIMITTELS</w:t>
      </w:r>
    </w:p>
    <w:p w14:paraId="30B2561F" w14:textId="77777777" w:rsidR="00FE291A" w:rsidRDefault="00FE291A">
      <w:pPr>
        <w:keepNext/>
        <w:rPr>
          <w:sz w:val="22"/>
          <w:szCs w:val="22"/>
          <w:lang w:val="de-DE"/>
        </w:rPr>
      </w:pPr>
    </w:p>
    <w:p w14:paraId="449EB53C" w14:textId="77777777" w:rsidR="00FE291A" w:rsidRDefault="00C8738F">
      <w:pPr>
        <w:rPr>
          <w:sz w:val="22"/>
          <w:szCs w:val="22"/>
          <w:lang w:val="de-DE"/>
        </w:rPr>
      </w:pPr>
      <w:r>
        <w:rPr>
          <w:sz w:val="22"/>
          <w:szCs w:val="22"/>
          <w:lang w:val="de-DE"/>
        </w:rPr>
        <w:t>AMGEVITA 40 mg Injektionslösung in einer Fertigspritze</w:t>
      </w:r>
    </w:p>
    <w:p w14:paraId="179B8DB3" w14:textId="77777777" w:rsidR="00FE291A" w:rsidRDefault="00C8738F">
      <w:pPr>
        <w:rPr>
          <w:b/>
          <w:sz w:val="22"/>
          <w:szCs w:val="22"/>
          <w:lang w:val="de-DE"/>
        </w:rPr>
      </w:pPr>
      <w:r>
        <w:rPr>
          <w:sz w:val="22"/>
          <w:szCs w:val="22"/>
          <w:lang w:val="de-DE"/>
        </w:rPr>
        <w:t>Adalimumab</w:t>
      </w:r>
    </w:p>
    <w:p w14:paraId="4597C9C5" w14:textId="77777777" w:rsidR="00FE291A" w:rsidRDefault="00FE291A">
      <w:pPr>
        <w:rPr>
          <w:sz w:val="22"/>
          <w:szCs w:val="22"/>
          <w:lang w:val="de-DE"/>
        </w:rPr>
      </w:pPr>
    </w:p>
    <w:p w14:paraId="6B2457D1" w14:textId="77777777" w:rsidR="00FE291A" w:rsidRDefault="00FE291A">
      <w:pPr>
        <w:rPr>
          <w:sz w:val="22"/>
          <w:szCs w:val="22"/>
          <w:lang w:val="de-DE"/>
        </w:rPr>
      </w:pPr>
    </w:p>
    <w:p w14:paraId="6C49D12D" w14:textId="77777777" w:rsidR="00FE291A" w:rsidRDefault="00C8738F">
      <w:pPr>
        <w:keepNext/>
        <w:numPr>
          <w:ilvl w:val="0"/>
          <w:numId w:val="24"/>
        </w:num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de-DE"/>
        </w:rPr>
      </w:pPr>
      <w:r>
        <w:rPr>
          <w:b/>
          <w:sz w:val="22"/>
          <w:szCs w:val="22"/>
          <w:lang w:val="de-DE"/>
        </w:rPr>
        <w:t>WIRKSTOFF</w:t>
      </w:r>
    </w:p>
    <w:p w14:paraId="66EAAD0C" w14:textId="77777777" w:rsidR="00FE291A" w:rsidRDefault="00FE291A">
      <w:pPr>
        <w:keepNext/>
        <w:rPr>
          <w:sz w:val="22"/>
          <w:szCs w:val="22"/>
          <w:lang w:val="de-DE"/>
        </w:rPr>
      </w:pPr>
    </w:p>
    <w:p w14:paraId="53FD8F62" w14:textId="77777777" w:rsidR="00FE291A" w:rsidRDefault="00C8738F">
      <w:pPr>
        <w:rPr>
          <w:sz w:val="22"/>
          <w:szCs w:val="22"/>
          <w:lang w:val="de-DE"/>
        </w:rPr>
      </w:pPr>
      <w:r>
        <w:rPr>
          <w:sz w:val="22"/>
          <w:szCs w:val="22"/>
          <w:lang w:val="de-DE"/>
        </w:rPr>
        <w:t>Jede Fertigspritze enthält 40 mg Adalimumab in 0,8 ml Lösung.</w:t>
      </w:r>
    </w:p>
    <w:p w14:paraId="41727D44" w14:textId="77777777" w:rsidR="00FE291A" w:rsidRDefault="00FE291A">
      <w:pPr>
        <w:rPr>
          <w:sz w:val="22"/>
          <w:szCs w:val="22"/>
          <w:lang w:val="de-DE"/>
        </w:rPr>
      </w:pPr>
    </w:p>
    <w:p w14:paraId="603C6B4C" w14:textId="77777777" w:rsidR="00FE291A" w:rsidRDefault="00FE291A">
      <w:pPr>
        <w:rPr>
          <w:sz w:val="22"/>
          <w:szCs w:val="22"/>
          <w:lang w:val="de-DE"/>
        </w:rPr>
      </w:pPr>
    </w:p>
    <w:p w14:paraId="08ED3B66" w14:textId="77777777" w:rsidR="00FE291A" w:rsidRDefault="00C8738F">
      <w:pPr>
        <w:keepNext/>
        <w:numPr>
          <w:ilvl w:val="0"/>
          <w:numId w:val="2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SONSTIGE BESTANDTEILE</w:t>
      </w:r>
    </w:p>
    <w:p w14:paraId="100C640A" w14:textId="77777777" w:rsidR="00FE291A" w:rsidRDefault="00FE291A">
      <w:pPr>
        <w:rPr>
          <w:sz w:val="22"/>
          <w:szCs w:val="22"/>
          <w:lang w:val="de-DE"/>
        </w:rPr>
      </w:pPr>
    </w:p>
    <w:p w14:paraId="46669F03" w14:textId="77777777" w:rsidR="00FE291A" w:rsidRDefault="00C8738F">
      <w:pPr>
        <w:rPr>
          <w:sz w:val="22"/>
          <w:szCs w:val="22"/>
          <w:lang w:val="de-DE"/>
        </w:rPr>
      </w:pPr>
      <w:r>
        <w:rPr>
          <w:sz w:val="22"/>
          <w:szCs w:val="22"/>
          <w:lang w:val="de-DE"/>
        </w:rPr>
        <w:t>Essigsäure 99 %, Saccharose, Polysorbat 80, Natriumhydroxid und Wasser für Injektionszwecke.</w:t>
      </w:r>
    </w:p>
    <w:p w14:paraId="69EF0596" w14:textId="77777777" w:rsidR="00FE291A" w:rsidRDefault="00FE291A">
      <w:pPr>
        <w:rPr>
          <w:sz w:val="22"/>
          <w:szCs w:val="22"/>
          <w:lang w:val="de-DE"/>
        </w:rPr>
      </w:pPr>
    </w:p>
    <w:p w14:paraId="11B640FC" w14:textId="77777777" w:rsidR="00FE291A" w:rsidRDefault="00FE291A">
      <w:pPr>
        <w:rPr>
          <w:sz w:val="22"/>
          <w:szCs w:val="22"/>
          <w:lang w:val="de-DE"/>
        </w:rPr>
      </w:pPr>
    </w:p>
    <w:p w14:paraId="17E7AFD5" w14:textId="77777777" w:rsidR="00FE291A" w:rsidRDefault="00C8738F">
      <w:pPr>
        <w:keepNext/>
        <w:numPr>
          <w:ilvl w:val="0"/>
          <w:numId w:val="2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DARREICHUNGSFORM UND INHALT</w:t>
      </w:r>
    </w:p>
    <w:p w14:paraId="2E513F45" w14:textId="77777777" w:rsidR="00FE291A" w:rsidRDefault="00FE291A">
      <w:pPr>
        <w:rPr>
          <w:sz w:val="22"/>
          <w:szCs w:val="22"/>
          <w:lang w:val="de-DE"/>
        </w:rPr>
      </w:pPr>
    </w:p>
    <w:p w14:paraId="7DF4F914" w14:textId="77777777" w:rsidR="00FE291A" w:rsidRDefault="00C8738F">
      <w:pPr>
        <w:rPr>
          <w:sz w:val="22"/>
          <w:szCs w:val="22"/>
          <w:lang w:val="de-DE"/>
        </w:rPr>
      </w:pPr>
      <w:r>
        <w:rPr>
          <w:sz w:val="22"/>
          <w:szCs w:val="22"/>
          <w:highlight w:val="lightGray"/>
          <w:lang w:val="de-DE"/>
        </w:rPr>
        <w:t>Injektionslösung</w:t>
      </w:r>
    </w:p>
    <w:p w14:paraId="3A046B41" w14:textId="77777777" w:rsidR="00FE291A" w:rsidRDefault="00C8738F">
      <w:pPr>
        <w:rPr>
          <w:sz w:val="22"/>
          <w:szCs w:val="22"/>
          <w:lang w:val="de-DE"/>
        </w:rPr>
      </w:pPr>
      <w:r>
        <w:rPr>
          <w:sz w:val="22"/>
          <w:szCs w:val="22"/>
          <w:lang w:val="de-DE"/>
        </w:rPr>
        <w:t>40 mg/0,8 ml</w:t>
      </w:r>
    </w:p>
    <w:p w14:paraId="5693612C" w14:textId="77777777" w:rsidR="00FE291A" w:rsidRDefault="00C8738F">
      <w:pPr>
        <w:rPr>
          <w:sz w:val="22"/>
          <w:szCs w:val="22"/>
          <w:lang w:val="de-DE"/>
        </w:rPr>
      </w:pPr>
      <w:r>
        <w:rPr>
          <w:sz w:val="22"/>
          <w:szCs w:val="22"/>
          <w:lang w:val="de-DE"/>
        </w:rPr>
        <w:t>2 Fertigspritzen. Teil einer Bündelpackung, Einzelverkauf unzulässig.</w:t>
      </w:r>
    </w:p>
    <w:p w14:paraId="6F03B68A" w14:textId="77777777" w:rsidR="00FE291A" w:rsidRDefault="00FE291A">
      <w:pPr>
        <w:rPr>
          <w:sz w:val="22"/>
          <w:szCs w:val="22"/>
          <w:lang w:val="de-DE"/>
        </w:rPr>
      </w:pPr>
    </w:p>
    <w:p w14:paraId="7C7EB900" w14:textId="77777777" w:rsidR="00FE291A" w:rsidRDefault="00FE291A">
      <w:pPr>
        <w:rPr>
          <w:sz w:val="22"/>
          <w:szCs w:val="22"/>
          <w:lang w:val="de-DE"/>
        </w:rPr>
      </w:pPr>
    </w:p>
    <w:p w14:paraId="248C325B" w14:textId="77777777" w:rsidR="00FE291A" w:rsidRDefault="00C8738F">
      <w:pPr>
        <w:keepNext/>
        <w:numPr>
          <w:ilvl w:val="0"/>
          <w:numId w:val="2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HINWEISE ZUR UND ART(EN) DER ANWENDUNG</w:t>
      </w:r>
    </w:p>
    <w:p w14:paraId="3174A28E" w14:textId="77777777" w:rsidR="00FE291A" w:rsidRDefault="00FE291A">
      <w:pPr>
        <w:keepNext/>
        <w:rPr>
          <w:sz w:val="22"/>
          <w:szCs w:val="22"/>
          <w:lang w:val="de-DE"/>
        </w:rPr>
      </w:pPr>
    </w:p>
    <w:p w14:paraId="628CDEBA" w14:textId="77777777" w:rsidR="00FE291A" w:rsidRDefault="00C8738F">
      <w:pPr>
        <w:rPr>
          <w:sz w:val="22"/>
          <w:szCs w:val="22"/>
          <w:lang w:val="de-DE"/>
        </w:rPr>
      </w:pPr>
      <w:r>
        <w:rPr>
          <w:sz w:val="22"/>
          <w:szCs w:val="22"/>
          <w:lang w:val="de-DE"/>
        </w:rPr>
        <w:t>Zur subkutanen Anwendung.</w:t>
      </w:r>
    </w:p>
    <w:p w14:paraId="514967CD" w14:textId="77777777" w:rsidR="00FE291A" w:rsidRDefault="00C8738F">
      <w:pPr>
        <w:rPr>
          <w:sz w:val="22"/>
          <w:szCs w:val="22"/>
          <w:lang w:val="de-DE"/>
        </w:rPr>
      </w:pPr>
      <w:r>
        <w:rPr>
          <w:sz w:val="22"/>
          <w:szCs w:val="22"/>
          <w:lang w:val="de-DE"/>
        </w:rPr>
        <w:t>Packungsbeilage beachten.</w:t>
      </w:r>
    </w:p>
    <w:p w14:paraId="08200256" w14:textId="77777777" w:rsidR="00FE291A" w:rsidRDefault="00C8738F">
      <w:pPr>
        <w:rPr>
          <w:sz w:val="22"/>
          <w:szCs w:val="22"/>
          <w:lang w:val="de-DE"/>
        </w:rPr>
      </w:pPr>
      <w:r>
        <w:rPr>
          <w:sz w:val="22"/>
          <w:szCs w:val="22"/>
          <w:lang w:val="de-DE"/>
        </w:rPr>
        <w:t>Nur zum Einmalgebrauch.</w:t>
      </w:r>
    </w:p>
    <w:p w14:paraId="4F064F12" w14:textId="77777777" w:rsidR="00FE291A" w:rsidRDefault="00FE291A">
      <w:pPr>
        <w:rPr>
          <w:sz w:val="22"/>
          <w:szCs w:val="22"/>
          <w:lang w:val="de-DE"/>
        </w:rPr>
      </w:pPr>
    </w:p>
    <w:p w14:paraId="4014375C" w14:textId="77777777" w:rsidR="00FE291A" w:rsidRDefault="00FE291A">
      <w:pPr>
        <w:rPr>
          <w:sz w:val="22"/>
          <w:szCs w:val="22"/>
          <w:lang w:val="de-DE"/>
        </w:rPr>
      </w:pPr>
    </w:p>
    <w:p w14:paraId="629CABBF" w14:textId="77777777" w:rsidR="00FE291A" w:rsidRDefault="00C8738F">
      <w:pPr>
        <w:keepNext/>
        <w:numPr>
          <w:ilvl w:val="0"/>
          <w:numId w:val="2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WARNHINWEIS, DASS DAS ARZNEIMITTEL FÜR KINDER UNZUGÄNGLICH AUFZUBEWAHREN IST</w:t>
      </w:r>
    </w:p>
    <w:p w14:paraId="2F75AABC" w14:textId="77777777" w:rsidR="00FE291A" w:rsidRDefault="00FE291A">
      <w:pPr>
        <w:keepNext/>
        <w:rPr>
          <w:sz w:val="22"/>
          <w:szCs w:val="22"/>
          <w:lang w:val="de-DE"/>
        </w:rPr>
      </w:pPr>
    </w:p>
    <w:p w14:paraId="5023BACC" w14:textId="77777777" w:rsidR="00FE291A" w:rsidRDefault="00C8738F">
      <w:pPr>
        <w:outlineLvl w:val="0"/>
        <w:rPr>
          <w:sz w:val="22"/>
          <w:szCs w:val="22"/>
          <w:lang w:val="de-DE"/>
        </w:rPr>
      </w:pPr>
      <w:r>
        <w:rPr>
          <w:sz w:val="22"/>
          <w:szCs w:val="22"/>
          <w:lang w:val="de-DE"/>
        </w:rPr>
        <w:t>Arzneimittel für Kinder unzugänglich aufbewahren.</w:t>
      </w:r>
    </w:p>
    <w:p w14:paraId="05C20F69" w14:textId="77777777" w:rsidR="00FE291A" w:rsidRDefault="00FE291A">
      <w:pPr>
        <w:rPr>
          <w:sz w:val="22"/>
          <w:szCs w:val="22"/>
          <w:lang w:val="de-DE"/>
        </w:rPr>
      </w:pPr>
    </w:p>
    <w:p w14:paraId="00D5E6D2" w14:textId="77777777" w:rsidR="00FE291A" w:rsidRDefault="00FE291A">
      <w:pPr>
        <w:rPr>
          <w:sz w:val="22"/>
          <w:szCs w:val="22"/>
          <w:lang w:val="de-DE"/>
        </w:rPr>
      </w:pPr>
    </w:p>
    <w:p w14:paraId="2904B831" w14:textId="77777777" w:rsidR="00FE291A" w:rsidRDefault="00C8738F">
      <w:pPr>
        <w:keepNext/>
        <w:numPr>
          <w:ilvl w:val="0"/>
          <w:numId w:val="2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WEITERE WARNHINWEISE, FALLS ERFORDERLICH</w:t>
      </w:r>
    </w:p>
    <w:p w14:paraId="351B0898" w14:textId="77777777" w:rsidR="00FE291A" w:rsidRDefault="00FE291A">
      <w:pPr>
        <w:keepNext/>
        <w:rPr>
          <w:sz w:val="22"/>
          <w:szCs w:val="22"/>
          <w:lang w:val="de-DE"/>
        </w:rPr>
      </w:pPr>
    </w:p>
    <w:p w14:paraId="6925778F" w14:textId="77777777" w:rsidR="00FE291A" w:rsidRDefault="00FE291A">
      <w:pPr>
        <w:tabs>
          <w:tab w:val="left" w:pos="749"/>
        </w:tabs>
        <w:rPr>
          <w:sz w:val="22"/>
          <w:szCs w:val="22"/>
          <w:lang w:val="de-DE"/>
        </w:rPr>
      </w:pPr>
    </w:p>
    <w:p w14:paraId="5D68A451" w14:textId="77777777" w:rsidR="00FE291A" w:rsidRDefault="00C8738F">
      <w:pPr>
        <w:keepNext/>
        <w:numPr>
          <w:ilvl w:val="0"/>
          <w:numId w:val="2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VERFALLDATUM</w:t>
      </w:r>
    </w:p>
    <w:p w14:paraId="1274A739" w14:textId="77777777" w:rsidR="00FE291A" w:rsidRDefault="00FE291A">
      <w:pPr>
        <w:keepNext/>
        <w:rPr>
          <w:sz w:val="22"/>
          <w:szCs w:val="22"/>
          <w:lang w:val="de-DE"/>
        </w:rPr>
      </w:pPr>
    </w:p>
    <w:p w14:paraId="203FE97C" w14:textId="77777777" w:rsidR="00FE291A" w:rsidRDefault="00C8738F">
      <w:pPr>
        <w:rPr>
          <w:sz w:val="22"/>
          <w:szCs w:val="22"/>
          <w:lang w:val="de-DE"/>
        </w:rPr>
      </w:pPr>
      <w:r>
        <w:rPr>
          <w:sz w:val="22"/>
          <w:szCs w:val="22"/>
          <w:lang w:val="de-DE"/>
        </w:rPr>
        <w:t>verwendbar bis</w:t>
      </w:r>
    </w:p>
    <w:p w14:paraId="4EED013A" w14:textId="77777777" w:rsidR="00FE291A" w:rsidRDefault="00FE291A">
      <w:pPr>
        <w:rPr>
          <w:sz w:val="22"/>
          <w:szCs w:val="22"/>
          <w:lang w:val="de-DE"/>
        </w:rPr>
      </w:pPr>
    </w:p>
    <w:p w14:paraId="7554FD56" w14:textId="77777777" w:rsidR="00FE291A" w:rsidRDefault="00FE291A">
      <w:pPr>
        <w:rPr>
          <w:sz w:val="22"/>
          <w:szCs w:val="22"/>
          <w:lang w:val="de-DE"/>
        </w:rPr>
      </w:pPr>
    </w:p>
    <w:p w14:paraId="5887C254" w14:textId="77777777" w:rsidR="00FE291A" w:rsidRDefault="00C8738F">
      <w:pPr>
        <w:keepNext/>
        <w:numPr>
          <w:ilvl w:val="0"/>
          <w:numId w:val="2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BESONDERE VORSICHTSMASSNAHMEN FÜR DIE AUFBEWAHRUNG</w:t>
      </w:r>
    </w:p>
    <w:p w14:paraId="6B36F48B" w14:textId="77777777" w:rsidR="00FE291A" w:rsidRDefault="00FE291A">
      <w:pPr>
        <w:keepNext/>
        <w:rPr>
          <w:sz w:val="22"/>
          <w:szCs w:val="22"/>
          <w:lang w:val="de-DE"/>
        </w:rPr>
      </w:pPr>
    </w:p>
    <w:p w14:paraId="36506525" w14:textId="77777777" w:rsidR="00FE291A" w:rsidRDefault="00C8738F">
      <w:pPr>
        <w:keepNext/>
        <w:ind w:left="567" w:hanging="567"/>
        <w:rPr>
          <w:sz w:val="22"/>
          <w:szCs w:val="22"/>
          <w:lang w:val="de-DE"/>
        </w:rPr>
      </w:pPr>
      <w:r>
        <w:rPr>
          <w:sz w:val="22"/>
          <w:szCs w:val="22"/>
          <w:lang w:val="de-DE"/>
        </w:rPr>
        <w:t>Im Kühlschrank lagern.</w:t>
      </w:r>
    </w:p>
    <w:p w14:paraId="4544FE9A" w14:textId="77777777" w:rsidR="00FE291A" w:rsidRDefault="00C8738F">
      <w:pPr>
        <w:keepNext/>
        <w:ind w:left="567" w:hanging="567"/>
        <w:rPr>
          <w:sz w:val="22"/>
          <w:szCs w:val="22"/>
          <w:lang w:val="de-DE"/>
        </w:rPr>
      </w:pPr>
      <w:r>
        <w:rPr>
          <w:sz w:val="22"/>
          <w:szCs w:val="22"/>
          <w:lang w:val="de-DE"/>
        </w:rPr>
        <w:t>Nicht einfrieren.</w:t>
      </w:r>
    </w:p>
    <w:p w14:paraId="02E842B3" w14:textId="77777777" w:rsidR="00FE291A" w:rsidRDefault="00C8738F">
      <w:pPr>
        <w:keepNext/>
        <w:ind w:left="567" w:hanging="567"/>
        <w:rPr>
          <w:sz w:val="22"/>
          <w:szCs w:val="22"/>
          <w:lang w:val="de-DE"/>
        </w:rPr>
      </w:pPr>
      <w:r>
        <w:rPr>
          <w:sz w:val="22"/>
          <w:szCs w:val="22"/>
          <w:lang w:val="de-DE"/>
        </w:rPr>
        <w:t>Im Originalkarton aufbewahren, um den Inhalt vor Licht zu schützen.</w:t>
      </w:r>
    </w:p>
    <w:p w14:paraId="23537DF5" w14:textId="77777777" w:rsidR="00FE291A" w:rsidRDefault="00FE291A">
      <w:pPr>
        <w:ind w:left="567" w:hanging="567"/>
        <w:rPr>
          <w:sz w:val="22"/>
          <w:szCs w:val="22"/>
          <w:lang w:val="de-DE"/>
        </w:rPr>
      </w:pPr>
    </w:p>
    <w:p w14:paraId="5513EAEF" w14:textId="77777777" w:rsidR="00FE291A" w:rsidRDefault="00FE291A">
      <w:pPr>
        <w:ind w:left="567" w:hanging="567"/>
        <w:rPr>
          <w:sz w:val="22"/>
          <w:szCs w:val="22"/>
          <w:lang w:val="de-DE"/>
        </w:rPr>
      </w:pPr>
    </w:p>
    <w:p w14:paraId="7828B5E0" w14:textId="77777777" w:rsidR="00FE291A" w:rsidRDefault="00C8738F">
      <w:pPr>
        <w:keepNext/>
        <w:numPr>
          <w:ilvl w:val="0"/>
          <w:numId w:val="24"/>
        </w:num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de-DE"/>
        </w:rPr>
      </w:pPr>
      <w:r>
        <w:rPr>
          <w:b/>
          <w:sz w:val="22"/>
          <w:szCs w:val="22"/>
          <w:lang w:val="de-DE"/>
        </w:rPr>
        <w:t>GEGEBENENFALLS BESONDERE VORSICHTSMASSNAHMEN FÜR DIE BESEITIGUNG VON NICHT VERWENDETEM ARZNEIMITTEL ODER DAVON STAMMENDEN ABFALLMATERIALIEN</w:t>
      </w:r>
    </w:p>
    <w:p w14:paraId="4CD65786" w14:textId="77777777" w:rsidR="00FE291A" w:rsidRDefault="00FE291A">
      <w:pPr>
        <w:rPr>
          <w:sz w:val="22"/>
          <w:szCs w:val="22"/>
          <w:lang w:val="de-DE"/>
        </w:rPr>
      </w:pPr>
    </w:p>
    <w:p w14:paraId="55E880FA" w14:textId="77777777" w:rsidR="00FE291A" w:rsidRDefault="00FE291A">
      <w:pPr>
        <w:rPr>
          <w:sz w:val="22"/>
          <w:szCs w:val="22"/>
          <w:lang w:val="de-DE"/>
        </w:rPr>
      </w:pPr>
    </w:p>
    <w:p w14:paraId="53A8D3BB" w14:textId="77777777" w:rsidR="00FE291A" w:rsidRDefault="00C8738F">
      <w:pPr>
        <w:keepNext/>
        <w:numPr>
          <w:ilvl w:val="0"/>
          <w:numId w:val="24"/>
        </w:num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de-DE"/>
        </w:rPr>
      </w:pPr>
      <w:r>
        <w:rPr>
          <w:b/>
          <w:sz w:val="22"/>
          <w:szCs w:val="22"/>
          <w:lang w:val="de-DE"/>
        </w:rPr>
        <w:t>NAME UND ANSCHRIFT DES PHARMAZEUTISCHEN UNTERNEHMERS</w:t>
      </w:r>
    </w:p>
    <w:p w14:paraId="0ECF8FC4" w14:textId="77777777" w:rsidR="00FE291A" w:rsidRDefault="00FE291A">
      <w:pPr>
        <w:rPr>
          <w:sz w:val="22"/>
          <w:szCs w:val="22"/>
          <w:lang w:val="de-DE"/>
        </w:rPr>
      </w:pPr>
    </w:p>
    <w:p w14:paraId="4BCB1C15" w14:textId="77777777" w:rsidR="00FE291A" w:rsidRDefault="00C8738F">
      <w:pPr>
        <w:rPr>
          <w:rFonts w:eastAsia="SimSun"/>
          <w:sz w:val="22"/>
          <w:szCs w:val="22"/>
          <w:lang w:val="de-DE" w:eastAsia="en-GB"/>
        </w:rPr>
      </w:pPr>
      <w:r>
        <w:rPr>
          <w:rFonts w:eastAsia="SimSun"/>
          <w:sz w:val="22"/>
          <w:szCs w:val="22"/>
          <w:lang w:val="de-DE" w:eastAsia="en-GB"/>
        </w:rPr>
        <w:t>Amgen Europe B.V.</w:t>
      </w:r>
    </w:p>
    <w:p w14:paraId="4A012F37" w14:textId="77777777" w:rsidR="00FE291A" w:rsidRDefault="00C8738F">
      <w:pPr>
        <w:rPr>
          <w:rFonts w:eastAsia="SimSun"/>
          <w:sz w:val="22"/>
          <w:szCs w:val="22"/>
          <w:lang w:val="de-DE" w:eastAsia="en-GB"/>
        </w:rPr>
      </w:pPr>
      <w:r>
        <w:rPr>
          <w:rFonts w:eastAsia="SimSun"/>
          <w:sz w:val="22"/>
          <w:szCs w:val="22"/>
          <w:lang w:val="de-DE" w:eastAsia="en-GB"/>
        </w:rPr>
        <w:t>Minervum 7061,</w:t>
      </w:r>
    </w:p>
    <w:p w14:paraId="2A7D25CD" w14:textId="77777777" w:rsidR="00FE291A" w:rsidRDefault="00C8738F">
      <w:pPr>
        <w:rPr>
          <w:rFonts w:eastAsia="SimSun"/>
          <w:sz w:val="22"/>
          <w:szCs w:val="22"/>
          <w:lang w:val="de-DE" w:eastAsia="en-GB"/>
        </w:rPr>
      </w:pPr>
      <w:r>
        <w:rPr>
          <w:rFonts w:eastAsia="SimSun"/>
          <w:sz w:val="22"/>
          <w:szCs w:val="22"/>
          <w:lang w:val="de-DE" w:eastAsia="en-GB"/>
        </w:rPr>
        <w:t>4817 ZK Breda,</w:t>
      </w:r>
    </w:p>
    <w:p w14:paraId="1E1FF4A1" w14:textId="77777777" w:rsidR="00FE291A" w:rsidRDefault="00C8738F">
      <w:pPr>
        <w:rPr>
          <w:rFonts w:eastAsia="SimSun"/>
          <w:sz w:val="22"/>
          <w:szCs w:val="22"/>
          <w:lang w:val="de-DE" w:eastAsia="en-GB"/>
        </w:rPr>
      </w:pPr>
      <w:r>
        <w:rPr>
          <w:rFonts w:eastAsia="SimSun"/>
          <w:sz w:val="22"/>
          <w:szCs w:val="22"/>
          <w:lang w:val="de-DE" w:eastAsia="en-GB"/>
        </w:rPr>
        <w:t>Niederlande</w:t>
      </w:r>
    </w:p>
    <w:p w14:paraId="4AF87F15" w14:textId="77777777" w:rsidR="00FE291A" w:rsidRDefault="00FE291A">
      <w:pPr>
        <w:rPr>
          <w:sz w:val="22"/>
          <w:szCs w:val="22"/>
          <w:lang w:val="de-DE"/>
        </w:rPr>
      </w:pPr>
    </w:p>
    <w:p w14:paraId="3A30241E" w14:textId="77777777" w:rsidR="00FE291A" w:rsidRDefault="00FE291A">
      <w:pPr>
        <w:rPr>
          <w:sz w:val="22"/>
          <w:szCs w:val="22"/>
          <w:lang w:val="de-DE"/>
        </w:rPr>
      </w:pPr>
    </w:p>
    <w:p w14:paraId="63E6646B" w14:textId="77777777" w:rsidR="00FE291A" w:rsidRDefault="00C8738F">
      <w:pPr>
        <w:keepNext/>
        <w:numPr>
          <w:ilvl w:val="0"/>
          <w:numId w:val="2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ZULASSUNGSNUMMER</w:t>
      </w:r>
    </w:p>
    <w:p w14:paraId="18A74EB1" w14:textId="77777777" w:rsidR="00FE291A" w:rsidRDefault="00FE291A">
      <w:pPr>
        <w:rPr>
          <w:sz w:val="22"/>
          <w:szCs w:val="22"/>
          <w:lang w:val="de-DE"/>
        </w:rPr>
      </w:pPr>
    </w:p>
    <w:p w14:paraId="65828C67" w14:textId="77777777" w:rsidR="00FE291A" w:rsidRDefault="00C8738F">
      <w:pPr>
        <w:outlineLvl w:val="0"/>
        <w:rPr>
          <w:sz w:val="22"/>
          <w:szCs w:val="22"/>
          <w:lang w:val="de-DE"/>
        </w:rPr>
      </w:pPr>
      <w:r>
        <w:rPr>
          <w:sz w:val="22"/>
          <w:szCs w:val="22"/>
          <w:lang w:val="de-DE"/>
        </w:rPr>
        <w:t>EU/1/16/1164/005</w:t>
      </w:r>
    </w:p>
    <w:p w14:paraId="5C513CC8" w14:textId="77777777" w:rsidR="00FE291A" w:rsidRDefault="00FE291A">
      <w:pPr>
        <w:outlineLvl w:val="0"/>
        <w:rPr>
          <w:sz w:val="22"/>
          <w:szCs w:val="22"/>
          <w:lang w:val="de-DE"/>
        </w:rPr>
      </w:pPr>
    </w:p>
    <w:p w14:paraId="3395BE0B" w14:textId="77777777" w:rsidR="00FE291A" w:rsidRDefault="00FE291A">
      <w:pPr>
        <w:rPr>
          <w:sz w:val="22"/>
          <w:szCs w:val="22"/>
          <w:lang w:val="de-DE"/>
        </w:rPr>
      </w:pPr>
    </w:p>
    <w:p w14:paraId="12A8695E" w14:textId="77777777" w:rsidR="00FE291A" w:rsidRDefault="00C8738F">
      <w:pPr>
        <w:keepNext/>
        <w:numPr>
          <w:ilvl w:val="0"/>
          <w:numId w:val="2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CHARGENBEZEICHNUNG</w:t>
      </w:r>
    </w:p>
    <w:p w14:paraId="61DEE58E" w14:textId="77777777" w:rsidR="00FE291A" w:rsidRDefault="00FE291A">
      <w:pPr>
        <w:rPr>
          <w:i/>
          <w:sz w:val="22"/>
          <w:szCs w:val="22"/>
          <w:lang w:val="de-DE"/>
        </w:rPr>
      </w:pPr>
    </w:p>
    <w:p w14:paraId="3F197172" w14:textId="77777777" w:rsidR="00FE291A" w:rsidRDefault="00C8738F">
      <w:pPr>
        <w:rPr>
          <w:sz w:val="22"/>
          <w:szCs w:val="22"/>
          <w:lang w:val="de-DE"/>
        </w:rPr>
      </w:pPr>
      <w:r>
        <w:rPr>
          <w:sz w:val="22"/>
          <w:szCs w:val="22"/>
          <w:lang w:val="de-DE"/>
        </w:rPr>
        <w:t>Ch.-B.</w:t>
      </w:r>
    </w:p>
    <w:p w14:paraId="4E21FBBA" w14:textId="77777777" w:rsidR="00FE291A" w:rsidRDefault="00FE291A">
      <w:pPr>
        <w:rPr>
          <w:sz w:val="22"/>
          <w:szCs w:val="22"/>
          <w:lang w:val="de-DE"/>
        </w:rPr>
      </w:pPr>
    </w:p>
    <w:p w14:paraId="08C2FC32" w14:textId="77777777" w:rsidR="00FE291A" w:rsidRDefault="00FE291A">
      <w:pPr>
        <w:rPr>
          <w:sz w:val="22"/>
          <w:szCs w:val="22"/>
          <w:lang w:val="de-DE"/>
        </w:rPr>
      </w:pPr>
    </w:p>
    <w:p w14:paraId="3B51B3AD" w14:textId="77777777" w:rsidR="00FE291A" w:rsidRDefault="00C8738F">
      <w:pPr>
        <w:keepNext/>
        <w:numPr>
          <w:ilvl w:val="0"/>
          <w:numId w:val="2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VERKAUFSABGRENZUNG</w:t>
      </w:r>
    </w:p>
    <w:p w14:paraId="4866BF73" w14:textId="77777777" w:rsidR="00FE291A" w:rsidRDefault="00FE291A">
      <w:pPr>
        <w:rPr>
          <w:i/>
          <w:sz w:val="22"/>
          <w:szCs w:val="22"/>
          <w:lang w:val="de-DE"/>
        </w:rPr>
      </w:pPr>
    </w:p>
    <w:p w14:paraId="28CB832F" w14:textId="77777777" w:rsidR="00FE291A" w:rsidRDefault="00FE291A">
      <w:pPr>
        <w:rPr>
          <w:sz w:val="22"/>
          <w:szCs w:val="22"/>
          <w:lang w:val="de-DE"/>
        </w:rPr>
      </w:pPr>
    </w:p>
    <w:p w14:paraId="227464D6" w14:textId="77777777" w:rsidR="00FE291A" w:rsidRDefault="00C8738F">
      <w:pPr>
        <w:keepNext/>
        <w:numPr>
          <w:ilvl w:val="0"/>
          <w:numId w:val="2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HINWEISE FÜR DEN GEBRAUCH</w:t>
      </w:r>
    </w:p>
    <w:p w14:paraId="664D3983" w14:textId="77777777" w:rsidR="00FE291A" w:rsidRDefault="00FE291A">
      <w:pPr>
        <w:rPr>
          <w:sz w:val="22"/>
          <w:szCs w:val="22"/>
          <w:lang w:val="de-DE"/>
        </w:rPr>
      </w:pPr>
    </w:p>
    <w:p w14:paraId="3BA43347" w14:textId="77777777" w:rsidR="00FE291A" w:rsidRDefault="00FE291A">
      <w:pPr>
        <w:rPr>
          <w:sz w:val="22"/>
          <w:szCs w:val="22"/>
          <w:lang w:val="de-DE"/>
        </w:rPr>
      </w:pPr>
    </w:p>
    <w:p w14:paraId="254FF8B8" w14:textId="77777777" w:rsidR="00FE291A" w:rsidRDefault="00C8738F">
      <w:pPr>
        <w:keepNext/>
        <w:numPr>
          <w:ilvl w:val="0"/>
          <w:numId w:val="2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ANGABEN IN BLINDENSCHRIFT</w:t>
      </w:r>
    </w:p>
    <w:p w14:paraId="08058117" w14:textId="77777777" w:rsidR="00FE291A" w:rsidRDefault="00FE291A">
      <w:pPr>
        <w:rPr>
          <w:sz w:val="22"/>
          <w:szCs w:val="22"/>
          <w:lang w:val="de-DE"/>
        </w:rPr>
      </w:pPr>
    </w:p>
    <w:p w14:paraId="56360574" w14:textId="77777777" w:rsidR="00FE291A" w:rsidRDefault="00C8738F">
      <w:pPr>
        <w:rPr>
          <w:sz w:val="22"/>
          <w:szCs w:val="22"/>
          <w:shd w:val="clear" w:color="auto" w:fill="CCCCCC"/>
          <w:lang w:val="de-DE"/>
        </w:rPr>
      </w:pPr>
      <w:r>
        <w:rPr>
          <w:sz w:val="22"/>
          <w:szCs w:val="22"/>
          <w:lang w:val="de-DE"/>
        </w:rPr>
        <w:t>AMGEVITA 40 mg/0,8 ml Spritze</w:t>
      </w:r>
    </w:p>
    <w:p w14:paraId="717C1286" w14:textId="77777777" w:rsidR="00FE291A" w:rsidRDefault="00FE291A">
      <w:pPr>
        <w:rPr>
          <w:sz w:val="22"/>
          <w:szCs w:val="22"/>
          <w:shd w:val="clear" w:color="auto" w:fill="CCCCCC"/>
          <w:lang w:val="de-DE"/>
        </w:rPr>
      </w:pPr>
    </w:p>
    <w:p w14:paraId="3FDF8149" w14:textId="77777777" w:rsidR="00FE291A" w:rsidRDefault="00FE291A">
      <w:pPr>
        <w:rPr>
          <w:sz w:val="22"/>
          <w:szCs w:val="22"/>
          <w:shd w:val="clear" w:color="auto" w:fill="CCCCCC"/>
          <w:lang w:val="de-DE"/>
        </w:rPr>
      </w:pPr>
    </w:p>
    <w:p w14:paraId="7C6FA8DB" w14:textId="77777777" w:rsidR="00FE291A" w:rsidRDefault="00C8738F">
      <w:pPr>
        <w:pBdr>
          <w:top w:val="single" w:sz="4" w:space="1" w:color="auto"/>
          <w:left w:val="single" w:sz="4" w:space="4" w:color="auto"/>
          <w:bottom w:val="single" w:sz="4" w:space="0" w:color="auto"/>
          <w:right w:val="single" w:sz="4" w:space="4" w:color="auto"/>
        </w:pBdr>
        <w:ind w:left="567" w:hanging="567"/>
        <w:rPr>
          <w:i/>
          <w:sz w:val="22"/>
          <w:szCs w:val="22"/>
          <w:lang w:val="de-DE"/>
        </w:rPr>
      </w:pPr>
      <w:r>
        <w:rPr>
          <w:b/>
          <w:sz w:val="22"/>
          <w:szCs w:val="22"/>
          <w:lang w:val="de-DE"/>
        </w:rPr>
        <w:t>17.</w:t>
      </w:r>
      <w:r>
        <w:rPr>
          <w:b/>
          <w:sz w:val="22"/>
          <w:szCs w:val="22"/>
          <w:lang w:val="de-DE"/>
        </w:rPr>
        <w:tab/>
        <w:t>INDIVIDUELLES ERKENNUNGSMERKMAL – 2D-BARCODE</w:t>
      </w:r>
    </w:p>
    <w:p w14:paraId="62ADC381" w14:textId="77777777" w:rsidR="00FE291A" w:rsidRDefault="00FE291A">
      <w:pPr>
        <w:rPr>
          <w:sz w:val="22"/>
          <w:szCs w:val="22"/>
          <w:lang w:val="de-DE"/>
        </w:rPr>
      </w:pPr>
    </w:p>
    <w:p w14:paraId="3F322612" w14:textId="77777777" w:rsidR="00FE291A" w:rsidRDefault="00FE291A">
      <w:pPr>
        <w:rPr>
          <w:sz w:val="22"/>
          <w:szCs w:val="22"/>
          <w:lang w:val="de-DE"/>
        </w:rPr>
      </w:pPr>
    </w:p>
    <w:p w14:paraId="01EB6433" w14:textId="77777777" w:rsidR="00FE291A" w:rsidRDefault="00C8738F">
      <w:pPr>
        <w:pBdr>
          <w:top w:val="single" w:sz="4" w:space="1" w:color="auto"/>
          <w:left w:val="single" w:sz="4" w:space="4" w:color="auto"/>
          <w:bottom w:val="single" w:sz="4" w:space="0" w:color="auto"/>
          <w:right w:val="single" w:sz="4" w:space="4" w:color="auto"/>
        </w:pBdr>
        <w:ind w:left="567" w:hanging="567"/>
        <w:rPr>
          <w:i/>
          <w:sz w:val="22"/>
          <w:szCs w:val="22"/>
          <w:lang w:val="de-DE"/>
        </w:rPr>
      </w:pPr>
      <w:r>
        <w:rPr>
          <w:b/>
          <w:sz w:val="22"/>
          <w:szCs w:val="22"/>
          <w:lang w:val="de-DE"/>
        </w:rPr>
        <w:t>18.</w:t>
      </w:r>
      <w:r>
        <w:rPr>
          <w:b/>
          <w:sz w:val="22"/>
          <w:szCs w:val="22"/>
          <w:lang w:val="de-DE"/>
        </w:rPr>
        <w:tab/>
        <w:t>INDIVIDUELLES ERKENNUNGSMERKMAL – VOM MENSCHEN LESBARES FORMAT</w:t>
      </w:r>
    </w:p>
    <w:p w14:paraId="3E6F9BF8" w14:textId="77777777" w:rsidR="00FE291A" w:rsidRDefault="00FE291A">
      <w:pPr>
        <w:rPr>
          <w:shd w:val="clear" w:color="auto" w:fill="CCCCCC"/>
          <w:lang w:val="de-DE"/>
        </w:rPr>
      </w:pPr>
    </w:p>
    <w:p w14:paraId="5ABF4FB6" w14:textId="77777777" w:rsidR="00FE291A" w:rsidRDefault="00FE291A">
      <w:pPr>
        <w:rPr>
          <w:shd w:val="clear" w:color="auto" w:fill="CCCCCC"/>
          <w:lang w:val="de-DE"/>
        </w:rPr>
      </w:pPr>
    </w:p>
    <w:p w14:paraId="7861E90F" w14:textId="77777777" w:rsidR="00FE291A" w:rsidRDefault="00C8738F">
      <w:pPr>
        <w:widowControl/>
        <w:autoSpaceDE/>
        <w:autoSpaceDN/>
        <w:adjustRightInd/>
        <w:rPr>
          <w:b/>
          <w:sz w:val="22"/>
          <w:szCs w:val="22"/>
          <w:lang w:val="de-DE"/>
        </w:rPr>
      </w:pPr>
      <w:r>
        <w:rPr>
          <w:b/>
          <w:sz w:val="22"/>
          <w:szCs w:val="22"/>
          <w:lang w:val="de-DE"/>
        </w:rPr>
        <w:br w:type="page"/>
      </w:r>
    </w:p>
    <w:p w14:paraId="5F36CC86" w14:textId="77777777" w:rsidR="00FE291A" w:rsidRDefault="00C8738F">
      <w:pPr>
        <w:widowControl/>
        <w:pBdr>
          <w:top w:val="single" w:sz="4" w:space="1" w:color="auto"/>
          <w:left w:val="single" w:sz="4" w:space="4" w:color="auto"/>
          <w:bottom w:val="single" w:sz="4" w:space="1" w:color="auto"/>
          <w:right w:val="single" w:sz="4" w:space="4" w:color="auto"/>
        </w:pBdr>
        <w:rPr>
          <w:b/>
          <w:sz w:val="22"/>
          <w:szCs w:val="22"/>
          <w:lang w:val="de-DE"/>
        </w:rPr>
      </w:pPr>
      <w:r>
        <w:rPr>
          <w:b/>
          <w:sz w:val="22"/>
          <w:szCs w:val="22"/>
          <w:lang w:val="de-DE"/>
        </w:rPr>
        <w:t>MINDESTANGABEN AUF KLEINEN BEHÄLTNISSEN</w:t>
      </w:r>
    </w:p>
    <w:p w14:paraId="5451160F" w14:textId="77777777" w:rsidR="00FE291A" w:rsidRDefault="00FE291A">
      <w:pPr>
        <w:widowControl/>
        <w:pBdr>
          <w:top w:val="single" w:sz="4" w:space="1" w:color="auto"/>
          <w:left w:val="single" w:sz="4" w:space="4" w:color="auto"/>
          <w:bottom w:val="single" w:sz="4" w:space="1" w:color="auto"/>
          <w:right w:val="single" w:sz="4" w:space="4" w:color="auto"/>
        </w:pBdr>
        <w:rPr>
          <w:b/>
          <w:sz w:val="22"/>
          <w:szCs w:val="22"/>
          <w:lang w:val="de-DE"/>
        </w:rPr>
      </w:pPr>
    </w:p>
    <w:p w14:paraId="45C80E12" w14:textId="77777777" w:rsidR="00FE291A" w:rsidRDefault="00C8738F">
      <w:pPr>
        <w:widowControl/>
        <w:pBdr>
          <w:top w:val="single" w:sz="4" w:space="1" w:color="auto"/>
          <w:left w:val="single" w:sz="4" w:space="4" w:color="auto"/>
          <w:bottom w:val="single" w:sz="4" w:space="1" w:color="auto"/>
          <w:right w:val="single" w:sz="4" w:space="4" w:color="auto"/>
        </w:pBdr>
        <w:rPr>
          <w:b/>
          <w:sz w:val="22"/>
          <w:szCs w:val="22"/>
          <w:lang w:val="de-DE"/>
        </w:rPr>
      </w:pPr>
      <w:r>
        <w:rPr>
          <w:b/>
          <w:sz w:val="22"/>
          <w:szCs w:val="22"/>
          <w:lang w:val="de-DE"/>
        </w:rPr>
        <w:t>ETIKETT DER SPRITZE</w:t>
      </w:r>
    </w:p>
    <w:p w14:paraId="26D0B377" w14:textId="77777777" w:rsidR="00FE291A" w:rsidRDefault="00FE291A">
      <w:pPr>
        <w:widowControl/>
        <w:rPr>
          <w:sz w:val="22"/>
          <w:szCs w:val="22"/>
          <w:lang w:val="de-DE"/>
        </w:rPr>
      </w:pPr>
    </w:p>
    <w:p w14:paraId="2F81976D" w14:textId="77777777" w:rsidR="00FE291A" w:rsidRDefault="00FE291A">
      <w:pPr>
        <w:widowControl/>
        <w:rPr>
          <w:sz w:val="22"/>
          <w:szCs w:val="22"/>
          <w:lang w:val="de-DE"/>
        </w:rPr>
      </w:pPr>
    </w:p>
    <w:p w14:paraId="199AF71C" w14:textId="77777777" w:rsidR="00FE291A" w:rsidRDefault="00C8738F">
      <w:pPr>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BEZEICHNUNG DES ARZNEIMITTELS SOWIE ART(EN) DER ANWENDUNG</w:t>
      </w:r>
    </w:p>
    <w:p w14:paraId="69069DB9" w14:textId="77777777" w:rsidR="00FE291A" w:rsidRDefault="00FE291A">
      <w:pPr>
        <w:widowControl/>
        <w:ind w:left="567" w:hanging="567"/>
        <w:rPr>
          <w:sz w:val="22"/>
          <w:szCs w:val="22"/>
          <w:lang w:val="de-DE"/>
        </w:rPr>
      </w:pPr>
    </w:p>
    <w:p w14:paraId="3DDDB705" w14:textId="77777777" w:rsidR="00FE291A" w:rsidRPr="00C85130" w:rsidRDefault="00C8738F">
      <w:pPr>
        <w:widowControl/>
        <w:rPr>
          <w:sz w:val="22"/>
          <w:szCs w:val="22"/>
          <w:lang w:val="de-DE"/>
          <w:rPrChange w:id="67" w:author="Author">
            <w:rPr>
              <w:sz w:val="22"/>
              <w:szCs w:val="22"/>
              <w:lang w:val="es-ES"/>
            </w:rPr>
          </w:rPrChange>
        </w:rPr>
      </w:pPr>
      <w:r w:rsidRPr="00C85130">
        <w:rPr>
          <w:sz w:val="22"/>
          <w:szCs w:val="22"/>
          <w:lang w:val="de-DE"/>
          <w:rPrChange w:id="68" w:author="Author">
            <w:rPr>
              <w:sz w:val="22"/>
              <w:szCs w:val="22"/>
              <w:lang w:val="es-ES"/>
            </w:rPr>
          </w:rPrChange>
        </w:rPr>
        <w:t>AMGEVITA 40 mg Injektion</w:t>
      </w:r>
    </w:p>
    <w:p w14:paraId="7DC31B78" w14:textId="77777777" w:rsidR="00FE291A" w:rsidRPr="00C85130" w:rsidRDefault="00C8738F">
      <w:pPr>
        <w:widowControl/>
        <w:rPr>
          <w:sz w:val="22"/>
          <w:szCs w:val="22"/>
          <w:lang w:val="de-DE"/>
          <w:rPrChange w:id="69" w:author="Author">
            <w:rPr>
              <w:sz w:val="22"/>
              <w:szCs w:val="22"/>
              <w:lang w:val="es-ES"/>
            </w:rPr>
          </w:rPrChange>
        </w:rPr>
      </w:pPr>
      <w:r w:rsidRPr="00C85130">
        <w:rPr>
          <w:sz w:val="22"/>
          <w:szCs w:val="22"/>
          <w:lang w:val="de-DE"/>
          <w:rPrChange w:id="70" w:author="Author">
            <w:rPr>
              <w:sz w:val="22"/>
              <w:szCs w:val="22"/>
              <w:lang w:val="es-ES"/>
            </w:rPr>
          </w:rPrChange>
        </w:rPr>
        <w:t>Adalimumab</w:t>
      </w:r>
    </w:p>
    <w:p w14:paraId="4101D6EF" w14:textId="77777777" w:rsidR="00FE291A" w:rsidRPr="00C85130" w:rsidRDefault="00C8738F">
      <w:pPr>
        <w:widowControl/>
        <w:rPr>
          <w:sz w:val="22"/>
          <w:szCs w:val="22"/>
          <w:lang w:val="de-DE"/>
          <w:rPrChange w:id="71" w:author="Author">
            <w:rPr>
              <w:sz w:val="22"/>
              <w:szCs w:val="22"/>
              <w:lang w:val="es-ES"/>
            </w:rPr>
          </w:rPrChange>
        </w:rPr>
      </w:pPr>
      <w:r w:rsidRPr="00C85130">
        <w:rPr>
          <w:sz w:val="22"/>
          <w:szCs w:val="22"/>
          <w:lang w:val="de-DE"/>
          <w:rPrChange w:id="72" w:author="Author">
            <w:rPr>
              <w:sz w:val="22"/>
              <w:szCs w:val="22"/>
              <w:lang w:val="es-ES"/>
            </w:rPr>
          </w:rPrChange>
        </w:rPr>
        <w:t>s.c.</w:t>
      </w:r>
    </w:p>
    <w:p w14:paraId="7E9F70E7" w14:textId="77777777" w:rsidR="00FE291A" w:rsidRPr="00C85130" w:rsidRDefault="00FE291A">
      <w:pPr>
        <w:widowControl/>
        <w:rPr>
          <w:sz w:val="22"/>
          <w:szCs w:val="22"/>
          <w:lang w:val="de-DE"/>
          <w:rPrChange w:id="73" w:author="Author">
            <w:rPr>
              <w:sz w:val="22"/>
              <w:szCs w:val="22"/>
              <w:lang w:val="es-ES"/>
            </w:rPr>
          </w:rPrChange>
        </w:rPr>
      </w:pPr>
    </w:p>
    <w:p w14:paraId="45BB4534" w14:textId="77777777" w:rsidR="00FE291A" w:rsidRPr="00C85130" w:rsidRDefault="00FE291A">
      <w:pPr>
        <w:widowControl/>
        <w:rPr>
          <w:sz w:val="22"/>
          <w:szCs w:val="22"/>
          <w:lang w:val="de-DE"/>
          <w:rPrChange w:id="74" w:author="Author">
            <w:rPr>
              <w:sz w:val="22"/>
              <w:szCs w:val="22"/>
              <w:lang w:val="es-ES"/>
            </w:rPr>
          </w:rPrChange>
        </w:rPr>
      </w:pPr>
    </w:p>
    <w:p w14:paraId="3C5ABC53" w14:textId="77777777" w:rsidR="00FE291A" w:rsidRDefault="00C8738F">
      <w:pPr>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HINWEISE ZUR ANWENDUNG</w:t>
      </w:r>
    </w:p>
    <w:p w14:paraId="7FF78D39" w14:textId="77777777" w:rsidR="00FE291A" w:rsidRDefault="00FE291A">
      <w:pPr>
        <w:widowControl/>
        <w:rPr>
          <w:sz w:val="22"/>
          <w:szCs w:val="22"/>
          <w:lang w:val="de-DE"/>
        </w:rPr>
      </w:pPr>
    </w:p>
    <w:p w14:paraId="56F1B213" w14:textId="77777777" w:rsidR="00FE291A" w:rsidRDefault="00FE291A">
      <w:pPr>
        <w:widowControl/>
        <w:rPr>
          <w:sz w:val="22"/>
          <w:szCs w:val="22"/>
          <w:lang w:val="de-DE"/>
        </w:rPr>
      </w:pPr>
    </w:p>
    <w:p w14:paraId="1149722D" w14:textId="77777777" w:rsidR="00FE291A" w:rsidRDefault="00C8738F">
      <w:pPr>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VERFALLDATUM</w:t>
      </w:r>
    </w:p>
    <w:p w14:paraId="49ADD1B5" w14:textId="77777777" w:rsidR="00FE291A" w:rsidRDefault="00FE291A">
      <w:pPr>
        <w:widowControl/>
        <w:rPr>
          <w:sz w:val="22"/>
          <w:szCs w:val="22"/>
          <w:lang w:val="de-DE"/>
        </w:rPr>
      </w:pPr>
    </w:p>
    <w:p w14:paraId="2C52F0C9" w14:textId="77777777" w:rsidR="00FE291A" w:rsidRDefault="00C8738F">
      <w:pPr>
        <w:widowControl/>
        <w:rPr>
          <w:sz w:val="22"/>
          <w:szCs w:val="22"/>
          <w:lang w:val="de-DE"/>
        </w:rPr>
      </w:pPr>
      <w:r>
        <w:rPr>
          <w:sz w:val="22"/>
          <w:szCs w:val="22"/>
          <w:lang w:val="de-DE"/>
        </w:rPr>
        <w:t>EXP</w:t>
      </w:r>
    </w:p>
    <w:p w14:paraId="04EC154E" w14:textId="77777777" w:rsidR="00FE291A" w:rsidRDefault="00FE291A">
      <w:pPr>
        <w:widowControl/>
        <w:rPr>
          <w:sz w:val="22"/>
          <w:szCs w:val="22"/>
          <w:lang w:val="de-DE"/>
        </w:rPr>
      </w:pPr>
    </w:p>
    <w:p w14:paraId="6FFA1358" w14:textId="77777777" w:rsidR="00FE291A" w:rsidRDefault="00FE291A">
      <w:pPr>
        <w:widowControl/>
        <w:rPr>
          <w:sz w:val="22"/>
          <w:szCs w:val="22"/>
          <w:lang w:val="de-DE"/>
        </w:rPr>
      </w:pPr>
    </w:p>
    <w:p w14:paraId="67C51825" w14:textId="77777777" w:rsidR="00FE291A" w:rsidRDefault="00C8738F">
      <w:pPr>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CHARGENBEZEICHNUNG</w:t>
      </w:r>
    </w:p>
    <w:p w14:paraId="0F3C22FA" w14:textId="77777777" w:rsidR="00FE291A" w:rsidRDefault="00FE291A">
      <w:pPr>
        <w:widowControl/>
        <w:ind w:right="113"/>
        <w:rPr>
          <w:sz w:val="22"/>
          <w:szCs w:val="22"/>
          <w:lang w:val="de-DE"/>
        </w:rPr>
      </w:pPr>
    </w:p>
    <w:p w14:paraId="11169B01" w14:textId="77777777" w:rsidR="00FE291A" w:rsidRDefault="00C8738F">
      <w:pPr>
        <w:widowControl/>
        <w:ind w:right="113"/>
        <w:rPr>
          <w:sz w:val="22"/>
          <w:szCs w:val="22"/>
          <w:lang w:val="de-DE"/>
        </w:rPr>
      </w:pPr>
      <w:r>
        <w:rPr>
          <w:sz w:val="22"/>
          <w:szCs w:val="22"/>
          <w:lang w:val="de-DE"/>
        </w:rPr>
        <w:t>Lot</w:t>
      </w:r>
    </w:p>
    <w:p w14:paraId="2B452219" w14:textId="77777777" w:rsidR="00FE291A" w:rsidRDefault="00FE291A">
      <w:pPr>
        <w:widowControl/>
        <w:ind w:right="113"/>
        <w:rPr>
          <w:sz w:val="22"/>
          <w:szCs w:val="22"/>
          <w:lang w:val="de-DE"/>
        </w:rPr>
      </w:pPr>
    </w:p>
    <w:p w14:paraId="1639DD6B" w14:textId="77777777" w:rsidR="00FE291A" w:rsidRDefault="00FE291A">
      <w:pPr>
        <w:widowControl/>
        <w:ind w:right="113"/>
        <w:rPr>
          <w:sz w:val="22"/>
          <w:szCs w:val="22"/>
          <w:lang w:val="de-DE"/>
        </w:rPr>
      </w:pPr>
    </w:p>
    <w:p w14:paraId="44F01E86" w14:textId="77777777" w:rsidR="00FE291A" w:rsidRDefault="00C8738F">
      <w:pPr>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INHALT NACH GEWICHT, VOLUMEN ODER EINHEITEN</w:t>
      </w:r>
    </w:p>
    <w:p w14:paraId="4ACFCD8D" w14:textId="77777777" w:rsidR="00FE291A" w:rsidRDefault="00FE291A">
      <w:pPr>
        <w:widowControl/>
        <w:ind w:right="113"/>
        <w:rPr>
          <w:sz w:val="22"/>
          <w:szCs w:val="22"/>
          <w:lang w:val="de-DE"/>
        </w:rPr>
      </w:pPr>
    </w:p>
    <w:p w14:paraId="210D7005" w14:textId="77777777" w:rsidR="00FE291A" w:rsidRDefault="00C8738F">
      <w:pPr>
        <w:widowControl/>
        <w:ind w:right="113"/>
        <w:rPr>
          <w:sz w:val="22"/>
          <w:szCs w:val="22"/>
          <w:lang w:val="de-DE"/>
        </w:rPr>
      </w:pPr>
      <w:r>
        <w:rPr>
          <w:sz w:val="22"/>
          <w:szCs w:val="22"/>
          <w:lang w:val="de-DE"/>
        </w:rPr>
        <w:t>0,8 ml</w:t>
      </w:r>
    </w:p>
    <w:p w14:paraId="1B8F2278" w14:textId="77777777" w:rsidR="00FE291A" w:rsidRDefault="00FE291A">
      <w:pPr>
        <w:widowControl/>
        <w:ind w:right="113"/>
        <w:rPr>
          <w:sz w:val="22"/>
          <w:szCs w:val="22"/>
          <w:lang w:val="de-DE"/>
        </w:rPr>
      </w:pPr>
    </w:p>
    <w:p w14:paraId="5D2A2757" w14:textId="77777777" w:rsidR="00FE291A" w:rsidRDefault="00FE291A">
      <w:pPr>
        <w:widowControl/>
        <w:ind w:right="113"/>
        <w:rPr>
          <w:sz w:val="22"/>
          <w:szCs w:val="22"/>
          <w:lang w:val="de-DE"/>
        </w:rPr>
      </w:pPr>
    </w:p>
    <w:p w14:paraId="353414F7" w14:textId="77777777" w:rsidR="00FE291A" w:rsidRDefault="00C8738F">
      <w:pPr>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WEITERE ANGABEN</w:t>
      </w:r>
    </w:p>
    <w:p w14:paraId="2A1511D6" w14:textId="77777777" w:rsidR="00FE291A" w:rsidRDefault="00FE291A">
      <w:pPr>
        <w:widowControl/>
        <w:ind w:right="113"/>
        <w:rPr>
          <w:sz w:val="22"/>
          <w:szCs w:val="22"/>
          <w:lang w:val="de-DE"/>
        </w:rPr>
      </w:pPr>
    </w:p>
    <w:p w14:paraId="055A0AE0" w14:textId="77777777" w:rsidR="00FE291A" w:rsidRDefault="00FE291A">
      <w:pPr>
        <w:widowControl/>
        <w:ind w:right="113"/>
        <w:rPr>
          <w:sz w:val="22"/>
          <w:szCs w:val="22"/>
          <w:lang w:val="de-DE"/>
        </w:rPr>
      </w:pPr>
    </w:p>
    <w:p w14:paraId="6A5FD577" w14:textId="77777777" w:rsidR="00FE291A" w:rsidRDefault="00FE291A">
      <w:pPr>
        <w:widowControl/>
        <w:ind w:right="113"/>
        <w:rPr>
          <w:sz w:val="22"/>
          <w:szCs w:val="22"/>
          <w:lang w:val="de-DE"/>
        </w:rPr>
      </w:pPr>
    </w:p>
    <w:p w14:paraId="798D28DE" w14:textId="77777777" w:rsidR="00FE291A" w:rsidRDefault="00C8738F">
      <w:pPr>
        <w:widowControl/>
        <w:pBdr>
          <w:top w:val="single" w:sz="4" w:space="1" w:color="auto"/>
          <w:left w:val="single" w:sz="4" w:space="4" w:color="auto"/>
          <w:bottom w:val="single" w:sz="4" w:space="1" w:color="auto"/>
          <w:right w:val="single" w:sz="4" w:space="4" w:color="auto"/>
        </w:pBdr>
        <w:outlineLvl w:val="0"/>
        <w:rPr>
          <w:b/>
          <w:sz w:val="22"/>
          <w:szCs w:val="22"/>
          <w:lang w:val="de-DE"/>
        </w:rPr>
      </w:pPr>
      <w:r>
        <w:rPr>
          <w:sz w:val="22"/>
          <w:szCs w:val="22"/>
          <w:lang w:val="de-DE"/>
        </w:rPr>
        <w:br w:type="page"/>
      </w:r>
      <w:r>
        <w:rPr>
          <w:b/>
          <w:sz w:val="22"/>
          <w:szCs w:val="22"/>
          <w:lang w:val="de-DE"/>
        </w:rPr>
        <w:t>ANGABEN AUF DER ÄUSSEREN UMHÜLLUNG</w:t>
      </w:r>
    </w:p>
    <w:p w14:paraId="3765C968" w14:textId="77777777" w:rsidR="00FE291A" w:rsidRDefault="00FE291A">
      <w:pPr>
        <w:widowControl/>
        <w:pBdr>
          <w:top w:val="single" w:sz="4" w:space="1" w:color="auto"/>
          <w:left w:val="single" w:sz="4" w:space="4" w:color="auto"/>
          <w:bottom w:val="single" w:sz="4" w:space="1" w:color="auto"/>
          <w:right w:val="single" w:sz="4" w:space="4" w:color="auto"/>
        </w:pBdr>
        <w:ind w:left="567" w:hanging="567"/>
        <w:rPr>
          <w:sz w:val="22"/>
          <w:szCs w:val="22"/>
          <w:lang w:val="de-DE"/>
        </w:rPr>
      </w:pPr>
    </w:p>
    <w:p w14:paraId="56EC5EE4" w14:textId="77777777" w:rsidR="00FE291A" w:rsidRDefault="00C8738F">
      <w:pPr>
        <w:widowControl/>
        <w:pBdr>
          <w:top w:val="single" w:sz="4" w:space="1" w:color="auto"/>
          <w:left w:val="single" w:sz="4" w:space="4" w:color="auto"/>
          <w:bottom w:val="single" w:sz="4" w:space="1" w:color="auto"/>
          <w:right w:val="single" w:sz="4" w:space="4" w:color="auto"/>
        </w:pBdr>
        <w:rPr>
          <w:sz w:val="22"/>
          <w:szCs w:val="22"/>
          <w:lang w:val="de-DE"/>
        </w:rPr>
      </w:pPr>
      <w:r>
        <w:rPr>
          <w:b/>
          <w:sz w:val="22"/>
          <w:szCs w:val="22"/>
          <w:lang w:val="de-DE"/>
        </w:rPr>
        <w:t>KARTON FÜR DEN FERTIGPEN</w:t>
      </w:r>
    </w:p>
    <w:p w14:paraId="45012EF0" w14:textId="77777777" w:rsidR="00FE291A" w:rsidRDefault="00FE291A">
      <w:pPr>
        <w:widowControl/>
        <w:rPr>
          <w:sz w:val="22"/>
          <w:szCs w:val="22"/>
          <w:lang w:val="de-DE"/>
        </w:rPr>
      </w:pPr>
    </w:p>
    <w:p w14:paraId="59728C6C" w14:textId="77777777" w:rsidR="00FE291A" w:rsidRDefault="00FE291A">
      <w:pPr>
        <w:widowControl/>
        <w:rPr>
          <w:sz w:val="22"/>
          <w:szCs w:val="22"/>
          <w:lang w:val="de-DE"/>
        </w:rPr>
      </w:pPr>
    </w:p>
    <w:p w14:paraId="1A81DFE8" w14:textId="77777777" w:rsidR="00FE291A" w:rsidRDefault="00C8738F">
      <w:pPr>
        <w:keepNext/>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BEZEICHNUNG DES ARZNEIMITTELS</w:t>
      </w:r>
    </w:p>
    <w:p w14:paraId="03778480" w14:textId="77777777" w:rsidR="00FE291A" w:rsidRDefault="00FE291A">
      <w:pPr>
        <w:keepNext/>
        <w:widowControl/>
        <w:rPr>
          <w:sz w:val="22"/>
          <w:szCs w:val="22"/>
          <w:lang w:val="de-DE"/>
        </w:rPr>
      </w:pPr>
    </w:p>
    <w:p w14:paraId="1B22E557" w14:textId="77777777" w:rsidR="00FE291A" w:rsidRDefault="00C8738F">
      <w:pPr>
        <w:widowControl/>
        <w:rPr>
          <w:sz w:val="22"/>
          <w:szCs w:val="22"/>
          <w:lang w:val="de-DE"/>
        </w:rPr>
      </w:pPr>
      <w:r>
        <w:rPr>
          <w:sz w:val="22"/>
          <w:szCs w:val="22"/>
          <w:lang w:val="de-DE"/>
        </w:rPr>
        <w:t>AMGEVITA 40 mg Injektionslösung im Fertigpen</w:t>
      </w:r>
    </w:p>
    <w:p w14:paraId="24C4EEFB" w14:textId="77777777" w:rsidR="00FE291A" w:rsidRDefault="00C8738F">
      <w:pPr>
        <w:widowControl/>
        <w:rPr>
          <w:b/>
          <w:sz w:val="22"/>
          <w:szCs w:val="22"/>
          <w:lang w:val="de-DE"/>
        </w:rPr>
      </w:pPr>
      <w:r>
        <w:rPr>
          <w:sz w:val="22"/>
          <w:szCs w:val="22"/>
          <w:lang w:val="de-DE"/>
        </w:rPr>
        <w:t>Adalimumab</w:t>
      </w:r>
    </w:p>
    <w:p w14:paraId="3210EBC0" w14:textId="77777777" w:rsidR="00FE291A" w:rsidRDefault="00FE291A">
      <w:pPr>
        <w:widowControl/>
        <w:rPr>
          <w:sz w:val="22"/>
          <w:szCs w:val="22"/>
          <w:lang w:val="de-DE"/>
        </w:rPr>
      </w:pPr>
    </w:p>
    <w:p w14:paraId="4E30F30D" w14:textId="77777777" w:rsidR="00FE291A" w:rsidRDefault="00FE291A">
      <w:pPr>
        <w:widowControl/>
        <w:rPr>
          <w:sz w:val="22"/>
          <w:szCs w:val="22"/>
          <w:lang w:val="de-DE"/>
        </w:rPr>
      </w:pPr>
    </w:p>
    <w:p w14:paraId="46E90C72" w14:textId="77777777" w:rsidR="00FE291A" w:rsidRDefault="00C8738F">
      <w:pPr>
        <w:keepNext/>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WIRKSTOFF</w:t>
      </w:r>
    </w:p>
    <w:p w14:paraId="758F3944" w14:textId="77777777" w:rsidR="00FE291A" w:rsidRDefault="00FE291A">
      <w:pPr>
        <w:keepNext/>
        <w:widowControl/>
        <w:rPr>
          <w:sz w:val="22"/>
          <w:szCs w:val="22"/>
          <w:lang w:val="de-DE"/>
        </w:rPr>
      </w:pPr>
    </w:p>
    <w:p w14:paraId="1294ED54" w14:textId="77777777" w:rsidR="00FE291A" w:rsidRDefault="00C8738F">
      <w:pPr>
        <w:widowControl/>
        <w:rPr>
          <w:sz w:val="22"/>
          <w:szCs w:val="22"/>
          <w:lang w:val="de-DE"/>
        </w:rPr>
      </w:pPr>
      <w:r>
        <w:rPr>
          <w:sz w:val="22"/>
          <w:szCs w:val="22"/>
          <w:lang w:val="de-DE"/>
        </w:rPr>
        <w:t>Jeder Fertigpen enthält 40 mg Adalimumab in 0,8 ml Lösung.</w:t>
      </w:r>
    </w:p>
    <w:p w14:paraId="76615A4C" w14:textId="77777777" w:rsidR="00FE291A" w:rsidRDefault="00FE291A">
      <w:pPr>
        <w:widowControl/>
        <w:rPr>
          <w:sz w:val="22"/>
          <w:szCs w:val="22"/>
          <w:lang w:val="de-DE"/>
        </w:rPr>
      </w:pPr>
    </w:p>
    <w:p w14:paraId="0FD20AF3" w14:textId="77777777" w:rsidR="00FE291A" w:rsidRDefault="00FE291A">
      <w:pPr>
        <w:widowControl/>
        <w:rPr>
          <w:sz w:val="22"/>
          <w:szCs w:val="22"/>
          <w:lang w:val="de-DE"/>
        </w:rPr>
      </w:pPr>
    </w:p>
    <w:p w14:paraId="07FAD124" w14:textId="77777777" w:rsidR="00FE291A" w:rsidRDefault="00C8738F">
      <w:pPr>
        <w:keepNext/>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SONSTIGE BESTANDTEILE</w:t>
      </w:r>
    </w:p>
    <w:p w14:paraId="3C3602C8" w14:textId="77777777" w:rsidR="00FE291A" w:rsidRDefault="00FE291A">
      <w:pPr>
        <w:widowControl/>
        <w:rPr>
          <w:sz w:val="22"/>
          <w:szCs w:val="22"/>
          <w:lang w:val="de-DE"/>
        </w:rPr>
      </w:pPr>
    </w:p>
    <w:p w14:paraId="7F158F0A" w14:textId="77777777" w:rsidR="00FE291A" w:rsidRDefault="00C8738F">
      <w:pPr>
        <w:widowControl/>
        <w:rPr>
          <w:sz w:val="22"/>
          <w:szCs w:val="22"/>
          <w:lang w:val="de-DE"/>
        </w:rPr>
      </w:pPr>
      <w:r>
        <w:rPr>
          <w:sz w:val="22"/>
          <w:szCs w:val="22"/>
          <w:lang w:val="de-DE"/>
        </w:rPr>
        <w:t>Essigsäure 99 %, Saccharose, Polysorbat 80, Natriumhydroxid und Wasser für Injektionszwecke.</w:t>
      </w:r>
    </w:p>
    <w:p w14:paraId="791D7169" w14:textId="77777777" w:rsidR="00FE291A" w:rsidRDefault="00FE291A">
      <w:pPr>
        <w:widowControl/>
        <w:rPr>
          <w:sz w:val="22"/>
          <w:szCs w:val="22"/>
          <w:lang w:val="de-DE"/>
        </w:rPr>
      </w:pPr>
    </w:p>
    <w:p w14:paraId="7994AFDE" w14:textId="77777777" w:rsidR="00FE291A" w:rsidRDefault="00FE291A">
      <w:pPr>
        <w:widowControl/>
        <w:rPr>
          <w:sz w:val="22"/>
          <w:szCs w:val="22"/>
          <w:lang w:val="de-DE"/>
        </w:rPr>
      </w:pPr>
    </w:p>
    <w:p w14:paraId="582BD90C" w14:textId="77777777" w:rsidR="00FE291A" w:rsidRDefault="00C8738F">
      <w:pPr>
        <w:keepNext/>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DARREICHUNGSFORM UND INHALT</w:t>
      </w:r>
    </w:p>
    <w:p w14:paraId="253295E0" w14:textId="77777777" w:rsidR="00FE291A" w:rsidRDefault="00FE291A">
      <w:pPr>
        <w:widowControl/>
        <w:rPr>
          <w:sz w:val="22"/>
          <w:szCs w:val="22"/>
          <w:lang w:val="de-DE"/>
        </w:rPr>
      </w:pPr>
    </w:p>
    <w:p w14:paraId="20AC7729" w14:textId="77777777" w:rsidR="00FE291A" w:rsidRDefault="00C8738F">
      <w:pPr>
        <w:widowControl/>
        <w:rPr>
          <w:sz w:val="22"/>
          <w:szCs w:val="22"/>
          <w:lang w:val="de-DE"/>
        </w:rPr>
      </w:pPr>
      <w:r>
        <w:rPr>
          <w:sz w:val="22"/>
          <w:szCs w:val="22"/>
          <w:highlight w:val="lightGray"/>
          <w:lang w:val="de-DE"/>
        </w:rPr>
        <w:t>Injektionslösung</w:t>
      </w:r>
    </w:p>
    <w:p w14:paraId="13642FFF" w14:textId="77777777" w:rsidR="00FE291A" w:rsidRDefault="00C8738F">
      <w:pPr>
        <w:widowControl/>
        <w:rPr>
          <w:sz w:val="22"/>
          <w:szCs w:val="22"/>
          <w:lang w:val="de-DE"/>
        </w:rPr>
      </w:pPr>
      <w:r>
        <w:rPr>
          <w:sz w:val="22"/>
          <w:szCs w:val="22"/>
          <w:lang w:val="de-DE"/>
        </w:rPr>
        <w:t>40 mg/0,8 ml</w:t>
      </w:r>
    </w:p>
    <w:p w14:paraId="059203C9" w14:textId="77777777" w:rsidR="00FE291A" w:rsidRDefault="00C8738F">
      <w:pPr>
        <w:widowControl/>
        <w:rPr>
          <w:sz w:val="22"/>
          <w:szCs w:val="22"/>
          <w:lang w:val="de-DE"/>
        </w:rPr>
      </w:pPr>
      <w:r>
        <w:rPr>
          <w:sz w:val="22"/>
          <w:szCs w:val="22"/>
          <w:lang w:val="de-DE"/>
        </w:rPr>
        <w:t>1 SureClick Fertigpen.</w:t>
      </w:r>
    </w:p>
    <w:p w14:paraId="4DA7E7B2" w14:textId="77777777" w:rsidR="00FE291A" w:rsidRDefault="00C8738F">
      <w:pPr>
        <w:widowControl/>
        <w:rPr>
          <w:sz w:val="22"/>
          <w:szCs w:val="22"/>
          <w:highlight w:val="lightGray"/>
          <w:lang w:val="de-DE"/>
        </w:rPr>
      </w:pPr>
      <w:r>
        <w:rPr>
          <w:sz w:val="22"/>
          <w:szCs w:val="22"/>
          <w:highlight w:val="lightGray"/>
          <w:lang w:val="de-DE"/>
        </w:rPr>
        <w:t>2 SureClick Fertigpens.</w:t>
      </w:r>
    </w:p>
    <w:p w14:paraId="3D7081EA" w14:textId="77777777" w:rsidR="00FE291A" w:rsidRDefault="00C8738F">
      <w:pPr>
        <w:widowControl/>
        <w:rPr>
          <w:sz w:val="22"/>
          <w:szCs w:val="22"/>
          <w:highlight w:val="lightGray"/>
          <w:lang w:val="de-DE"/>
        </w:rPr>
      </w:pPr>
      <w:r>
        <w:rPr>
          <w:sz w:val="22"/>
          <w:szCs w:val="22"/>
          <w:highlight w:val="lightGray"/>
          <w:lang w:val="de-DE"/>
        </w:rPr>
        <w:t>4 SureClick Fertigpens.</w:t>
      </w:r>
    </w:p>
    <w:p w14:paraId="2034B737" w14:textId="77777777" w:rsidR="00FE291A" w:rsidRDefault="00FE291A">
      <w:pPr>
        <w:widowControl/>
        <w:rPr>
          <w:sz w:val="22"/>
          <w:szCs w:val="22"/>
          <w:lang w:val="de-DE"/>
        </w:rPr>
      </w:pPr>
    </w:p>
    <w:p w14:paraId="21657E37" w14:textId="77777777" w:rsidR="00FE291A" w:rsidRDefault="00FE291A">
      <w:pPr>
        <w:widowControl/>
        <w:rPr>
          <w:sz w:val="22"/>
          <w:szCs w:val="22"/>
          <w:lang w:val="de-DE"/>
        </w:rPr>
      </w:pPr>
    </w:p>
    <w:p w14:paraId="4DA7D786" w14:textId="77777777" w:rsidR="00FE291A" w:rsidRDefault="00C8738F">
      <w:pPr>
        <w:keepNext/>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HINWEISE ZUR UND ART(EN) DER ANWENDUNG</w:t>
      </w:r>
    </w:p>
    <w:p w14:paraId="3B041DD3" w14:textId="77777777" w:rsidR="00FE291A" w:rsidRDefault="00FE291A">
      <w:pPr>
        <w:keepNext/>
        <w:widowControl/>
        <w:rPr>
          <w:sz w:val="22"/>
          <w:szCs w:val="22"/>
          <w:lang w:val="de-DE"/>
        </w:rPr>
      </w:pPr>
    </w:p>
    <w:p w14:paraId="27F901F1" w14:textId="77777777" w:rsidR="00FE291A" w:rsidRDefault="00C8738F">
      <w:pPr>
        <w:widowControl/>
        <w:rPr>
          <w:sz w:val="22"/>
          <w:szCs w:val="22"/>
          <w:lang w:val="de-DE"/>
        </w:rPr>
      </w:pPr>
      <w:r>
        <w:rPr>
          <w:sz w:val="22"/>
          <w:szCs w:val="22"/>
          <w:lang w:val="de-DE"/>
        </w:rPr>
        <w:t>Zur subkutanen Anwendung.</w:t>
      </w:r>
    </w:p>
    <w:p w14:paraId="16CC4FAC" w14:textId="77777777" w:rsidR="00FE291A" w:rsidRDefault="00C8738F">
      <w:pPr>
        <w:widowControl/>
        <w:rPr>
          <w:sz w:val="22"/>
          <w:szCs w:val="22"/>
          <w:lang w:val="de-DE"/>
        </w:rPr>
      </w:pPr>
      <w:r>
        <w:rPr>
          <w:sz w:val="22"/>
          <w:szCs w:val="22"/>
          <w:lang w:val="de-DE"/>
        </w:rPr>
        <w:t>Packungsbeilage beachten.</w:t>
      </w:r>
    </w:p>
    <w:p w14:paraId="37193A26" w14:textId="77777777" w:rsidR="00FE291A" w:rsidRDefault="00C8738F">
      <w:pPr>
        <w:widowControl/>
        <w:rPr>
          <w:sz w:val="22"/>
          <w:szCs w:val="22"/>
          <w:lang w:val="de-DE"/>
        </w:rPr>
      </w:pPr>
      <w:r>
        <w:rPr>
          <w:sz w:val="22"/>
          <w:szCs w:val="22"/>
          <w:lang w:val="de-DE"/>
        </w:rPr>
        <w:t>Nur zum Einmalgebrauch.</w:t>
      </w:r>
    </w:p>
    <w:p w14:paraId="5DD89447" w14:textId="77777777" w:rsidR="00FE291A" w:rsidRDefault="00FE291A">
      <w:pPr>
        <w:widowControl/>
        <w:rPr>
          <w:sz w:val="22"/>
          <w:szCs w:val="22"/>
          <w:lang w:val="de-DE"/>
        </w:rPr>
      </w:pPr>
    </w:p>
    <w:p w14:paraId="58BD44C7" w14:textId="77777777" w:rsidR="00FE291A" w:rsidRDefault="00FE291A">
      <w:pPr>
        <w:widowControl/>
        <w:rPr>
          <w:sz w:val="22"/>
          <w:szCs w:val="22"/>
          <w:lang w:val="de-DE"/>
        </w:rPr>
      </w:pPr>
    </w:p>
    <w:p w14:paraId="70047017" w14:textId="77777777" w:rsidR="00FE291A" w:rsidRDefault="00C8738F">
      <w:pPr>
        <w:keepNext/>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WARNHINWEIS, DASS DAS ARZNEIMITTEL FÜR KINDER UNZUGÄNGLICH AUFZUBEWAHREN IST</w:t>
      </w:r>
    </w:p>
    <w:p w14:paraId="754D0E79" w14:textId="77777777" w:rsidR="00FE291A" w:rsidRDefault="00FE291A">
      <w:pPr>
        <w:keepNext/>
        <w:widowControl/>
        <w:rPr>
          <w:sz w:val="22"/>
          <w:szCs w:val="22"/>
          <w:lang w:val="de-DE"/>
        </w:rPr>
      </w:pPr>
    </w:p>
    <w:p w14:paraId="28313C5B" w14:textId="77777777" w:rsidR="00FE291A" w:rsidRDefault="00C8738F">
      <w:pPr>
        <w:widowControl/>
        <w:outlineLvl w:val="0"/>
        <w:rPr>
          <w:sz w:val="22"/>
          <w:szCs w:val="22"/>
          <w:lang w:val="de-DE"/>
        </w:rPr>
      </w:pPr>
      <w:r>
        <w:rPr>
          <w:sz w:val="22"/>
          <w:szCs w:val="22"/>
          <w:lang w:val="de-DE"/>
        </w:rPr>
        <w:t>Arzneimittel für Kinder unzugänglich aufbewahren.</w:t>
      </w:r>
    </w:p>
    <w:p w14:paraId="03E54767" w14:textId="77777777" w:rsidR="00FE291A" w:rsidRDefault="00FE291A">
      <w:pPr>
        <w:widowControl/>
        <w:rPr>
          <w:sz w:val="22"/>
          <w:szCs w:val="22"/>
          <w:lang w:val="de-DE"/>
        </w:rPr>
      </w:pPr>
    </w:p>
    <w:p w14:paraId="0DF0F3D1" w14:textId="77777777" w:rsidR="00FE291A" w:rsidRDefault="00FE291A">
      <w:pPr>
        <w:widowControl/>
        <w:rPr>
          <w:sz w:val="22"/>
          <w:szCs w:val="22"/>
          <w:lang w:val="de-DE"/>
        </w:rPr>
      </w:pPr>
    </w:p>
    <w:p w14:paraId="6FC651A5" w14:textId="77777777" w:rsidR="00FE291A" w:rsidRDefault="00C8738F">
      <w:pPr>
        <w:keepNext/>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WEITERE WARNHINWEISE, FALLS ERFORDERLICH</w:t>
      </w:r>
    </w:p>
    <w:p w14:paraId="2637140A" w14:textId="77777777" w:rsidR="00FE291A" w:rsidRDefault="00FE291A">
      <w:pPr>
        <w:keepNext/>
        <w:widowControl/>
        <w:rPr>
          <w:sz w:val="22"/>
          <w:szCs w:val="22"/>
          <w:lang w:val="de-DE"/>
        </w:rPr>
      </w:pPr>
    </w:p>
    <w:p w14:paraId="2A088918" w14:textId="77777777" w:rsidR="00FE291A" w:rsidRDefault="00FE291A">
      <w:pPr>
        <w:widowControl/>
        <w:tabs>
          <w:tab w:val="left" w:pos="749"/>
        </w:tabs>
        <w:rPr>
          <w:sz w:val="22"/>
          <w:szCs w:val="22"/>
          <w:lang w:val="de-DE"/>
        </w:rPr>
      </w:pPr>
    </w:p>
    <w:p w14:paraId="24801FCF" w14:textId="77777777" w:rsidR="00FE291A" w:rsidRDefault="00C8738F">
      <w:pPr>
        <w:keepNext/>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VERFALLDATUM</w:t>
      </w:r>
    </w:p>
    <w:p w14:paraId="6251039E" w14:textId="77777777" w:rsidR="00FE291A" w:rsidRDefault="00FE291A">
      <w:pPr>
        <w:keepNext/>
        <w:widowControl/>
        <w:rPr>
          <w:sz w:val="22"/>
          <w:szCs w:val="22"/>
          <w:lang w:val="de-DE"/>
        </w:rPr>
      </w:pPr>
    </w:p>
    <w:p w14:paraId="59049FCF" w14:textId="77777777" w:rsidR="00FE291A" w:rsidRDefault="00C8738F">
      <w:pPr>
        <w:widowControl/>
        <w:rPr>
          <w:sz w:val="22"/>
          <w:szCs w:val="22"/>
          <w:lang w:val="de-DE"/>
        </w:rPr>
      </w:pPr>
      <w:r>
        <w:rPr>
          <w:sz w:val="22"/>
          <w:szCs w:val="22"/>
          <w:lang w:val="de-DE"/>
        </w:rPr>
        <w:t>verwendbar bis</w:t>
      </w:r>
    </w:p>
    <w:p w14:paraId="2173B91E" w14:textId="77777777" w:rsidR="00FE291A" w:rsidRDefault="00FE291A">
      <w:pPr>
        <w:widowControl/>
        <w:rPr>
          <w:sz w:val="22"/>
          <w:szCs w:val="22"/>
          <w:lang w:val="de-DE"/>
        </w:rPr>
      </w:pPr>
    </w:p>
    <w:p w14:paraId="6F918378" w14:textId="77777777" w:rsidR="00FE291A" w:rsidRDefault="00FE291A">
      <w:pPr>
        <w:widowControl/>
        <w:rPr>
          <w:sz w:val="22"/>
          <w:szCs w:val="22"/>
          <w:lang w:val="de-DE"/>
        </w:rPr>
      </w:pPr>
    </w:p>
    <w:p w14:paraId="3C6D8F0D" w14:textId="77777777" w:rsidR="00FE291A" w:rsidRDefault="00C8738F">
      <w:pPr>
        <w:keepNext/>
        <w:keepLines/>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BESONDERE VORSICHTSMASSNAHMEN FÜR DIE AUFBEWAHRUNG</w:t>
      </w:r>
    </w:p>
    <w:p w14:paraId="5215B452" w14:textId="77777777" w:rsidR="00FE291A" w:rsidRDefault="00FE291A">
      <w:pPr>
        <w:keepNext/>
        <w:keepLines/>
        <w:widowControl/>
        <w:rPr>
          <w:sz w:val="22"/>
          <w:szCs w:val="22"/>
          <w:lang w:val="de-DE"/>
        </w:rPr>
      </w:pPr>
    </w:p>
    <w:p w14:paraId="25B39C63" w14:textId="77777777" w:rsidR="00FE291A" w:rsidRDefault="00C8738F">
      <w:pPr>
        <w:keepNext/>
        <w:keepLines/>
        <w:widowControl/>
        <w:ind w:left="567" w:hanging="567"/>
        <w:rPr>
          <w:sz w:val="22"/>
          <w:szCs w:val="22"/>
          <w:lang w:val="de-DE"/>
        </w:rPr>
      </w:pPr>
      <w:r>
        <w:rPr>
          <w:sz w:val="22"/>
          <w:szCs w:val="22"/>
          <w:lang w:val="de-DE"/>
        </w:rPr>
        <w:t>Im Kühlschrank lagern.</w:t>
      </w:r>
    </w:p>
    <w:p w14:paraId="76833955" w14:textId="77777777" w:rsidR="00FE291A" w:rsidRDefault="00C8738F">
      <w:pPr>
        <w:keepNext/>
        <w:keepLines/>
        <w:widowControl/>
        <w:ind w:left="567" w:hanging="567"/>
        <w:rPr>
          <w:sz w:val="22"/>
          <w:szCs w:val="22"/>
          <w:lang w:val="de-DE"/>
        </w:rPr>
      </w:pPr>
      <w:r>
        <w:rPr>
          <w:sz w:val="22"/>
          <w:szCs w:val="22"/>
          <w:lang w:val="de-DE"/>
        </w:rPr>
        <w:t>Nicht einfrieren.</w:t>
      </w:r>
    </w:p>
    <w:p w14:paraId="233B7B00" w14:textId="77777777" w:rsidR="00FE291A" w:rsidRDefault="00C8738F">
      <w:pPr>
        <w:keepNext/>
        <w:widowControl/>
        <w:ind w:left="567" w:hanging="567"/>
        <w:rPr>
          <w:sz w:val="22"/>
          <w:szCs w:val="22"/>
          <w:lang w:val="de-DE"/>
        </w:rPr>
      </w:pPr>
      <w:r>
        <w:rPr>
          <w:sz w:val="22"/>
          <w:szCs w:val="22"/>
          <w:lang w:val="de-DE"/>
        </w:rPr>
        <w:t>Im Originalkarton aufbewahren, um den Inhalt vor Licht zu schützen.</w:t>
      </w:r>
    </w:p>
    <w:p w14:paraId="3BEA7210" w14:textId="77777777" w:rsidR="00FE291A" w:rsidRDefault="00FE291A">
      <w:pPr>
        <w:widowControl/>
        <w:ind w:left="567" w:hanging="567"/>
        <w:rPr>
          <w:sz w:val="22"/>
          <w:szCs w:val="22"/>
          <w:lang w:val="de-DE"/>
        </w:rPr>
      </w:pPr>
    </w:p>
    <w:p w14:paraId="2C269918" w14:textId="77777777" w:rsidR="00FE291A" w:rsidRDefault="00FE291A">
      <w:pPr>
        <w:widowControl/>
        <w:ind w:left="567" w:hanging="567"/>
        <w:rPr>
          <w:sz w:val="22"/>
          <w:szCs w:val="22"/>
          <w:lang w:val="de-DE"/>
        </w:rPr>
      </w:pPr>
    </w:p>
    <w:p w14:paraId="5FCBF9EB" w14:textId="77777777" w:rsidR="00FE291A" w:rsidRDefault="00C8738F">
      <w:pPr>
        <w:keepNext/>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GEGEBENENFALLS BESONDERE VORSICHTSMASSNAHMEN FÜR DIE BESEITIGUNG VON NICHT VERWENDETEM ARZNEIMITTEL ODER DAVON STAMMENDEN ABFALLMATERIALIEN</w:t>
      </w:r>
    </w:p>
    <w:p w14:paraId="2F3FA229" w14:textId="77777777" w:rsidR="00FE291A" w:rsidRDefault="00FE291A">
      <w:pPr>
        <w:widowControl/>
        <w:rPr>
          <w:sz w:val="22"/>
          <w:szCs w:val="22"/>
          <w:lang w:val="de-DE"/>
        </w:rPr>
      </w:pPr>
    </w:p>
    <w:p w14:paraId="373CC70D" w14:textId="77777777" w:rsidR="00FE291A" w:rsidRDefault="00FE291A">
      <w:pPr>
        <w:widowControl/>
        <w:rPr>
          <w:sz w:val="22"/>
          <w:szCs w:val="22"/>
          <w:lang w:val="de-DE"/>
        </w:rPr>
      </w:pPr>
    </w:p>
    <w:p w14:paraId="31AD147E" w14:textId="77777777" w:rsidR="00FE291A" w:rsidRDefault="00C8738F">
      <w:pPr>
        <w:keepNext/>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NAME UND ANSCHRIFT DES PHARMAZEUTISCHEN UNTERNEHMERS</w:t>
      </w:r>
    </w:p>
    <w:p w14:paraId="57F7E649" w14:textId="77777777" w:rsidR="00FE291A" w:rsidRDefault="00FE291A">
      <w:pPr>
        <w:widowControl/>
        <w:rPr>
          <w:sz w:val="22"/>
          <w:szCs w:val="22"/>
          <w:lang w:val="de-DE"/>
        </w:rPr>
      </w:pPr>
    </w:p>
    <w:p w14:paraId="5C4A676B" w14:textId="77777777" w:rsidR="00FE291A" w:rsidRDefault="00C8738F">
      <w:pPr>
        <w:widowControl/>
        <w:rPr>
          <w:rFonts w:eastAsia="SimSun"/>
          <w:sz w:val="22"/>
          <w:szCs w:val="22"/>
          <w:lang w:val="de-DE" w:eastAsia="en-GB"/>
        </w:rPr>
      </w:pPr>
      <w:r>
        <w:rPr>
          <w:rFonts w:eastAsia="SimSun"/>
          <w:sz w:val="22"/>
          <w:szCs w:val="22"/>
          <w:lang w:val="de-DE" w:eastAsia="en-GB"/>
        </w:rPr>
        <w:t>Amgen Europe B.V.</w:t>
      </w:r>
    </w:p>
    <w:p w14:paraId="2D6E591A" w14:textId="77777777" w:rsidR="00FE291A" w:rsidRDefault="00C8738F">
      <w:pPr>
        <w:widowControl/>
        <w:rPr>
          <w:rFonts w:eastAsia="SimSun"/>
          <w:sz w:val="22"/>
          <w:szCs w:val="22"/>
          <w:lang w:val="de-DE" w:eastAsia="en-GB"/>
        </w:rPr>
      </w:pPr>
      <w:r>
        <w:rPr>
          <w:rFonts w:eastAsia="SimSun"/>
          <w:sz w:val="22"/>
          <w:szCs w:val="22"/>
          <w:lang w:val="de-DE" w:eastAsia="en-GB"/>
        </w:rPr>
        <w:t>Minervum 7061,</w:t>
      </w:r>
    </w:p>
    <w:p w14:paraId="7D5CFD21" w14:textId="77777777" w:rsidR="00FE291A" w:rsidRDefault="00C8738F">
      <w:pPr>
        <w:widowControl/>
        <w:rPr>
          <w:rFonts w:eastAsia="SimSun"/>
          <w:sz w:val="22"/>
          <w:szCs w:val="22"/>
          <w:lang w:val="de-DE" w:eastAsia="en-GB"/>
        </w:rPr>
      </w:pPr>
      <w:r>
        <w:rPr>
          <w:rFonts w:eastAsia="SimSun"/>
          <w:sz w:val="22"/>
          <w:szCs w:val="22"/>
          <w:lang w:val="de-DE" w:eastAsia="en-GB"/>
        </w:rPr>
        <w:t>4817 ZK Breda,</w:t>
      </w:r>
    </w:p>
    <w:p w14:paraId="7367CE26" w14:textId="77777777" w:rsidR="00FE291A" w:rsidRDefault="00C8738F">
      <w:pPr>
        <w:widowControl/>
        <w:rPr>
          <w:rFonts w:eastAsia="SimSun"/>
          <w:sz w:val="22"/>
          <w:szCs w:val="22"/>
          <w:lang w:val="de-DE" w:eastAsia="en-GB"/>
        </w:rPr>
      </w:pPr>
      <w:r>
        <w:rPr>
          <w:rFonts w:eastAsia="SimSun"/>
          <w:sz w:val="22"/>
          <w:szCs w:val="22"/>
          <w:lang w:val="de-DE" w:eastAsia="en-GB"/>
        </w:rPr>
        <w:t>Niederlande</w:t>
      </w:r>
    </w:p>
    <w:p w14:paraId="705C8F0C" w14:textId="77777777" w:rsidR="00FE291A" w:rsidRDefault="00FE291A">
      <w:pPr>
        <w:widowControl/>
        <w:rPr>
          <w:sz w:val="22"/>
          <w:szCs w:val="22"/>
          <w:lang w:val="de-DE"/>
        </w:rPr>
      </w:pPr>
    </w:p>
    <w:p w14:paraId="29E8BA52" w14:textId="77777777" w:rsidR="00FE291A" w:rsidRDefault="00FE291A">
      <w:pPr>
        <w:widowControl/>
        <w:rPr>
          <w:sz w:val="22"/>
          <w:szCs w:val="22"/>
          <w:lang w:val="de-DE"/>
        </w:rPr>
      </w:pPr>
    </w:p>
    <w:p w14:paraId="6040921C" w14:textId="77777777" w:rsidR="00FE291A" w:rsidRDefault="00C8738F">
      <w:pPr>
        <w:keepNext/>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ZULASSUNGSNUMMERN</w:t>
      </w:r>
    </w:p>
    <w:p w14:paraId="28323076" w14:textId="77777777" w:rsidR="00FE291A" w:rsidRDefault="00FE291A">
      <w:pPr>
        <w:widowControl/>
        <w:rPr>
          <w:sz w:val="22"/>
          <w:szCs w:val="22"/>
          <w:lang w:val="de-DE"/>
        </w:rPr>
      </w:pPr>
    </w:p>
    <w:p w14:paraId="2879F51D" w14:textId="77777777" w:rsidR="00FE291A" w:rsidRDefault="00C8738F">
      <w:pPr>
        <w:widowControl/>
        <w:outlineLvl w:val="0"/>
        <w:rPr>
          <w:sz w:val="22"/>
          <w:szCs w:val="22"/>
          <w:lang w:val="de-DE"/>
        </w:rPr>
      </w:pPr>
      <w:r>
        <w:rPr>
          <w:sz w:val="22"/>
          <w:szCs w:val="22"/>
          <w:lang w:val="de-DE"/>
        </w:rPr>
        <w:t xml:space="preserve">EU/1/16/1164/006 </w:t>
      </w:r>
      <w:r>
        <w:rPr>
          <w:sz w:val="22"/>
          <w:szCs w:val="22"/>
          <w:highlight w:val="lightGray"/>
          <w:lang w:val="de-DE"/>
        </w:rPr>
        <w:t>1er Packung</w:t>
      </w:r>
    </w:p>
    <w:p w14:paraId="69BD0FA2" w14:textId="77777777" w:rsidR="00FE291A" w:rsidRDefault="00C8738F">
      <w:pPr>
        <w:widowControl/>
        <w:outlineLvl w:val="0"/>
        <w:rPr>
          <w:sz w:val="22"/>
          <w:szCs w:val="22"/>
          <w:highlight w:val="lightGray"/>
          <w:lang w:val="de-DE"/>
        </w:rPr>
      </w:pPr>
      <w:r>
        <w:rPr>
          <w:sz w:val="22"/>
          <w:szCs w:val="22"/>
          <w:highlight w:val="lightGray"/>
          <w:lang w:val="de-DE"/>
        </w:rPr>
        <w:t>EU/1/16/1164/007 2er Packung</w:t>
      </w:r>
    </w:p>
    <w:p w14:paraId="150D993D" w14:textId="77777777" w:rsidR="00FE291A" w:rsidRDefault="00C8738F">
      <w:pPr>
        <w:widowControl/>
        <w:outlineLvl w:val="0"/>
        <w:rPr>
          <w:sz w:val="22"/>
          <w:szCs w:val="22"/>
          <w:highlight w:val="lightGray"/>
          <w:lang w:val="de-DE"/>
        </w:rPr>
      </w:pPr>
      <w:r>
        <w:rPr>
          <w:sz w:val="22"/>
          <w:szCs w:val="22"/>
          <w:highlight w:val="lightGray"/>
          <w:lang w:val="de-DE"/>
        </w:rPr>
        <w:t>EU/1/16/1164/008 4er Packung</w:t>
      </w:r>
    </w:p>
    <w:p w14:paraId="45BC7567" w14:textId="77777777" w:rsidR="00FE291A" w:rsidRDefault="00FE291A">
      <w:pPr>
        <w:widowControl/>
        <w:rPr>
          <w:sz w:val="22"/>
          <w:szCs w:val="22"/>
          <w:lang w:val="de-DE"/>
        </w:rPr>
      </w:pPr>
    </w:p>
    <w:p w14:paraId="69F0CBC1" w14:textId="77777777" w:rsidR="00FE291A" w:rsidRDefault="00FE291A">
      <w:pPr>
        <w:widowControl/>
        <w:rPr>
          <w:sz w:val="22"/>
          <w:szCs w:val="22"/>
          <w:lang w:val="de-DE"/>
        </w:rPr>
      </w:pPr>
    </w:p>
    <w:p w14:paraId="55C59510" w14:textId="77777777" w:rsidR="00FE291A" w:rsidRDefault="00C8738F">
      <w:pPr>
        <w:keepNext/>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CHARGENBEZEICHNUNG</w:t>
      </w:r>
    </w:p>
    <w:p w14:paraId="17F45A83" w14:textId="77777777" w:rsidR="00FE291A" w:rsidRDefault="00FE291A">
      <w:pPr>
        <w:widowControl/>
        <w:rPr>
          <w:i/>
          <w:sz w:val="22"/>
          <w:szCs w:val="22"/>
          <w:lang w:val="de-DE"/>
        </w:rPr>
      </w:pPr>
    </w:p>
    <w:p w14:paraId="144102F3" w14:textId="77777777" w:rsidR="00FE291A" w:rsidRDefault="00C8738F">
      <w:pPr>
        <w:widowControl/>
        <w:rPr>
          <w:sz w:val="22"/>
          <w:szCs w:val="22"/>
          <w:lang w:val="de-DE"/>
        </w:rPr>
      </w:pPr>
      <w:r>
        <w:rPr>
          <w:sz w:val="22"/>
          <w:szCs w:val="22"/>
          <w:lang w:val="de-DE"/>
        </w:rPr>
        <w:t>Ch.-B.</w:t>
      </w:r>
    </w:p>
    <w:p w14:paraId="1D1ACFF7" w14:textId="77777777" w:rsidR="00FE291A" w:rsidRDefault="00FE291A">
      <w:pPr>
        <w:widowControl/>
        <w:rPr>
          <w:sz w:val="22"/>
          <w:szCs w:val="22"/>
          <w:lang w:val="de-DE"/>
        </w:rPr>
      </w:pPr>
    </w:p>
    <w:p w14:paraId="28A8E63D" w14:textId="77777777" w:rsidR="00FE291A" w:rsidRDefault="00FE291A">
      <w:pPr>
        <w:widowControl/>
        <w:rPr>
          <w:sz w:val="22"/>
          <w:szCs w:val="22"/>
          <w:lang w:val="de-DE"/>
        </w:rPr>
      </w:pPr>
    </w:p>
    <w:p w14:paraId="72956BC7" w14:textId="77777777" w:rsidR="00FE291A" w:rsidRDefault="00C8738F">
      <w:pPr>
        <w:keepNext/>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VERKAUFSABGRENZUNG</w:t>
      </w:r>
    </w:p>
    <w:p w14:paraId="6954A548" w14:textId="77777777" w:rsidR="00FE291A" w:rsidRDefault="00FE291A">
      <w:pPr>
        <w:widowControl/>
        <w:rPr>
          <w:i/>
          <w:sz w:val="22"/>
          <w:szCs w:val="22"/>
          <w:lang w:val="de-DE"/>
        </w:rPr>
      </w:pPr>
    </w:p>
    <w:p w14:paraId="6F559BE3" w14:textId="77777777" w:rsidR="00FE291A" w:rsidRDefault="00FE291A">
      <w:pPr>
        <w:widowControl/>
        <w:rPr>
          <w:sz w:val="22"/>
          <w:szCs w:val="22"/>
          <w:lang w:val="de-DE"/>
        </w:rPr>
      </w:pPr>
    </w:p>
    <w:p w14:paraId="424A4069" w14:textId="77777777" w:rsidR="00FE291A" w:rsidRDefault="00C8738F">
      <w:pPr>
        <w:keepNext/>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HINWEISE FÜR DEN GEBRAUCH</w:t>
      </w:r>
    </w:p>
    <w:p w14:paraId="3595DA2E" w14:textId="77777777" w:rsidR="00FE291A" w:rsidRDefault="00FE291A">
      <w:pPr>
        <w:widowControl/>
        <w:rPr>
          <w:sz w:val="22"/>
          <w:szCs w:val="22"/>
          <w:lang w:val="de-DE"/>
        </w:rPr>
      </w:pPr>
    </w:p>
    <w:p w14:paraId="50DFEEFA" w14:textId="77777777" w:rsidR="00FE291A" w:rsidRDefault="00FE291A">
      <w:pPr>
        <w:widowControl/>
        <w:rPr>
          <w:sz w:val="22"/>
          <w:szCs w:val="22"/>
          <w:lang w:val="de-DE"/>
        </w:rPr>
      </w:pPr>
    </w:p>
    <w:p w14:paraId="39DFC59C" w14:textId="77777777" w:rsidR="00FE291A" w:rsidRDefault="00C8738F">
      <w:pPr>
        <w:keepNext/>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ANGABEN IN BLINDENSCHRIFT</w:t>
      </w:r>
    </w:p>
    <w:p w14:paraId="58ACD4E0" w14:textId="77777777" w:rsidR="00FE291A" w:rsidRDefault="00FE291A">
      <w:pPr>
        <w:widowControl/>
        <w:rPr>
          <w:sz w:val="22"/>
          <w:szCs w:val="22"/>
          <w:lang w:val="de-DE"/>
        </w:rPr>
      </w:pPr>
    </w:p>
    <w:p w14:paraId="796F8218" w14:textId="77777777" w:rsidR="00FE291A" w:rsidRDefault="00C8738F">
      <w:pPr>
        <w:widowControl/>
        <w:rPr>
          <w:sz w:val="22"/>
          <w:szCs w:val="22"/>
          <w:shd w:val="clear" w:color="auto" w:fill="CCCCCC"/>
          <w:lang w:val="de-DE"/>
        </w:rPr>
      </w:pPr>
      <w:r>
        <w:rPr>
          <w:sz w:val="22"/>
          <w:szCs w:val="22"/>
          <w:lang w:val="de-DE"/>
        </w:rPr>
        <w:t>AMGEVITA 40 mg/0,8 ml Pen</w:t>
      </w:r>
    </w:p>
    <w:p w14:paraId="45DEC210" w14:textId="77777777" w:rsidR="00FE291A" w:rsidRDefault="00FE291A">
      <w:pPr>
        <w:widowControl/>
        <w:rPr>
          <w:sz w:val="22"/>
          <w:szCs w:val="22"/>
          <w:shd w:val="clear" w:color="auto" w:fill="CCCCCC"/>
          <w:lang w:val="de-DE"/>
        </w:rPr>
      </w:pPr>
    </w:p>
    <w:p w14:paraId="0DC7B6A8" w14:textId="77777777" w:rsidR="00FE291A" w:rsidRDefault="00FE291A">
      <w:pPr>
        <w:widowControl/>
        <w:rPr>
          <w:sz w:val="22"/>
          <w:szCs w:val="22"/>
          <w:shd w:val="clear" w:color="auto" w:fill="CCCCCC"/>
          <w:lang w:val="de-DE"/>
        </w:rPr>
      </w:pPr>
    </w:p>
    <w:p w14:paraId="41B71283" w14:textId="77777777" w:rsidR="00FE291A" w:rsidRDefault="00C8738F">
      <w:pPr>
        <w:keepNext/>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i/>
          <w:sz w:val="22"/>
          <w:szCs w:val="22"/>
          <w:lang w:val="de-DE"/>
        </w:rPr>
      </w:pPr>
      <w:r>
        <w:rPr>
          <w:b/>
          <w:sz w:val="22"/>
          <w:szCs w:val="22"/>
          <w:lang w:val="de-DE"/>
        </w:rPr>
        <w:t>INDIVIDUELLES ERKENNUNGSMERKMAL – 2D-BARCODE</w:t>
      </w:r>
    </w:p>
    <w:p w14:paraId="274E105F" w14:textId="77777777" w:rsidR="00FE291A" w:rsidRDefault="00FE291A">
      <w:pPr>
        <w:widowControl/>
        <w:rPr>
          <w:sz w:val="22"/>
          <w:szCs w:val="22"/>
          <w:lang w:val="de-DE"/>
        </w:rPr>
      </w:pPr>
    </w:p>
    <w:p w14:paraId="78D6CBC0" w14:textId="77777777" w:rsidR="00FE291A" w:rsidRDefault="00C8738F">
      <w:pPr>
        <w:widowControl/>
        <w:rPr>
          <w:sz w:val="22"/>
          <w:szCs w:val="22"/>
          <w:shd w:val="clear" w:color="auto" w:fill="CCCCCC"/>
          <w:lang w:val="de-DE"/>
        </w:rPr>
      </w:pPr>
      <w:r>
        <w:rPr>
          <w:sz w:val="22"/>
          <w:szCs w:val="22"/>
          <w:highlight w:val="lightGray"/>
          <w:lang w:val="de-DE"/>
        </w:rPr>
        <w:t>2D-Barcode mit individuellem Erkennungsmerkmal.</w:t>
      </w:r>
    </w:p>
    <w:p w14:paraId="63536A47" w14:textId="77777777" w:rsidR="00FE291A" w:rsidRDefault="00FE291A">
      <w:pPr>
        <w:widowControl/>
        <w:rPr>
          <w:sz w:val="22"/>
          <w:szCs w:val="22"/>
          <w:lang w:val="de-DE"/>
        </w:rPr>
      </w:pPr>
    </w:p>
    <w:p w14:paraId="1221046E" w14:textId="77777777" w:rsidR="00FE291A" w:rsidRDefault="00FE291A">
      <w:pPr>
        <w:widowControl/>
        <w:rPr>
          <w:sz w:val="22"/>
          <w:szCs w:val="22"/>
          <w:lang w:val="de-DE"/>
        </w:rPr>
      </w:pPr>
    </w:p>
    <w:p w14:paraId="17B3B340" w14:textId="77777777" w:rsidR="00FE291A" w:rsidRDefault="00C8738F">
      <w:pPr>
        <w:keepNext/>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i/>
          <w:sz w:val="22"/>
          <w:szCs w:val="22"/>
          <w:lang w:val="de-DE"/>
        </w:rPr>
      </w:pPr>
      <w:r>
        <w:rPr>
          <w:b/>
          <w:sz w:val="22"/>
          <w:szCs w:val="22"/>
          <w:lang w:val="de-DE"/>
        </w:rPr>
        <w:t>INDIVIDUELLES ERKENNUNGSMERKMAL – VOM MENSCHEN LESBARES FORMAT</w:t>
      </w:r>
    </w:p>
    <w:p w14:paraId="63F05612" w14:textId="77777777" w:rsidR="00FE291A" w:rsidRDefault="00FE291A">
      <w:pPr>
        <w:keepNext/>
        <w:widowControl/>
        <w:rPr>
          <w:sz w:val="22"/>
          <w:szCs w:val="22"/>
          <w:lang w:val="de-DE"/>
        </w:rPr>
      </w:pPr>
    </w:p>
    <w:p w14:paraId="1622D6BE" w14:textId="77777777" w:rsidR="00FE291A" w:rsidRDefault="00C8738F">
      <w:pPr>
        <w:keepNext/>
        <w:widowControl/>
        <w:rPr>
          <w:sz w:val="22"/>
          <w:szCs w:val="22"/>
          <w:lang w:val="de-DE"/>
        </w:rPr>
      </w:pPr>
      <w:r>
        <w:rPr>
          <w:sz w:val="22"/>
          <w:szCs w:val="22"/>
          <w:lang w:val="de-DE"/>
        </w:rPr>
        <w:t>PC</w:t>
      </w:r>
    </w:p>
    <w:p w14:paraId="51950792" w14:textId="77777777" w:rsidR="00FE291A" w:rsidRDefault="00C8738F">
      <w:pPr>
        <w:keepNext/>
        <w:widowControl/>
        <w:rPr>
          <w:sz w:val="22"/>
          <w:szCs w:val="22"/>
          <w:lang w:val="de-DE"/>
        </w:rPr>
      </w:pPr>
      <w:r>
        <w:rPr>
          <w:sz w:val="22"/>
          <w:szCs w:val="22"/>
          <w:lang w:val="de-DE"/>
        </w:rPr>
        <w:t>SN</w:t>
      </w:r>
    </w:p>
    <w:p w14:paraId="5D504FFE" w14:textId="77777777" w:rsidR="00FE291A" w:rsidRDefault="00C8738F">
      <w:pPr>
        <w:widowControl/>
        <w:rPr>
          <w:sz w:val="22"/>
          <w:szCs w:val="22"/>
          <w:lang w:val="de-DE"/>
        </w:rPr>
      </w:pPr>
      <w:r>
        <w:rPr>
          <w:sz w:val="22"/>
          <w:szCs w:val="22"/>
          <w:lang w:val="de-DE"/>
        </w:rPr>
        <w:t>NN</w:t>
      </w:r>
    </w:p>
    <w:p w14:paraId="6D19A8F3" w14:textId="77777777" w:rsidR="00FE291A" w:rsidRDefault="00C8738F">
      <w:pPr>
        <w:widowControl/>
        <w:pBdr>
          <w:top w:val="single" w:sz="4" w:space="1" w:color="auto"/>
          <w:left w:val="single" w:sz="4" w:space="4" w:color="auto"/>
          <w:bottom w:val="single" w:sz="4" w:space="1" w:color="auto"/>
          <w:right w:val="single" w:sz="4" w:space="4" w:color="auto"/>
        </w:pBdr>
        <w:outlineLvl w:val="0"/>
        <w:rPr>
          <w:b/>
          <w:sz w:val="22"/>
          <w:szCs w:val="22"/>
          <w:lang w:val="de-DE"/>
        </w:rPr>
      </w:pPr>
      <w:r>
        <w:rPr>
          <w:sz w:val="22"/>
          <w:lang w:val="de-DE"/>
        </w:rPr>
        <w:br w:type="page"/>
      </w:r>
      <w:r>
        <w:rPr>
          <w:b/>
          <w:sz w:val="22"/>
          <w:szCs w:val="22"/>
          <w:lang w:val="de-DE"/>
        </w:rPr>
        <w:t>ANGABEN AUF DER ÄUSSEREN UMHÜLLUNG</w:t>
      </w:r>
    </w:p>
    <w:p w14:paraId="0C735EC7" w14:textId="77777777" w:rsidR="00FE291A" w:rsidRDefault="00FE291A">
      <w:pPr>
        <w:widowControl/>
        <w:pBdr>
          <w:top w:val="single" w:sz="4" w:space="1" w:color="auto"/>
          <w:left w:val="single" w:sz="4" w:space="4" w:color="auto"/>
          <w:bottom w:val="single" w:sz="4" w:space="1" w:color="auto"/>
          <w:right w:val="single" w:sz="4" w:space="4" w:color="auto"/>
        </w:pBdr>
        <w:ind w:left="567" w:hanging="567"/>
        <w:rPr>
          <w:sz w:val="22"/>
          <w:szCs w:val="22"/>
          <w:lang w:val="de-DE"/>
        </w:rPr>
      </w:pPr>
    </w:p>
    <w:p w14:paraId="4107AC5E" w14:textId="77777777" w:rsidR="00FE291A" w:rsidRDefault="00C8738F">
      <w:pPr>
        <w:widowControl/>
        <w:pBdr>
          <w:top w:val="single" w:sz="4" w:space="1" w:color="auto"/>
          <w:left w:val="single" w:sz="4" w:space="4" w:color="auto"/>
          <w:bottom w:val="single" w:sz="4" w:space="1" w:color="auto"/>
          <w:right w:val="single" w:sz="4" w:space="4" w:color="auto"/>
        </w:pBdr>
        <w:rPr>
          <w:sz w:val="22"/>
          <w:szCs w:val="22"/>
          <w:lang w:val="de-DE"/>
        </w:rPr>
      </w:pPr>
      <w:r>
        <w:rPr>
          <w:b/>
          <w:sz w:val="22"/>
          <w:szCs w:val="22"/>
          <w:lang w:val="de-DE"/>
        </w:rPr>
        <w:t>UMKARTON DER BÜNDELPACKUNG FÜR DEN FERTIGPEN (mit blue box)</w:t>
      </w:r>
    </w:p>
    <w:p w14:paraId="5E6C7534" w14:textId="77777777" w:rsidR="00FE291A" w:rsidRDefault="00FE291A">
      <w:pPr>
        <w:widowControl/>
        <w:rPr>
          <w:sz w:val="22"/>
          <w:szCs w:val="22"/>
          <w:lang w:val="de-DE"/>
        </w:rPr>
      </w:pPr>
    </w:p>
    <w:p w14:paraId="01D92AAE" w14:textId="77777777" w:rsidR="00FE291A" w:rsidRDefault="00FE291A">
      <w:pPr>
        <w:widowControl/>
        <w:rPr>
          <w:sz w:val="22"/>
          <w:szCs w:val="22"/>
          <w:lang w:val="de-DE"/>
        </w:rPr>
      </w:pPr>
    </w:p>
    <w:p w14:paraId="03470013" w14:textId="77777777" w:rsidR="00FE291A" w:rsidRDefault="00C8738F">
      <w:pPr>
        <w:keepNext/>
        <w:widowControl/>
        <w:numPr>
          <w:ilvl w:val="0"/>
          <w:numId w:val="2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BEZEICHNUNG DES ARZNEIMITTELS</w:t>
      </w:r>
    </w:p>
    <w:p w14:paraId="55DA887C" w14:textId="77777777" w:rsidR="00FE291A" w:rsidRDefault="00FE291A">
      <w:pPr>
        <w:keepNext/>
        <w:widowControl/>
        <w:rPr>
          <w:sz w:val="22"/>
          <w:szCs w:val="22"/>
          <w:lang w:val="de-DE"/>
        </w:rPr>
      </w:pPr>
    </w:p>
    <w:p w14:paraId="3BB2D4A2" w14:textId="77777777" w:rsidR="00FE291A" w:rsidRDefault="00C8738F">
      <w:pPr>
        <w:widowControl/>
        <w:rPr>
          <w:sz w:val="22"/>
          <w:szCs w:val="22"/>
          <w:lang w:val="de-DE"/>
        </w:rPr>
      </w:pPr>
      <w:r>
        <w:rPr>
          <w:sz w:val="22"/>
          <w:szCs w:val="22"/>
          <w:lang w:val="de-DE"/>
        </w:rPr>
        <w:t>AMGEVITA 40 mg Injektionslösung im Fertigpen</w:t>
      </w:r>
    </w:p>
    <w:p w14:paraId="56942A02" w14:textId="77777777" w:rsidR="00FE291A" w:rsidRDefault="00C8738F">
      <w:pPr>
        <w:widowControl/>
        <w:rPr>
          <w:b/>
          <w:sz w:val="22"/>
          <w:szCs w:val="22"/>
          <w:lang w:val="de-DE"/>
        </w:rPr>
      </w:pPr>
      <w:r>
        <w:rPr>
          <w:sz w:val="22"/>
          <w:szCs w:val="22"/>
          <w:lang w:val="de-DE"/>
        </w:rPr>
        <w:t>Adalimumab</w:t>
      </w:r>
    </w:p>
    <w:p w14:paraId="0D1C82CB" w14:textId="77777777" w:rsidR="00FE291A" w:rsidRDefault="00FE291A">
      <w:pPr>
        <w:widowControl/>
        <w:rPr>
          <w:sz w:val="22"/>
          <w:szCs w:val="22"/>
          <w:lang w:val="de-DE"/>
        </w:rPr>
      </w:pPr>
    </w:p>
    <w:p w14:paraId="19D26716" w14:textId="77777777" w:rsidR="00FE291A" w:rsidRDefault="00FE291A">
      <w:pPr>
        <w:widowControl/>
        <w:rPr>
          <w:sz w:val="22"/>
          <w:szCs w:val="22"/>
          <w:lang w:val="de-DE"/>
        </w:rPr>
      </w:pPr>
    </w:p>
    <w:p w14:paraId="37C97974" w14:textId="77777777" w:rsidR="00FE291A" w:rsidRDefault="00C8738F">
      <w:pPr>
        <w:keepNext/>
        <w:widowControl/>
        <w:numPr>
          <w:ilvl w:val="0"/>
          <w:numId w:val="2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WIRKSTOFF</w:t>
      </w:r>
    </w:p>
    <w:p w14:paraId="47453566" w14:textId="77777777" w:rsidR="00FE291A" w:rsidRDefault="00FE291A">
      <w:pPr>
        <w:keepNext/>
        <w:widowControl/>
        <w:rPr>
          <w:sz w:val="22"/>
          <w:szCs w:val="22"/>
          <w:lang w:val="de-DE"/>
        </w:rPr>
      </w:pPr>
    </w:p>
    <w:p w14:paraId="451E773A" w14:textId="77777777" w:rsidR="00FE291A" w:rsidRDefault="00C8738F">
      <w:pPr>
        <w:widowControl/>
        <w:rPr>
          <w:sz w:val="22"/>
          <w:szCs w:val="22"/>
          <w:lang w:val="de-DE"/>
        </w:rPr>
      </w:pPr>
      <w:r>
        <w:rPr>
          <w:sz w:val="22"/>
          <w:szCs w:val="22"/>
          <w:lang w:val="de-DE"/>
        </w:rPr>
        <w:t>Jeder Fertigpen enthält 40 mg Adalimumab in 0,8 ml Lösung.</w:t>
      </w:r>
    </w:p>
    <w:p w14:paraId="3CD0B87F" w14:textId="77777777" w:rsidR="00FE291A" w:rsidRDefault="00FE291A">
      <w:pPr>
        <w:widowControl/>
        <w:rPr>
          <w:sz w:val="22"/>
          <w:szCs w:val="22"/>
          <w:lang w:val="de-DE"/>
        </w:rPr>
      </w:pPr>
    </w:p>
    <w:p w14:paraId="2E42C478" w14:textId="77777777" w:rsidR="00FE291A" w:rsidRDefault="00FE291A">
      <w:pPr>
        <w:widowControl/>
        <w:rPr>
          <w:sz w:val="22"/>
          <w:szCs w:val="22"/>
          <w:lang w:val="de-DE"/>
        </w:rPr>
      </w:pPr>
    </w:p>
    <w:p w14:paraId="5277EB63" w14:textId="77777777" w:rsidR="00FE291A" w:rsidRDefault="00C8738F">
      <w:pPr>
        <w:keepNext/>
        <w:widowControl/>
        <w:numPr>
          <w:ilvl w:val="0"/>
          <w:numId w:val="2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SONSTIGE BESTANDTEILE</w:t>
      </w:r>
    </w:p>
    <w:p w14:paraId="5D8E0CDB" w14:textId="77777777" w:rsidR="00FE291A" w:rsidRDefault="00FE291A">
      <w:pPr>
        <w:widowControl/>
        <w:rPr>
          <w:sz w:val="22"/>
          <w:szCs w:val="22"/>
          <w:lang w:val="de-DE"/>
        </w:rPr>
      </w:pPr>
    </w:p>
    <w:p w14:paraId="2D9009DF" w14:textId="77777777" w:rsidR="00FE291A" w:rsidRDefault="00C8738F">
      <w:pPr>
        <w:widowControl/>
        <w:rPr>
          <w:sz w:val="22"/>
          <w:szCs w:val="22"/>
          <w:lang w:val="de-DE"/>
        </w:rPr>
      </w:pPr>
      <w:r>
        <w:rPr>
          <w:sz w:val="22"/>
          <w:szCs w:val="22"/>
          <w:lang w:val="de-DE"/>
        </w:rPr>
        <w:t>Essigsäure 99 %, Saccharose, Polysorbat 80, Natriumhydroxid und Wasser für Injektionszwecke.</w:t>
      </w:r>
    </w:p>
    <w:p w14:paraId="09D78176" w14:textId="77777777" w:rsidR="00FE291A" w:rsidRDefault="00FE291A">
      <w:pPr>
        <w:widowControl/>
        <w:rPr>
          <w:sz w:val="22"/>
          <w:szCs w:val="22"/>
          <w:lang w:val="de-DE"/>
        </w:rPr>
      </w:pPr>
    </w:p>
    <w:p w14:paraId="2B8E505A" w14:textId="77777777" w:rsidR="00FE291A" w:rsidRDefault="00FE291A">
      <w:pPr>
        <w:widowControl/>
        <w:rPr>
          <w:sz w:val="22"/>
          <w:szCs w:val="22"/>
          <w:lang w:val="de-DE"/>
        </w:rPr>
      </w:pPr>
    </w:p>
    <w:p w14:paraId="0DAD6749" w14:textId="77777777" w:rsidR="00FE291A" w:rsidRDefault="00C8738F">
      <w:pPr>
        <w:keepNext/>
        <w:widowControl/>
        <w:numPr>
          <w:ilvl w:val="0"/>
          <w:numId w:val="2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DARREICHUNGSFORM UND INHALT</w:t>
      </w:r>
    </w:p>
    <w:p w14:paraId="50602626" w14:textId="77777777" w:rsidR="00FE291A" w:rsidRDefault="00FE291A">
      <w:pPr>
        <w:widowControl/>
        <w:rPr>
          <w:sz w:val="22"/>
          <w:szCs w:val="22"/>
          <w:lang w:val="de-DE"/>
        </w:rPr>
      </w:pPr>
    </w:p>
    <w:p w14:paraId="13A4565A" w14:textId="77777777" w:rsidR="00FE291A" w:rsidRDefault="00C8738F">
      <w:pPr>
        <w:widowControl/>
        <w:rPr>
          <w:sz w:val="22"/>
          <w:szCs w:val="22"/>
          <w:lang w:val="de-DE"/>
        </w:rPr>
      </w:pPr>
      <w:r>
        <w:rPr>
          <w:sz w:val="22"/>
          <w:szCs w:val="22"/>
          <w:highlight w:val="lightGray"/>
          <w:lang w:val="de-DE"/>
        </w:rPr>
        <w:t>Injektionslösung</w:t>
      </w:r>
    </w:p>
    <w:p w14:paraId="2291664E" w14:textId="77777777" w:rsidR="00FE291A" w:rsidRDefault="00C8738F">
      <w:pPr>
        <w:widowControl/>
        <w:rPr>
          <w:sz w:val="22"/>
          <w:szCs w:val="22"/>
          <w:lang w:val="de-DE"/>
        </w:rPr>
      </w:pPr>
      <w:r>
        <w:rPr>
          <w:sz w:val="22"/>
          <w:szCs w:val="22"/>
          <w:lang w:val="de-DE"/>
        </w:rPr>
        <w:t>40 mg/0,8 ml</w:t>
      </w:r>
    </w:p>
    <w:p w14:paraId="3F0E8D3C" w14:textId="77777777" w:rsidR="00FE291A" w:rsidRDefault="00C8738F">
      <w:pPr>
        <w:widowControl/>
        <w:rPr>
          <w:sz w:val="22"/>
          <w:szCs w:val="22"/>
          <w:lang w:val="de-DE"/>
        </w:rPr>
      </w:pPr>
      <w:r>
        <w:rPr>
          <w:sz w:val="22"/>
          <w:szCs w:val="22"/>
          <w:lang w:val="de-DE"/>
        </w:rPr>
        <w:t>Bündelpackung: 6 (3 Packungen mit 2) SureClick Fertigpens.</w:t>
      </w:r>
    </w:p>
    <w:p w14:paraId="2C4D1AE7" w14:textId="77777777" w:rsidR="00FE291A" w:rsidRDefault="00FE291A">
      <w:pPr>
        <w:widowControl/>
        <w:rPr>
          <w:sz w:val="22"/>
          <w:szCs w:val="22"/>
          <w:lang w:val="de-DE"/>
        </w:rPr>
      </w:pPr>
    </w:p>
    <w:p w14:paraId="250DDD2C" w14:textId="77777777" w:rsidR="00FE291A" w:rsidRDefault="00FE291A">
      <w:pPr>
        <w:widowControl/>
        <w:rPr>
          <w:sz w:val="22"/>
          <w:szCs w:val="22"/>
          <w:lang w:val="de-DE"/>
        </w:rPr>
      </w:pPr>
    </w:p>
    <w:p w14:paraId="1FEA9EE1" w14:textId="77777777" w:rsidR="00FE291A" w:rsidRDefault="00C8738F">
      <w:pPr>
        <w:keepNext/>
        <w:widowControl/>
        <w:numPr>
          <w:ilvl w:val="0"/>
          <w:numId w:val="2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HINWEISE ZUR UND ART(EN) DER ANWENDUNG</w:t>
      </w:r>
    </w:p>
    <w:p w14:paraId="06DDD291" w14:textId="77777777" w:rsidR="00FE291A" w:rsidRDefault="00FE291A">
      <w:pPr>
        <w:keepNext/>
        <w:widowControl/>
        <w:rPr>
          <w:sz w:val="22"/>
          <w:szCs w:val="22"/>
          <w:lang w:val="de-DE"/>
        </w:rPr>
      </w:pPr>
    </w:p>
    <w:p w14:paraId="06E3BA54" w14:textId="77777777" w:rsidR="00FE291A" w:rsidRDefault="00C8738F">
      <w:pPr>
        <w:widowControl/>
        <w:rPr>
          <w:sz w:val="22"/>
          <w:szCs w:val="22"/>
          <w:lang w:val="de-DE"/>
        </w:rPr>
      </w:pPr>
      <w:r>
        <w:rPr>
          <w:sz w:val="22"/>
          <w:szCs w:val="22"/>
          <w:lang w:val="de-DE"/>
        </w:rPr>
        <w:t>Zur subkutanen Anwendung.</w:t>
      </w:r>
    </w:p>
    <w:p w14:paraId="696FDE16" w14:textId="77777777" w:rsidR="00FE291A" w:rsidRDefault="00C8738F">
      <w:pPr>
        <w:widowControl/>
        <w:rPr>
          <w:sz w:val="22"/>
          <w:szCs w:val="22"/>
          <w:lang w:val="de-DE"/>
        </w:rPr>
      </w:pPr>
      <w:r>
        <w:rPr>
          <w:sz w:val="22"/>
          <w:szCs w:val="22"/>
          <w:lang w:val="de-DE"/>
        </w:rPr>
        <w:t>Packungsbeilage beachten.</w:t>
      </w:r>
    </w:p>
    <w:p w14:paraId="03A7ED54" w14:textId="77777777" w:rsidR="00FE291A" w:rsidRDefault="00C8738F">
      <w:pPr>
        <w:widowControl/>
        <w:rPr>
          <w:sz w:val="22"/>
          <w:szCs w:val="22"/>
          <w:lang w:val="de-DE"/>
        </w:rPr>
      </w:pPr>
      <w:r>
        <w:rPr>
          <w:sz w:val="22"/>
          <w:szCs w:val="22"/>
          <w:lang w:val="de-DE"/>
        </w:rPr>
        <w:t>Nur zum Einmalgebrauch.</w:t>
      </w:r>
    </w:p>
    <w:p w14:paraId="5C48623E" w14:textId="77777777" w:rsidR="00FE291A" w:rsidRDefault="00FE291A">
      <w:pPr>
        <w:widowControl/>
        <w:rPr>
          <w:sz w:val="22"/>
          <w:szCs w:val="22"/>
          <w:lang w:val="de-DE"/>
        </w:rPr>
      </w:pPr>
    </w:p>
    <w:p w14:paraId="5FEDBD3D" w14:textId="77777777" w:rsidR="00FE291A" w:rsidRDefault="00FE291A">
      <w:pPr>
        <w:widowControl/>
        <w:rPr>
          <w:sz w:val="22"/>
          <w:szCs w:val="22"/>
          <w:lang w:val="de-DE"/>
        </w:rPr>
      </w:pPr>
    </w:p>
    <w:p w14:paraId="3E81A966" w14:textId="77777777" w:rsidR="00FE291A" w:rsidRDefault="00C8738F">
      <w:pPr>
        <w:keepNext/>
        <w:widowControl/>
        <w:numPr>
          <w:ilvl w:val="0"/>
          <w:numId w:val="2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WARNHINWEIS, DASS DAS ARZNEIMITTEL FÜR KINDER UNZUGÄNGLICH AUFZUBEWAHREN IST</w:t>
      </w:r>
    </w:p>
    <w:p w14:paraId="0F4C7889" w14:textId="77777777" w:rsidR="00FE291A" w:rsidRDefault="00FE291A">
      <w:pPr>
        <w:keepNext/>
        <w:widowControl/>
        <w:rPr>
          <w:sz w:val="22"/>
          <w:szCs w:val="22"/>
          <w:lang w:val="de-DE"/>
        </w:rPr>
      </w:pPr>
    </w:p>
    <w:p w14:paraId="03B8E861" w14:textId="77777777" w:rsidR="00FE291A" w:rsidRDefault="00C8738F">
      <w:pPr>
        <w:widowControl/>
        <w:outlineLvl w:val="0"/>
        <w:rPr>
          <w:sz w:val="22"/>
          <w:szCs w:val="22"/>
          <w:lang w:val="de-DE"/>
        </w:rPr>
      </w:pPr>
      <w:r>
        <w:rPr>
          <w:sz w:val="22"/>
          <w:szCs w:val="22"/>
          <w:lang w:val="de-DE"/>
        </w:rPr>
        <w:t>Arzneimittel für Kinder unzugänglich aufbewahren.</w:t>
      </w:r>
    </w:p>
    <w:p w14:paraId="67B78516" w14:textId="77777777" w:rsidR="00FE291A" w:rsidRDefault="00FE291A">
      <w:pPr>
        <w:widowControl/>
        <w:rPr>
          <w:sz w:val="22"/>
          <w:szCs w:val="22"/>
          <w:lang w:val="de-DE"/>
        </w:rPr>
      </w:pPr>
    </w:p>
    <w:p w14:paraId="06799182" w14:textId="77777777" w:rsidR="00FE291A" w:rsidRDefault="00FE291A">
      <w:pPr>
        <w:widowControl/>
        <w:rPr>
          <w:sz w:val="22"/>
          <w:szCs w:val="22"/>
          <w:lang w:val="de-DE"/>
        </w:rPr>
      </w:pPr>
    </w:p>
    <w:p w14:paraId="00CFED04" w14:textId="77777777" w:rsidR="00FE291A" w:rsidRDefault="00C8738F">
      <w:pPr>
        <w:keepNext/>
        <w:widowControl/>
        <w:numPr>
          <w:ilvl w:val="0"/>
          <w:numId w:val="2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WEITERE WARNHINWEISE, FALLS ERFORDERLICH</w:t>
      </w:r>
    </w:p>
    <w:p w14:paraId="43C45C30" w14:textId="77777777" w:rsidR="00FE291A" w:rsidRDefault="00FE291A">
      <w:pPr>
        <w:keepNext/>
        <w:widowControl/>
        <w:rPr>
          <w:sz w:val="22"/>
          <w:szCs w:val="22"/>
          <w:lang w:val="de-DE"/>
        </w:rPr>
      </w:pPr>
    </w:p>
    <w:p w14:paraId="5F117DF2" w14:textId="77777777" w:rsidR="00FE291A" w:rsidRDefault="00FE291A">
      <w:pPr>
        <w:widowControl/>
        <w:tabs>
          <w:tab w:val="left" w:pos="749"/>
        </w:tabs>
        <w:rPr>
          <w:sz w:val="22"/>
          <w:szCs w:val="22"/>
          <w:lang w:val="de-DE"/>
        </w:rPr>
      </w:pPr>
    </w:p>
    <w:p w14:paraId="3D19906B" w14:textId="77777777" w:rsidR="00FE291A" w:rsidRDefault="00C8738F">
      <w:pPr>
        <w:keepNext/>
        <w:widowControl/>
        <w:numPr>
          <w:ilvl w:val="0"/>
          <w:numId w:val="2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VERFALLDATUM</w:t>
      </w:r>
    </w:p>
    <w:p w14:paraId="18C63B1B" w14:textId="77777777" w:rsidR="00FE291A" w:rsidRDefault="00FE291A">
      <w:pPr>
        <w:keepNext/>
        <w:widowControl/>
        <w:rPr>
          <w:sz w:val="22"/>
          <w:szCs w:val="22"/>
          <w:lang w:val="de-DE"/>
        </w:rPr>
      </w:pPr>
    </w:p>
    <w:p w14:paraId="07D6334F" w14:textId="77777777" w:rsidR="00FE291A" w:rsidRDefault="00C8738F">
      <w:pPr>
        <w:widowControl/>
        <w:rPr>
          <w:sz w:val="22"/>
          <w:szCs w:val="22"/>
          <w:lang w:val="de-DE"/>
        </w:rPr>
      </w:pPr>
      <w:r>
        <w:rPr>
          <w:sz w:val="22"/>
          <w:szCs w:val="22"/>
          <w:lang w:val="de-DE"/>
        </w:rPr>
        <w:t>verwendbar bis</w:t>
      </w:r>
    </w:p>
    <w:p w14:paraId="3F7B0F87" w14:textId="77777777" w:rsidR="00FE291A" w:rsidRDefault="00FE291A">
      <w:pPr>
        <w:widowControl/>
        <w:rPr>
          <w:sz w:val="22"/>
          <w:szCs w:val="22"/>
          <w:lang w:val="de-DE"/>
        </w:rPr>
      </w:pPr>
    </w:p>
    <w:p w14:paraId="6F0F7FDD" w14:textId="77777777" w:rsidR="00FE291A" w:rsidRDefault="00FE291A">
      <w:pPr>
        <w:widowControl/>
        <w:rPr>
          <w:sz w:val="22"/>
          <w:szCs w:val="22"/>
          <w:lang w:val="de-DE"/>
        </w:rPr>
      </w:pPr>
    </w:p>
    <w:p w14:paraId="40A9289D" w14:textId="77777777" w:rsidR="00FE291A" w:rsidRDefault="00C8738F">
      <w:pPr>
        <w:keepNext/>
        <w:keepLines/>
        <w:widowControl/>
        <w:numPr>
          <w:ilvl w:val="0"/>
          <w:numId w:val="2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BESONDERE VORSICHTSMASSNAHMEN FÜR DIE AUFBEWAHRUNG</w:t>
      </w:r>
    </w:p>
    <w:p w14:paraId="3487D518" w14:textId="77777777" w:rsidR="00FE291A" w:rsidRDefault="00FE291A">
      <w:pPr>
        <w:keepNext/>
        <w:keepLines/>
        <w:widowControl/>
        <w:rPr>
          <w:sz w:val="22"/>
          <w:szCs w:val="22"/>
          <w:lang w:val="de-DE"/>
        </w:rPr>
      </w:pPr>
    </w:p>
    <w:p w14:paraId="5A06CD30" w14:textId="77777777" w:rsidR="00FE291A" w:rsidRDefault="00C8738F">
      <w:pPr>
        <w:keepNext/>
        <w:keepLines/>
        <w:widowControl/>
        <w:ind w:left="567" w:hanging="567"/>
        <w:rPr>
          <w:sz w:val="22"/>
          <w:szCs w:val="22"/>
          <w:lang w:val="de-DE"/>
        </w:rPr>
      </w:pPr>
      <w:r>
        <w:rPr>
          <w:sz w:val="22"/>
          <w:szCs w:val="22"/>
          <w:lang w:val="de-DE"/>
        </w:rPr>
        <w:t>Im Kühlschrank lagern.</w:t>
      </w:r>
    </w:p>
    <w:p w14:paraId="51FA919D" w14:textId="77777777" w:rsidR="00FE291A" w:rsidRDefault="00C8738F">
      <w:pPr>
        <w:keepNext/>
        <w:keepLines/>
        <w:widowControl/>
        <w:ind w:left="567" w:hanging="567"/>
        <w:rPr>
          <w:sz w:val="22"/>
          <w:szCs w:val="22"/>
          <w:lang w:val="de-DE"/>
        </w:rPr>
      </w:pPr>
      <w:r>
        <w:rPr>
          <w:sz w:val="22"/>
          <w:szCs w:val="22"/>
          <w:lang w:val="de-DE"/>
        </w:rPr>
        <w:t>Nicht einfrieren.</w:t>
      </w:r>
    </w:p>
    <w:p w14:paraId="14B11273" w14:textId="77777777" w:rsidR="00FE291A" w:rsidRDefault="00C8738F">
      <w:pPr>
        <w:widowControl/>
        <w:ind w:left="567" w:hanging="567"/>
        <w:rPr>
          <w:sz w:val="22"/>
          <w:szCs w:val="22"/>
          <w:lang w:val="de-DE"/>
        </w:rPr>
      </w:pPr>
      <w:r>
        <w:rPr>
          <w:sz w:val="22"/>
          <w:szCs w:val="22"/>
          <w:lang w:val="de-DE"/>
        </w:rPr>
        <w:t>Im Originalkarton aufbewahren, um den Inhalt vor Licht zu schützen.</w:t>
      </w:r>
    </w:p>
    <w:p w14:paraId="681D7428" w14:textId="77777777" w:rsidR="00FE291A" w:rsidRDefault="00FE291A">
      <w:pPr>
        <w:widowControl/>
        <w:ind w:left="567" w:hanging="567"/>
        <w:rPr>
          <w:sz w:val="22"/>
          <w:szCs w:val="22"/>
          <w:lang w:val="de-DE"/>
        </w:rPr>
      </w:pPr>
    </w:p>
    <w:p w14:paraId="4CFE0D14" w14:textId="77777777" w:rsidR="00FE291A" w:rsidRDefault="00FE291A">
      <w:pPr>
        <w:widowControl/>
        <w:ind w:left="567" w:hanging="567"/>
        <w:rPr>
          <w:sz w:val="22"/>
          <w:szCs w:val="22"/>
          <w:lang w:val="de-DE"/>
        </w:rPr>
      </w:pPr>
    </w:p>
    <w:p w14:paraId="49489D58" w14:textId="77777777" w:rsidR="00FE291A" w:rsidRDefault="00C8738F">
      <w:pPr>
        <w:keepNext/>
        <w:widowControl/>
        <w:numPr>
          <w:ilvl w:val="0"/>
          <w:numId w:val="2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GEGEBENENFALLS BESONDERE VORSICHTSMASSNAHMEN FÜR DIE BESEITIGUNG VON NICHT VERWENDETEM ARZNEIMITTEL ODER DAVON STAMMENDEN ABFALLMATERIALIEN</w:t>
      </w:r>
    </w:p>
    <w:p w14:paraId="01C91416" w14:textId="77777777" w:rsidR="00FE291A" w:rsidRDefault="00FE291A">
      <w:pPr>
        <w:widowControl/>
        <w:rPr>
          <w:sz w:val="22"/>
          <w:szCs w:val="22"/>
          <w:lang w:val="de-DE"/>
        </w:rPr>
      </w:pPr>
    </w:p>
    <w:p w14:paraId="1A143EAD" w14:textId="77777777" w:rsidR="00FE291A" w:rsidRDefault="00FE291A">
      <w:pPr>
        <w:widowControl/>
        <w:rPr>
          <w:sz w:val="22"/>
          <w:szCs w:val="22"/>
          <w:lang w:val="de-DE"/>
        </w:rPr>
      </w:pPr>
    </w:p>
    <w:p w14:paraId="15B52C8C" w14:textId="77777777" w:rsidR="00FE291A" w:rsidRDefault="00C8738F">
      <w:pPr>
        <w:keepNext/>
        <w:widowControl/>
        <w:numPr>
          <w:ilvl w:val="0"/>
          <w:numId w:val="2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NAME UND ANSCHRIFT DES PHARMAZEUTISCHEN UNTERNEHMERS</w:t>
      </w:r>
    </w:p>
    <w:p w14:paraId="627ABC17" w14:textId="77777777" w:rsidR="00FE291A" w:rsidRDefault="00FE291A">
      <w:pPr>
        <w:widowControl/>
        <w:rPr>
          <w:sz w:val="22"/>
          <w:szCs w:val="22"/>
          <w:lang w:val="de-DE"/>
        </w:rPr>
      </w:pPr>
    </w:p>
    <w:p w14:paraId="198EB844" w14:textId="77777777" w:rsidR="00FE291A" w:rsidRDefault="00C8738F">
      <w:pPr>
        <w:widowControl/>
        <w:rPr>
          <w:rFonts w:eastAsia="SimSun"/>
          <w:sz w:val="22"/>
          <w:szCs w:val="22"/>
          <w:lang w:val="de-DE" w:eastAsia="en-GB"/>
        </w:rPr>
      </w:pPr>
      <w:r>
        <w:rPr>
          <w:rFonts w:eastAsia="SimSun"/>
          <w:sz w:val="22"/>
          <w:szCs w:val="22"/>
          <w:lang w:val="de-DE" w:eastAsia="en-GB"/>
        </w:rPr>
        <w:t>Amgen Europe B.V.</w:t>
      </w:r>
    </w:p>
    <w:p w14:paraId="133FD07D" w14:textId="77777777" w:rsidR="00FE291A" w:rsidRDefault="00C8738F">
      <w:pPr>
        <w:widowControl/>
        <w:rPr>
          <w:rFonts w:eastAsia="SimSun"/>
          <w:sz w:val="22"/>
          <w:szCs w:val="22"/>
          <w:lang w:val="de-DE" w:eastAsia="en-GB"/>
        </w:rPr>
      </w:pPr>
      <w:r>
        <w:rPr>
          <w:rFonts w:eastAsia="SimSun"/>
          <w:sz w:val="22"/>
          <w:szCs w:val="22"/>
          <w:lang w:val="de-DE" w:eastAsia="en-GB"/>
        </w:rPr>
        <w:t>Minervum 7061,</w:t>
      </w:r>
    </w:p>
    <w:p w14:paraId="122DFF57" w14:textId="77777777" w:rsidR="00FE291A" w:rsidRDefault="00C8738F">
      <w:pPr>
        <w:widowControl/>
        <w:rPr>
          <w:rFonts w:eastAsia="SimSun"/>
          <w:sz w:val="22"/>
          <w:szCs w:val="22"/>
          <w:lang w:val="de-DE" w:eastAsia="en-GB"/>
        </w:rPr>
      </w:pPr>
      <w:r>
        <w:rPr>
          <w:rFonts w:eastAsia="SimSun"/>
          <w:sz w:val="22"/>
          <w:szCs w:val="22"/>
          <w:lang w:val="de-DE" w:eastAsia="en-GB"/>
        </w:rPr>
        <w:t>4817 ZK Breda,</w:t>
      </w:r>
    </w:p>
    <w:p w14:paraId="09A95B5D" w14:textId="77777777" w:rsidR="00FE291A" w:rsidRDefault="00C8738F">
      <w:pPr>
        <w:widowControl/>
        <w:rPr>
          <w:rFonts w:eastAsia="SimSun"/>
          <w:sz w:val="22"/>
          <w:szCs w:val="22"/>
          <w:lang w:val="de-DE" w:eastAsia="en-GB"/>
        </w:rPr>
      </w:pPr>
      <w:r>
        <w:rPr>
          <w:rFonts w:eastAsia="SimSun"/>
          <w:sz w:val="22"/>
          <w:szCs w:val="22"/>
          <w:lang w:val="de-DE" w:eastAsia="en-GB"/>
        </w:rPr>
        <w:t>Niederlande</w:t>
      </w:r>
    </w:p>
    <w:p w14:paraId="4122BF73" w14:textId="77777777" w:rsidR="00FE291A" w:rsidRDefault="00FE291A">
      <w:pPr>
        <w:widowControl/>
        <w:rPr>
          <w:sz w:val="22"/>
          <w:szCs w:val="22"/>
          <w:lang w:val="de-DE"/>
        </w:rPr>
      </w:pPr>
    </w:p>
    <w:p w14:paraId="6D176F3F" w14:textId="77777777" w:rsidR="00FE291A" w:rsidRDefault="00FE291A">
      <w:pPr>
        <w:widowControl/>
        <w:rPr>
          <w:sz w:val="22"/>
          <w:szCs w:val="22"/>
          <w:lang w:val="de-DE"/>
        </w:rPr>
      </w:pPr>
    </w:p>
    <w:p w14:paraId="3713C73D" w14:textId="77777777" w:rsidR="00FE291A" w:rsidRDefault="00C8738F">
      <w:pPr>
        <w:keepNext/>
        <w:widowControl/>
        <w:numPr>
          <w:ilvl w:val="0"/>
          <w:numId w:val="2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ZULASSUNGSNUMMER</w:t>
      </w:r>
    </w:p>
    <w:p w14:paraId="0CCF32AD" w14:textId="77777777" w:rsidR="00FE291A" w:rsidRDefault="00FE291A">
      <w:pPr>
        <w:widowControl/>
        <w:rPr>
          <w:sz w:val="22"/>
          <w:szCs w:val="22"/>
          <w:lang w:val="de-DE"/>
        </w:rPr>
      </w:pPr>
    </w:p>
    <w:p w14:paraId="03D7BD37" w14:textId="77777777" w:rsidR="00FE291A" w:rsidRDefault="00C8738F">
      <w:pPr>
        <w:widowControl/>
        <w:outlineLvl w:val="0"/>
        <w:rPr>
          <w:sz w:val="22"/>
          <w:szCs w:val="22"/>
          <w:highlight w:val="lightGray"/>
          <w:lang w:val="de-DE"/>
        </w:rPr>
      </w:pPr>
      <w:r>
        <w:rPr>
          <w:sz w:val="22"/>
          <w:szCs w:val="22"/>
          <w:lang w:val="de-DE"/>
        </w:rPr>
        <w:t>EU/1/16/1164/009</w:t>
      </w:r>
    </w:p>
    <w:p w14:paraId="06829A76" w14:textId="77777777" w:rsidR="00FE291A" w:rsidRDefault="00FE291A">
      <w:pPr>
        <w:widowControl/>
        <w:rPr>
          <w:sz w:val="22"/>
          <w:szCs w:val="22"/>
          <w:lang w:val="de-DE"/>
        </w:rPr>
      </w:pPr>
    </w:p>
    <w:p w14:paraId="5B6C4C2D" w14:textId="77777777" w:rsidR="00FE291A" w:rsidRDefault="00FE291A">
      <w:pPr>
        <w:widowControl/>
        <w:rPr>
          <w:sz w:val="22"/>
          <w:szCs w:val="22"/>
          <w:lang w:val="de-DE"/>
        </w:rPr>
      </w:pPr>
    </w:p>
    <w:p w14:paraId="64B333BC" w14:textId="77777777" w:rsidR="00FE291A" w:rsidRDefault="00C8738F">
      <w:pPr>
        <w:keepNext/>
        <w:widowControl/>
        <w:numPr>
          <w:ilvl w:val="0"/>
          <w:numId w:val="2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CHARGENBEZEICHNUNG</w:t>
      </w:r>
    </w:p>
    <w:p w14:paraId="49D4A7E3" w14:textId="77777777" w:rsidR="00FE291A" w:rsidRDefault="00FE291A">
      <w:pPr>
        <w:widowControl/>
        <w:rPr>
          <w:i/>
          <w:sz w:val="22"/>
          <w:szCs w:val="22"/>
          <w:lang w:val="de-DE"/>
        </w:rPr>
      </w:pPr>
    </w:p>
    <w:p w14:paraId="7E397B37" w14:textId="77777777" w:rsidR="00FE291A" w:rsidRDefault="00C8738F">
      <w:pPr>
        <w:widowControl/>
        <w:rPr>
          <w:sz w:val="22"/>
          <w:szCs w:val="22"/>
          <w:lang w:val="de-DE"/>
        </w:rPr>
      </w:pPr>
      <w:r>
        <w:rPr>
          <w:sz w:val="22"/>
          <w:szCs w:val="22"/>
          <w:lang w:val="de-DE"/>
        </w:rPr>
        <w:t>Ch.-B.</w:t>
      </w:r>
    </w:p>
    <w:p w14:paraId="7E38DF51" w14:textId="77777777" w:rsidR="00FE291A" w:rsidRDefault="00FE291A">
      <w:pPr>
        <w:widowControl/>
        <w:rPr>
          <w:sz w:val="22"/>
          <w:szCs w:val="22"/>
          <w:lang w:val="de-DE"/>
        </w:rPr>
      </w:pPr>
    </w:p>
    <w:p w14:paraId="66DC2DD2" w14:textId="77777777" w:rsidR="00FE291A" w:rsidRDefault="00FE291A">
      <w:pPr>
        <w:widowControl/>
        <w:rPr>
          <w:sz w:val="22"/>
          <w:szCs w:val="22"/>
          <w:lang w:val="de-DE"/>
        </w:rPr>
      </w:pPr>
    </w:p>
    <w:p w14:paraId="27D6B3D2" w14:textId="77777777" w:rsidR="00FE291A" w:rsidRDefault="00C8738F">
      <w:pPr>
        <w:keepNext/>
        <w:widowControl/>
        <w:numPr>
          <w:ilvl w:val="0"/>
          <w:numId w:val="2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VERKAUFSABGRENZUNG</w:t>
      </w:r>
    </w:p>
    <w:p w14:paraId="72BD53A8" w14:textId="77777777" w:rsidR="00FE291A" w:rsidRDefault="00FE291A">
      <w:pPr>
        <w:widowControl/>
        <w:rPr>
          <w:i/>
          <w:sz w:val="22"/>
          <w:szCs w:val="22"/>
          <w:lang w:val="de-DE"/>
        </w:rPr>
      </w:pPr>
    </w:p>
    <w:p w14:paraId="643F4219" w14:textId="77777777" w:rsidR="00FE291A" w:rsidRDefault="00FE291A">
      <w:pPr>
        <w:widowControl/>
        <w:rPr>
          <w:sz w:val="22"/>
          <w:szCs w:val="22"/>
          <w:lang w:val="de-DE"/>
        </w:rPr>
      </w:pPr>
    </w:p>
    <w:p w14:paraId="69D7B2D7" w14:textId="77777777" w:rsidR="00FE291A" w:rsidRDefault="00C8738F">
      <w:pPr>
        <w:keepNext/>
        <w:widowControl/>
        <w:numPr>
          <w:ilvl w:val="0"/>
          <w:numId w:val="2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HINWEISE FÜR DEN GEBRAUCH</w:t>
      </w:r>
    </w:p>
    <w:p w14:paraId="12F4C251" w14:textId="77777777" w:rsidR="00FE291A" w:rsidRDefault="00FE291A">
      <w:pPr>
        <w:widowControl/>
        <w:rPr>
          <w:sz w:val="22"/>
          <w:szCs w:val="22"/>
          <w:lang w:val="de-DE"/>
        </w:rPr>
      </w:pPr>
    </w:p>
    <w:p w14:paraId="52CF5998" w14:textId="77777777" w:rsidR="00FE291A" w:rsidRDefault="00FE291A">
      <w:pPr>
        <w:widowControl/>
        <w:rPr>
          <w:sz w:val="22"/>
          <w:szCs w:val="22"/>
          <w:lang w:val="de-DE"/>
        </w:rPr>
      </w:pPr>
    </w:p>
    <w:p w14:paraId="77ACF096" w14:textId="77777777" w:rsidR="00FE291A" w:rsidRDefault="00C8738F">
      <w:pPr>
        <w:keepNext/>
        <w:widowControl/>
        <w:numPr>
          <w:ilvl w:val="0"/>
          <w:numId w:val="2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ANGABEN IN BLINDENSCHRIFT</w:t>
      </w:r>
    </w:p>
    <w:p w14:paraId="40969890" w14:textId="77777777" w:rsidR="00FE291A" w:rsidRDefault="00FE291A">
      <w:pPr>
        <w:widowControl/>
        <w:rPr>
          <w:sz w:val="22"/>
          <w:szCs w:val="22"/>
          <w:lang w:val="de-DE"/>
        </w:rPr>
      </w:pPr>
    </w:p>
    <w:p w14:paraId="6C679FB5" w14:textId="77777777" w:rsidR="00FE291A" w:rsidRDefault="00C8738F">
      <w:pPr>
        <w:widowControl/>
        <w:rPr>
          <w:sz w:val="22"/>
          <w:szCs w:val="22"/>
          <w:shd w:val="clear" w:color="auto" w:fill="CCCCCC"/>
          <w:lang w:val="de-DE"/>
        </w:rPr>
      </w:pPr>
      <w:r>
        <w:rPr>
          <w:sz w:val="22"/>
          <w:szCs w:val="22"/>
          <w:lang w:val="de-DE"/>
        </w:rPr>
        <w:t>AMGEVITA 40 mg/0,8 ml Pen</w:t>
      </w:r>
    </w:p>
    <w:p w14:paraId="5E66C2F6" w14:textId="77777777" w:rsidR="00FE291A" w:rsidRDefault="00FE291A">
      <w:pPr>
        <w:widowControl/>
        <w:rPr>
          <w:sz w:val="22"/>
          <w:szCs w:val="22"/>
          <w:shd w:val="clear" w:color="auto" w:fill="CCCCCC"/>
          <w:lang w:val="de-DE"/>
        </w:rPr>
      </w:pPr>
    </w:p>
    <w:p w14:paraId="275239E6" w14:textId="77777777" w:rsidR="00FE291A" w:rsidRDefault="00FE291A">
      <w:pPr>
        <w:widowControl/>
        <w:rPr>
          <w:sz w:val="22"/>
          <w:szCs w:val="22"/>
          <w:shd w:val="clear" w:color="auto" w:fill="CCCCCC"/>
          <w:lang w:val="de-DE"/>
        </w:rPr>
      </w:pPr>
    </w:p>
    <w:p w14:paraId="188400ED" w14:textId="77777777" w:rsidR="00FE291A" w:rsidRDefault="00C8738F">
      <w:pPr>
        <w:keepNext/>
        <w:widowControl/>
        <w:numPr>
          <w:ilvl w:val="0"/>
          <w:numId w:val="2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i/>
          <w:sz w:val="22"/>
          <w:szCs w:val="22"/>
          <w:lang w:val="de-DE"/>
        </w:rPr>
      </w:pPr>
      <w:r>
        <w:rPr>
          <w:b/>
          <w:sz w:val="22"/>
          <w:szCs w:val="22"/>
          <w:lang w:val="de-DE"/>
        </w:rPr>
        <w:t>INDIVIDUELLES ERKENNUNGSMERKMAL – 2D-BARCODE</w:t>
      </w:r>
    </w:p>
    <w:p w14:paraId="1B244BCE" w14:textId="77777777" w:rsidR="00FE291A" w:rsidRDefault="00FE291A">
      <w:pPr>
        <w:widowControl/>
        <w:rPr>
          <w:sz w:val="22"/>
          <w:szCs w:val="22"/>
          <w:lang w:val="de-DE"/>
        </w:rPr>
      </w:pPr>
    </w:p>
    <w:p w14:paraId="5A7CF128" w14:textId="77777777" w:rsidR="00FE291A" w:rsidRDefault="00C8738F">
      <w:pPr>
        <w:widowControl/>
        <w:rPr>
          <w:sz w:val="22"/>
          <w:szCs w:val="22"/>
          <w:shd w:val="clear" w:color="auto" w:fill="CCCCCC"/>
          <w:lang w:val="de-DE"/>
        </w:rPr>
      </w:pPr>
      <w:r>
        <w:rPr>
          <w:sz w:val="22"/>
          <w:szCs w:val="22"/>
          <w:highlight w:val="lightGray"/>
          <w:lang w:val="de-DE"/>
        </w:rPr>
        <w:t>2D-Barcode mit individuellem Erkennungsmerkmal.</w:t>
      </w:r>
    </w:p>
    <w:p w14:paraId="063C64C6" w14:textId="77777777" w:rsidR="00FE291A" w:rsidRDefault="00FE291A">
      <w:pPr>
        <w:widowControl/>
        <w:rPr>
          <w:sz w:val="22"/>
          <w:szCs w:val="22"/>
          <w:lang w:val="de-DE"/>
        </w:rPr>
      </w:pPr>
    </w:p>
    <w:p w14:paraId="55F2C038" w14:textId="77777777" w:rsidR="00FE291A" w:rsidRDefault="00FE291A">
      <w:pPr>
        <w:widowControl/>
        <w:rPr>
          <w:sz w:val="22"/>
          <w:szCs w:val="22"/>
          <w:lang w:val="de-DE"/>
        </w:rPr>
      </w:pPr>
    </w:p>
    <w:p w14:paraId="5CC4F856" w14:textId="77777777" w:rsidR="00FE291A" w:rsidRDefault="00C8738F">
      <w:pPr>
        <w:keepNext/>
        <w:widowControl/>
        <w:numPr>
          <w:ilvl w:val="0"/>
          <w:numId w:val="2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i/>
          <w:sz w:val="22"/>
          <w:szCs w:val="22"/>
          <w:lang w:val="de-DE"/>
        </w:rPr>
      </w:pPr>
      <w:r>
        <w:rPr>
          <w:b/>
          <w:sz w:val="22"/>
          <w:szCs w:val="22"/>
          <w:lang w:val="de-DE"/>
        </w:rPr>
        <w:t>INDIVIDUELLES ERKENNUNGSMERKMAL – VOM MENSCHEN LESBARES FORMAT</w:t>
      </w:r>
    </w:p>
    <w:p w14:paraId="0B77ECD6" w14:textId="77777777" w:rsidR="00FE291A" w:rsidRDefault="00FE291A">
      <w:pPr>
        <w:keepNext/>
        <w:widowControl/>
        <w:rPr>
          <w:sz w:val="22"/>
          <w:szCs w:val="22"/>
          <w:lang w:val="de-DE"/>
        </w:rPr>
      </w:pPr>
    </w:p>
    <w:p w14:paraId="12C58F4F" w14:textId="77777777" w:rsidR="00FE291A" w:rsidRDefault="00C8738F">
      <w:pPr>
        <w:keepNext/>
        <w:widowControl/>
        <w:rPr>
          <w:sz w:val="22"/>
          <w:szCs w:val="22"/>
          <w:lang w:val="de-DE"/>
        </w:rPr>
      </w:pPr>
      <w:r>
        <w:rPr>
          <w:sz w:val="22"/>
          <w:szCs w:val="22"/>
          <w:lang w:val="de-DE"/>
        </w:rPr>
        <w:t>PC</w:t>
      </w:r>
    </w:p>
    <w:p w14:paraId="40177AB4" w14:textId="77777777" w:rsidR="00FE291A" w:rsidRDefault="00C8738F">
      <w:pPr>
        <w:keepNext/>
        <w:widowControl/>
        <w:rPr>
          <w:sz w:val="22"/>
          <w:szCs w:val="22"/>
          <w:lang w:val="de-DE"/>
        </w:rPr>
      </w:pPr>
      <w:r>
        <w:rPr>
          <w:sz w:val="22"/>
          <w:szCs w:val="22"/>
          <w:lang w:val="de-DE"/>
        </w:rPr>
        <w:t>SN</w:t>
      </w:r>
    </w:p>
    <w:p w14:paraId="5FCB1D49" w14:textId="77777777" w:rsidR="00FE291A" w:rsidRDefault="00C8738F">
      <w:pPr>
        <w:widowControl/>
        <w:rPr>
          <w:sz w:val="22"/>
          <w:szCs w:val="22"/>
          <w:lang w:val="de-DE"/>
        </w:rPr>
      </w:pPr>
      <w:r>
        <w:rPr>
          <w:sz w:val="22"/>
          <w:szCs w:val="22"/>
          <w:lang w:val="de-DE"/>
        </w:rPr>
        <w:t>NN</w:t>
      </w:r>
    </w:p>
    <w:p w14:paraId="0E2F67D1" w14:textId="77777777" w:rsidR="00FE291A" w:rsidRDefault="00C8738F">
      <w:pPr>
        <w:widowControl/>
        <w:pBdr>
          <w:top w:val="single" w:sz="4" w:space="1" w:color="auto"/>
          <w:left w:val="single" w:sz="4" w:space="4" w:color="auto"/>
          <w:bottom w:val="single" w:sz="4" w:space="1" w:color="auto"/>
          <w:right w:val="single" w:sz="4" w:space="4" w:color="auto"/>
        </w:pBdr>
        <w:autoSpaceDE/>
        <w:autoSpaceDN/>
        <w:adjustRightInd/>
        <w:rPr>
          <w:b/>
          <w:sz w:val="22"/>
          <w:szCs w:val="22"/>
          <w:lang w:val="de-DE"/>
        </w:rPr>
      </w:pPr>
      <w:r>
        <w:rPr>
          <w:sz w:val="22"/>
          <w:szCs w:val="22"/>
          <w:lang w:val="de-DE"/>
        </w:rPr>
        <w:br w:type="page"/>
      </w:r>
      <w:r>
        <w:rPr>
          <w:b/>
          <w:sz w:val="22"/>
          <w:szCs w:val="22"/>
          <w:lang w:val="de-DE"/>
        </w:rPr>
        <w:t>ANGABEN AUF DER ÄUSSEREN UMHÜLLUNG</w:t>
      </w:r>
    </w:p>
    <w:p w14:paraId="4BAE7ECA" w14:textId="77777777" w:rsidR="00FE291A" w:rsidRDefault="00FE291A">
      <w:pPr>
        <w:pBdr>
          <w:top w:val="single" w:sz="4" w:space="1" w:color="auto"/>
          <w:left w:val="single" w:sz="4" w:space="4" w:color="auto"/>
          <w:bottom w:val="single" w:sz="4" w:space="1" w:color="auto"/>
          <w:right w:val="single" w:sz="4" w:space="4" w:color="auto"/>
        </w:pBdr>
        <w:ind w:left="567" w:hanging="567"/>
        <w:rPr>
          <w:sz w:val="22"/>
          <w:szCs w:val="22"/>
          <w:lang w:val="de-DE"/>
        </w:rPr>
      </w:pPr>
    </w:p>
    <w:p w14:paraId="0042D843" w14:textId="77777777" w:rsidR="00FE291A" w:rsidRDefault="00C8738F">
      <w:pPr>
        <w:pBdr>
          <w:top w:val="single" w:sz="4" w:space="1" w:color="auto"/>
          <w:left w:val="single" w:sz="4" w:space="4" w:color="auto"/>
          <w:bottom w:val="single" w:sz="4" w:space="1" w:color="auto"/>
          <w:right w:val="single" w:sz="4" w:space="4" w:color="auto"/>
        </w:pBdr>
        <w:rPr>
          <w:sz w:val="22"/>
          <w:szCs w:val="22"/>
          <w:lang w:val="de-DE"/>
        </w:rPr>
      </w:pPr>
      <w:r>
        <w:rPr>
          <w:b/>
          <w:sz w:val="22"/>
          <w:szCs w:val="22"/>
          <w:lang w:val="de-DE"/>
        </w:rPr>
        <w:t>INNERER KARTON DER BÜNDELPACKUNG FÜR DEN FERTIGPEN (ohne blue box)</w:t>
      </w:r>
    </w:p>
    <w:p w14:paraId="1F6F43C1" w14:textId="77777777" w:rsidR="00FE291A" w:rsidRDefault="00FE291A">
      <w:pPr>
        <w:rPr>
          <w:sz w:val="22"/>
          <w:szCs w:val="22"/>
          <w:lang w:val="de-DE"/>
        </w:rPr>
      </w:pPr>
    </w:p>
    <w:p w14:paraId="0A870C8C" w14:textId="77777777" w:rsidR="00FE291A" w:rsidRDefault="00FE291A">
      <w:pPr>
        <w:rPr>
          <w:sz w:val="22"/>
          <w:szCs w:val="22"/>
          <w:lang w:val="de-DE"/>
        </w:rPr>
      </w:pPr>
    </w:p>
    <w:p w14:paraId="79F91905" w14:textId="77777777" w:rsidR="00FE291A" w:rsidRDefault="00C8738F">
      <w:pPr>
        <w:keepNext/>
        <w:numPr>
          <w:ilvl w:val="0"/>
          <w:numId w:val="2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BEZEICHNUNG DES ARZNEIMITTELS</w:t>
      </w:r>
    </w:p>
    <w:p w14:paraId="6441BD90" w14:textId="77777777" w:rsidR="00FE291A" w:rsidRDefault="00FE291A">
      <w:pPr>
        <w:keepNext/>
        <w:rPr>
          <w:sz w:val="22"/>
          <w:szCs w:val="22"/>
          <w:lang w:val="de-DE"/>
        </w:rPr>
      </w:pPr>
    </w:p>
    <w:p w14:paraId="49123B1E" w14:textId="77777777" w:rsidR="00FE291A" w:rsidRDefault="00C8738F">
      <w:pPr>
        <w:rPr>
          <w:sz w:val="22"/>
          <w:szCs w:val="22"/>
          <w:lang w:val="de-DE"/>
        </w:rPr>
      </w:pPr>
      <w:r>
        <w:rPr>
          <w:sz w:val="22"/>
          <w:szCs w:val="22"/>
          <w:lang w:val="de-DE"/>
        </w:rPr>
        <w:t>AMGEVITA 40 mg Injektionslösung im Fertigpen</w:t>
      </w:r>
    </w:p>
    <w:p w14:paraId="5B72C6C3" w14:textId="77777777" w:rsidR="00FE291A" w:rsidRDefault="00C8738F">
      <w:pPr>
        <w:rPr>
          <w:b/>
          <w:sz w:val="22"/>
          <w:szCs w:val="22"/>
          <w:lang w:val="de-DE"/>
        </w:rPr>
      </w:pPr>
      <w:r>
        <w:rPr>
          <w:sz w:val="22"/>
          <w:szCs w:val="22"/>
          <w:lang w:val="de-DE"/>
        </w:rPr>
        <w:t>Adalimumab</w:t>
      </w:r>
    </w:p>
    <w:p w14:paraId="5D401103" w14:textId="77777777" w:rsidR="00FE291A" w:rsidRDefault="00FE291A">
      <w:pPr>
        <w:rPr>
          <w:sz w:val="22"/>
          <w:szCs w:val="22"/>
          <w:lang w:val="de-DE"/>
        </w:rPr>
      </w:pPr>
    </w:p>
    <w:p w14:paraId="7DD988B0" w14:textId="77777777" w:rsidR="00FE291A" w:rsidRDefault="00FE291A">
      <w:pPr>
        <w:rPr>
          <w:sz w:val="22"/>
          <w:szCs w:val="22"/>
          <w:lang w:val="de-DE"/>
        </w:rPr>
      </w:pPr>
    </w:p>
    <w:p w14:paraId="1D5DB7A8" w14:textId="77777777" w:rsidR="00FE291A" w:rsidRDefault="00C8738F">
      <w:pPr>
        <w:keepNext/>
        <w:numPr>
          <w:ilvl w:val="0"/>
          <w:numId w:val="28"/>
        </w:num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de-DE"/>
        </w:rPr>
      </w:pPr>
      <w:r>
        <w:rPr>
          <w:b/>
          <w:sz w:val="22"/>
          <w:szCs w:val="22"/>
          <w:lang w:val="de-DE"/>
        </w:rPr>
        <w:t>WIRKSTOFF</w:t>
      </w:r>
    </w:p>
    <w:p w14:paraId="2F5B7B47" w14:textId="77777777" w:rsidR="00FE291A" w:rsidRDefault="00FE291A">
      <w:pPr>
        <w:keepNext/>
        <w:rPr>
          <w:sz w:val="22"/>
          <w:szCs w:val="22"/>
          <w:lang w:val="de-DE"/>
        </w:rPr>
      </w:pPr>
    </w:p>
    <w:p w14:paraId="63952510" w14:textId="77777777" w:rsidR="00FE291A" w:rsidRDefault="00C8738F">
      <w:pPr>
        <w:rPr>
          <w:sz w:val="22"/>
          <w:szCs w:val="22"/>
          <w:lang w:val="de-DE"/>
        </w:rPr>
      </w:pPr>
      <w:r>
        <w:rPr>
          <w:sz w:val="22"/>
          <w:szCs w:val="22"/>
          <w:lang w:val="de-DE"/>
        </w:rPr>
        <w:t>Jeder Fertigpen enthält 40 mg Adalimumab in 0,8 ml Lösung.</w:t>
      </w:r>
    </w:p>
    <w:p w14:paraId="6BBBC195" w14:textId="77777777" w:rsidR="00FE291A" w:rsidRDefault="00FE291A">
      <w:pPr>
        <w:rPr>
          <w:sz w:val="22"/>
          <w:szCs w:val="22"/>
          <w:lang w:val="de-DE"/>
        </w:rPr>
      </w:pPr>
    </w:p>
    <w:p w14:paraId="1CFE6B1D" w14:textId="77777777" w:rsidR="00FE291A" w:rsidRDefault="00FE291A">
      <w:pPr>
        <w:rPr>
          <w:sz w:val="22"/>
          <w:szCs w:val="22"/>
          <w:lang w:val="de-DE"/>
        </w:rPr>
      </w:pPr>
    </w:p>
    <w:p w14:paraId="67600648" w14:textId="77777777" w:rsidR="00FE291A" w:rsidRDefault="00C8738F">
      <w:pPr>
        <w:keepNext/>
        <w:numPr>
          <w:ilvl w:val="0"/>
          <w:numId w:val="2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SONSTIGE BESTANDTEILE</w:t>
      </w:r>
    </w:p>
    <w:p w14:paraId="69DDF4AF" w14:textId="77777777" w:rsidR="00FE291A" w:rsidRDefault="00FE291A">
      <w:pPr>
        <w:rPr>
          <w:sz w:val="22"/>
          <w:szCs w:val="22"/>
          <w:lang w:val="de-DE"/>
        </w:rPr>
      </w:pPr>
    </w:p>
    <w:p w14:paraId="0300D96F" w14:textId="77777777" w:rsidR="00FE291A" w:rsidRDefault="00C8738F">
      <w:pPr>
        <w:rPr>
          <w:sz w:val="22"/>
          <w:szCs w:val="22"/>
          <w:lang w:val="de-DE"/>
        </w:rPr>
      </w:pPr>
      <w:r>
        <w:rPr>
          <w:sz w:val="22"/>
          <w:szCs w:val="22"/>
          <w:lang w:val="de-DE"/>
        </w:rPr>
        <w:t>Essigsäure 99 %, Saccharose, Polysorbat 80, Natriumhydroxid und Wasser für Injektionszwecke.</w:t>
      </w:r>
    </w:p>
    <w:p w14:paraId="52A23477" w14:textId="77777777" w:rsidR="00FE291A" w:rsidRDefault="00FE291A">
      <w:pPr>
        <w:rPr>
          <w:sz w:val="22"/>
          <w:szCs w:val="22"/>
          <w:lang w:val="de-DE"/>
        </w:rPr>
      </w:pPr>
    </w:p>
    <w:p w14:paraId="33C39B77" w14:textId="77777777" w:rsidR="00FE291A" w:rsidRDefault="00FE291A">
      <w:pPr>
        <w:rPr>
          <w:sz w:val="22"/>
          <w:szCs w:val="22"/>
          <w:lang w:val="de-DE"/>
        </w:rPr>
      </w:pPr>
    </w:p>
    <w:p w14:paraId="722FF3BA" w14:textId="77777777" w:rsidR="00FE291A" w:rsidRDefault="00C8738F">
      <w:pPr>
        <w:keepNext/>
        <w:numPr>
          <w:ilvl w:val="0"/>
          <w:numId w:val="2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DARREICHUNGSFORM UND INHALT</w:t>
      </w:r>
    </w:p>
    <w:p w14:paraId="34A61C0F" w14:textId="77777777" w:rsidR="00FE291A" w:rsidRDefault="00FE291A">
      <w:pPr>
        <w:rPr>
          <w:sz w:val="22"/>
          <w:szCs w:val="22"/>
          <w:lang w:val="de-DE"/>
        </w:rPr>
      </w:pPr>
    </w:p>
    <w:p w14:paraId="638F3E18" w14:textId="77777777" w:rsidR="00FE291A" w:rsidRDefault="00C8738F">
      <w:pPr>
        <w:rPr>
          <w:sz w:val="22"/>
          <w:szCs w:val="22"/>
          <w:lang w:val="de-DE"/>
        </w:rPr>
      </w:pPr>
      <w:r>
        <w:rPr>
          <w:sz w:val="22"/>
          <w:szCs w:val="22"/>
          <w:highlight w:val="lightGray"/>
          <w:lang w:val="de-DE"/>
        </w:rPr>
        <w:t>Injektionslösung</w:t>
      </w:r>
    </w:p>
    <w:p w14:paraId="094E05F9" w14:textId="77777777" w:rsidR="00FE291A" w:rsidRDefault="00C8738F">
      <w:pPr>
        <w:widowControl/>
        <w:rPr>
          <w:sz w:val="22"/>
          <w:szCs w:val="22"/>
          <w:lang w:val="de-DE"/>
        </w:rPr>
      </w:pPr>
      <w:r>
        <w:rPr>
          <w:sz w:val="22"/>
          <w:szCs w:val="22"/>
          <w:lang w:val="de-DE"/>
        </w:rPr>
        <w:t>40 mg/0,8 ml</w:t>
      </w:r>
    </w:p>
    <w:p w14:paraId="1147E07A" w14:textId="77777777" w:rsidR="00FE291A" w:rsidRDefault="00C8738F">
      <w:pPr>
        <w:rPr>
          <w:sz w:val="22"/>
          <w:szCs w:val="22"/>
          <w:lang w:val="de-DE"/>
        </w:rPr>
      </w:pPr>
      <w:r>
        <w:rPr>
          <w:sz w:val="22"/>
          <w:szCs w:val="22"/>
          <w:lang w:val="de-DE"/>
        </w:rPr>
        <w:t>2 SureClick Fertigpens. Teil einer Bündelpackung, Einzelverkauf unzulässig.</w:t>
      </w:r>
    </w:p>
    <w:p w14:paraId="0D7B5295" w14:textId="77777777" w:rsidR="00FE291A" w:rsidRDefault="00FE291A">
      <w:pPr>
        <w:rPr>
          <w:sz w:val="22"/>
          <w:szCs w:val="22"/>
          <w:lang w:val="de-DE"/>
        </w:rPr>
      </w:pPr>
    </w:p>
    <w:p w14:paraId="4F1BE2B0" w14:textId="77777777" w:rsidR="00FE291A" w:rsidRDefault="00FE291A">
      <w:pPr>
        <w:rPr>
          <w:sz w:val="22"/>
          <w:szCs w:val="22"/>
          <w:lang w:val="de-DE"/>
        </w:rPr>
      </w:pPr>
    </w:p>
    <w:p w14:paraId="7BD45B7E" w14:textId="77777777" w:rsidR="00FE291A" w:rsidRDefault="00C8738F">
      <w:pPr>
        <w:keepNext/>
        <w:numPr>
          <w:ilvl w:val="0"/>
          <w:numId w:val="2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HINWEISE ZUR UND ART(EN) DER ANWENDUNG</w:t>
      </w:r>
    </w:p>
    <w:p w14:paraId="1CC6DDA6" w14:textId="77777777" w:rsidR="00FE291A" w:rsidRDefault="00FE291A">
      <w:pPr>
        <w:keepNext/>
        <w:rPr>
          <w:sz w:val="22"/>
          <w:szCs w:val="22"/>
          <w:lang w:val="de-DE"/>
        </w:rPr>
      </w:pPr>
    </w:p>
    <w:p w14:paraId="1431D9F0" w14:textId="77777777" w:rsidR="00FE291A" w:rsidRDefault="00C8738F">
      <w:pPr>
        <w:rPr>
          <w:sz w:val="22"/>
          <w:szCs w:val="22"/>
          <w:lang w:val="de-DE"/>
        </w:rPr>
      </w:pPr>
      <w:r>
        <w:rPr>
          <w:sz w:val="22"/>
          <w:szCs w:val="22"/>
          <w:lang w:val="de-DE"/>
        </w:rPr>
        <w:t>Zur subkutanen Anwendung.</w:t>
      </w:r>
    </w:p>
    <w:p w14:paraId="57827B3E" w14:textId="77777777" w:rsidR="00FE291A" w:rsidRDefault="00C8738F">
      <w:pPr>
        <w:rPr>
          <w:sz w:val="22"/>
          <w:szCs w:val="22"/>
          <w:lang w:val="de-DE"/>
        </w:rPr>
      </w:pPr>
      <w:r>
        <w:rPr>
          <w:sz w:val="22"/>
          <w:szCs w:val="22"/>
          <w:lang w:val="de-DE"/>
        </w:rPr>
        <w:t>Packungsbeilage beachten.</w:t>
      </w:r>
    </w:p>
    <w:p w14:paraId="43BED60F" w14:textId="77777777" w:rsidR="00FE291A" w:rsidRDefault="00C8738F">
      <w:pPr>
        <w:rPr>
          <w:sz w:val="22"/>
          <w:szCs w:val="22"/>
          <w:lang w:val="de-DE"/>
        </w:rPr>
      </w:pPr>
      <w:r>
        <w:rPr>
          <w:sz w:val="22"/>
          <w:szCs w:val="22"/>
          <w:lang w:val="de-DE"/>
        </w:rPr>
        <w:t>Nur zum Einmalgebrauch.</w:t>
      </w:r>
    </w:p>
    <w:p w14:paraId="0B26E3CE" w14:textId="77777777" w:rsidR="00FE291A" w:rsidRDefault="00FE291A">
      <w:pPr>
        <w:rPr>
          <w:sz w:val="22"/>
          <w:szCs w:val="22"/>
          <w:lang w:val="de-DE"/>
        </w:rPr>
      </w:pPr>
    </w:p>
    <w:p w14:paraId="6DFE0DF4" w14:textId="77777777" w:rsidR="00FE291A" w:rsidRDefault="00FE291A">
      <w:pPr>
        <w:rPr>
          <w:sz w:val="22"/>
          <w:szCs w:val="22"/>
          <w:lang w:val="de-DE"/>
        </w:rPr>
      </w:pPr>
    </w:p>
    <w:p w14:paraId="466A4BB7" w14:textId="77777777" w:rsidR="00FE291A" w:rsidRDefault="00C8738F">
      <w:pPr>
        <w:keepNext/>
        <w:numPr>
          <w:ilvl w:val="0"/>
          <w:numId w:val="2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WARNHINWEIS, DASS DAS ARZNEIMITTEL FÜR KINDER UNZUGÄNGLICH AUFZUBEWAHREN IST</w:t>
      </w:r>
    </w:p>
    <w:p w14:paraId="76E791E8" w14:textId="77777777" w:rsidR="00FE291A" w:rsidRDefault="00FE291A">
      <w:pPr>
        <w:keepNext/>
        <w:rPr>
          <w:sz w:val="22"/>
          <w:szCs w:val="22"/>
          <w:lang w:val="de-DE"/>
        </w:rPr>
      </w:pPr>
    </w:p>
    <w:p w14:paraId="2CD556BC" w14:textId="77777777" w:rsidR="00FE291A" w:rsidRDefault="00C8738F">
      <w:pPr>
        <w:outlineLvl w:val="0"/>
        <w:rPr>
          <w:sz w:val="22"/>
          <w:szCs w:val="22"/>
          <w:lang w:val="de-DE"/>
        </w:rPr>
      </w:pPr>
      <w:r>
        <w:rPr>
          <w:sz w:val="22"/>
          <w:szCs w:val="22"/>
          <w:lang w:val="de-DE"/>
        </w:rPr>
        <w:t>Arzneimittel für Kinder unzugänglich aufbewahren.</w:t>
      </w:r>
    </w:p>
    <w:p w14:paraId="0F6D420B" w14:textId="77777777" w:rsidR="00FE291A" w:rsidRDefault="00FE291A">
      <w:pPr>
        <w:rPr>
          <w:sz w:val="22"/>
          <w:szCs w:val="22"/>
          <w:lang w:val="de-DE"/>
        </w:rPr>
      </w:pPr>
    </w:p>
    <w:p w14:paraId="6D8B4801" w14:textId="77777777" w:rsidR="00FE291A" w:rsidRDefault="00FE291A">
      <w:pPr>
        <w:rPr>
          <w:sz w:val="22"/>
          <w:szCs w:val="22"/>
          <w:lang w:val="de-DE"/>
        </w:rPr>
      </w:pPr>
    </w:p>
    <w:p w14:paraId="13564E6B" w14:textId="77777777" w:rsidR="00FE291A" w:rsidRDefault="00C8738F">
      <w:pPr>
        <w:keepNext/>
        <w:numPr>
          <w:ilvl w:val="0"/>
          <w:numId w:val="2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WEITERE WARNHINWEISE, FALLS ERFORDERLICH</w:t>
      </w:r>
    </w:p>
    <w:p w14:paraId="710B22AE" w14:textId="77777777" w:rsidR="00FE291A" w:rsidRDefault="00FE291A">
      <w:pPr>
        <w:rPr>
          <w:sz w:val="22"/>
          <w:szCs w:val="22"/>
          <w:lang w:val="de-DE"/>
        </w:rPr>
      </w:pPr>
    </w:p>
    <w:p w14:paraId="533E55CF" w14:textId="77777777" w:rsidR="00FE291A" w:rsidRDefault="00FE291A">
      <w:pPr>
        <w:tabs>
          <w:tab w:val="left" w:pos="749"/>
        </w:tabs>
        <w:rPr>
          <w:sz w:val="22"/>
          <w:szCs w:val="22"/>
          <w:lang w:val="de-DE"/>
        </w:rPr>
      </w:pPr>
    </w:p>
    <w:p w14:paraId="196ED5EC" w14:textId="77777777" w:rsidR="00FE291A" w:rsidRDefault="00C8738F">
      <w:pPr>
        <w:keepNext/>
        <w:numPr>
          <w:ilvl w:val="0"/>
          <w:numId w:val="2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VERFALLDATUM</w:t>
      </w:r>
    </w:p>
    <w:p w14:paraId="4C116B8B" w14:textId="77777777" w:rsidR="00FE291A" w:rsidRDefault="00FE291A">
      <w:pPr>
        <w:keepNext/>
        <w:rPr>
          <w:sz w:val="22"/>
          <w:szCs w:val="22"/>
          <w:lang w:val="de-DE"/>
        </w:rPr>
      </w:pPr>
    </w:p>
    <w:p w14:paraId="53577ECC" w14:textId="77777777" w:rsidR="00FE291A" w:rsidRDefault="00C8738F">
      <w:pPr>
        <w:rPr>
          <w:sz w:val="22"/>
          <w:szCs w:val="22"/>
          <w:lang w:val="de-DE"/>
        </w:rPr>
      </w:pPr>
      <w:r>
        <w:rPr>
          <w:sz w:val="22"/>
          <w:szCs w:val="22"/>
          <w:lang w:val="de-DE"/>
        </w:rPr>
        <w:t>verwendbar bis</w:t>
      </w:r>
    </w:p>
    <w:p w14:paraId="5EA84700" w14:textId="77777777" w:rsidR="00FE291A" w:rsidRDefault="00FE291A">
      <w:pPr>
        <w:rPr>
          <w:sz w:val="22"/>
          <w:szCs w:val="22"/>
          <w:lang w:val="de-DE"/>
        </w:rPr>
      </w:pPr>
    </w:p>
    <w:p w14:paraId="78B8C49B" w14:textId="77777777" w:rsidR="00FE291A" w:rsidRDefault="00FE291A">
      <w:pPr>
        <w:rPr>
          <w:sz w:val="22"/>
          <w:szCs w:val="22"/>
          <w:lang w:val="de-DE"/>
        </w:rPr>
      </w:pPr>
    </w:p>
    <w:p w14:paraId="635B66F1" w14:textId="77777777" w:rsidR="00FE291A" w:rsidRDefault="00C8738F">
      <w:pPr>
        <w:keepNext/>
        <w:keepLines/>
        <w:numPr>
          <w:ilvl w:val="0"/>
          <w:numId w:val="2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BESONDERE VORSICHTSMASSNAHMEN FÜR DIE AUFBEWAHRUNG</w:t>
      </w:r>
    </w:p>
    <w:p w14:paraId="44891679" w14:textId="77777777" w:rsidR="00FE291A" w:rsidRDefault="00FE291A">
      <w:pPr>
        <w:keepNext/>
        <w:keepLines/>
        <w:rPr>
          <w:sz w:val="22"/>
          <w:szCs w:val="22"/>
          <w:lang w:val="de-DE"/>
        </w:rPr>
      </w:pPr>
    </w:p>
    <w:p w14:paraId="5A300183" w14:textId="77777777" w:rsidR="00FE291A" w:rsidRDefault="00C8738F">
      <w:pPr>
        <w:keepNext/>
        <w:keepLines/>
        <w:ind w:left="567" w:hanging="567"/>
        <w:rPr>
          <w:sz w:val="22"/>
          <w:szCs w:val="22"/>
          <w:lang w:val="de-DE"/>
        </w:rPr>
      </w:pPr>
      <w:r>
        <w:rPr>
          <w:sz w:val="22"/>
          <w:szCs w:val="22"/>
          <w:lang w:val="de-DE"/>
        </w:rPr>
        <w:t>Im Kühlschrank lagern.</w:t>
      </w:r>
    </w:p>
    <w:p w14:paraId="7EB6EB75" w14:textId="77777777" w:rsidR="00FE291A" w:rsidRDefault="00C8738F">
      <w:pPr>
        <w:keepNext/>
        <w:keepLines/>
        <w:ind w:left="567" w:hanging="567"/>
        <w:rPr>
          <w:sz w:val="22"/>
          <w:szCs w:val="22"/>
          <w:lang w:val="de-DE"/>
        </w:rPr>
      </w:pPr>
      <w:r>
        <w:rPr>
          <w:sz w:val="22"/>
          <w:szCs w:val="22"/>
          <w:lang w:val="de-DE"/>
        </w:rPr>
        <w:t>Nicht einfrieren.</w:t>
      </w:r>
    </w:p>
    <w:p w14:paraId="4A73E4C9" w14:textId="77777777" w:rsidR="00FE291A" w:rsidRDefault="00C8738F">
      <w:pPr>
        <w:ind w:left="567" w:hanging="567"/>
        <w:rPr>
          <w:sz w:val="22"/>
          <w:szCs w:val="22"/>
          <w:lang w:val="de-DE"/>
        </w:rPr>
      </w:pPr>
      <w:r>
        <w:rPr>
          <w:sz w:val="22"/>
          <w:szCs w:val="22"/>
          <w:lang w:val="de-DE"/>
        </w:rPr>
        <w:t>Im Originalkarton aufbewahren, um den Inhalt vor Licht zu schützen.</w:t>
      </w:r>
    </w:p>
    <w:p w14:paraId="5B1CC178" w14:textId="77777777" w:rsidR="00FE291A" w:rsidRDefault="00FE291A">
      <w:pPr>
        <w:ind w:left="567" w:hanging="567"/>
        <w:rPr>
          <w:sz w:val="22"/>
          <w:szCs w:val="22"/>
          <w:lang w:val="de-DE"/>
        </w:rPr>
      </w:pPr>
    </w:p>
    <w:p w14:paraId="7936F940" w14:textId="77777777" w:rsidR="00FE291A" w:rsidRDefault="00FE291A">
      <w:pPr>
        <w:ind w:left="567" w:hanging="567"/>
        <w:rPr>
          <w:sz w:val="22"/>
          <w:szCs w:val="22"/>
          <w:lang w:val="de-DE"/>
        </w:rPr>
      </w:pPr>
    </w:p>
    <w:p w14:paraId="4D04F23A" w14:textId="77777777" w:rsidR="00FE291A" w:rsidRDefault="00C8738F">
      <w:pPr>
        <w:keepNext/>
        <w:numPr>
          <w:ilvl w:val="0"/>
          <w:numId w:val="28"/>
        </w:num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de-DE"/>
        </w:rPr>
      </w:pPr>
      <w:r>
        <w:rPr>
          <w:b/>
          <w:sz w:val="22"/>
          <w:szCs w:val="22"/>
          <w:lang w:val="de-DE"/>
        </w:rPr>
        <w:t>GEGEBENENFALLS BESONDERE VORSICHTSMASSNAHMEN FÜR DIE BESEITIGUNG VON NICHT VERWENDETEM ARZNEIMITTEL ODER DAVON STAMMENDEN ABFALLMATERIALIEN</w:t>
      </w:r>
    </w:p>
    <w:p w14:paraId="51CD7D27" w14:textId="77777777" w:rsidR="00FE291A" w:rsidRDefault="00FE291A">
      <w:pPr>
        <w:rPr>
          <w:sz w:val="22"/>
          <w:szCs w:val="22"/>
          <w:lang w:val="de-DE"/>
        </w:rPr>
      </w:pPr>
    </w:p>
    <w:p w14:paraId="53471217" w14:textId="77777777" w:rsidR="00FE291A" w:rsidRDefault="00FE291A">
      <w:pPr>
        <w:rPr>
          <w:sz w:val="22"/>
          <w:szCs w:val="22"/>
          <w:lang w:val="de-DE"/>
        </w:rPr>
      </w:pPr>
    </w:p>
    <w:p w14:paraId="688DDCC9" w14:textId="77777777" w:rsidR="00FE291A" w:rsidRDefault="00C8738F">
      <w:pPr>
        <w:keepNext/>
        <w:numPr>
          <w:ilvl w:val="0"/>
          <w:numId w:val="28"/>
        </w:num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de-DE"/>
        </w:rPr>
      </w:pPr>
      <w:r>
        <w:rPr>
          <w:b/>
          <w:sz w:val="22"/>
          <w:szCs w:val="22"/>
          <w:lang w:val="de-DE"/>
        </w:rPr>
        <w:t>NAME UND ANSCHRIFT DES PHARMAZEUTISCHEN UNTERNEHMERS</w:t>
      </w:r>
    </w:p>
    <w:p w14:paraId="255C0275" w14:textId="77777777" w:rsidR="00FE291A" w:rsidRDefault="00FE291A">
      <w:pPr>
        <w:rPr>
          <w:sz w:val="22"/>
          <w:szCs w:val="22"/>
          <w:lang w:val="de-DE"/>
        </w:rPr>
      </w:pPr>
    </w:p>
    <w:p w14:paraId="55D70A82" w14:textId="77777777" w:rsidR="00FE291A" w:rsidRDefault="00C8738F">
      <w:pPr>
        <w:rPr>
          <w:rFonts w:eastAsia="SimSun"/>
          <w:sz w:val="22"/>
          <w:szCs w:val="22"/>
          <w:lang w:val="de-DE" w:eastAsia="en-GB"/>
        </w:rPr>
      </w:pPr>
      <w:r>
        <w:rPr>
          <w:rFonts w:eastAsia="SimSun"/>
          <w:sz w:val="22"/>
          <w:szCs w:val="22"/>
          <w:lang w:val="de-DE" w:eastAsia="en-GB"/>
        </w:rPr>
        <w:t>Amgen Europe B.V.</w:t>
      </w:r>
    </w:p>
    <w:p w14:paraId="35BB0C6C" w14:textId="77777777" w:rsidR="00FE291A" w:rsidRDefault="00C8738F">
      <w:pPr>
        <w:rPr>
          <w:rFonts w:eastAsia="SimSun"/>
          <w:sz w:val="22"/>
          <w:szCs w:val="22"/>
          <w:lang w:val="de-DE" w:eastAsia="en-GB"/>
        </w:rPr>
      </w:pPr>
      <w:r>
        <w:rPr>
          <w:rFonts w:eastAsia="SimSun"/>
          <w:sz w:val="22"/>
          <w:szCs w:val="22"/>
          <w:lang w:val="de-DE" w:eastAsia="en-GB"/>
        </w:rPr>
        <w:t>Minervum 7061,</w:t>
      </w:r>
    </w:p>
    <w:p w14:paraId="63D853FD" w14:textId="77777777" w:rsidR="00FE291A" w:rsidRDefault="00C8738F">
      <w:pPr>
        <w:rPr>
          <w:rFonts w:eastAsia="SimSun"/>
          <w:sz w:val="22"/>
          <w:szCs w:val="22"/>
          <w:lang w:val="de-DE" w:eastAsia="en-GB"/>
        </w:rPr>
      </w:pPr>
      <w:r>
        <w:rPr>
          <w:rFonts w:eastAsia="SimSun"/>
          <w:sz w:val="22"/>
          <w:szCs w:val="22"/>
          <w:lang w:val="de-DE" w:eastAsia="en-GB"/>
        </w:rPr>
        <w:t>4817 ZK Breda,</w:t>
      </w:r>
    </w:p>
    <w:p w14:paraId="7D1AF90F" w14:textId="77777777" w:rsidR="00FE291A" w:rsidRDefault="00C8738F">
      <w:pPr>
        <w:rPr>
          <w:rFonts w:eastAsia="SimSun"/>
          <w:sz w:val="22"/>
          <w:szCs w:val="22"/>
          <w:lang w:val="de-DE" w:eastAsia="en-GB"/>
        </w:rPr>
      </w:pPr>
      <w:r>
        <w:rPr>
          <w:rFonts w:eastAsia="SimSun"/>
          <w:sz w:val="22"/>
          <w:szCs w:val="22"/>
          <w:lang w:val="de-DE" w:eastAsia="en-GB"/>
        </w:rPr>
        <w:t>Niederlande</w:t>
      </w:r>
    </w:p>
    <w:p w14:paraId="0ED1A0B9" w14:textId="77777777" w:rsidR="00FE291A" w:rsidRDefault="00FE291A">
      <w:pPr>
        <w:rPr>
          <w:sz w:val="22"/>
          <w:szCs w:val="22"/>
          <w:lang w:val="de-DE"/>
        </w:rPr>
      </w:pPr>
    </w:p>
    <w:p w14:paraId="1B0F9ED1" w14:textId="77777777" w:rsidR="00FE291A" w:rsidRDefault="00FE291A">
      <w:pPr>
        <w:rPr>
          <w:sz w:val="22"/>
          <w:szCs w:val="22"/>
          <w:lang w:val="de-DE"/>
        </w:rPr>
      </w:pPr>
    </w:p>
    <w:p w14:paraId="414C87F3" w14:textId="77777777" w:rsidR="00FE291A" w:rsidRDefault="00C8738F">
      <w:pPr>
        <w:keepNext/>
        <w:numPr>
          <w:ilvl w:val="0"/>
          <w:numId w:val="2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ZULASSUNGSNUMMER</w:t>
      </w:r>
    </w:p>
    <w:p w14:paraId="30084ED1" w14:textId="77777777" w:rsidR="00FE291A" w:rsidRDefault="00FE291A">
      <w:pPr>
        <w:rPr>
          <w:sz w:val="22"/>
          <w:szCs w:val="22"/>
          <w:lang w:val="de-DE"/>
        </w:rPr>
      </w:pPr>
    </w:p>
    <w:p w14:paraId="49C48416" w14:textId="77777777" w:rsidR="00FE291A" w:rsidRDefault="00C8738F">
      <w:pPr>
        <w:outlineLvl w:val="0"/>
        <w:rPr>
          <w:sz w:val="22"/>
          <w:szCs w:val="22"/>
          <w:lang w:val="de-DE"/>
        </w:rPr>
      </w:pPr>
      <w:r>
        <w:rPr>
          <w:sz w:val="22"/>
          <w:szCs w:val="22"/>
          <w:lang w:val="de-DE"/>
        </w:rPr>
        <w:t>EU/1/16/1164/009</w:t>
      </w:r>
    </w:p>
    <w:p w14:paraId="130C29DE" w14:textId="77777777" w:rsidR="00FE291A" w:rsidRDefault="00FE291A">
      <w:pPr>
        <w:rPr>
          <w:sz w:val="22"/>
          <w:szCs w:val="22"/>
          <w:lang w:val="de-DE"/>
        </w:rPr>
      </w:pPr>
    </w:p>
    <w:p w14:paraId="54AEF660" w14:textId="77777777" w:rsidR="00FE291A" w:rsidRDefault="00FE291A">
      <w:pPr>
        <w:rPr>
          <w:sz w:val="22"/>
          <w:szCs w:val="22"/>
          <w:lang w:val="de-DE"/>
        </w:rPr>
      </w:pPr>
    </w:p>
    <w:p w14:paraId="572E9AB7" w14:textId="77777777" w:rsidR="00FE291A" w:rsidRDefault="00C8738F">
      <w:pPr>
        <w:keepNext/>
        <w:numPr>
          <w:ilvl w:val="0"/>
          <w:numId w:val="2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CHARGENBEZEICHNUNG</w:t>
      </w:r>
    </w:p>
    <w:p w14:paraId="31F23027" w14:textId="77777777" w:rsidR="00FE291A" w:rsidRDefault="00FE291A">
      <w:pPr>
        <w:rPr>
          <w:i/>
          <w:sz w:val="22"/>
          <w:szCs w:val="22"/>
          <w:lang w:val="de-DE"/>
        </w:rPr>
      </w:pPr>
    </w:p>
    <w:p w14:paraId="332E218F" w14:textId="77777777" w:rsidR="00FE291A" w:rsidRDefault="00C8738F">
      <w:pPr>
        <w:rPr>
          <w:sz w:val="22"/>
          <w:szCs w:val="22"/>
          <w:lang w:val="de-DE"/>
        </w:rPr>
      </w:pPr>
      <w:r>
        <w:rPr>
          <w:sz w:val="22"/>
          <w:szCs w:val="22"/>
          <w:lang w:val="de-DE"/>
        </w:rPr>
        <w:t>Ch.-B.</w:t>
      </w:r>
    </w:p>
    <w:p w14:paraId="0BCA392E" w14:textId="77777777" w:rsidR="00FE291A" w:rsidRDefault="00FE291A">
      <w:pPr>
        <w:rPr>
          <w:sz w:val="22"/>
          <w:szCs w:val="22"/>
          <w:lang w:val="de-DE"/>
        </w:rPr>
      </w:pPr>
    </w:p>
    <w:p w14:paraId="68003F19" w14:textId="77777777" w:rsidR="00FE291A" w:rsidRDefault="00FE291A">
      <w:pPr>
        <w:rPr>
          <w:sz w:val="22"/>
          <w:szCs w:val="22"/>
          <w:lang w:val="de-DE"/>
        </w:rPr>
      </w:pPr>
    </w:p>
    <w:p w14:paraId="6C81946C" w14:textId="77777777" w:rsidR="00FE291A" w:rsidRDefault="00C8738F">
      <w:pPr>
        <w:keepNext/>
        <w:numPr>
          <w:ilvl w:val="0"/>
          <w:numId w:val="2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VERKAUFSABGRENZUNG</w:t>
      </w:r>
    </w:p>
    <w:p w14:paraId="4227D41E" w14:textId="77777777" w:rsidR="00FE291A" w:rsidRDefault="00FE291A">
      <w:pPr>
        <w:rPr>
          <w:i/>
          <w:sz w:val="22"/>
          <w:szCs w:val="22"/>
          <w:lang w:val="de-DE"/>
        </w:rPr>
      </w:pPr>
    </w:p>
    <w:p w14:paraId="0D01577F" w14:textId="77777777" w:rsidR="00FE291A" w:rsidRDefault="00FE291A">
      <w:pPr>
        <w:rPr>
          <w:sz w:val="22"/>
          <w:szCs w:val="22"/>
          <w:lang w:val="de-DE"/>
        </w:rPr>
      </w:pPr>
    </w:p>
    <w:p w14:paraId="07865963" w14:textId="77777777" w:rsidR="00FE291A" w:rsidRDefault="00C8738F">
      <w:pPr>
        <w:keepNext/>
        <w:numPr>
          <w:ilvl w:val="0"/>
          <w:numId w:val="2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HINWEISE FÜR DEN GEBRAUCH</w:t>
      </w:r>
    </w:p>
    <w:p w14:paraId="481FF1EC" w14:textId="77777777" w:rsidR="00FE291A" w:rsidRDefault="00FE291A">
      <w:pPr>
        <w:rPr>
          <w:sz w:val="22"/>
          <w:szCs w:val="22"/>
          <w:lang w:val="de-DE"/>
        </w:rPr>
      </w:pPr>
    </w:p>
    <w:p w14:paraId="0C90C51A" w14:textId="77777777" w:rsidR="00FE291A" w:rsidRDefault="00FE291A">
      <w:pPr>
        <w:rPr>
          <w:sz w:val="22"/>
          <w:szCs w:val="22"/>
          <w:lang w:val="de-DE"/>
        </w:rPr>
      </w:pPr>
    </w:p>
    <w:p w14:paraId="28E62C2C" w14:textId="77777777" w:rsidR="00FE291A" w:rsidRDefault="00C8738F">
      <w:pPr>
        <w:keepNext/>
        <w:numPr>
          <w:ilvl w:val="0"/>
          <w:numId w:val="2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ANGABEN IN BLINDENSCHRIFT</w:t>
      </w:r>
    </w:p>
    <w:p w14:paraId="21395087" w14:textId="77777777" w:rsidR="00FE291A" w:rsidRDefault="00FE291A">
      <w:pPr>
        <w:rPr>
          <w:sz w:val="22"/>
          <w:szCs w:val="22"/>
          <w:lang w:val="de-DE"/>
        </w:rPr>
      </w:pPr>
    </w:p>
    <w:p w14:paraId="2ED31BE4" w14:textId="77777777" w:rsidR="00FE291A" w:rsidRDefault="00C8738F">
      <w:pPr>
        <w:rPr>
          <w:sz w:val="22"/>
          <w:szCs w:val="22"/>
          <w:shd w:val="clear" w:color="auto" w:fill="CCCCCC"/>
          <w:lang w:val="de-DE"/>
        </w:rPr>
      </w:pPr>
      <w:r>
        <w:rPr>
          <w:sz w:val="22"/>
          <w:szCs w:val="22"/>
          <w:lang w:val="de-DE"/>
        </w:rPr>
        <w:t>AMGEVITA 40 mg/0,8 ml Pen</w:t>
      </w:r>
    </w:p>
    <w:p w14:paraId="73E1D34A" w14:textId="77777777" w:rsidR="00FE291A" w:rsidRDefault="00FE291A">
      <w:pPr>
        <w:rPr>
          <w:sz w:val="22"/>
          <w:szCs w:val="22"/>
          <w:shd w:val="clear" w:color="auto" w:fill="CCCCCC"/>
          <w:lang w:val="de-DE"/>
        </w:rPr>
      </w:pPr>
    </w:p>
    <w:p w14:paraId="3973B971" w14:textId="77777777" w:rsidR="00FE291A" w:rsidRDefault="00FE291A">
      <w:pPr>
        <w:rPr>
          <w:sz w:val="22"/>
          <w:szCs w:val="22"/>
          <w:shd w:val="clear" w:color="auto" w:fill="CCCCCC"/>
          <w:lang w:val="de-DE"/>
        </w:rPr>
      </w:pPr>
    </w:p>
    <w:p w14:paraId="279DEBC2" w14:textId="77777777" w:rsidR="00FE291A" w:rsidRDefault="00C8738F">
      <w:pPr>
        <w:pBdr>
          <w:top w:val="single" w:sz="4" w:space="1" w:color="auto"/>
          <w:left w:val="single" w:sz="4" w:space="4" w:color="auto"/>
          <w:bottom w:val="single" w:sz="4" w:space="0" w:color="auto"/>
          <w:right w:val="single" w:sz="4" w:space="4" w:color="auto"/>
        </w:pBdr>
        <w:ind w:left="567" w:hanging="567"/>
        <w:rPr>
          <w:i/>
          <w:sz w:val="22"/>
          <w:szCs w:val="22"/>
          <w:lang w:val="de-DE"/>
        </w:rPr>
      </w:pPr>
      <w:r>
        <w:rPr>
          <w:b/>
          <w:sz w:val="22"/>
          <w:szCs w:val="22"/>
          <w:lang w:val="de-DE"/>
        </w:rPr>
        <w:t>17.</w:t>
      </w:r>
      <w:r>
        <w:rPr>
          <w:b/>
          <w:sz w:val="22"/>
          <w:szCs w:val="22"/>
          <w:lang w:val="de-DE"/>
        </w:rPr>
        <w:tab/>
        <w:t>INDIVIDUELLES ERKENNUNGSMERKMAL – 2D-BARCODE</w:t>
      </w:r>
    </w:p>
    <w:p w14:paraId="706A44CB" w14:textId="77777777" w:rsidR="00FE291A" w:rsidRDefault="00FE291A">
      <w:pPr>
        <w:rPr>
          <w:sz w:val="22"/>
          <w:szCs w:val="22"/>
          <w:lang w:val="de-DE"/>
        </w:rPr>
      </w:pPr>
    </w:p>
    <w:p w14:paraId="37DE1F5A" w14:textId="77777777" w:rsidR="00FE291A" w:rsidRDefault="00FE291A">
      <w:pPr>
        <w:rPr>
          <w:sz w:val="22"/>
          <w:szCs w:val="22"/>
          <w:lang w:val="de-DE"/>
        </w:rPr>
      </w:pPr>
    </w:p>
    <w:p w14:paraId="5F65800F" w14:textId="77777777" w:rsidR="00FE291A" w:rsidRDefault="00C8738F">
      <w:pPr>
        <w:pBdr>
          <w:top w:val="single" w:sz="4" w:space="1" w:color="auto"/>
          <w:left w:val="single" w:sz="4" w:space="4" w:color="auto"/>
          <w:bottom w:val="single" w:sz="4" w:space="0" w:color="auto"/>
          <w:right w:val="single" w:sz="4" w:space="4" w:color="auto"/>
        </w:pBdr>
        <w:ind w:left="567" w:hanging="567"/>
        <w:rPr>
          <w:i/>
          <w:sz w:val="22"/>
          <w:szCs w:val="22"/>
          <w:lang w:val="de-DE"/>
        </w:rPr>
      </w:pPr>
      <w:r>
        <w:rPr>
          <w:b/>
          <w:sz w:val="22"/>
          <w:szCs w:val="22"/>
          <w:lang w:val="de-DE"/>
        </w:rPr>
        <w:t>18.</w:t>
      </w:r>
      <w:r>
        <w:rPr>
          <w:b/>
          <w:sz w:val="22"/>
          <w:szCs w:val="22"/>
          <w:lang w:val="de-DE"/>
        </w:rPr>
        <w:tab/>
        <w:t>INDIVIDUELLES ERKENNUNGSMERKMAL – VOM MENSCHEN LESBARES FORMAT</w:t>
      </w:r>
    </w:p>
    <w:p w14:paraId="53EE9A69" w14:textId="77777777" w:rsidR="00FE291A" w:rsidRDefault="00FE291A">
      <w:pPr>
        <w:rPr>
          <w:sz w:val="22"/>
          <w:szCs w:val="22"/>
          <w:shd w:val="clear" w:color="auto" w:fill="CCCCCC"/>
          <w:lang w:val="de-DE"/>
        </w:rPr>
      </w:pPr>
    </w:p>
    <w:p w14:paraId="03A69B9E" w14:textId="77777777" w:rsidR="00FE291A" w:rsidRDefault="00FE291A">
      <w:pPr>
        <w:rPr>
          <w:sz w:val="22"/>
          <w:szCs w:val="22"/>
          <w:shd w:val="clear" w:color="auto" w:fill="CCCCCC"/>
          <w:lang w:val="de-DE"/>
        </w:rPr>
      </w:pPr>
    </w:p>
    <w:p w14:paraId="29ACBE56" w14:textId="77777777" w:rsidR="00FE291A" w:rsidRDefault="00FE291A">
      <w:pPr>
        <w:pageBreakBefore/>
        <w:rPr>
          <w:sz w:val="22"/>
          <w:szCs w:val="22"/>
          <w:shd w:val="clear" w:color="auto" w:fill="CCCCCC"/>
          <w:lang w:val="de-DE"/>
        </w:rPr>
      </w:pPr>
    </w:p>
    <w:p w14:paraId="630EBD16" w14:textId="77777777" w:rsidR="00FE291A" w:rsidRDefault="00C8738F">
      <w:pPr>
        <w:widowControl/>
        <w:pBdr>
          <w:top w:val="single" w:sz="4" w:space="1" w:color="auto"/>
          <w:left w:val="single" w:sz="4" w:space="4" w:color="auto"/>
          <w:bottom w:val="single" w:sz="4" w:space="1" w:color="auto"/>
          <w:right w:val="single" w:sz="4" w:space="4" w:color="auto"/>
        </w:pBdr>
        <w:rPr>
          <w:b/>
          <w:sz w:val="22"/>
          <w:lang w:val="de-DE"/>
        </w:rPr>
      </w:pPr>
      <w:r>
        <w:rPr>
          <w:b/>
          <w:sz w:val="22"/>
          <w:lang w:val="de-DE"/>
        </w:rPr>
        <w:t>MINDESTANGABEN AUF KLEINEN BEHÄLTNISSEN</w:t>
      </w:r>
    </w:p>
    <w:p w14:paraId="4778D8A6" w14:textId="77777777" w:rsidR="00FE291A" w:rsidRDefault="00FE291A">
      <w:pPr>
        <w:widowControl/>
        <w:pBdr>
          <w:top w:val="single" w:sz="4" w:space="1" w:color="auto"/>
          <w:left w:val="single" w:sz="4" w:space="4" w:color="auto"/>
          <w:bottom w:val="single" w:sz="4" w:space="1" w:color="auto"/>
          <w:right w:val="single" w:sz="4" w:space="4" w:color="auto"/>
        </w:pBdr>
        <w:rPr>
          <w:b/>
          <w:sz w:val="22"/>
          <w:lang w:val="de-DE"/>
        </w:rPr>
      </w:pPr>
    </w:p>
    <w:p w14:paraId="021C221D" w14:textId="77777777" w:rsidR="00FE291A" w:rsidRDefault="00C8738F">
      <w:pPr>
        <w:widowControl/>
        <w:pBdr>
          <w:top w:val="single" w:sz="4" w:space="1" w:color="auto"/>
          <w:left w:val="single" w:sz="4" w:space="4" w:color="auto"/>
          <w:bottom w:val="single" w:sz="4" w:space="1" w:color="auto"/>
          <w:right w:val="single" w:sz="4" w:space="4" w:color="auto"/>
        </w:pBdr>
        <w:rPr>
          <w:b/>
          <w:sz w:val="22"/>
          <w:lang w:val="de-DE"/>
        </w:rPr>
      </w:pPr>
      <w:r>
        <w:rPr>
          <w:b/>
          <w:sz w:val="22"/>
          <w:lang w:val="de-DE"/>
        </w:rPr>
        <w:t>ETIKETT DES FERTIGPENS</w:t>
      </w:r>
    </w:p>
    <w:p w14:paraId="0C5562CB" w14:textId="77777777" w:rsidR="00FE291A" w:rsidRDefault="00FE291A">
      <w:pPr>
        <w:widowControl/>
        <w:rPr>
          <w:sz w:val="22"/>
          <w:lang w:val="de-DE"/>
        </w:rPr>
      </w:pPr>
    </w:p>
    <w:p w14:paraId="42BBB853" w14:textId="77777777" w:rsidR="00FE291A" w:rsidRDefault="00FE291A">
      <w:pPr>
        <w:widowControl/>
        <w:rPr>
          <w:sz w:val="22"/>
          <w:lang w:val="de-DE"/>
        </w:rPr>
      </w:pPr>
    </w:p>
    <w:p w14:paraId="369B29ED" w14:textId="77777777" w:rsidR="00FE291A" w:rsidRDefault="00C8738F">
      <w:pPr>
        <w:widowControl/>
        <w:numPr>
          <w:ilvl w:val="0"/>
          <w:numId w:val="29"/>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lang w:val="de-DE"/>
        </w:rPr>
      </w:pPr>
      <w:r>
        <w:rPr>
          <w:b/>
          <w:sz w:val="22"/>
          <w:lang w:val="de-DE"/>
        </w:rPr>
        <w:t>BEZEICHNUNG DES ARZNEIMITTELS SOWIE ART(EN) DER ANWENDUNG</w:t>
      </w:r>
    </w:p>
    <w:p w14:paraId="79A43539" w14:textId="77777777" w:rsidR="00FE291A" w:rsidRDefault="00FE291A">
      <w:pPr>
        <w:widowControl/>
        <w:ind w:left="567" w:hanging="567"/>
        <w:rPr>
          <w:sz w:val="22"/>
          <w:lang w:val="de-DE"/>
        </w:rPr>
      </w:pPr>
    </w:p>
    <w:p w14:paraId="2B9ABA87" w14:textId="77777777" w:rsidR="00FE291A" w:rsidRPr="00C85130" w:rsidRDefault="00C8738F">
      <w:pPr>
        <w:widowControl/>
        <w:rPr>
          <w:sz w:val="22"/>
          <w:szCs w:val="22"/>
          <w:lang w:val="de-DE"/>
          <w:rPrChange w:id="75" w:author="Author">
            <w:rPr>
              <w:sz w:val="22"/>
              <w:szCs w:val="22"/>
              <w:lang w:val="es-ES"/>
            </w:rPr>
          </w:rPrChange>
        </w:rPr>
      </w:pPr>
      <w:r w:rsidRPr="00C85130">
        <w:rPr>
          <w:sz w:val="22"/>
          <w:szCs w:val="22"/>
          <w:lang w:val="de-DE"/>
          <w:rPrChange w:id="76" w:author="Author">
            <w:rPr>
              <w:sz w:val="22"/>
              <w:szCs w:val="22"/>
              <w:lang w:val="es-ES"/>
            </w:rPr>
          </w:rPrChange>
        </w:rPr>
        <w:t>AMGEVITA 40 mg Injektion</w:t>
      </w:r>
    </w:p>
    <w:p w14:paraId="69F29965" w14:textId="77777777" w:rsidR="00FE291A" w:rsidRPr="00C85130" w:rsidRDefault="00C8738F">
      <w:pPr>
        <w:widowControl/>
        <w:rPr>
          <w:sz w:val="22"/>
          <w:szCs w:val="22"/>
          <w:lang w:val="de-DE"/>
          <w:rPrChange w:id="77" w:author="Author">
            <w:rPr>
              <w:sz w:val="22"/>
              <w:szCs w:val="22"/>
              <w:lang w:val="es-ES"/>
            </w:rPr>
          </w:rPrChange>
        </w:rPr>
      </w:pPr>
      <w:r w:rsidRPr="00C85130">
        <w:rPr>
          <w:sz w:val="22"/>
          <w:szCs w:val="22"/>
          <w:lang w:val="de-DE"/>
          <w:rPrChange w:id="78" w:author="Author">
            <w:rPr>
              <w:sz w:val="22"/>
              <w:szCs w:val="22"/>
              <w:lang w:val="es-ES"/>
            </w:rPr>
          </w:rPrChange>
        </w:rPr>
        <w:t>Adalimumab</w:t>
      </w:r>
    </w:p>
    <w:p w14:paraId="1AF3950E" w14:textId="77777777" w:rsidR="00FE291A" w:rsidRPr="00C85130" w:rsidRDefault="00C8738F">
      <w:pPr>
        <w:widowControl/>
        <w:rPr>
          <w:sz w:val="22"/>
          <w:lang w:val="de-DE"/>
          <w:rPrChange w:id="79" w:author="Author">
            <w:rPr>
              <w:sz w:val="22"/>
              <w:lang w:val="es-ES"/>
            </w:rPr>
          </w:rPrChange>
        </w:rPr>
      </w:pPr>
      <w:r w:rsidRPr="00C85130">
        <w:rPr>
          <w:sz w:val="22"/>
          <w:lang w:val="de-DE"/>
          <w:rPrChange w:id="80" w:author="Author">
            <w:rPr>
              <w:sz w:val="22"/>
              <w:lang w:val="es-ES"/>
            </w:rPr>
          </w:rPrChange>
        </w:rPr>
        <w:t>s.c.</w:t>
      </w:r>
    </w:p>
    <w:p w14:paraId="0DA9FA01" w14:textId="77777777" w:rsidR="00FE291A" w:rsidRPr="00C85130" w:rsidRDefault="00FE291A">
      <w:pPr>
        <w:widowControl/>
        <w:rPr>
          <w:sz w:val="22"/>
          <w:lang w:val="de-DE"/>
          <w:rPrChange w:id="81" w:author="Author">
            <w:rPr>
              <w:sz w:val="22"/>
              <w:lang w:val="es-ES"/>
            </w:rPr>
          </w:rPrChange>
        </w:rPr>
      </w:pPr>
    </w:p>
    <w:p w14:paraId="4CE8A984" w14:textId="77777777" w:rsidR="00FE291A" w:rsidRPr="00C85130" w:rsidRDefault="00FE291A">
      <w:pPr>
        <w:widowControl/>
        <w:rPr>
          <w:sz w:val="22"/>
          <w:lang w:val="de-DE"/>
          <w:rPrChange w:id="82" w:author="Author">
            <w:rPr>
              <w:sz w:val="22"/>
              <w:lang w:val="es-ES"/>
            </w:rPr>
          </w:rPrChange>
        </w:rPr>
      </w:pPr>
    </w:p>
    <w:p w14:paraId="14BC0CCA" w14:textId="77777777" w:rsidR="00FE291A" w:rsidRDefault="00C8738F">
      <w:pPr>
        <w:widowControl/>
        <w:numPr>
          <w:ilvl w:val="0"/>
          <w:numId w:val="29"/>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HINWEISE ZUR ANWENDUNG</w:t>
      </w:r>
    </w:p>
    <w:p w14:paraId="0D436113" w14:textId="77777777" w:rsidR="00FE291A" w:rsidRDefault="00FE291A">
      <w:pPr>
        <w:widowControl/>
        <w:rPr>
          <w:sz w:val="22"/>
          <w:lang w:val="de-DE"/>
        </w:rPr>
      </w:pPr>
    </w:p>
    <w:p w14:paraId="6CEFD883" w14:textId="77777777" w:rsidR="00FE291A" w:rsidRDefault="00FE291A">
      <w:pPr>
        <w:widowControl/>
        <w:rPr>
          <w:sz w:val="22"/>
          <w:lang w:val="de-DE"/>
        </w:rPr>
      </w:pPr>
    </w:p>
    <w:p w14:paraId="485205C9" w14:textId="77777777" w:rsidR="00FE291A" w:rsidRDefault="00C8738F">
      <w:pPr>
        <w:widowControl/>
        <w:numPr>
          <w:ilvl w:val="0"/>
          <w:numId w:val="29"/>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VERFALLDATUM</w:t>
      </w:r>
    </w:p>
    <w:p w14:paraId="0DB4D4F4" w14:textId="77777777" w:rsidR="00FE291A" w:rsidRDefault="00FE291A">
      <w:pPr>
        <w:widowControl/>
        <w:rPr>
          <w:sz w:val="22"/>
          <w:lang w:val="de-DE"/>
        </w:rPr>
      </w:pPr>
    </w:p>
    <w:p w14:paraId="6D5A3B73" w14:textId="77777777" w:rsidR="00FE291A" w:rsidRDefault="00C8738F">
      <w:pPr>
        <w:widowControl/>
        <w:rPr>
          <w:sz w:val="22"/>
          <w:lang w:val="de-DE"/>
        </w:rPr>
      </w:pPr>
      <w:r>
        <w:rPr>
          <w:sz w:val="22"/>
          <w:lang w:val="de-DE"/>
        </w:rPr>
        <w:t>EXP</w:t>
      </w:r>
    </w:p>
    <w:p w14:paraId="39A7AE6D" w14:textId="77777777" w:rsidR="00FE291A" w:rsidRDefault="00FE291A">
      <w:pPr>
        <w:widowControl/>
        <w:rPr>
          <w:sz w:val="22"/>
          <w:lang w:val="de-DE"/>
        </w:rPr>
      </w:pPr>
    </w:p>
    <w:p w14:paraId="70DB6AFB" w14:textId="77777777" w:rsidR="00FE291A" w:rsidRDefault="00FE291A">
      <w:pPr>
        <w:widowControl/>
        <w:rPr>
          <w:sz w:val="22"/>
          <w:lang w:val="de-DE"/>
        </w:rPr>
      </w:pPr>
    </w:p>
    <w:p w14:paraId="2CA401CA" w14:textId="77777777" w:rsidR="00FE291A" w:rsidRDefault="00C8738F">
      <w:pPr>
        <w:widowControl/>
        <w:numPr>
          <w:ilvl w:val="0"/>
          <w:numId w:val="29"/>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CHARGENBEZEICHNUNG</w:t>
      </w:r>
    </w:p>
    <w:p w14:paraId="2AE57DB9" w14:textId="77777777" w:rsidR="00FE291A" w:rsidRDefault="00FE291A">
      <w:pPr>
        <w:widowControl/>
        <w:ind w:right="113"/>
        <w:rPr>
          <w:sz w:val="22"/>
          <w:lang w:val="de-DE"/>
        </w:rPr>
      </w:pPr>
    </w:p>
    <w:p w14:paraId="4114E5CB" w14:textId="77777777" w:rsidR="00FE291A" w:rsidRDefault="00C8738F">
      <w:pPr>
        <w:widowControl/>
        <w:ind w:right="113"/>
        <w:rPr>
          <w:sz w:val="22"/>
          <w:lang w:val="de-DE"/>
        </w:rPr>
      </w:pPr>
      <w:r>
        <w:rPr>
          <w:sz w:val="22"/>
          <w:lang w:val="de-DE"/>
        </w:rPr>
        <w:t>Lot</w:t>
      </w:r>
    </w:p>
    <w:p w14:paraId="59C07071" w14:textId="77777777" w:rsidR="00FE291A" w:rsidRDefault="00FE291A">
      <w:pPr>
        <w:widowControl/>
        <w:ind w:right="113"/>
        <w:rPr>
          <w:sz w:val="22"/>
          <w:lang w:val="de-DE"/>
        </w:rPr>
      </w:pPr>
    </w:p>
    <w:p w14:paraId="46A674C5" w14:textId="77777777" w:rsidR="00FE291A" w:rsidRDefault="00FE291A">
      <w:pPr>
        <w:widowControl/>
        <w:ind w:right="113"/>
        <w:rPr>
          <w:sz w:val="22"/>
          <w:lang w:val="de-DE"/>
        </w:rPr>
      </w:pPr>
    </w:p>
    <w:p w14:paraId="7ADA7B9C" w14:textId="77777777" w:rsidR="00FE291A" w:rsidRDefault="00C8738F">
      <w:pPr>
        <w:widowControl/>
        <w:numPr>
          <w:ilvl w:val="0"/>
          <w:numId w:val="29"/>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INHALT NACH GEWICHT, VOLUMEN ODER EINHEITEN</w:t>
      </w:r>
    </w:p>
    <w:p w14:paraId="2AC50BE8" w14:textId="77777777" w:rsidR="00FE291A" w:rsidRDefault="00FE291A">
      <w:pPr>
        <w:widowControl/>
        <w:ind w:right="113"/>
        <w:rPr>
          <w:sz w:val="22"/>
          <w:lang w:val="de-DE"/>
        </w:rPr>
      </w:pPr>
    </w:p>
    <w:p w14:paraId="64667D0D" w14:textId="77777777" w:rsidR="00FE291A" w:rsidRDefault="00C8738F">
      <w:pPr>
        <w:widowControl/>
        <w:ind w:right="113"/>
        <w:rPr>
          <w:sz w:val="22"/>
          <w:lang w:val="de-DE"/>
        </w:rPr>
      </w:pPr>
      <w:r>
        <w:rPr>
          <w:sz w:val="22"/>
          <w:lang w:val="de-DE"/>
        </w:rPr>
        <w:t>0,8 ml</w:t>
      </w:r>
    </w:p>
    <w:p w14:paraId="4AD83749" w14:textId="77777777" w:rsidR="00FE291A" w:rsidRDefault="00FE291A">
      <w:pPr>
        <w:widowControl/>
        <w:ind w:right="113"/>
        <w:rPr>
          <w:sz w:val="22"/>
          <w:lang w:val="de-DE"/>
        </w:rPr>
      </w:pPr>
    </w:p>
    <w:p w14:paraId="63CDC402" w14:textId="77777777" w:rsidR="00FE291A" w:rsidRDefault="00FE291A">
      <w:pPr>
        <w:widowControl/>
        <w:ind w:right="113"/>
        <w:rPr>
          <w:sz w:val="22"/>
          <w:lang w:val="de-DE"/>
        </w:rPr>
      </w:pPr>
    </w:p>
    <w:p w14:paraId="67E56E6B" w14:textId="77777777" w:rsidR="00FE291A" w:rsidRDefault="00C8738F">
      <w:pPr>
        <w:widowControl/>
        <w:numPr>
          <w:ilvl w:val="0"/>
          <w:numId w:val="29"/>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WEITERE ANGABEN</w:t>
      </w:r>
    </w:p>
    <w:p w14:paraId="67C9FC13" w14:textId="77777777" w:rsidR="00FE291A" w:rsidRDefault="00FE291A">
      <w:pPr>
        <w:widowControl/>
        <w:ind w:right="113"/>
        <w:rPr>
          <w:sz w:val="22"/>
          <w:lang w:val="de-DE"/>
        </w:rPr>
      </w:pPr>
    </w:p>
    <w:p w14:paraId="4AD852BF" w14:textId="77777777" w:rsidR="00FE291A" w:rsidRDefault="00FE291A">
      <w:pPr>
        <w:widowControl/>
        <w:ind w:right="113"/>
        <w:rPr>
          <w:sz w:val="22"/>
          <w:lang w:val="de-DE"/>
        </w:rPr>
      </w:pPr>
    </w:p>
    <w:p w14:paraId="67EB4E2A" w14:textId="77777777" w:rsidR="00FE291A" w:rsidRDefault="00FE291A">
      <w:pPr>
        <w:widowControl/>
        <w:ind w:right="113"/>
        <w:rPr>
          <w:sz w:val="22"/>
          <w:lang w:val="de-DE"/>
        </w:rPr>
      </w:pPr>
    </w:p>
    <w:p w14:paraId="492286DC" w14:textId="77777777" w:rsidR="00FE291A" w:rsidRDefault="00C8738F">
      <w:pPr>
        <w:widowControl/>
        <w:pBdr>
          <w:top w:val="single" w:sz="4" w:space="1" w:color="auto"/>
          <w:left w:val="single" w:sz="4" w:space="4" w:color="auto"/>
          <w:bottom w:val="single" w:sz="4" w:space="1" w:color="auto"/>
          <w:right w:val="single" w:sz="4" w:space="4" w:color="auto"/>
        </w:pBdr>
        <w:rPr>
          <w:b/>
          <w:sz w:val="22"/>
          <w:szCs w:val="22"/>
          <w:lang w:val="de-DE"/>
        </w:rPr>
      </w:pPr>
      <w:r>
        <w:rPr>
          <w:b/>
          <w:sz w:val="22"/>
          <w:szCs w:val="22"/>
          <w:lang w:val="de-DE"/>
        </w:rPr>
        <w:br w:type="page"/>
        <w:t>ANGABEN AUF DER ÄUSSEREN UMHÜLLUNG</w:t>
      </w:r>
    </w:p>
    <w:p w14:paraId="4C9C8B73" w14:textId="77777777" w:rsidR="00FE291A" w:rsidRDefault="00FE291A">
      <w:pPr>
        <w:widowControl/>
        <w:pBdr>
          <w:top w:val="single" w:sz="4" w:space="1" w:color="auto"/>
          <w:left w:val="single" w:sz="4" w:space="4" w:color="auto"/>
          <w:bottom w:val="single" w:sz="4" w:space="1" w:color="auto"/>
          <w:right w:val="single" w:sz="4" w:space="4" w:color="auto"/>
        </w:pBdr>
        <w:ind w:left="567" w:hanging="567"/>
        <w:rPr>
          <w:sz w:val="22"/>
          <w:szCs w:val="22"/>
          <w:lang w:val="de-DE"/>
        </w:rPr>
      </w:pPr>
    </w:p>
    <w:p w14:paraId="2C9E9957" w14:textId="77777777" w:rsidR="00FE291A" w:rsidRDefault="00C8738F">
      <w:pPr>
        <w:widowControl/>
        <w:pBdr>
          <w:top w:val="single" w:sz="4" w:space="1" w:color="auto"/>
          <w:left w:val="single" w:sz="4" w:space="4" w:color="auto"/>
          <w:bottom w:val="single" w:sz="4" w:space="1" w:color="auto"/>
          <w:right w:val="single" w:sz="4" w:space="4" w:color="auto"/>
        </w:pBdr>
        <w:rPr>
          <w:sz w:val="22"/>
          <w:szCs w:val="22"/>
          <w:lang w:val="de-DE"/>
        </w:rPr>
      </w:pPr>
      <w:r>
        <w:rPr>
          <w:b/>
          <w:sz w:val="22"/>
          <w:szCs w:val="22"/>
          <w:lang w:val="de-DE"/>
        </w:rPr>
        <w:t>KARTON FÜR DIE FERTIGSPRITZE</w:t>
      </w:r>
    </w:p>
    <w:p w14:paraId="5B6D5AEC" w14:textId="77777777" w:rsidR="00FE291A" w:rsidRDefault="00FE291A">
      <w:pPr>
        <w:widowControl/>
        <w:rPr>
          <w:sz w:val="22"/>
          <w:szCs w:val="22"/>
          <w:lang w:val="de-DE"/>
        </w:rPr>
      </w:pPr>
    </w:p>
    <w:p w14:paraId="0D45F20B" w14:textId="77777777" w:rsidR="00FE291A" w:rsidRDefault="00FE291A">
      <w:pPr>
        <w:widowControl/>
        <w:rPr>
          <w:sz w:val="22"/>
          <w:szCs w:val="22"/>
          <w:lang w:val="de-DE"/>
        </w:rPr>
      </w:pPr>
    </w:p>
    <w:p w14:paraId="4F634F76" w14:textId="77777777" w:rsidR="00FE291A" w:rsidRDefault="00C8738F">
      <w:pPr>
        <w:widowControl/>
        <w:numPr>
          <w:ilvl w:val="0"/>
          <w:numId w:val="30"/>
        </w:numPr>
        <w:pBdr>
          <w:top w:val="single" w:sz="4" w:space="1" w:color="auto"/>
          <w:left w:val="single" w:sz="4" w:space="4" w:color="auto"/>
          <w:bottom w:val="single" w:sz="4" w:space="1" w:color="auto"/>
          <w:right w:val="single" w:sz="4" w:space="4" w:color="auto"/>
        </w:pBdr>
        <w:tabs>
          <w:tab w:val="left" w:pos="567"/>
        </w:tabs>
        <w:autoSpaceDE/>
        <w:autoSpaceDN/>
        <w:adjustRightInd/>
        <w:ind w:hanging="930"/>
        <w:outlineLvl w:val="0"/>
        <w:rPr>
          <w:b/>
          <w:sz w:val="22"/>
          <w:lang w:val="de-DE"/>
        </w:rPr>
      </w:pPr>
      <w:r>
        <w:rPr>
          <w:b/>
          <w:sz w:val="22"/>
          <w:lang w:val="de-DE"/>
        </w:rPr>
        <w:t>BEZEICHNUNG DES ARZNEIMITTELS</w:t>
      </w:r>
    </w:p>
    <w:p w14:paraId="2FEC35F0" w14:textId="77777777" w:rsidR="00FE291A" w:rsidRDefault="00FE291A">
      <w:pPr>
        <w:keepNext/>
        <w:widowControl/>
        <w:rPr>
          <w:sz w:val="22"/>
          <w:szCs w:val="22"/>
          <w:lang w:val="de-DE"/>
        </w:rPr>
      </w:pPr>
    </w:p>
    <w:p w14:paraId="13DE0A63" w14:textId="77777777" w:rsidR="00FE291A" w:rsidRDefault="00C8738F">
      <w:pPr>
        <w:widowControl/>
        <w:rPr>
          <w:sz w:val="22"/>
          <w:szCs w:val="22"/>
          <w:lang w:val="de-DE"/>
        </w:rPr>
      </w:pPr>
      <w:r>
        <w:rPr>
          <w:sz w:val="22"/>
          <w:szCs w:val="22"/>
          <w:lang w:val="de-DE"/>
        </w:rPr>
        <w:t>AMGEVITA 20 mg Injektionslösung in einer Fertigspritze</w:t>
      </w:r>
    </w:p>
    <w:p w14:paraId="48413568" w14:textId="77777777" w:rsidR="00FE291A" w:rsidRDefault="00C8738F">
      <w:pPr>
        <w:widowControl/>
        <w:rPr>
          <w:b/>
          <w:sz w:val="22"/>
          <w:szCs w:val="22"/>
          <w:lang w:val="de-DE"/>
        </w:rPr>
      </w:pPr>
      <w:r>
        <w:rPr>
          <w:sz w:val="22"/>
          <w:szCs w:val="22"/>
          <w:lang w:val="de-DE"/>
        </w:rPr>
        <w:t>Adalimumab</w:t>
      </w:r>
    </w:p>
    <w:p w14:paraId="08AAAE87" w14:textId="77777777" w:rsidR="00FE291A" w:rsidRDefault="00FE291A">
      <w:pPr>
        <w:widowControl/>
        <w:rPr>
          <w:sz w:val="22"/>
          <w:szCs w:val="22"/>
          <w:lang w:val="de-DE"/>
        </w:rPr>
      </w:pPr>
    </w:p>
    <w:p w14:paraId="16F6190F" w14:textId="77777777" w:rsidR="00FE291A" w:rsidRDefault="00FE291A">
      <w:pPr>
        <w:widowControl/>
        <w:rPr>
          <w:sz w:val="22"/>
          <w:szCs w:val="22"/>
          <w:lang w:val="de-DE"/>
        </w:rPr>
      </w:pPr>
    </w:p>
    <w:p w14:paraId="7A2C07C6" w14:textId="77777777" w:rsidR="00FE291A" w:rsidRDefault="00C8738F">
      <w:pPr>
        <w:widowControl/>
        <w:numPr>
          <w:ilvl w:val="0"/>
          <w:numId w:val="30"/>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WIRKSTOFF</w:t>
      </w:r>
    </w:p>
    <w:p w14:paraId="06332108" w14:textId="77777777" w:rsidR="00FE291A" w:rsidRDefault="00FE291A">
      <w:pPr>
        <w:keepNext/>
        <w:widowControl/>
        <w:rPr>
          <w:sz w:val="22"/>
          <w:szCs w:val="22"/>
          <w:lang w:val="de-DE"/>
        </w:rPr>
      </w:pPr>
    </w:p>
    <w:p w14:paraId="7286EB2C" w14:textId="77777777" w:rsidR="00FE291A" w:rsidRDefault="00C8738F">
      <w:pPr>
        <w:widowControl/>
        <w:rPr>
          <w:sz w:val="22"/>
          <w:szCs w:val="22"/>
          <w:lang w:val="de-DE"/>
        </w:rPr>
      </w:pPr>
      <w:r>
        <w:rPr>
          <w:sz w:val="22"/>
          <w:szCs w:val="22"/>
          <w:lang w:val="de-DE"/>
        </w:rPr>
        <w:t>Jede Fertigspritze enthält 20 mg Adalimumab in 0,2 ml Lösung.</w:t>
      </w:r>
    </w:p>
    <w:p w14:paraId="3CF8EAD3" w14:textId="77777777" w:rsidR="00FE291A" w:rsidRDefault="00FE291A">
      <w:pPr>
        <w:widowControl/>
        <w:rPr>
          <w:sz w:val="22"/>
          <w:szCs w:val="22"/>
          <w:lang w:val="de-DE"/>
        </w:rPr>
      </w:pPr>
    </w:p>
    <w:p w14:paraId="34557399" w14:textId="77777777" w:rsidR="00FE291A" w:rsidRDefault="00FE291A">
      <w:pPr>
        <w:widowControl/>
        <w:rPr>
          <w:sz w:val="22"/>
          <w:szCs w:val="22"/>
          <w:lang w:val="de-DE"/>
        </w:rPr>
      </w:pPr>
    </w:p>
    <w:p w14:paraId="4D409158" w14:textId="77777777" w:rsidR="00FE291A" w:rsidRDefault="00C8738F">
      <w:pPr>
        <w:widowControl/>
        <w:numPr>
          <w:ilvl w:val="0"/>
          <w:numId w:val="30"/>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SONSTIGE BESTANDTEILE</w:t>
      </w:r>
    </w:p>
    <w:p w14:paraId="4114B1DD" w14:textId="77777777" w:rsidR="00FE291A" w:rsidRDefault="00FE291A">
      <w:pPr>
        <w:widowControl/>
        <w:rPr>
          <w:sz w:val="22"/>
          <w:szCs w:val="22"/>
          <w:lang w:val="de-DE"/>
        </w:rPr>
      </w:pPr>
    </w:p>
    <w:p w14:paraId="51F83D68" w14:textId="77777777" w:rsidR="00FE291A" w:rsidRDefault="00C8738F">
      <w:pPr>
        <w:widowControl/>
        <w:rPr>
          <w:sz w:val="22"/>
          <w:szCs w:val="22"/>
          <w:lang w:val="de-DE"/>
        </w:rPr>
      </w:pPr>
      <w:r>
        <w:rPr>
          <w:sz w:val="22"/>
          <w:szCs w:val="22"/>
          <w:lang w:val="de-DE"/>
        </w:rPr>
        <w:t>(S)-Milchsäure, Saccharose, Polysorbat 80, Natriumhydroxid und Wasser für Injektionszwecke.</w:t>
      </w:r>
    </w:p>
    <w:p w14:paraId="3B589B9E" w14:textId="77777777" w:rsidR="00FE291A" w:rsidRDefault="00FE291A">
      <w:pPr>
        <w:widowControl/>
        <w:rPr>
          <w:sz w:val="22"/>
          <w:szCs w:val="22"/>
          <w:lang w:val="de-DE"/>
        </w:rPr>
      </w:pPr>
    </w:p>
    <w:p w14:paraId="5156D843" w14:textId="77777777" w:rsidR="00FE291A" w:rsidRDefault="00FE291A">
      <w:pPr>
        <w:widowControl/>
        <w:rPr>
          <w:sz w:val="22"/>
          <w:szCs w:val="22"/>
          <w:lang w:val="de-DE"/>
        </w:rPr>
      </w:pPr>
    </w:p>
    <w:p w14:paraId="0BB35058" w14:textId="77777777" w:rsidR="00FE291A" w:rsidRDefault="00C8738F">
      <w:pPr>
        <w:widowControl/>
        <w:numPr>
          <w:ilvl w:val="0"/>
          <w:numId w:val="30"/>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DARREICHUNGSFORM UND INHALT</w:t>
      </w:r>
    </w:p>
    <w:p w14:paraId="791DF6D0" w14:textId="77777777" w:rsidR="00FE291A" w:rsidRDefault="00FE291A">
      <w:pPr>
        <w:widowControl/>
        <w:rPr>
          <w:sz w:val="22"/>
          <w:szCs w:val="22"/>
          <w:lang w:val="de-DE"/>
        </w:rPr>
      </w:pPr>
    </w:p>
    <w:p w14:paraId="0D928845" w14:textId="77777777" w:rsidR="00FE291A" w:rsidRDefault="00C8738F">
      <w:pPr>
        <w:widowControl/>
        <w:rPr>
          <w:sz w:val="22"/>
          <w:szCs w:val="22"/>
          <w:lang w:val="de-DE"/>
        </w:rPr>
      </w:pPr>
      <w:r>
        <w:rPr>
          <w:sz w:val="22"/>
          <w:szCs w:val="22"/>
          <w:highlight w:val="lightGray"/>
          <w:lang w:val="de-DE"/>
        </w:rPr>
        <w:t>Injektionslösung</w:t>
      </w:r>
    </w:p>
    <w:p w14:paraId="49827889" w14:textId="77777777" w:rsidR="00FE291A" w:rsidRDefault="00C8738F">
      <w:pPr>
        <w:widowControl/>
        <w:rPr>
          <w:sz w:val="22"/>
          <w:szCs w:val="22"/>
          <w:lang w:val="de-DE"/>
        </w:rPr>
      </w:pPr>
      <w:r>
        <w:rPr>
          <w:sz w:val="22"/>
          <w:szCs w:val="22"/>
          <w:lang w:val="de-DE"/>
        </w:rPr>
        <w:t>20 mg/0,2 ml</w:t>
      </w:r>
    </w:p>
    <w:p w14:paraId="2D5705D3" w14:textId="77777777" w:rsidR="00FE291A" w:rsidRDefault="00C8738F">
      <w:pPr>
        <w:widowControl/>
        <w:rPr>
          <w:sz w:val="22"/>
          <w:szCs w:val="22"/>
          <w:lang w:val="de-DE"/>
        </w:rPr>
      </w:pPr>
      <w:r>
        <w:rPr>
          <w:sz w:val="22"/>
          <w:szCs w:val="22"/>
          <w:lang w:val="de-DE"/>
        </w:rPr>
        <w:t>1 Fertigspritze.</w:t>
      </w:r>
    </w:p>
    <w:p w14:paraId="7E873243" w14:textId="77777777" w:rsidR="00FE291A" w:rsidRDefault="00FE291A">
      <w:pPr>
        <w:widowControl/>
        <w:rPr>
          <w:sz w:val="22"/>
          <w:szCs w:val="22"/>
          <w:lang w:val="de-DE"/>
        </w:rPr>
      </w:pPr>
    </w:p>
    <w:p w14:paraId="23A0208A" w14:textId="77777777" w:rsidR="00FE291A" w:rsidRDefault="00FE291A">
      <w:pPr>
        <w:widowControl/>
        <w:rPr>
          <w:sz w:val="22"/>
          <w:szCs w:val="22"/>
          <w:lang w:val="de-DE"/>
        </w:rPr>
      </w:pPr>
    </w:p>
    <w:p w14:paraId="510D0CB2" w14:textId="77777777" w:rsidR="00FE291A" w:rsidRDefault="00C8738F">
      <w:pPr>
        <w:widowControl/>
        <w:numPr>
          <w:ilvl w:val="0"/>
          <w:numId w:val="30"/>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HINWEISE ZUR UND ART(EN) DER ANWENDUNG</w:t>
      </w:r>
    </w:p>
    <w:p w14:paraId="7CACFC33" w14:textId="77777777" w:rsidR="00FE291A" w:rsidRDefault="00FE291A">
      <w:pPr>
        <w:keepNext/>
        <w:widowControl/>
        <w:rPr>
          <w:sz w:val="22"/>
          <w:szCs w:val="22"/>
          <w:lang w:val="de-DE"/>
        </w:rPr>
      </w:pPr>
    </w:p>
    <w:p w14:paraId="1354342E" w14:textId="77777777" w:rsidR="00FE291A" w:rsidRDefault="00C8738F">
      <w:pPr>
        <w:widowControl/>
        <w:rPr>
          <w:sz w:val="22"/>
          <w:szCs w:val="22"/>
          <w:lang w:val="de-DE"/>
        </w:rPr>
      </w:pPr>
      <w:r>
        <w:rPr>
          <w:sz w:val="22"/>
          <w:szCs w:val="22"/>
          <w:lang w:val="de-DE"/>
        </w:rPr>
        <w:t>Zur subkutanen Anwendung.</w:t>
      </w:r>
    </w:p>
    <w:p w14:paraId="206281BC" w14:textId="77777777" w:rsidR="00FE291A" w:rsidRDefault="00C8738F">
      <w:pPr>
        <w:widowControl/>
        <w:rPr>
          <w:sz w:val="22"/>
          <w:szCs w:val="22"/>
          <w:lang w:val="de-DE"/>
        </w:rPr>
      </w:pPr>
      <w:r>
        <w:rPr>
          <w:sz w:val="22"/>
          <w:szCs w:val="22"/>
          <w:lang w:val="de-DE"/>
        </w:rPr>
        <w:t>Packungsbeilage beachten.</w:t>
      </w:r>
    </w:p>
    <w:p w14:paraId="7E17C589" w14:textId="77777777" w:rsidR="00FE291A" w:rsidRDefault="00C8738F">
      <w:pPr>
        <w:widowControl/>
        <w:rPr>
          <w:sz w:val="22"/>
          <w:szCs w:val="22"/>
          <w:lang w:val="de-DE"/>
        </w:rPr>
      </w:pPr>
      <w:r>
        <w:rPr>
          <w:sz w:val="22"/>
          <w:szCs w:val="22"/>
          <w:lang w:val="de-DE"/>
        </w:rPr>
        <w:t>Nur zum Einmalgebrauch.</w:t>
      </w:r>
    </w:p>
    <w:p w14:paraId="71021A78" w14:textId="77777777" w:rsidR="00FE291A" w:rsidRDefault="00FE291A">
      <w:pPr>
        <w:widowControl/>
        <w:rPr>
          <w:sz w:val="22"/>
          <w:szCs w:val="22"/>
          <w:lang w:val="de-DE"/>
        </w:rPr>
      </w:pPr>
    </w:p>
    <w:p w14:paraId="78BE579D" w14:textId="77777777" w:rsidR="00FE291A" w:rsidRDefault="00FE291A">
      <w:pPr>
        <w:widowControl/>
        <w:rPr>
          <w:sz w:val="22"/>
          <w:szCs w:val="22"/>
          <w:lang w:val="de-DE"/>
        </w:rPr>
      </w:pPr>
    </w:p>
    <w:p w14:paraId="39342323" w14:textId="77777777" w:rsidR="00FE291A" w:rsidRDefault="00C8738F">
      <w:pPr>
        <w:widowControl/>
        <w:numPr>
          <w:ilvl w:val="0"/>
          <w:numId w:val="30"/>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WARNHINWEIS, DASS DAS ARZNEIMITTEL FÜR KINDER UNZUGÄNGLICH AUFZUBEWAHREN IST</w:t>
      </w:r>
    </w:p>
    <w:p w14:paraId="2034CE5B" w14:textId="77777777" w:rsidR="00FE291A" w:rsidRDefault="00FE291A">
      <w:pPr>
        <w:keepNext/>
        <w:widowControl/>
        <w:rPr>
          <w:sz w:val="22"/>
          <w:szCs w:val="22"/>
          <w:lang w:val="de-DE"/>
        </w:rPr>
      </w:pPr>
    </w:p>
    <w:p w14:paraId="24DD4E54" w14:textId="77777777" w:rsidR="00FE291A" w:rsidRDefault="00C8738F">
      <w:pPr>
        <w:widowControl/>
        <w:outlineLvl w:val="0"/>
        <w:rPr>
          <w:sz w:val="22"/>
          <w:szCs w:val="22"/>
          <w:lang w:val="de-DE"/>
        </w:rPr>
      </w:pPr>
      <w:r>
        <w:rPr>
          <w:sz w:val="22"/>
          <w:szCs w:val="22"/>
          <w:lang w:val="de-DE"/>
        </w:rPr>
        <w:t>Arzneimittel für Kinder unzugänglich aufbewahren.</w:t>
      </w:r>
    </w:p>
    <w:p w14:paraId="5912BB1D" w14:textId="77777777" w:rsidR="00FE291A" w:rsidRDefault="00FE291A">
      <w:pPr>
        <w:widowControl/>
        <w:rPr>
          <w:sz w:val="22"/>
          <w:szCs w:val="22"/>
          <w:lang w:val="de-DE"/>
        </w:rPr>
      </w:pPr>
    </w:p>
    <w:p w14:paraId="3EA13621" w14:textId="77777777" w:rsidR="00FE291A" w:rsidRDefault="00FE291A">
      <w:pPr>
        <w:widowControl/>
        <w:rPr>
          <w:sz w:val="22"/>
          <w:szCs w:val="22"/>
          <w:lang w:val="de-DE"/>
        </w:rPr>
      </w:pPr>
    </w:p>
    <w:p w14:paraId="49A66DB9" w14:textId="77777777" w:rsidR="00FE291A" w:rsidRDefault="00C8738F">
      <w:pPr>
        <w:widowControl/>
        <w:numPr>
          <w:ilvl w:val="0"/>
          <w:numId w:val="30"/>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WEITERE WARNHINWEISE, FALLS ERFORDERLICH</w:t>
      </w:r>
    </w:p>
    <w:p w14:paraId="10CC34F7" w14:textId="77777777" w:rsidR="00FE291A" w:rsidRDefault="00FE291A">
      <w:pPr>
        <w:keepNext/>
        <w:widowControl/>
        <w:rPr>
          <w:sz w:val="22"/>
          <w:szCs w:val="22"/>
          <w:lang w:val="de-DE"/>
        </w:rPr>
      </w:pPr>
    </w:p>
    <w:p w14:paraId="0518AAA5" w14:textId="77777777" w:rsidR="00FE291A" w:rsidRDefault="00FE291A">
      <w:pPr>
        <w:widowControl/>
        <w:tabs>
          <w:tab w:val="left" w:pos="749"/>
        </w:tabs>
        <w:rPr>
          <w:sz w:val="22"/>
          <w:szCs w:val="22"/>
          <w:lang w:val="de-DE"/>
        </w:rPr>
      </w:pPr>
    </w:p>
    <w:p w14:paraId="1E573749" w14:textId="77777777" w:rsidR="00FE291A" w:rsidRDefault="00C8738F">
      <w:pPr>
        <w:widowControl/>
        <w:numPr>
          <w:ilvl w:val="0"/>
          <w:numId w:val="30"/>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VERFALLDATUM</w:t>
      </w:r>
    </w:p>
    <w:p w14:paraId="12F0BFF7" w14:textId="77777777" w:rsidR="00FE291A" w:rsidRDefault="00FE291A">
      <w:pPr>
        <w:keepNext/>
        <w:widowControl/>
        <w:rPr>
          <w:sz w:val="22"/>
          <w:szCs w:val="22"/>
          <w:lang w:val="de-DE"/>
        </w:rPr>
      </w:pPr>
    </w:p>
    <w:p w14:paraId="39013568" w14:textId="77777777" w:rsidR="00FE291A" w:rsidRDefault="00C8738F">
      <w:pPr>
        <w:widowControl/>
        <w:rPr>
          <w:sz w:val="22"/>
          <w:szCs w:val="22"/>
          <w:lang w:val="de-DE"/>
        </w:rPr>
      </w:pPr>
      <w:r>
        <w:rPr>
          <w:sz w:val="22"/>
          <w:szCs w:val="22"/>
          <w:lang w:val="de-DE"/>
        </w:rPr>
        <w:t>verwendbar bis</w:t>
      </w:r>
    </w:p>
    <w:p w14:paraId="7E6AA5FA" w14:textId="77777777" w:rsidR="00FE291A" w:rsidRDefault="00FE291A">
      <w:pPr>
        <w:widowControl/>
        <w:rPr>
          <w:sz w:val="22"/>
          <w:szCs w:val="22"/>
          <w:lang w:val="de-DE"/>
        </w:rPr>
      </w:pPr>
    </w:p>
    <w:p w14:paraId="5C6E67CC" w14:textId="77777777" w:rsidR="00FE291A" w:rsidRDefault="00FE291A">
      <w:pPr>
        <w:widowControl/>
        <w:rPr>
          <w:sz w:val="22"/>
          <w:lang w:val="de-DE"/>
        </w:rPr>
      </w:pPr>
    </w:p>
    <w:p w14:paraId="1290E03E" w14:textId="77777777" w:rsidR="00FE291A" w:rsidRDefault="00C8738F">
      <w:pPr>
        <w:widowControl/>
        <w:numPr>
          <w:ilvl w:val="0"/>
          <w:numId w:val="30"/>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BESONDERE VORSICHTSMASSNAHMEN FÜR DIE AUFBEWAHRUNG</w:t>
      </w:r>
    </w:p>
    <w:p w14:paraId="5AF769E9" w14:textId="77777777" w:rsidR="00FE291A" w:rsidRDefault="00FE291A">
      <w:pPr>
        <w:widowControl/>
        <w:rPr>
          <w:sz w:val="22"/>
          <w:szCs w:val="22"/>
          <w:lang w:val="de-DE"/>
        </w:rPr>
      </w:pPr>
    </w:p>
    <w:p w14:paraId="60A7031B" w14:textId="77777777" w:rsidR="00FE291A" w:rsidRDefault="00C8738F">
      <w:pPr>
        <w:widowControl/>
        <w:ind w:left="567" w:hanging="567"/>
        <w:rPr>
          <w:sz w:val="22"/>
          <w:szCs w:val="22"/>
          <w:lang w:val="de-DE"/>
        </w:rPr>
      </w:pPr>
      <w:r>
        <w:rPr>
          <w:sz w:val="22"/>
          <w:szCs w:val="22"/>
          <w:lang w:val="de-DE"/>
        </w:rPr>
        <w:t>Im Kühlschrank lagern.</w:t>
      </w:r>
    </w:p>
    <w:p w14:paraId="022F1F7E" w14:textId="77777777" w:rsidR="00FE291A" w:rsidRDefault="00C8738F">
      <w:pPr>
        <w:widowControl/>
        <w:ind w:left="567" w:hanging="567"/>
        <w:rPr>
          <w:sz w:val="22"/>
          <w:szCs w:val="22"/>
          <w:lang w:val="de-DE"/>
        </w:rPr>
      </w:pPr>
      <w:r>
        <w:rPr>
          <w:sz w:val="22"/>
          <w:szCs w:val="22"/>
          <w:lang w:val="de-DE"/>
        </w:rPr>
        <w:t>Nicht einfrieren.</w:t>
      </w:r>
    </w:p>
    <w:p w14:paraId="64D7E1D7" w14:textId="77777777" w:rsidR="00FE291A" w:rsidRDefault="00C8738F">
      <w:pPr>
        <w:widowControl/>
        <w:ind w:left="567" w:hanging="567"/>
        <w:rPr>
          <w:sz w:val="22"/>
          <w:szCs w:val="22"/>
          <w:lang w:val="de-DE"/>
        </w:rPr>
      </w:pPr>
      <w:r>
        <w:rPr>
          <w:sz w:val="22"/>
          <w:szCs w:val="22"/>
          <w:lang w:val="de-DE"/>
        </w:rPr>
        <w:t>Im Originalkarton aufbewahren, um den Inhalt vor Licht zu schützen.</w:t>
      </w:r>
    </w:p>
    <w:p w14:paraId="48FFD05F" w14:textId="77777777" w:rsidR="00FE291A" w:rsidRDefault="00FE291A">
      <w:pPr>
        <w:widowControl/>
        <w:ind w:left="567" w:hanging="567"/>
        <w:rPr>
          <w:sz w:val="22"/>
          <w:szCs w:val="22"/>
          <w:lang w:val="de-DE"/>
        </w:rPr>
      </w:pPr>
    </w:p>
    <w:p w14:paraId="18E9A022" w14:textId="77777777" w:rsidR="00FE291A" w:rsidRDefault="00FE291A">
      <w:pPr>
        <w:widowControl/>
        <w:ind w:left="567" w:hanging="567"/>
        <w:rPr>
          <w:sz w:val="22"/>
          <w:szCs w:val="22"/>
          <w:lang w:val="de-DE"/>
        </w:rPr>
      </w:pPr>
    </w:p>
    <w:p w14:paraId="55B1071A" w14:textId="77777777" w:rsidR="00FE291A" w:rsidRDefault="00C8738F">
      <w:pPr>
        <w:widowControl/>
        <w:numPr>
          <w:ilvl w:val="0"/>
          <w:numId w:val="30"/>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GEGEBENENFALLS BESONDERE VORSICHTSMASSNAHMEN FÜR DIE BESEITIGUNG VON NICHT VERWENDETEM ARZNEIMITTEL ODER DAVON STAMMENDEN ABFALLMATERIALIEN</w:t>
      </w:r>
    </w:p>
    <w:p w14:paraId="036A469E" w14:textId="77777777" w:rsidR="00FE291A" w:rsidRDefault="00FE291A">
      <w:pPr>
        <w:widowControl/>
        <w:rPr>
          <w:sz w:val="22"/>
          <w:szCs w:val="22"/>
          <w:lang w:val="de-DE"/>
        </w:rPr>
      </w:pPr>
    </w:p>
    <w:p w14:paraId="1F23CA88" w14:textId="77777777" w:rsidR="00FE291A" w:rsidRDefault="00FE291A">
      <w:pPr>
        <w:widowControl/>
        <w:rPr>
          <w:sz w:val="22"/>
          <w:szCs w:val="22"/>
          <w:lang w:val="de-DE"/>
        </w:rPr>
      </w:pPr>
    </w:p>
    <w:p w14:paraId="3B1D808C" w14:textId="77777777" w:rsidR="00FE291A" w:rsidRDefault="00C8738F">
      <w:pPr>
        <w:widowControl/>
        <w:numPr>
          <w:ilvl w:val="0"/>
          <w:numId w:val="30"/>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NAME UND ANSCHRIFT DES PHARMAZEUTISCHEN UNTERNEHMERS</w:t>
      </w:r>
    </w:p>
    <w:p w14:paraId="75D95D16" w14:textId="77777777" w:rsidR="00FE291A" w:rsidRDefault="00FE291A">
      <w:pPr>
        <w:widowControl/>
        <w:rPr>
          <w:sz w:val="22"/>
          <w:szCs w:val="22"/>
          <w:lang w:val="de-DE"/>
        </w:rPr>
      </w:pPr>
    </w:p>
    <w:p w14:paraId="2ED51A37" w14:textId="77777777" w:rsidR="00FE291A" w:rsidRDefault="00C8738F">
      <w:pPr>
        <w:widowControl/>
        <w:rPr>
          <w:rFonts w:eastAsia="SimSun"/>
          <w:sz w:val="22"/>
          <w:szCs w:val="22"/>
          <w:lang w:val="de-DE" w:eastAsia="en-GB"/>
        </w:rPr>
      </w:pPr>
      <w:r>
        <w:rPr>
          <w:rFonts w:eastAsia="SimSun"/>
          <w:sz w:val="22"/>
          <w:szCs w:val="22"/>
          <w:lang w:val="de-DE" w:eastAsia="en-GB"/>
        </w:rPr>
        <w:t>Amgen Europe B.V.</w:t>
      </w:r>
    </w:p>
    <w:p w14:paraId="405B8852" w14:textId="77777777" w:rsidR="00FE291A" w:rsidRDefault="00C8738F">
      <w:pPr>
        <w:widowControl/>
        <w:rPr>
          <w:rFonts w:eastAsia="SimSun"/>
          <w:sz w:val="22"/>
          <w:szCs w:val="22"/>
          <w:lang w:val="de-DE" w:eastAsia="en-GB"/>
        </w:rPr>
      </w:pPr>
      <w:r>
        <w:rPr>
          <w:rFonts w:eastAsia="SimSun"/>
          <w:sz w:val="22"/>
          <w:szCs w:val="22"/>
          <w:lang w:val="de-DE" w:eastAsia="en-GB"/>
        </w:rPr>
        <w:t>Minervum 7061,</w:t>
      </w:r>
    </w:p>
    <w:p w14:paraId="1289918D" w14:textId="77777777" w:rsidR="00FE291A" w:rsidRDefault="00C8738F">
      <w:pPr>
        <w:widowControl/>
        <w:rPr>
          <w:rFonts w:eastAsia="SimSun"/>
          <w:sz w:val="22"/>
          <w:szCs w:val="22"/>
          <w:lang w:val="de-DE" w:eastAsia="en-GB"/>
        </w:rPr>
      </w:pPr>
      <w:r>
        <w:rPr>
          <w:rFonts w:eastAsia="SimSun"/>
          <w:sz w:val="22"/>
          <w:szCs w:val="22"/>
          <w:lang w:val="de-DE" w:eastAsia="en-GB"/>
        </w:rPr>
        <w:t>4817 ZK Breda,</w:t>
      </w:r>
    </w:p>
    <w:p w14:paraId="42A186F2" w14:textId="77777777" w:rsidR="00FE291A" w:rsidRDefault="00C8738F">
      <w:pPr>
        <w:widowControl/>
        <w:rPr>
          <w:rFonts w:eastAsia="SimSun"/>
          <w:sz w:val="22"/>
          <w:szCs w:val="22"/>
          <w:lang w:val="de-DE" w:eastAsia="en-GB"/>
        </w:rPr>
      </w:pPr>
      <w:r>
        <w:rPr>
          <w:rFonts w:eastAsia="SimSun"/>
          <w:sz w:val="22"/>
          <w:szCs w:val="22"/>
          <w:lang w:val="de-DE" w:eastAsia="en-GB"/>
        </w:rPr>
        <w:t>Niederlande</w:t>
      </w:r>
    </w:p>
    <w:p w14:paraId="49C2B8A5" w14:textId="77777777" w:rsidR="00FE291A" w:rsidRDefault="00FE291A">
      <w:pPr>
        <w:widowControl/>
        <w:rPr>
          <w:sz w:val="22"/>
          <w:szCs w:val="22"/>
          <w:lang w:val="de-DE"/>
        </w:rPr>
      </w:pPr>
    </w:p>
    <w:p w14:paraId="4E327DC3" w14:textId="77777777" w:rsidR="00FE291A" w:rsidRDefault="00FE291A">
      <w:pPr>
        <w:widowControl/>
        <w:rPr>
          <w:sz w:val="22"/>
          <w:szCs w:val="22"/>
          <w:lang w:val="de-DE"/>
        </w:rPr>
      </w:pPr>
    </w:p>
    <w:p w14:paraId="020F8A4B" w14:textId="77777777" w:rsidR="00FE291A" w:rsidRDefault="00C8738F">
      <w:pPr>
        <w:widowControl/>
        <w:numPr>
          <w:ilvl w:val="0"/>
          <w:numId w:val="30"/>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ZULASSUNGSNUMMER</w:t>
      </w:r>
    </w:p>
    <w:p w14:paraId="29391AAA" w14:textId="77777777" w:rsidR="00FE291A" w:rsidRDefault="00FE291A">
      <w:pPr>
        <w:widowControl/>
        <w:rPr>
          <w:sz w:val="22"/>
          <w:szCs w:val="22"/>
          <w:lang w:val="de-DE"/>
        </w:rPr>
      </w:pPr>
    </w:p>
    <w:p w14:paraId="0EC0C72D" w14:textId="77777777" w:rsidR="00FE291A" w:rsidRDefault="00C8738F">
      <w:pPr>
        <w:widowControl/>
        <w:rPr>
          <w:sz w:val="22"/>
          <w:szCs w:val="22"/>
          <w:lang w:val="de-DE"/>
        </w:rPr>
      </w:pPr>
      <w:r>
        <w:rPr>
          <w:sz w:val="22"/>
          <w:szCs w:val="22"/>
          <w:lang w:val="de-DE"/>
        </w:rPr>
        <w:t>EU/1/16/1164/010</w:t>
      </w:r>
    </w:p>
    <w:p w14:paraId="14A5C48B" w14:textId="77777777" w:rsidR="00FE291A" w:rsidRDefault="00FE291A">
      <w:pPr>
        <w:widowControl/>
        <w:rPr>
          <w:sz w:val="22"/>
          <w:szCs w:val="22"/>
          <w:lang w:val="de-DE"/>
        </w:rPr>
      </w:pPr>
    </w:p>
    <w:p w14:paraId="3671CF01" w14:textId="77777777" w:rsidR="00FE291A" w:rsidRDefault="00FE291A">
      <w:pPr>
        <w:widowControl/>
        <w:rPr>
          <w:sz w:val="22"/>
          <w:szCs w:val="22"/>
          <w:lang w:val="de-DE"/>
        </w:rPr>
      </w:pPr>
    </w:p>
    <w:p w14:paraId="471F3048" w14:textId="77777777" w:rsidR="00FE291A" w:rsidRDefault="00C8738F">
      <w:pPr>
        <w:widowControl/>
        <w:numPr>
          <w:ilvl w:val="0"/>
          <w:numId w:val="30"/>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CHARGENBEZEICHNUNG</w:t>
      </w:r>
    </w:p>
    <w:p w14:paraId="128C089C" w14:textId="77777777" w:rsidR="00FE291A" w:rsidRDefault="00FE291A">
      <w:pPr>
        <w:widowControl/>
        <w:rPr>
          <w:i/>
          <w:sz w:val="22"/>
          <w:szCs w:val="22"/>
          <w:lang w:val="de-DE"/>
        </w:rPr>
      </w:pPr>
    </w:p>
    <w:p w14:paraId="213302F8" w14:textId="77777777" w:rsidR="00FE291A" w:rsidRDefault="00C8738F">
      <w:pPr>
        <w:widowControl/>
        <w:rPr>
          <w:sz w:val="22"/>
          <w:szCs w:val="22"/>
          <w:lang w:val="de-DE"/>
        </w:rPr>
      </w:pPr>
      <w:r>
        <w:rPr>
          <w:sz w:val="22"/>
          <w:szCs w:val="22"/>
          <w:lang w:val="de-DE"/>
        </w:rPr>
        <w:t>Ch.-B.</w:t>
      </w:r>
    </w:p>
    <w:p w14:paraId="3D05A3B5" w14:textId="77777777" w:rsidR="00FE291A" w:rsidRDefault="00FE291A">
      <w:pPr>
        <w:widowControl/>
        <w:rPr>
          <w:sz w:val="22"/>
          <w:szCs w:val="22"/>
          <w:lang w:val="de-DE"/>
        </w:rPr>
      </w:pPr>
    </w:p>
    <w:p w14:paraId="1C6638C3" w14:textId="77777777" w:rsidR="00FE291A" w:rsidRDefault="00FE291A">
      <w:pPr>
        <w:widowControl/>
        <w:rPr>
          <w:sz w:val="22"/>
          <w:szCs w:val="22"/>
          <w:lang w:val="de-DE"/>
        </w:rPr>
      </w:pPr>
    </w:p>
    <w:p w14:paraId="189C5ACC" w14:textId="77777777" w:rsidR="00FE291A" w:rsidRDefault="00C8738F">
      <w:pPr>
        <w:widowControl/>
        <w:numPr>
          <w:ilvl w:val="0"/>
          <w:numId w:val="30"/>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VERKAUFSABGRENZUNG</w:t>
      </w:r>
    </w:p>
    <w:p w14:paraId="4154024D" w14:textId="77777777" w:rsidR="00FE291A" w:rsidRDefault="00FE291A">
      <w:pPr>
        <w:widowControl/>
        <w:rPr>
          <w:i/>
          <w:sz w:val="22"/>
          <w:szCs w:val="22"/>
          <w:lang w:val="de-DE"/>
        </w:rPr>
      </w:pPr>
    </w:p>
    <w:p w14:paraId="4EE914AB" w14:textId="77777777" w:rsidR="00FE291A" w:rsidRDefault="00FE291A">
      <w:pPr>
        <w:widowControl/>
        <w:rPr>
          <w:sz w:val="22"/>
          <w:szCs w:val="22"/>
          <w:lang w:val="de-DE"/>
        </w:rPr>
      </w:pPr>
    </w:p>
    <w:p w14:paraId="5ECAD603" w14:textId="77777777" w:rsidR="00FE291A" w:rsidRDefault="00C8738F">
      <w:pPr>
        <w:widowControl/>
        <w:numPr>
          <w:ilvl w:val="0"/>
          <w:numId w:val="30"/>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HINWEISE FÜR DEN GEBRAUCH</w:t>
      </w:r>
    </w:p>
    <w:p w14:paraId="26810E87" w14:textId="77777777" w:rsidR="00FE291A" w:rsidRDefault="00FE291A">
      <w:pPr>
        <w:widowControl/>
        <w:rPr>
          <w:sz w:val="22"/>
          <w:szCs w:val="22"/>
          <w:lang w:val="de-DE"/>
        </w:rPr>
      </w:pPr>
    </w:p>
    <w:p w14:paraId="401717ED" w14:textId="77777777" w:rsidR="00FE291A" w:rsidRDefault="00FE291A">
      <w:pPr>
        <w:widowControl/>
        <w:rPr>
          <w:sz w:val="22"/>
          <w:szCs w:val="22"/>
          <w:lang w:val="de-DE"/>
        </w:rPr>
      </w:pPr>
    </w:p>
    <w:p w14:paraId="50FDB27E" w14:textId="77777777" w:rsidR="00FE291A" w:rsidRDefault="00C8738F">
      <w:pPr>
        <w:widowControl/>
        <w:numPr>
          <w:ilvl w:val="0"/>
          <w:numId w:val="30"/>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ANGABEN IN BLINDENSCHRIFT</w:t>
      </w:r>
    </w:p>
    <w:p w14:paraId="2FB56BFC" w14:textId="77777777" w:rsidR="00FE291A" w:rsidRDefault="00FE291A">
      <w:pPr>
        <w:widowControl/>
        <w:rPr>
          <w:sz w:val="22"/>
          <w:szCs w:val="22"/>
          <w:lang w:val="de-DE"/>
        </w:rPr>
      </w:pPr>
    </w:p>
    <w:p w14:paraId="5DFC5EB6" w14:textId="77777777" w:rsidR="00FE291A" w:rsidRDefault="00C8738F">
      <w:pPr>
        <w:widowControl/>
        <w:rPr>
          <w:sz w:val="22"/>
          <w:szCs w:val="22"/>
          <w:lang w:val="de-DE"/>
        </w:rPr>
      </w:pPr>
      <w:r>
        <w:rPr>
          <w:sz w:val="22"/>
          <w:szCs w:val="22"/>
          <w:lang w:val="de-DE"/>
        </w:rPr>
        <w:t>AMGEVITA 20 mg/0,2 ml Spritze</w:t>
      </w:r>
    </w:p>
    <w:p w14:paraId="35CA66DA" w14:textId="77777777" w:rsidR="00FE291A" w:rsidRDefault="00FE291A">
      <w:pPr>
        <w:widowControl/>
        <w:rPr>
          <w:sz w:val="22"/>
          <w:szCs w:val="22"/>
          <w:shd w:val="clear" w:color="auto" w:fill="CCCCCC"/>
          <w:lang w:val="de-DE"/>
        </w:rPr>
      </w:pPr>
    </w:p>
    <w:p w14:paraId="30D880E7" w14:textId="77777777" w:rsidR="00FE291A" w:rsidRDefault="00FE291A">
      <w:pPr>
        <w:widowControl/>
        <w:rPr>
          <w:sz w:val="22"/>
          <w:szCs w:val="22"/>
          <w:shd w:val="clear" w:color="auto" w:fill="CCCCCC"/>
          <w:lang w:val="de-DE"/>
        </w:rPr>
      </w:pPr>
    </w:p>
    <w:p w14:paraId="7CD5F13C" w14:textId="77777777" w:rsidR="00FE291A" w:rsidRDefault="00C8738F">
      <w:pPr>
        <w:widowControl/>
        <w:numPr>
          <w:ilvl w:val="0"/>
          <w:numId w:val="30"/>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INDIVIDUELLES ERKENNUNGSMERKMAL – 2D-BARCODE</w:t>
      </w:r>
    </w:p>
    <w:p w14:paraId="36948A67" w14:textId="77777777" w:rsidR="00FE291A" w:rsidRDefault="00FE291A">
      <w:pPr>
        <w:widowControl/>
        <w:rPr>
          <w:sz w:val="22"/>
          <w:szCs w:val="22"/>
          <w:lang w:val="de-DE"/>
        </w:rPr>
      </w:pPr>
    </w:p>
    <w:p w14:paraId="7B8E51C7" w14:textId="77777777" w:rsidR="00FE291A" w:rsidRDefault="00C8738F">
      <w:pPr>
        <w:widowControl/>
        <w:rPr>
          <w:sz w:val="22"/>
          <w:szCs w:val="22"/>
          <w:shd w:val="clear" w:color="auto" w:fill="CCCCCC"/>
          <w:lang w:val="de-DE"/>
        </w:rPr>
      </w:pPr>
      <w:r>
        <w:rPr>
          <w:sz w:val="22"/>
          <w:szCs w:val="22"/>
          <w:highlight w:val="lightGray"/>
          <w:lang w:val="de-DE"/>
        </w:rPr>
        <w:t>2D-Barcode mit individuellem Erkennungsmerkmal.</w:t>
      </w:r>
    </w:p>
    <w:p w14:paraId="1DE4409F" w14:textId="77777777" w:rsidR="00FE291A" w:rsidRDefault="00FE291A">
      <w:pPr>
        <w:widowControl/>
        <w:rPr>
          <w:sz w:val="22"/>
          <w:szCs w:val="22"/>
          <w:lang w:val="de-DE"/>
        </w:rPr>
      </w:pPr>
    </w:p>
    <w:p w14:paraId="588FDB04" w14:textId="77777777" w:rsidR="00FE291A" w:rsidRDefault="00FE291A">
      <w:pPr>
        <w:widowControl/>
        <w:rPr>
          <w:sz w:val="22"/>
          <w:szCs w:val="22"/>
          <w:lang w:val="de-DE"/>
        </w:rPr>
      </w:pPr>
    </w:p>
    <w:p w14:paraId="21D21EB1" w14:textId="77777777" w:rsidR="00FE291A" w:rsidRDefault="00C8738F">
      <w:pPr>
        <w:widowControl/>
        <w:numPr>
          <w:ilvl w:val="0"/>
          <w:numId w:val="30"/>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INDIVIDUELLES ERKENNUNGSMERKMAL – VOM MENSCHEN LESBARES FORMAT</w:t>
      </w:r>
    </w:p>
    <w:p w14:paraId="14F037E8" w14:textId="77777777" w:rsidR="00FE291A" w:rsidRDefault="00FE291A">
      <w:pPr>
        <w:widowControl/>
        <w:rPr>
          <w:sz w:val="22"/>
          <w:szCs w:val="22"/>
          <w:lang w:val="de-DE"/>
        </w:rPr>
      </w:pPr>
    </w:p>
    <w:p w14:paraId="5E9D7D52" w14:textId="77777777" w:rsidR="00FE291A" w:rsidRDefault="00C8738F">
      <w:pPr>
        <w:widowControl/>
        <w:rPr>
          <w:sz w:val="22"/>
          <w:szCs w:val="22"/>
          <w:lang w:val="de-DE"/>
        </w:rPr>
      </w:pPr>
      <w:r>
        <w:rPr>
          <w:sz w:val="22"/>
          <w:szCs w:val="22"/>
          <w:lang w:val="de-DE"/>
        </w:rPr>
        <w:t>PC</w:t>
      </w:r>
    </w:p>
    <w:p w14:paraId="5ADD9BEA" w14:textId="77777777" w:rsidR="00FE291A" w:rsidRDefault="00C8738F">
      <w:pPr>
        <w:widowControl/>
        <w:rPr>
          <w:sz w:val="22"/>
          <w:szCs w:val="22"/>
          <w:lang w:val="de-DE"/>
        </w:rPr>
      </w:pPr>
      <w:r>
        <w:rPr>
          <w:sz w:val="22"/>
          <w:szCs w:val="22"/>
          <w:lang w:val="de-DE"/>
        </w:rPr>
        <w:t>SN</w:t>
      </w:r>
    </w:p>
    <w:p w14:paraId="02B333C8" w14:textId="77777777" w:rsidR="00FE291A" w:rsidRDefault="00C8738F">
      <w:pPr>
        <w:widowControl/>
        <w:rPr>
          <w:sz w:val="22"/>
          <w:szCs w:val="22"/>
          <w:lang w:val="de-DE"/>
        </w:rPr>
      </w:pPr>
      <w:r>
        <w:rPr>
          <w:sz w:val="22"/>
          <w:szCs w:val="22"/>
          <w:lang w:val="de-DE"/>
        </w:rPr>
        <w:t>NN</w:t>
      </w:r>
    </w:p>
    <w:p w14:paraId="2FD635FB" w14:textId="77777777" w:rsidR="00FE291A" w:rsidRDefault="00FE291A">
      <w:pPr>
        <w:widowControl/>
        <w:rPr>
          <w:vanish/>
          <w:sz w:val="22"/>
          <w:szCs w:val="22"/>
          <w:lang w:val="de-DE"/>
        </w:rPr>
      </w:pPr>
    </w:p>
    <w:p w14:paraId="47E1AC1C" w14:textId="77777777" w:rsidR="00FE291A" w:rsidRDefault="00FE291A">
      <w:pPr>
        <w:widowControl/>
        <w:rPr>
          <w:vanish/>
          <w:sz w:val="22"/>
          <w:szCs w:val="22"/>
          <w:lang w:val="de-DE"/>
        </w:rPr>
      </w:pPr>
    </w:p>
    <w:p w14:paraId="37949B6B" w14:textId="77777777" w:rsidR="00FE291A" w:rsidRDefault="00C8738F">
      <w:pPr>
        <w:widowControl/>
        <w:rPr>
          <w:vanish/>
          <w:sz w:val="22"/>
          <w:szCs w:val="22"/>
          <w:lang w:val="de-DE"/>
        </w:rPr>
      </w:pPr>
      <w:r>
        <w:rPr>
          <w:sz w:val="22"/>
          <w:lang w:val="de-DE"/>
        </w:rPr>
        <w:br w:type="page"/>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FE291A" w:rsidRPr="00723069" w14:paraId="41EA72B8" w14:textId="77777777">
        <w:tc>
          <w:tcPr>
            <w:tcW w:w="9464" w:type="dxa"/>
          </w:tcPr>
          <w:p w14:paraId="5B1B2B44" w14:textId="77777777" w:rsidR="00FE291A" w:rsidRDefault="00C8738F">
            <w:pPr>
              <w:widowControl/>
              <w:rPr>
                <w:b/>
                <w:sz w:val="22"/>
                <w:szCs w:val="22"/>
                <w:lang w:val="de-DE"/>
              </w:rPr>
            </w:pPr>
            <w:r>
              <w:rPr>
                <w:b/>
                <w:sz w:val="22"/>
                <w:szCs w:val="22"/>
                <w:lang w:val="de-DE"/>
              </w:rPr>
              <w:t>MINDESTANGABEN AUF KLEINEN BEHÄLTNISSEN</w:t>
            </w:r>
          </w:p>
          <w:p w14:paraId="3C57AFE9" w14:textId="77777777" w:rsidR="00FE291A" w:rsidRDefault="00FE291A">
            <w:pPr>
              <w:widowControl/>
              <w:rPr>
                <w:b/>
                <w:sz w:val="22"/>
                <w:szCs w:val="22"/>
                <w:lang w:val="de-DE"/>
              </w:rPr>
            </w:pPr>
          </w:p>
          <w:p w14:paraId="0B04602E" w14:textId="77777777" w:rsidR="00FE291A" w:rsidRDefault="00C8738F">
            <w:pPr>
              <w:widowControl/>
              <w:rPr>
                <w:sz w:val="22"/>
                <w:szCs w:val="22"/>
                <w:lang w:val="de-DE"/>
              </w:rPr>
            </w:pPr>
            <w:r>
              <w:rPr>
                <w:b/>
                <w:sz w:val="22"/>
                <w:szCs w:val="22"/>
                <w:lang w:val="de-DE"/>
              </w:rPr>
              <w:t>ETIKETT DER SPRITZE</w:t>
            </w:r>
          </w:p>
        </w:tc>
      </w:tr>
    </w:tbl>
    <w:p w14:paraId="5A3FC48D" w14:textId="77777777" w:rsidR="00FE291A" w:rsidRDefault="00FE291A">
      <w:pPr>
        <w:widowControl/>
        <w:rPr>
          <w:sz w:val="22"/>
          <w:szCs w:val="22"/>
          <w:lang w:val="de-DE"/>
        </w:rPr>
      </w:pPr>
    </w:p>
    <w:p w14:paraId="5B64288B" w14:textId="77777777" w:rsidR="00FE291A" w:rsidRDefault="00FE291A">
      <w:pPr>
        <w:widowControl/>
        <w:rPr>
          <w:sz w:val="22"/>
          <w:szCs w:val="22"/>
          <w:lang w:val="de-DE"/>
        </w:rPr>
      </w:pPr>
    </w:p>
    <w:p w14:paraId="2C7435BD" w14:textId="77777777" w:rsidR="00FE291A" w:rsidRDefault="00C8738F">
      <w:pPr>
        <w:widowControl/>
        <w:numPr>
          <w:ilvl w:val="0"/>
          <w:numId w:val="31"/>
        </w:numPr>
        <w:pBdr>
          <w:top w:val="single" w:sz="4" w:space="1" w:color="auto"/>
          <w:left w:val="single" w:sz="4" w:space="4" w:color="auto"/>
          <w:bottom w:val="single" w:sz="4" w:space="1" w:color="auto"/>
          <w:right w:val="single" w:sz="4" w:space="4" w:color="auto"/>
        </w:pBdr>
        <w:tabs>
          <w:tab w:val="left" w:pos="567"/>
        </w:tabs>
        <w:autoSpaceDE/>
        <w:autoSpaceDN/>
        <w:adjustRightInd/>
        <w:ind w:hanging="930"/>
        <w:outlineLvl w:val="0"/>
        <w:rPr>
          <w:b/>
          <w:sz w:val="22"/>
          <w:szCs w:val="22"/>
          <w:lang w:val="de-DE"/>
        </w:rPr>
      </w:pPr>
      <w:r>
        <w:rPr>
          <w:b/>
          <w:sz w:val="22"/>
          <w:szCs w:val="22"/>
          <w:lang w:val="de-DE"/>
        </w:rPr>
        <w:t>BEZEICHNUNG DES ARZNEIMITTELS SOWIE ART(EN) DER ANWENDUNG</w:t>
      </w:r>
    </w:p>
    <w:p w14:paraId="013E53F4" w14:textId="77777777" w:rsidR="00FE291A" w:rsidRDefault="00FE291A">
      <w:pPr>
        <w:widowControl/>
        <w:ind w:left="567" w:hanging="567"/>
        <w:rPr>
          <w:sz w:val="22"/>
          <w:szCs w:val="22"/>
          <w:lang w:val="de-DE"/>
        </w:rPr>
      </w:pPr>
    </w:p>
    <w:p w14:paraId="4F276545" w14:textId="77777777" w:rsidR="00FE291A" w:rsidRPr="00C85130" w:rsidRDefault="00C8738F">
      <w:pPr>
        <w:widowControl/>
        <w:rPr>
          <w:sz w:val="22"/>
          <w:szCs w:val="22"/>
          <w:lang w:val="de-DE"/>
          <w:rPrChange w:id="83" w:author="Author">
            <w:rPr>
              <w:sz w:val="22"/>
              <w:szCs w:val="22"/>
              <w:lang w:val="es-ES"/>
            </w:rPr>
          </w:rPrChange>
        </w:rPr>
      </w:pPr>
      <w:r w:rsidRPr="00C85130">
        <w:rPr>
          <w:sz w:val="22"/>
          <w:szCs w:val="22"/>
          <w:lang w:val="de-DE"/>
          <w:rPrChange w:id="84" w:author="Author">
            <w:rPr>
              <w:sz w:val="22"/>
              <w:szCs w:val="22"/>
              <w:lang w:val="es-ES"/>
            </w:rPr>
          </w:rPrChange>
        </w:rPr>
        <w:t>AMGEVITA 20 mg Injektion</w:t>
      </w:r>
    </w:p>
    <w:p w14:paraId="3564F9A9" w14:textId="77777777" w:rsidR="00FE291A" w:rsidRPr="00C85130" w:rsidRDefault="00C8738F">
      <w:pPr>
        <w:widowControl/>
        <w:rPr>
          <w:sz w:val="22"/>
          <w:szCs w:val="22"/>
          <w:lang w:val="de-DE"/>
          <w:rPrChange w:id="85" w:author="Author">
            <w:rPr>
              <w:sz w:val="22"/>
              <w:szCs w:val="22"/>
              <w:lang w:val="es-ES"/>
            </w:rPr>
          </w:rPrChange>
        </w:rPr>
      </w:pPr>
      <w:r w:rsidRPr="00C85130">
        <w:rPr>
          <w:sz w:val="22"/>
          <w:szCs w:val="22"/>
          <w:lang w:val="de-DE"/>
          <w:rPrChange w:id="86" w:author="Author">
            <w:rPr>
              <w:sz w:val="22"/>
              <w:szCs w:val="22"/>
              <w:lang w:val="es-ES"/>
            </w:rPr>
          </w:rPrChange>
        </w:rPr>
        <w:t>Adalimumab</w:t>
      </w:r>
    </w:p>
    <w:p w14:paraId="7DCA956B" w14:textId="77777777" w:rsidR="00FE291A" w:rsidRPr="00C85130" w:rsidRDefault="00C8738F">
      <w:pPr>
        <w:widowControl/>
        <w:rPr>
          <w:sz w:val="22"/>
          <w:szCs w:val="22"/>
          <w:lang w:val="de-DE"/>
          <w:rPrChange w:id="87" w:author="Author">
            <w:rPr>
              <w:sz w:val="22"/>
              <w:szCs w:val="22"/>
              <w:lang w:val="es-ES"/>
            </w:rPr>
          </w:rPrChange>
        </w:rPr>
      </w:pPr>
      <w:r w:rsidRPr="00C85130">
        <w:rPr>
          <w:sz w:val="22"/>
          <w:szCs w:val="22"/>
          <w:lang w:val="de-DE"/>
          <w:rPrChange w:id="88" w:author="Author">
            <w:rPr>
              <w:sz w:val="22"/>
              <w:szCs w:val="22"/>
              <w:lang w:val="es-ES"/>
            </w:rPr>
          </w:rPrChange>
        </w:rPr>
        <w:t>s.c.</w:t>
      </w:r>
    </w:p>
    <w:p w14:paraId="5FD31F95" w14:textId="77777777" w:rsidR="00FE291A" w:rsidRPr="00C85130" w:rsidRDefault="00FE291A">
      <w:pPr>
        <w:widowControl/>
        <w:rPr>
          <w:sz w:val="22"/>
          <w:szCs w:val="22"/>
          <w:lang w:val="de-DE"/>
          <w:rPrChange w:id="89" w:author="Author">
            <w:rPr>
              <w:sz w:val="22"/>
              <w:szCs w:val="22"/>
              <w:lang w:val="es-ES"/>
            </w:rPr>
          </w:rPrChange>
        </w:rPr>
      </w:pPr>
    </w:p>
    <w:p w14:paraId="416F7EC1" w14:textId="77777777" w:rsidR="00FE291A" w:rsidRPr="00C85130" w:rsidRDefault="00FE291A">
      <w:pPr>
        <w:widowControl/>
        <w:rPr>
          <w:sz w:val="22"/>
          <w:szCs w:val="22"/>
          <w:lang w:val="de-DE"/>
          <w:rPrChange w:id="90" w:author="Author">
            <w:rPr>
              <w:sz w:val="22"/>
              <w:szCs w:val="22"/>
              <w:lang w:val="es-ES"/>
            </w:rPr>
          </w:rPrChange>
        </w:rPr>
      </w:pPr>
    </w:p>
    <w:p w14:paraId="6D5E93F8" w14:textId="77777777" w:rsidR="00FE291A" w:rsidRDefault="00C8738F">
      <w:pPr>
        <w:widowControl/>
        <w:numPr>
          <w:ilvl w:val="0"/>
          <w:numId w:val="31"/>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HINWEISE ZUR ANWENDUNG</w:t>
      </w:r>
    </w:p>
    <w:p w14:paraId="605F7379" w14:textId="77777777" w:rsidR="00FE291A" w:rsidRDefault="00FE291A">
      <w:pPr>
        <w:widowControl/>
        <w:rPr>
          <w:sz w:val="22"/>
          <w:szCs w:val="22"/>
          <w:lang w:val="de-DE"/>
        </w:rPr>
      </w:pPr>
    </w:p>
    <w:p w14:paraId="48DDD5D4" w14:textId="77777777" w:rsidR="00FE291A" w:rsidRDefault="00FE291A">
      <w:pPr>
        <w:widowControl/>
        <w:rPr>
          <w:sz w:val="22"/>
          <w:szCs w:val="22"/>
          <w:lang w:val="de-DE"/>
        </w:rPr>
      </w:pPr>
    </w:p>
    <w:p w14:paraId="0160FCF0" w14:textId="77777777" w:rsidR="00FE291A" w:rsidRDefault="00C8738F">
      <w:pPr>
        <w:widowControl/>
        <w:numPr>
          <w:ilvl w:val="0"/>
          <w:numId w:val="31"/>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VERFALLDATUM</w:t>
      </w:r>
    </w:p>
    <w:p w14:paraId="00D42B47" w14:textId="77777777" w:rsidR="00FE291A" w:rsidRDefault="00FE291A">
      <w:pPr>
        <w:widowControl/>
        <w:rPr>
          <w:sz w:val="22"/>
          <w:szCs w:val="22"/>
          <w:lang w:val="de-DE"/>
        </w:rPr>
      </w:pPr>
    </w:p>
    <w:p w14:paraId="668CFD16" w14:textId="77777777" w:rsidR="00FE291A" w:rsidRDefault="00C8738F">
      <w:pPr>
        <w:widowControl/>
        <w:rPr>
          <w:sz w:val="22"/>
          <w:szCs w:val="22"/>
          <w:lang w:val="de-DE"/>
        </w:rPr>
      </w:pPr>
      <w:r>
        <w:rPr>
          <w:sz w:val="22"/>
          <w:szCs w:val="22"/>
          <w:lang w:val="de-DE"/>
        </w:rPr>
        <w:t>EXP</w:t>
      </w:r>
    </w:p>
    <w:p w14:paraId="49D62678" w14:textId="77777777" w:rsidR="00FE291A" w:rsidRDefault="00FE291A">
      <w:pPr>
        <w:widowControl/>
        <w:rPr>
          <w:sz w:val="22"/>
          <w:szCs w:val="22"/>
          <w:lang w:val="de-DE"/>
        </w:rPr>
      </w:pPr>
    </w:p>
    <w:p w14:paraId="378EA349" w14:textId="77777777" w:rsidR="00FE291A" w:rsidRDefault="00FE291A">
      <w:pPr>
        <w:widowControl/>
        <w:rPr>
          <w:sz w:val="22"/>
          <w:szCs w:val="22"/>
          <w:lang w:val="de-DE"/>
        </w:rPr>
      </w:pPr>
    </w:p>
    <w:p w14:paraId="761AEB40" w14:textId="77777777" w:rsidR="00FE291A" w:rsidRDefault="00C8738F">
      <w:pPr>
        <w:widowControl/>
        <w:numPr>
          <w:ilvl w:val="0"/>
          <w:numId w:val="31"/>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CHARGENBEZEICHNUNG</w:t>
      </w:r>
    </w:p>
    <w:p w14:paraId="01BFFE40" w14:textId="77777777" w:rsidR="00FE291A" w:rsidRDefault="00FE291A">
      <w:pPr>
        <w:widowControl/>
        <w:ind w:right="113"/>
        <w:rPr>
          <w:sz w:val="22"/>
          <w:szCs w:val="22"/>
          <w:lang w:val="de-DE"/>
        </w:rPr>
      </w:pPr>
    </w:p>
    <w:p w14:paraId="3D898470" w14:textId="77777777" w:rsidR="00FE291A" w:rsidRDefault="00C8738F">
      <w:pPr>
        <w:widowControl/>
        <w:ind w:right="113"/>
        <w:rPr>
          <w:sz w:val="22"/>
          <w:szCs w:val="22"/>
          <w:lang w:val="de-DE"/>
        </w:rPr>
      </w:pPr>
      <w:r>
        <w:rPr>
          <w:sz w:val="22"/>
          <w:szCs w:val="22"/>
          <w:lang w:val="de-DE"/>
        </w:rPr>
        <w:t>Lot</w:t>
      </w:r>
    </w:p>
    <w:p w14:paraId="5FAA9674" w14:textId="77777777" w:rsidR="00FE291A" w:rsidRDefault="00FE291A">
      <w:pPr>
        <w:widowControl/>
        <w:ind w:right="113"/>
        <w:rPr>
          <w:sz w:val="22"/>
          <w:szCs w:val="22"/>
          <w:lang w:val="de-DE"/>
        </w:rPr>
      </w:pPr>
    </w:p>
    <w:p w14:paraId="2E5AC1D9" w14:textId="77777777" w:rsidR="00FE291A" w:rsidRDefault="00FE291A">
      <w:pPr>
        <w:widowControl/>
        <w:ind w:right="113"/>
        <w:rPr>
          <w:sz w:val="22"/>
          <w:szCs w:val="22"/>
          <w:lang w:val="de-DE"/>
        </w:rPr>
      </w:pPr>
    </w:p>
    <w:p w14:paraId="6ACB7646" w14:textId="77777777" w:rsidR="00FE291A" w:rsidRDefault="00C8738F">
      <w:pPr>
        <w:widowControl/>
        <w:numPr>
          <w:ilvl w:val="0"/>
          <w:numId w:val="31"/>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INHALT NACH GEWICHT, VOLUMEN ODER EINHEITEN</w:t>
      </w:r>
    </w:p>
    <w:p w14:paraId="1A855078" w14:textId="77777777" w:rsidR="00FE291A" w:rsidRDefault="00FE291A">
      <w:pPr>
        <w:widowControl/>
        <w:ind w:right="113"/>
        <w:rPr>
          <w:sz w:val="22"/>
          <w:szCs w:val="22"/>
          <w:lang w:val="de-DE"/>
        </w:rPr>
      </w:pPr>
    </w:p>
    <w:p w14:paraId="076CDAF2" w14:textId="77777777" w:rsidR="00FE291A" w:rsidRDefault="00C8738F">
      <w:pPr>
        <w:widowControl/>
        <w:ind w:right="113"/>
        <w:rPr>
          <w:sz w:val="22"/>
          <w:szCs w:val="22"/>
          <w:lang w:val="de-DE"/>
        </w:rPr>
      </w:pPr>
      <w:r>
        <w:rPr>
          <w:sz w:val="22"/>
          <w:szCs w:val="22"/>
          <w:lang w:val="de-DE"/>
        </w:rPr>
        <w:t>0,2 ml</w:t>
      </w:r>
    </w:p>
    <w:p w14:paraId="76183719" w14:textId="77777777" w:rsidR="00FE291A" w:rsidRDefault="00FE291A">
      <w:pPr>
        <w:widowControl/>
        <w:ind w:right="113"/>
        <w:rPr>
          <w:sz w:val="22"/>
          <w:szCs w:val="22"/>
          <w:lang w:val="de-DE"/>
        </w:rPr>
      </w:pPr>
    </w:p>
    <w:p w14:paraId="1A06BB56" w14:textId="77777777" w:rsidR="00FE291A" w:rsidRDefault="00FE291A">
      <w:pPr>
        <w:widowControl/>
        <w:ind w:right="113"/>
        <w:rPr>
          <w:sz w:val="22"/>
          <w:szCs w:val="22"/>
          <w:lang w:val="de-DE"/>
        </w:rPr>
      </w:pPr>
    </w:p>
    <w:p w14:paraId="0F4D9276" w14:textId="77777777" w:rsidR="00FE291A" w:rsidRDefault="00C8738F">
      <w:pPr>
        <w:widowControl/>
        <w:numPr>
          <w:ilvl w:val="0"/>
          <w:numId w:val="31"/>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WEITERE ANGABEN</w:t>
      </w:r>
    </w:p>
    <w:p w14:paraId="2DF85F88" w14:textId="77777777" w:rsidR="00FE291A" w:rsidRDefault="00FE291A">
      <w:pPr>
        <w:widowControl/>
        <w:ind w:right="113"/>
        <w:rPr>
          <w:sz w:val="22"/>
          <w:szCs w:val="22"/>
          <w:lang w:val="de-DE"/>
        </w:rPr>
      </w:pPr>
    </w:p>
    <w:p w14:paraId="2C75B3C2" w14:textId="77777777" w:rsidR="00FE291A" w:rsidRDefault="00FE291A">
      <w:pPr>
        <w:widowControl/>
        <w:ind w:right="113"/>
        <w:rPr>
          <w:sz w:val="22"/>
          <w:szCs w:val="22"/>
          <w:lang w:val="de-DE"/>
        </w:rPr>
      </w:pPr>
    </w:p>
    <w:p w14:paraId="3A7DDAAA" w14:textId="77777777" w:rsidR="00FE291A" w:rsidRDefault="00C8738F">
      <w:pPr>
        <w:widowControl/>
        <w:pBdr>
          <w:top w:val="single" w:sz="4" w:space="1" w:color="auto"/>
          <w:left w:val="single" w:sz="4" w:space="4" w:color="auto"/>
          <w:bottom w:val="single" w:sz="4" w:space="1" w:color="auto"/>
          <w:right w:val="single" w:sz="4" w:space="4" w:color="auto"/>
        </w:pBdr>
        <w:outlineLvl w:val="0"/>
        <w:rPr>
          <w:b/>
          <w:sz w:val="22"/>
          <w:szCs w:val="22"/>
          <w:lang w:val="de-DE"/>
        </w:rPr>
      </w:pPr>
      <w:r>
        <w:rPr>
          <w:sz w:val="22"/>
          <w:szCs w:val="22"/>
          <w:lang w:val="de-DE"/>
        </w:rPr>
        <w:br w:type="page"/>
      </w:r>
      <w:r>
        <w:rPr>
          <w:b/>
          <w:sz w:val="22"/>
          <w:szCs w:val="22"/>
          <w:lang w:val="de-DE"/>
        </w:rPr>
        <w:t>ANGABEN AUF DER ÄUSSEREN UMHÜLLUNG</w:t>
      </w:r>
    </w:p>
    <w:p w14:paraId="093A86A6" w14:textId="77777777" w:rsidR="00FE291A" w:rsidRDefault="00FE291A">
      <w:pPr>
        <w:widowControl/>
        <w:pBdr>
          <w:top w:val="single" w:sz="4" w:space="1" w:color="auto"/>
          <w:left w:val="single" w:sz="4" w:space="4" w:color="auto"/>
          <w:bottom w:val="single" w:sz="4" w:space="1" w:color="auto"/>
          <w:right w:val="single" w:sz="4" w:space="4" w:color="auto"/>
        </w:pBdr>
        <w:ind w:left="567" w:hanging="567"/>
        <w:rPr>
          <w:sz w:val="22"/>
          <w:szCs w:val="22"/>
          <w:lang w:val="de-DE"/>
        </w:rPr>
      </w:pPr>
    </w:p>
    <w:p w14:paraId="254C4E72" w14:textId="77777777" w:rsidR="00FE291A" w:rsidRDefault="00C8738F">
      <w:pPr>
        <w:widowControl/>
        <w:pBdr>
          <w:top w:val="single" w:sz="4" w:space="1" w:color="auto"/>
          <w:left w:val="single" w:sz="4" w:space="4" w:color="auto"/>
          <w:bottom w:val="single" w:sz="4" w:space="1" w:color="auto"/>
          <w:right w:val="single" w:sz="4" w:space="4" w:color="auto"/>
        </w:pBdr>
        <w:rPr>
          <w:sz w:val="22"/>
          <w:szCs w:val="22"/>
          <w:lang w:val="de-DE"/>
        </w:rPr>
      </w:pPr>
      <w:r>
        <w:rPr>
          <w:b/>
          <w:sz w:val="22"/>
          <w:szCs w:val="22"/>
          <w:lang w:val="de-DE"/>
        </w:rPr>
        <w:t>KARTON FÜR DIE FERTIGSPRITZE</w:t>
      </w:r>
    </w:p>
    <w:p w14:paraId="7B6A3178" w14:textId="77777777" w:rsidR="00FE291A" w:rsidRDefault="00FE291A">
      <w:pPr>
        <w:widowControl/>
        <w:rPr>
          <w:sz w:val="22"/>
          <w:szCs w:val="22"/>
          <w:lang w:val="de-DE"/>
        </w:rPr>
      </w:pPr>
    </w:p>
    <w:p w14:paraId="33F8C26E" w14:textId="77777777" w:rsidR="00FE291A" w:rsidRDefault="00FE291A">
      <w:pPr>
        <w:widowControl/>
        <w:rPr>
          <w:sz w:val="22"/>
          <w:szCs w:val="22"/>
          <w:lang w:val="de-DE"/>
        </w:rPr>
      </w:pPr>
    </w:p>
    <w:p w14:paraId="6947B6EC" w14:textId="77777777" w:rsidR="00FE291A" w:rsidRDefault="00C8738F">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adjustRightInd/>
        <w:ind w:hanging="1650"/>
        <w:outlineLvl w:val="0"/>
        <w:rPr>
          <w:sz w:val="22"/>
          <w:szCs w:val="22"/>
          <w:lang w:val="de-DE"/>
        </w:rPr>
      </w:pPr>
      <w:r>
        <w:rPr>
          <w:b/>
          <w:sz w:val="22"/>
          <w:szCs w:val="22"/>
          <w:lang w:val="de-DE"/>
        </w:rPr>
        <w:t>BEZEICHNUNG DES ARZNEIMITTELS</w:t>
      </w:r>
    </w:p>
    <w:p w14:paraId="7F416814" w14:textId="77777777" w:rsidR="00FE291A" w:rsidRDefault="00FE291A">
      <w:pPr>
        <w:keepNext/>
        <w:widowControl/>
        <w:rPr>
          <w:sz w:val="22"/>
          <w:szCs w:val="22"/>
          <w:lang w:val="de-DE"/>
        </w:rPr>
      </w:pPr>
    </w:p>
    <w:p w14:paraId="0B42BA22" w14:textId="77777777" w:rsidR="00FE291A" w:rsidRDefault="00C8738F">
      <w:pPr>
        <w:widowControl/>
        <w:rPr>
          <w:sz w:val="22"/>
          <w:szCs w:val="22"/>
          <w:lang w:val="de-DE"/>
        </w:rPr>
      </w:pPr>
      <w:r>
        <w:rPr>
          <w:sz w:val="22"/>
          <w:szCs w:val="22"/>
          <w:lang w:val="de-DE"/>
        </w:rPr>
        <w:t>AMGEVITA 40 mg Injektionslösung in einer Fertigspritze</w:t>
      </w:r>
    </w:p>
    <w:p w14:paraId="19EB6F5D" w14:textId="77777777" w:rsidR="00FE291A" w:rsidRDefault="00C8738F">
      <w:pPr>
        <w:widowControl/>
        <w:rPr>
          <w:b/>
          <w:sz w:val="22"/>
          <w:szCs w:val="22"/>
          <w:lang w:val="de-DE"/>
        </w:rPr>
      </w:pPr>
      <w:r>
        <w:rPr>
          <w:sz w:val="22"/>
          <w:szCs w:val="22"/>
          <w:lang w:val="de-DE"/>
        </w:rPr>
        <w:t>Adalimumab</w:t>
      </w:r>
    </w:p>
    <w:p w14:paraId="781C016C" w14:textId="77777777" w:rsidR="00FE291A" w:rsidRDefault="00FE291A">
      <w:pPr>
        <w:widowControl/>
        <w:rPr>
          <w:sz w:val="22"/>
          <w:szCs w:val="22"/>
          <w:lang w:val="de-DE"/>
        </w:rPr>
      </w:pPr>
    </w:p>
    <w:p w14:paraId="656F86BD" w14:textId="77777777" w:rsidR="00FE291A" w:rsidRDefault="00FE291A">
      <w:pPr>
        <w:widowControl/>
        <w:rPr>
          <w:sz w:val="22"/>
          <w:szCs w:val="22"/>
          <w:lang w:val="de-DE"/>
        </w:rPr>
      </w:pPr>
    </w:p>
    <w:p w14:paraId="02910044" w14:textId="77777777" w:rsidR="00FE291A" w:rsidRDefault="00C8738F">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WIRKSTOFF</w:t>
      </w:r>
    </w:p>
    <w:p w14:paraId="0FC3F0FF" w14:textId="77777777" w:rsidR="00FE291A" w:rsidRDefault="00FE291A">
      <w:pPr>
        <w:keepNext/>
        <w:widowControl/>
        <w:rPr>
          <w:sz w:val="22"/>
          <w:szCs w:val="22"/>
          <w:lang w:val="de-DE"/>
        </w:rPr>
      </w:pPr>
    </w:p>
    <w:p w14:paraId="6B011445" w14:textId="77777777" w:rsidR="00FE291A" w:rsidRDefault="00C8738F">
      <w:pPr>
        <w:widowControl/>
        <w:rPr>
          <w:sz w:val="22"/>
          <w:szCs w:val="22"/>
          <w:lang w:val="de-DE"/>
        </w:rPr>
      </w:pPr>
      <w:r>
        <w:rPr>
          <w:sz w:val="22"/>
          <w:szCs w:val="22"/>
          <w:lang w:val="de-DE"/>
        </w:rPr>
        <w:t>Jede Fertigspritze enthält 40 mg Adalimumab in 0,4 ml Lösung.</w:t>
      </w:r>
    </w:p>
    <w:p w14:paraId="23737D4D" w14:textId="77777777" w:rsidR="00FE291A" w:rsidRDefault="00FE291A">
      <w:pPr>
        <w:widowControl/>
        <w:rPr>
          <w:sz w:val="22"/>
          <w:szCs w:val="22"/>
          <w:lang w:val="de-DE"/>
        </w:rPr>
      </w:pPr>
    </w:p>
    <w:p w14:paraId="209AAB8C" w14:textId="77777777" w:rsidR="00FE291A" w:rsidRDefault="00FE291A">
      <w:pPr>
        <w:widowControl/>
        <w:rPr>
          <w:sz w:val="22"/>
          <w:szCs w:val="22"/>
          <w:lang w:val="de-DE"/>
        </w:rPr>
      </w:pPr>
    </w:p>
    <w:p w14:paraId="68B3D2A7" w14:textId="77777777" w:rsidR="00FE291A" w:rsidRDefault="00C8738F">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SONSTIGE BESTANDTEILE</w:t>
      </w:r>
    </w:p>
    <w:p w14:paraId="55A544BB" w14:textId="77777777" w:rsidR="00FE291A" w:rsidRDefault="00FE291A">
      <w:pPr>
        <w:widowControl/>
        <w:rPr>
          <w:sz w:val="22"/>
          <w:szCs w:val="22"/>
          <w:lang w:val="de-DE"/>
        </w:rPr>
      </w:pPr>
    </w:p>
    <w:p w14:paraId="404AA1A2" w14:textId="77777777" w:rsidR="00FE291A" w:rsidRDefault="00C8738F">
      <w:pPr>
        <w:widowControl/>
        <w:rPr>
          <w:sz w:val="22"/>
          <w:szCs w:val="22"/>
          <w:lang w:val="de-DE"/>
        </w:rPr>
      </w:pPr>
      <w:r>
        <w:rPr>
          <w:sz w:val="22"/>
          <w:szCs w:val="22"/>
          <w:lang w:val="de-DE"/>
        </w:rPr>
        <w:t>(S)-Milchsäure, Saccharose, Polysorbat 80, Natriumhydroxid und Wasser für Injektionszwecke.</w:t>
      </w:r>
    </w:p>
    <w:p w14:paraId="0A27ACAE" w14:textId="77777777" w:rsidR="00FE291A" w:rsidRDefault="00FE291A">
      <w:pPr>
        <w:widowControl/>
        <w:rPr>
          <w:sz w:val="22"/>
          <w:szCs w:val="22"/>
          <w:lang w:val="de-DE"/>
        </w:rPr>
      </w:pPr>
    </w:p>
    <w:p w14:paraId="2F18471C" w14:textId="77777777" w:rsidR="00FE291A" w:rsidRDefault="00FE291A">
      <w:pPr>
        <w:widowControl/>
        <w:rPr>
          <w:sz w:val="22"/>
          <w:szCs w:val="22"/>
          <w:lang w:val="de-DE"/>
        </w:rPr>
      </w:pPr>
    </w:p>
    <w:p w14:paraId="516CC3FA" w14:textId="77777777" w:rsidR="00FE291A" w:rsidRDefault="00C8738F">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DARREICHUNGSFORM UND INHALT</w:t>
      </w:r>
    </w:p>
    <w:p w14:paraId="54A7409C" w14:textId="77777777" w:rsidR="00FE291A" w:rsidRDefault="00FE291A">
      <w:pPr>
        <w:widowControl/>
        <w:rPr>
          <w:sz w:val="22"/>
          <w:szCs w:val="22"/>
          <w:lang w:val="de-DE"/>
        </w:rPr>
      </w:pPr>
    </w:p>
    <w:p w14:paraId="2F668501" w14:textId="77777777" w:rsidR="00FE291A" w:rsidRDefault="00C8738F">
      <w:pPr>
        <w:widowControl/>
        <w:rPr>
          <w:sz w:val="22"/>
          <w:szCs w:val="22"/>
          <w:lang w:val="de-DE"/>
        </w:rPr>
      </w:pPr>
      <w:r>
        <w:rPr>
          <w:sz w:val="22"/>
          <w:szCs w:val="22"/>
          <w:highlight w:val="lightGray"/>
          <w:lang w:val="de-DE"/>
        </w:rPr>
        <w:t>Injektionslösung</w:t>
      </w:r>
    </w:p>
    <w:p w14:paraId="0B093329" w14:textId="77777777" w:rsidR="00FE291A" w:rsidRDefault="00C8738F">
      <w:pPr>
        <w:widowControl/>
        <w:rPr>
          <w:sz w:val="22"/>
          <w:szCs w:val="22"/>
          <w:lang w:val="de-DE"/>
        </w:rPr>
      </w:pPr>
      <w:r>
        <w:rPr>
          <w:sz w:val="22"/>
          <w:szCs w:val="22"/>
          <w:lang w:val="de-DE"/>
        </w:rPr>
        <w:t>40 mg/0,4 ml</w:t>
      </w:r>
    </w:p>
    <w:p w14:paraId="7AFC5D6B" w14:textId="77777777" w:rsidR="00FE291A" w:rsidRDefault="00C8738F">
      <w:pPr>
        <w:widowControl/>
        <w:rPr>
          <w:sz w:val="22"/>
          <w:szCs w:val="22"/>
          <w:lang w:val="de-DE"/>
        </w:rPr>
      </w:pPr>
      <w:r>
        <w:rPr>
          <w:sz w:val="22"/>
          <w:szCs w:val="22"/>
          <w:lang w:val="de-DE"/>
        </w:rPr>
        <w:t>1 Fertigspritze.</w:t>
      </w:r>
    </w:p>
    <w:p w14:paraId="3E98D48C" w14:textId="77777777" w:rsidR="00FE291A" w:rsidRDefault="00C8738F">
      <w:pPr>
        <w:widowControl/>
        <w:rPr>
          <w:sz w:val="22"/>
          <w:szCs w:val="22"/>
          <w:highlight w:val="lightGray"/>
          <w:lang w:val="de-DE"/>
        </w:rPr>
      </w:pPr>
      <w:r>
        <w:rPr>
          <w:sz w:val="22"/>
          <w:szCs w:val="22"/>
          <w:highlight w:val="lightGray"/>
          <w:lang w:val="de-DE"/>
        </w:rPr>
        <w:t>2 Fertigspritzen.</w:t>
      </w:r>
    </w:p>
    <w:p w14:paraId="081ED04F" w14:textId="77777777" w:rsidR="00FE291A" w:rsidRDefault="00FE291A">
      <w:pPr>
        <w:widowControl/>
        <w:rPr>
          <w:sz w:val="22"/>
          <w:szCs w:val="22"/>
          <w:lang w:val="de-DE"/>
        </w:rPr>
      </w:pPr>
    </w:p>
    <w:p w14:paraId="212A2B30" w14:textId="77777777" w:rsidR="00FE291A" w:rsidRDefault="00FE291A">
      <w:pPr>
        <w:widowControl/>
        <w:rPr>
          <w:sz w:val="22"/>
          <w:szCs w:val="22"/>
          <w:lang w:val="de-DE"/>
        </w:rPr>
      </w:pPr>
    </w:p>
    <w:p w14:paraId="69C784A9" w14:textId="77777777" w:rsidR="00FE291A" w:rsidRDefault="00C8738F">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HINWEISE ZUR UND ART(EN) DER ANWENDUNG</w:t>
      </w:r>
    </w:p>
    <w:p w14:paraId="26393863" w14:textId="77777777" w:rsidR="00FE291A" w:rsidRDefault="00FE291A">
      <w:pPr>
        <w:keepNext/>
        <w:widowControl/>
        <w:rPr>
          <w:sz w:val="22"/>
          <w:szCs w:val="22"/>
          <w:lang w:val="de-DE"/>
        </w:rPr>
      </w:pPr>
    </w:p>
    <w:p w14:paraId="7C350481" w14:textId="77777777" w:rsidR="00FE291A" w:rsidRDefault="00C8738F">
      <w:pPr>
        <w:widowControl/>
        <w:rPr>
          <w:sz w:val="22"/>
          <w:szCs w:val="22"/>
          <w:lang w:val="de-DE"/>
        </w:rPr>
      </w:pPr>
      <w:r>
        <w:rPr>
          <w:sz w:val="22"/>
          <w:szCs w:val="22"/>
          <w:lang w:val="de-DE"/>
        </w:rPr>
        <w:t>Zur subkutanen Anwendung.</w:t>
      </w:r>
    </w:p>
    <w:p w14:paraId="18FAC133" w14:textId="77777777" w:rsidR="00FE291A" w:rsidRDefault="00C8738F">
      <w:pPr>
        <w:widowControl/>
        <w:rPr>
          <w:sz w:val="22"/>
          <w:szCs w:val="22"/>
          <w:lang w:val="de-DE"/>
        </w:rPr>
      </w:pPr>
      <w:r>
        <w:rPr>
          <w:sz w:val="22"/>
          <w:szCs w:val="22"/>
          <w:lang w:val="de-DE"/>
        </w:rPr>
        <w:t>Packungsbeilage beachten.</w:t>
      </w:r>
    </w:p>
    <w:p w14:paraId="66D29093" w14:textId="77777777" w:rsidR="00FE291A" w:rsidRDefault="00C8738F">
      <w:pPr>
        <w:widowControl/>
        <w:rPr>
          <w:sz w:val="22"/>
          <w:szCs w:val="22"/>
          <w:lang w:val="de-DE"/>
        </w:rPr>
      </w:pPr>
      <w:r>
        <w:rPr>
          <w:sz w:val="22"/>
          <w:szCs w:val="22"/>
          <w:lang w:val="de-DE"/>
        </w:rPr>
        <w:t>Nur zum Einmalgebrauch.</w:t>
      </w:r>
    </w:p>
    <w:p w14:paraId="37014972" w14:textId="77777777" w:rsidR="00FE291A" w:rsidRDefault="00FE291A">
      <w:pPr>
        <w:widowControl/>
        <w:rPr>
          <w:sz w:val="22"/>
          <w:szCs w:val="22"/>
          <w:lang w:val="de-DE"/>
        </w:rPr>
      </w:pPr>
    </w:p>
    <w:p w14:paraId="476B5F6C" w14:textId="77777777" w:rsidR="00FE291A" w:rsidRDefault="00FE291A">
      <w:pPr>
        <w:widowControl/>
        <w:rPr>
          <w:sz w:val="22"/>
          <w:szCs w:val="22"/>
          <w:lang w:val="de-DE"/>
        </w:rPr>
      </w:pPr>
    </w:p>
    <w:p w14:paraId="7D38973C" w14:textId="77777777" w:rsidR="00FE291A" w:rsidRDefault="00C8738F">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WARNHINWEIS, DASS DAS ARZNEIMITTEL FÜR KINDER UNZUGÄNGLICH AUFZUBEWAHREN IST</w:t>
      </w:r>
    </w:p>
    <w:p w14:paraId="7F0ED34D" w14:textId="77777777" w:rsidR="00FE291A" w:rsidRDefault="00FE291A">
      <w:pPr>
        <w:keepNext/>
        <w:widowControl/>
        <w:rPr>
          <w:sz w:val="22"/>
          <w:szCs w:val="22"/>
          <w:lang w:val="de-DE"/>
        </w:rPr>
      </w:pPr>
    </w:p>
    <w:p w14:paraId="76CD3093" w14:textId="77777777" w:rsidR="00FE291A" w:rsidRDefault="00C8738F">
      <w:pPr>
        <w:widowControl/>
        <w:outlineLvl w:val="0"/>
        <w:rPr>
          <w:sz w:val="22"/>
          <w:szCs w:val="22"/>
          <w:lang w:val="de-DE"/>
        </w:rPr>
      </w:pPr>
      <w:r>
        <w:rPr>
          <w:sz w:val="22"/>
          <w:szCs w:val="22"/>
          <w:lang w:val="de-DE"/>
        </w:rPr>
        <w:t>Arzneimittel für Kinder unzugänglich aufbewahren.</w:t>
      </w:r>
    </w:p>
    <w:p w14:paraId="38CD5E21" w14:textId="77777777" w:rsidR="00FE291A" w:rsidRDefault="00FE291A">
      <w:pPr>
        <w:widowControl/>
        <w:rPr>
          <w:sz w:val="22"/>
          <w:szCs w:val="22"/>
          <w:lang w:val="de-DE"/>
        </w:rPr>
      </w:pPr>
    </w:p>
    <w:p w14:paraId="39A0F307" w14:textId="77777777" w:rsidR="00FE291A" w:rsidRDefault="00FE291A">
      <w:pPr>
        <w:widowControl/>
        <w:rPr>
          <w:sz w:val="22"/>
          <w:szCs w:val="22"/>
          <w:lang w:val="de-DE"/>
        </w:rPr>
      </w:pPr>
    </w:p>
    <w:p w14:paraId="6E98219E" w14:textId="77777777" w:rsidR="00FE291A" w:rsidRDefault="00C8738F">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WEITERE WARNHINWEISE, FALLS ERFORDERLICH</w:t>
      </w:r>
    </w:p>
    <w:p w14:paraId="5D4E8E93" w14:textId="77777777" w:rsidR="00FE291A" w:rsidRDefault="00FE291A">
      <w:pPr>
        <w:keepNext/>
        <w:widowControl/>
        <w:rPr>
          <w:sz w:val="22"/>
          <w:szCs w:val="22"/>
          <w:lang w:val="de-DE"/>
        </w:rPr>
      </w:pPr>
    </w:p>
    <w:p w14:paraId="29C09810" w14:textId="77777777" w:rsidR="00FE291A" w:rsidRDefault="00FE291A">
      <w:pPr>
        <w:widowControl/>
        <w:tabs>
          <w:tab w:val="left" w:pos="749"/>
        </w:tabs>
        <w:rPr>
          <w:sz w:val="22"/>
          <w:szCs w:val="22"/>
          <w:lang w:val="de-DE"/>
        </w:rPr>
      </w:pPr>
    </w:p>
    <w:p w14:paraId="5C965E8D" w14:textId="77777777" w:rsidR="00FE291A" w:rsidRDefault="00C8738F">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VERFALLDATUM</w:t>
      </w:r>
    </w:p>
    <w:p w14:paraId="0FB61EAB" w14:textId="77777777" w:rsidR="00FE291A" w:rsidRDefault="00FE291A">
      <w:pPr>
        <w:keepNext/>
        <w:widowControl/>
        <w:rPr>
          <w:sz w:val="22"/>
          <w:szCs w:val="22"/>
          <w:lang w:val="de-DE"/>
        </w:rPr>
      </w:pPr>
    </w:p>
    <w:p w14:paraId="58C3389F" w14:textId="77777777" w:rsidR="00FE291A" w:rsidRDefault="00C8738F">
      <w:pPr>
        <w:widowControl/>
        <w:rPr>
          <w:sz w:val="22"/>
          <w:szCs w:val="22"/>
          <w:lang w:val="de-DE"/>
        </w:rPr>
      </w:pPr>
      <w:r>
        <w:rPr>
          <w:sz w:val="22"/>
          <w:szCs w:val="22"/>
          <w:lang w:val="de-DE"/>
        </w:rPr>
        <w:t>verwendbar bis</w:t>
      </w:r>
    </w:p>
    <w:p w14:paraId="546015EF" w14:textId="77777777" w:rsidR="00FE291A" w:rsidRDefault="00FE291A">
      <w:pPr>
        <w:widowControl/>
        <w:rPr>
          <w:sz w:val="22"/>
          <w:szCs w:val="22"/>
          <w:lang w:val="de-DE"/>
        </w:rPr>
      </w:pPr>
    </w:p>
    <w:p w14:paraId="05365A6E" w14:textId="77777777" w:rsidR="00FE291A" w:rsidRDefault="00FE291A">
      <w:pPr>
        <w:widowControl/>
        <w:rPr>
          <w:sz w:val="22"/>
          <w:szCs w:val="22"/>
          <w:lang w:val="de-DE"/>
        </w:rPr>
      </w:pPr>
    </w:p>
    <w:p w14:paraId="1137D0F5" w14:textId="77777777" w:rsidR="00FE291A" w:rsidRDefault="00C8738F">
      <w:pPr>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BESONDERE VORSICHTSMASSNAHMEN FÜR DIE AUFBEWAHRUNG</w:t>
      </w:r>
    </w:p>
    <w:p w14:paraId="2557F3D0" w14:textId="77777777" w:rsidR="00FE291A" w:rsidRDefault="00FE291A">
      <w:pPr>
        <w:widowControl/>
        <w:rPr>
          <w:sz w:val="22"/>
          <w:szCs w:val="22"/>
          <w:lang w:val="de-DE"/>
        </w:rPr>
      </w:pPr>
    </w:p>
    <w:p w14:paraId="3A313DDE" w14:textId="77777777" w:rsidR="00FE291A" w:rsidRDefault="00C8738F">
      <w:pPr>
        <w:widowControl/>
        <w:ind w:left="567" w:hanging="567"/>
        <w:rPr>
          <w:sz w:val="22"/>
          <w:szCs w:val="22"/>
          <w:lang w:val="de-DE"/>
        </w:rPr>
      </w:pPr>
      <w:r>
        <w:rPr>
          <w:sz w:val="22"/>
          <w:szCs w:val="22"/>
          <w:lang w:val="de-DE"/>
        </w:rPr>
        <w:t>Im Kühlschrank lagern.</w:t>
      </w:r>
    </w:p>
    <w:p w14:paraId="0E1F362F" w14:textId="77777777" w:rsidR="00FE291A" w:rsidRDefault="00C8738F">
      <w:pPr>
        <w:widowControl/>
        <w:ind w:left="567" w:hanging="567"/>
        <w:rPr>
          <w:sz w:val="22"/>
          <w:szCs w:val="22"/>
          <w:lang w:val="de-DE"/>
        </w:rPr>
      </w:pPr>
      <w:r>
        <w:rPr>
          <w:sz w:val="22"/>
          <w:szCs w:val="22"/>
          <w:lang w:val="de-DE"/>
        </w:rPr>
        <w:t>Nicht einfrieren.</w:t>
      </w:r>
    </w:p>
    <w:p w14:paraId="5E6E55F4" w14:textId="77777777" w:rsidR="00FE291A" w:rsidRDefault="00C8738F">
      <w:pPr>
        <w:widowControl/>
        <w:ind w:left="567" w:hanging="567"/>
        <w:rPr>
          <w:sz w:val="22"/>
          <w:szCs w:val="22"/>
          <w:lang w:val="de-DE"/>
        </w:rPr>
      </w:pPr>
      <w:r>
        <w:rPr>
          <w:sz w:val="22"/>
          <w:szCs w:val="22"/>
          <w:lang w:val="de-DE"/>
        </w:rPr>
        <w:t>Im Originalkarton aufbewahren, um den Inhalt vor Licht zu schützen.</w:t>
      </w:r>
    </w:p>
    <w:p w14:paraId="49E46A46" w14:textId="77777777" w:rsidR="00FE291A" w:rsidRDefault="00FE291A">
      <w:pPr>
        <w:widowControl/>
        <w:ind w:left="567" w:hanging="567"/>
        <w:rPr>
          <w:sz w:val="22"/>
          <w:szCs w:val="22"/>
          <w:lang w:val="de-DE"/>
        </w:rPr>
      </w:pPr>
    </w:p>
    <w:p w14:paraId="5ACDEA34" w14:textId="77777777" w:rsidR="00FE291A" w:rsidRDefault="00FE291A">
      <w:pPr>
        <w:widowControl/>
        <w:ind w:left="567" w:hanging="567"/>
        <w:rPr>
          <w:sz w:val="22"/>
          <w:szCs w:val="22"/>
          <w:lang w:val="de-DE"/>
        </w:rPr>
      </w:pPr>
    </w:p>
    <w:p w14:paraId="289EA083" w14:textId="77777777" w:rsidR="00FE291A" w:rsidRDefault="00C8738F">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GEGEBENENFALLS BESONDERE VORSICHTSMASSNAHMEN FÜR DIE BESEITIGUNG VON NICHT VERWENDETEM ARZNEIMITTEL ODER DAVON STAMMENDEN ABFALLMATERIALIEN</w:t>
      </w:r>
    </w:p>
    <w:p w14:paraId="68809056" w14:textId="77777777" w:rsidR="00FE291A" w:rsidRDefault="00FE291A">
      <w:pPr>
        <w:widowControl/>
        <w:rPr>
          <w:sz w:val="22"/>
          <w:szCs w:val="22"/>
          <w:lang w:val="de-DE"/>
        </w:rPr>
      </w:pPr>
    </w:p>
    <w:p w14:paraId="272E2FC6" w14:textId="77777777" w:rsidR="00FE291A" w:rsidRDefault="00FE291A">
      <w:pPr>
        <w:widowControl/>
        <w:rPr>
          <w:sz w:val="22"/>
          <w:szCs w:val="22"/>
          <w:lang w:val="de-DE"/>
        </w:rPr>
      </w:pPr>
    </w:p>
    <w:p w14:paraId="31EB946D" w14:textId="77777777" w:rsidR="00FE291A" w:rsidRDefault="00C8738F">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NAME UND ANSCHRIFT DES PHARMAZEUTISCHEN UNTERNEHMERS</w:t>
      </w:r>
    </w:p>
    <w:p w14:paraId="35A9D6BD" w14:textId="77777777" w:rsidR="00FE291A" w:rsidRDefault="00FE291A">
      <w:pPr>
        <w:widowControl/>
        <w:rPr>
          <w:sz w:val="22"/>
          <w:szCs w:val="22"/>
          <w:lang w:val="de-DE"/>
        </w:rPr>
      </w:pPr>
    </w:p>
    <w:p w14:paraId="4F9FF2E4" w14:textId="77777777" w:rsidR="00FE291A" w:rsidRDefault="00C8738F">
      <w:pPr>
        <w:widowControl/>
        <w:rPr>
          <w:rFonts w:eastAsia="SimSun"/>
          <w:sz w:val="22"/>
          <w:szCs w:val="22"/>
          <w:lang w:val="de-DE" w:eastAsia="en-GB"/>
        </w:rPr>
      </w:pPr>
      <w:r>
        <w:rPr>
          <w:rFonts w:eastAsia="SimSun"/>
          <w:sz w:val="22"/>
          <w:szCs w:val="22"/>
          <w:lang w:val="de-DE" w:eastAsia="en-GB"/>
        </w:rPr>
        <w:t>Amgen Europe B.V.</w:t>
      </w:r>
    </w:p>
    <w:p w14:paraId="4635F3B0" w14:textId="77777777" w:rsidR="00FE291A" w:rsidRDefault="00C8738F">
      <w:pPr>
        <w:widowControl/>
        <w:rPr>
          <w:rFonts w:eastAsia="SimSun"/>
          <w:sz w:val="22"/>
          <w:szCs w:val="22"/>
          <w:lang w:val="de-DE" w:eastAsia="en-GB"/>
        </w:rPr>
      </w:pPr>
      <w:r>
        <w:rPr>
          <w:rFonts w:eastAsia="SimSun"/>
          <w:sz w:val="22"/>
          <w:szCs w:val="22"/>
          <w:lang w:val="de-DE" w:eastAsia="en-GB"/>
        </w:rPr>
        <w:t>Minervum 7061,</w:t>
      </w:r>
    </w:p>
    <w:p w14:paraId="1ED27F21" w14:textId="77777777" w:rsidR="00FE291A" w:rsidRDefault="00C8738F">
      <w:pPr>
        <w:widowControl/>
        <w:rPr>
          <w:rFonts w:eastAsia="SimSun"/>
          <w:sz w:val="22"/>
          <w:szCs w:val="22"/>
          <w:lang w:val="de-DE" w:eastAsia="en-GB"/>
        </w:rPr>
      </w:pPr>
      <w:r>
        <w:rPr>
          <w:rFonts w:eastAsia="SimSun"/>
          <w:sz w:val="22"/>
          <w:szCs w:val="22"/>
          <w:lang w:val="de-DE" w:eastAsia="en-GB"/>
        </w:rPr>
        <w:t>4817 ZK Breda,</w:t>
      </w:r>
    </w:p>
    <w:p w14:paraId="0C63E6D0" w14:textId="77777777" w:rsidR="00FE291A" w:rsidRDefault="00C8738F">
      <w:pPr>
        <w:widowControl/>
        <w:rPr>
          <w:rFonts w:eastAsia="SimSun"/>
          <w:sz w:val="22"/>
          <w:szCs w:val="22"/>
          <w:lang w:val="de-DE" w:eastAsia="en-GB"/>
        </w:rPr>
      </w:pPr>
      <w:r>
        <w:rPr>
          <w:rFonts w:eastAsia="SimSun"/>
          <w:sz w:val="22"/>
          <w:szCs w:val="22"/>
          <w:lang w:val="de-DE" w:eastAsia="en-GB"/>
        </w:rPr>
        <w:t>Niederlande</w:t>
      </w:r>
    </w:p>
    <w:p w14:paraId="6F9A7A86" w14:textId="77777777" w:rsidR="00FE291A" w:rsidRDefault="00FE291A">
      <w:pPr>
        <w:widowControl/>
        <w:rPr>
          <w:sz w:val="22"/>
          <w:szCs w:val="22"/>
          <w:lang w:val="de-DE"/>
        </w:rPr>
      </w:pPr>
    </w:p>
    <w:p w14:paraId="145B5307" w14:textId="77777777" w:rsidR="00FE291A" w:rsidRDefault="00FE291A">
      <w:pPr>
        <w:widowControl/>
        <w:rPr>
          <w:sz w:val="22"/>
          <w:szCs w:val="22"/>
          <w:lang w:val="de-DE"/>
        </w:rPr>
      </w:pPr>
    </w:p>
    <w:p w14:paraId="0E8D0033" w14:textId="77777777" w:rsidR="00FE291A" w:rsidRDefault="00C8738F">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ZULASSUNGSNUMMERN</w:t>
      </w:r>
    </w:p>
    <w:p w14:paraId="524D5109" w14:textId="77777777" w:rsidR="00FE291A" w:rsidRDefault="00FE291A">
      <w:pPr>
        <w:widowControl/>
        <w:rPr>
          <w:sz w:val="22"/>
          <w:szCs w:val="22"/>
          <w:lang w:val="de-DE"/>
        </w:rPr>
      </w:pPr>
    </w:p>
    <w:p w14:paraId="7B2A9C0F" w14:textId="77777777" w:rsidR="00FE291A" w:rsidRDefault="00C8738F">
      <w:pPr>
        <w:widowControl/>
        <w:outlineLvl w:val="0"/>
        <w:rPr>
          <w:sz w:val="22"/>
          <w:szCs w:val="22"/>
          <w:lang w:val="de-DE"/>
        </w:rPr>
      </w:pPr>
      <w:r>
        <w:rPr>
          <w:sz w:val="22"/>
          <w:szCs w:val="22"/>
          <w:lang w:val="de-DE"/>
        </w:rPr>
        <w:t xml:space="preserve">EU/1/16/1164/011 </w:t>
      </w:r>
      <w:r>
        <w:rPr>
          <w:sz w:val="22"/>
          <w:szCs w:val="22"/>
          <w:highlight w:val="lightGray"/>
          <w:lang w:val="de-DE"/>
        </w:rPr>
        <w:t>1er Packung</w:t>
      </w:r>
    </w:p>
    <w:p w14:paraId="2CB1EAD4" w14:textId="77777777" w:rsidR="00FE291A" w:rsidRDefault="00C8738F">
      <w:pPr>
        <w:widowControl/>
        <w:outlineLvl w:val="0"/>
        <w:rPr>
          <w:sz w:val="22"/>
          <w:szCs w:val="22"/>
          <w:highlight w:val="lightGray"/>
          <w:lang w:val="de-DE"/>
        </w:rPr>
      </w:pPr>
      <w:r>
        <w:rPr>
          <w:sz w:val="22"/>
          <w:szCs w:val="22"/>
          <w:highlight w:val="lightGray"/>
          <w:lang w:val="de-DE"/>
        </w:rPr>
        <w:t>EU/1/16/1164/012 2er Packung</w:t>
      </w:r>
    </w:p>
    <w:p w14:paraId="408A98C3" w14:textId="77777777" w:rsidR="00FE291A" w:rsidRDefault="00FE291A">
      <w:pPr>
        <w:widowControl/>
        <w:rPr>
          <w:sz w:val="22"/>
          <w:szCs w:val="22"/>
          <w:lang w:val="de-DE"/>
        </w:rPr>
      </w:pPr>
    </w:p>
    <w:p w14:paraId="20135133" w14:textId="77777777" w:rsidR="00FE291A" w:rsidRDefault="00FE291A">
      <w:pPr>
        <w:widowControl/>
        <w:rPr>
          <w:sz w:val="22"/>
          <w:szCs w:val="22"/>
          <w:lang w:val="de-DE"/>
        </w:rPr>
      </w:pPr>
    </w:p>
    <w:p w14:paraId="201EDBA2" w14:textId="77777777" w:rsidR="00FE291A" w:rsidRDefault="00C8738F">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CHARGENBEZEICHNUNG</w:t>
      </w:r>
    </w:p>
    <w:p w14:paraId="5ADCA1FA" w14:textId="77777777" w:rsidR="00FE291A" w:rsidRDefault="00FE291A">
      <w:pPr>
        <w:widowControl/>
        <w:rPr>
          <w:i/>
          <w:sz w:val="22"/>
          <w:szCs w:val="22"/>
          <w:lang w:val="de-DE"/>
        </w:rPr>
      </w:pPr>
    </w:p>
    <w:p w14:paraId="5D3EE2A3" w14:textId="77777777" w:rsidR="00FE291A" w:rsidRDefault="00C8738F">
      <w:pPr>
        <w:widowControl/>
        <w:rPr>
          <w:sz w:val="22"/>
          <w:szCs w:val="22"/>
          <w:lang w:val="de-DE"/>
        </w:rPr>
      </w:pPr>
      <w:r>
        <w:rPr>
          <w:sz w:val="22"/>
          <w:szCs w:val="22"/>
          <w:lang w:val="de-DE"/>
        </w:rPr>
        <w:t>Ch.-B.</w:t>
      </w:r>
    </w:p>
    <w:p w14:paraId="508979DB" w14:textId="77777777" w:rsidR="00FE291A" w:rsidRDefault="00FE291A">
      <w:pPr>
        <w:widowControl/>
        <w:rPr>
          <w:sz w:val="22"/>
          <w:szCs w:val="22"/>
          <w:lang w:val="de-DE"/>
        </w:rPr>
      </w:pPr>
    </w:p>
    <w:p w14:paraId="45149CF3" w14:textId="77777777" w:rsidR="00FE291A" w:rsidRDefault="00FE291A">
      <w:pPr>
        <w:widowControl/>
        <w:rPr>
          <w:sz w:val="22"/>
          <w:szCs w:val="22"/>
          <w:lang w:val="de-DE"/>
        </w:rPr>
      </w:pPr>
    </w:p>
    <w:p w14:paraId="42D600AD" w14:textId="77777777" w:rsidR="00FE291A" w:rsidRDefault="00C8738F">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VERKAUFSABGRENZUNG</w:t>
      </w:r>
    </w:p>
    <w:p w14:paraId="26E4C3FE" w14:textId="77777777" w:rsidR="00FE291A" w:rsidRDefault="00FE291A">
      <w:pPr>
        <w:widowControl/>
        <w:rPr>
          <w:i/>
          <w:sz w:val="22"/>
          <w:szCs w:val="22"/>
          <w:lang w:val="de-DE"/>
        </w:rPr>
      </w:pPr>
    </w:p>
    <w:p w14:paraId="313FA444" w14:textId="77777777" w:rsidR="00FE291A" w:rsidRDefault="00FE291A">
      <w:pPr>
        <w:widowControl/>
        <w:rPr>
          <w:sz w:val="22"/>
          <w:szCs w:val="22"/>
          <w:lang w:val="de-DE"/>
        </w:rPr>
      </w:pPr>
    </w:p>
    <w:p w14:paraId="718D98FF" w14:textId="77777777" w:rsidR="00FE291A" w:rsidRDefault="00C8738F">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HINWEISE FÜR DEN GEBRAUCH</w:t>
      </w:r>
    </w:p>
    <w:p w14:paraId="603355BD" w14:textId="77777777" w:rsidR="00FE291A" w:rsidRDefault="00FE291A">
      <w:pPr>
        <w:widowControl/>
        <w:rPr>
          <w:sz w:val="22"/>
          <w:szCs w:val="22"/>
          <w:lang w:val="de-DE"/>
        </w:rPr>
      </w:pPr>
    </w:p>
    <w:p w14:paraId="2C6D0B1A" w14:textId="77777777" w:rsidR="00FE291A" w:rsidRDefault="00FE291A">
      <w:pPr>
        <w:widowControl/>
        <w:rPr>
          <w:sz w:val="22"/>
          <w:szCs w:val="22"/>
          <w:lang w:val="de-DE"/>
        </w:rPr>
      </w:pPr>
    </w:p>
    <w:p w14:paraId="6E4FBD4F" w14:textId="77777777" w:rsidR="00FE291A" w:rsidRDefault="00C8738F">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ANGABEN IN BLINDENSCHRIFT</w:t>
      </w:r>
    </w:p>
    <w:p w14:paraId="041E69E0" w14:textId="77777777" w:rsidR="00FE291A" w:rsidRDefault="00FE291A">
      <w:pPr>
        <w:widowControl/>
        <w:rPr>
          <w:sz w:val="22"/>
          <w:szCs w:val="22"/>
          <w:lang w:val="de-DE"/>
        </w:rPr>
      </w:pPr>
    </w:p>
    <w:p w14:paraId="1DD078B0" w14:textId="77777777" w:rsidR="00FE291A" w:rsidRDefault="00C8738F">
      <w:pPr>
        <w:widowControl/>
        <w:rPr>
          <w:sz w:val="22"/>
          <w:szCs w:val="22"/>
          <w:shd w:val="clear" w:color="auto" w:fill="CCCCCC"/>
          <w:lang w:val="de-DE"/>
        </w:rPr>
      </w:pPr>
      <w:r>
        <w:rPr>
          <w:sz w:val="22"/>
          <w:szCs w:val="22"/>
          <w:lang w:val="de-DE"/>
        </w:rPr>
        <w:t>AMGEVITA 40 mg/0,4 ml Spritze</w:t>
      </w:r>
    </w:p>
    <w:p w14:paraId="61B2C842" w14:textId="77777777" w:rsidR="00FE291A" w:rsidRDefault="00FE291A">
      <w:pPr>
        <w:widowControl/>
        <w:rPr>
          <w:sz w:val="22"/>
          <w:szCs w:val="22"/>
          <w:shd w:val="clear" w:color="auto" w:fill="CCCCCC"/>
          <w:lang w:val="de-DE"/>
        </w:rPr>
      </w:pPr>
    </w:p>
    <w:p w14:paraId="22B98164" w14:textId="77777777" w:rsidR="00FE291A" w:rsidRDefault="00FE291A">
      <w:pPr>
        <w:widowControl/>
        <w:rPr>
          <w:sz w:val="22"/>
          <w:szCs w:val="22"/>
          <w:shd w:val="clear" w:color="auto" w:fill="CCCCCC"/>
          <w:lang w:val="de-DE"/>
        </w:rPr>
      </w:pPr>
    </w:p>
    <w:p w14:paraId="41A5A502" w14:textId="77777777" w:rsidR="00FE291A" w:rsidRDefault="00C8738F">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i/>
          <w:sz w:val="22"/>
          <w:szCs w:val="22"/>
          <w:lang w:val="de-DE"/>
        </w:rPr>
      </w:pPr>
      <w:r>
        <w:rPr>
          <w:b/>
          <w:sz w:val="22"/>
          <w:szCs w:val="22"/>
          <w:lang w:val="de-DE"/>
        </w:rPr>
        <w:t>INDIVIDUELLES ERKENNUNGSMERKMAL – 2D-BARCODE</w:t>
      </w:r>
    </w:p>
    <w:p w14:paraId="0AB802BD" w14:textId="77777777" w:rsidR="00FE291A" w:rsidRDefault="00FE291A">
      <w:pPr>
        <w:widowControl/>
        <w:rPr>
          <w:sz w:val="22"/>
          <w:szCs w:val="22"/>
          <w:lang w:val="de-DE"/>
        </w:rPr>
      </w:pPr>
    </w:p>
    <w:p w14:paraId="504DCB4D" w14:textId="77777777" w:rsidR="00FE291A" w:rsidRDefault="00C8738F">
      <w:pPr>
        <w:widowControl/>
        <w:rPr>
          <w:sz w:val="22"/>
          <w:szCs w:val="22"/>
          <w:shd w:val="clear" w:color="auto" w:fill="CCCCCC"/>
          <w:lang w:val="de-DE"/>
        </w:rPr>
      </w:pPr>
      <w:r>
        <w:rPr>
          <w:sz w:val="22"/>
          <w:szCs w:val="22"/>
          <w:highlight w:val="lightGray"/>
          <w:lang w:val="de-DE"/>
        </w:rPr>
        <w:t>2D-Barcode mit individuellem Erkennungsmerkmal.</w:t>
      </w:r>
    </w:p>
    <w:p w14:paraId="537D1D1E" w14:textId="77777777" w:rsidR="00FE291A" w:rsidRDefault="00FE291A">
      <w:pPr>
        <w:widowControl/>
        <w:rPr>
          <w:sz w:val="22"/>
          <w:szCs w:val="22"/>
          <w:lang w:val="de-DE"/>
        </w:rPr>
      </w:pPr>
    </w:p>
    <w:p w14:paraId="01D2E111" w14:textId="77777777" w:rsidR="00FE291A" w:rsidRDefault="00FE291A">
      <w:pPr>
        <w:widowControl/>
        <w:rPr>
          <w:sz w:val="22"/>
          <w:szCs w:val="22"/>
          <w:lang w:val="de-DE"/>
        </w:rPr>
      </w:pPr>
    </w:p>
    <w:p w14:paraId="12110280" w14:textId="77777777" w:rsidR="00FE291A" w:rsidRDefault="00C8738F">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i/>
          <w:sz w:val="22"/>
          <w:szCs w:val="22"/>
          <w:lang w:val="de-DE"/>
        </w:rPr>
      </w:pPr>
      <w:r>
        <w:rPr>
          <w:b/>
          <w:sz w:val="22"/>
          <w:szCs w:val="22"/>
          <w:lang w:val="de-DE"/>
        </w:rPr>
        <w:t>INDIVIDUELLES ERKENNUNGSMERKMAL – VOM MENSCHEN LESBARES FORMAT</w:t>
      </w:r>
    </w:p>
    <w:p w14:paraId="31999A42" w14:textId="77777777" w:rsidR="00FE291A" w:rsidRDefault="00FE291A">
      <w:pPr>
        <w:keepNext/>
        <w:widowControl/>
        <w:rPr>
          <w:sz w:val="22"/>
          <w:szCs w:val="22"/>
          <w:lang w:val="de-DE"/>
        </w:rPr>
      </w:pPr>
    </w:p>
    <w:p w14:paraId="6CBF9178" w14:textId="77777777" w:rsidR="00FE291A" w:rsidRDefault="00C8738F">
      <w:pPr>
        <w:keepNext/>
        <w:widowControl/>
        <w:rPr>
          <w:sz w:val="22"/>
          <w:szCs w:val="22"/>
          <w:lang w:val="de-DE"/>
        </w:rPr>
      </w:pPr>
      <w:r>
        <w:rPr>
          <w:sz w:val="22"/>
          <w:szCs w:val="22"/>
          <w:lang w:val="de-DE"/>
        </w:rPr>
        <w:t>PC</w:t>
      </w:r>
    </w:p>
    <w:p w14:paraId="0C3C8AFA" w14:textId="77777777" w:rsidR="00FE291A" w:rsidRDefault="00C8738F">
      <w:pPr>
        <w:keepNext/>
        <w:widowControl/>
        <w:rPr>
          <w:sz w:val="22"/>
          <w:szCs w:val="22"/>
          <w:lang w:val="de-DE"/>
        </w:rPr>
      </w:pPr>
      <w:r>
        <w:rPr>
          <w:sz w:val="22"/>
          <w:szCs w:val="22"/>
          <w:lang w:val="de-DE"/>
        </w:rPr>
        <w:t>SN</w:t>
      </w:r>
    </w:p>
    <w:p w14:paraId="09AC5F55" w14:textId="77777777" w:rsidR="00FE291A" w:rsidRDefault="00C8738F">
      <w:pPr>
        <w:widowControl/>
        <w:rPr>
          <w:sz w:val="22"/>
          <w:szCs w:val="22"/>
          <w:shd w:val="clear" w:color="auto" w:fill="CCCCCC"/>
          <w:lang w:val="de-DE"/>
        </w:rPr>
      </w:pPr>
      <w:r>
        <w:rPr>
          <w:sz w:val="22"/>
          <w:szCs w:val="22"/>
          <w:lang w:val="de-DE"/>
        </w:rPr>
        <w:t>NN</w:t>
      </w:r>
    </w:p>
    <w:p w14:paraId="34D1F06F" w14:textId="77777777" w:rsidR="00FE291A" w:rsidRDefault="00C8738F">
      <w:pPr>
        <w:widowControl/>
        <w:pBdr>
          <w:top w:val="single" w:sz="4" w:space="1" w:color="auto"/>
          <w:left w:val="single" w:sz="4" w:space="4" w:color="auto"/>
          <w:bottom w:val="single" w:sz="4" w:space="1" w:color="auto"/>
          <w:right w:val="single" w:sz="4" w:space="4" w:color="auto"/>
        </w:pBdr>
        <w:outlineLvl w:val="0"/>
        <w:rPr>
          <w:b/>
          <w:sz w:val="22"/>
          <w:szCs w:val="22"/>
          <w:lang w:val="de-DE"/>
        </w:rPr>
      </w:pPr>
      <w:r>
        <w:rPr>
          <w:sz w:val="22"/>
          <w:lang w:val="de-DE"/>
        </w:rPr>
        <w:br w:type="page"/>
      </w:r>
      <w:r>
        <w:rPr>
          <w:b/>
          <w:sz w:val="22"/>
          <w:szCs w:val="22"/>
          <w:lang w:val="de-DE"/>
        </w:rPr>
        <w:t>ANGABEN AUF DER ÄUSSEREN UMHÜLLUNG</w:t>
      </w:r>
    </w:p>
    <w:p w14:paraId="7501A0C5" w14:textId="77777777" w:rsidR="00FE291A" w:rsidRDefault="00FE291A">
      <w:pPr>
        <w:widowControl/>
        <w:pBdr>
          <w:top w:val="single" w:sz="4" w:space="1" w:color="auto"/>
          <w:left w:val="single" w:sz="4" w:space="4" w:color="auto"/>
          <w:bottom w:val="single" w:sz="4" w:space="1" w:color="auto"/>
          <w:right w:val="single" w:sz="4" w:space="4" w:color="auto"/>
        </w:pBdr>
        <w:ind w:left="567" w:hanging="567"/>
        <w:rPr>
          <w:sz w:val="22"/>
          <w:szCs w:val="22"/>
          <w:lang w:val="de-DE"/>
        </w:rPr>
      </w:pPr>
    </w:p>
    <w:p w14:paraId="5A81AC96" w14:textId="77777777" w:rsidR="00FE291A" w:rsidRDefault="00C8738F">
      <w:pPr>
        <w:widowControl/>
        <w:pBdr>
          <w:top w:val="single" w:sz="4" w:space="1" w:color="auto"/>
          <w:left w:val="single" w:sz="4" w:space="4" w:color="auto"/>
          <w:bottom w:val="single" w:sz="4" w:space="1" w:color="auto"/>
          <w:right w:val="single" w:sz="4" w:space="4" w:color="auto"/>
        </w:pBdr>
        <w:rPr>
          <w:sz w:val="22"/>
          <w:szCs w:val="22"/>
          <w:lang w:val="de-DE"/>
        </w:rPr>
      </w:pPr>
      <w:r>
        <w:rPr>
          <w:b/>
          <w:sz w:val="22"/>
          <w:szCs w:val="22"/>
          <w:lang w:val="de-DE"/>
        </w:rPr>
        <w:t>UMKARTON DER BÜNDELPACKUNG FÜR DIE FERTIGSPRITZE (mit blue box)</w:t>
      </w:r>
    </w:p>
    <w:p w14:paraId="3BC6DC9F" w14:textId="77777777" w:rsidR="00FE291A" w:rsidRDefault="00FE291A">
      <w:pPr>
        <w:widowControl/>
        <w:rPr>
          <w:sz w:val="22"/>
          <w:szCs w:val="22"/>
          <w:lang w:val="de-DE"/>
        </w:rPr>
      </w:pPr>
    </w:p>
    <w:p w14:paraId="570A8957" w14:textId="77777777" w:rsidR="00FE291A" w:rsidRDefault="00FE291A">
      <w:pPr>
        <w:widowControl/>
        <w:rPr>
          <w:sz w:val="22"/>
          <w:szCs w:val="22"/>
          <w:lang w:val="de-DE"/>
        </w:rPr>
      </w:pPr>
    </w:p>
    <w:p w14:paraId="4A43B6AE" w14:textId="77777777" w:rsidR="00FE291A" w:rsidRDefault="00C8738F">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adjustRightInd/>
        <w:ind w:hanging="1650"/>
        <w:outlineLvl w:val="0"/>
        <w:rPr>
          <w:sz w:val="22"/>
          <w:szCs w:val="22"/>
          <w:lang w:val="de-DE"/>
        </w:rPr>
      </w:pPr>
      <w:r>
        <w:rPr>
          <w:b/>
          <w:sz w:val="22"/>
          <w:szCs w:val="22"/>
          <w:lang w:val="de-DE"/>
        </w:rPr>
        <w:t>BEZEICHNUNG DES ARZNEIMITTELS</w:t>
      </w:r>
    </w:p>
    <w:p w14:paraId="22C41684" w14:textId="77777777" w:rsidR="00FE291A" w:rsidRDefault="00FE291A">
      <w:pPr>
        <w:keepNext/>
        <w:widowControl/>
        <w:rPr>
          <w:sz w:val="22"/>
          <w:szCs w:val="22"/>
          <w:lang w:val="de-DE"/>
        </w:rPr>
      </w:pPr>
    </w:p>
    <w:p w14:paraId="57A08F9B" w14:textId="77777777" w:rsidR="00FE291A" w:rsidRDefault="00C8738F">
      <w:pPr>
        <w:widowControl/>
        <w:rPr>
          <w:sz w:val="22"/>
          <w:szCs w:val="22"/>
          <w:lang w:val="de-DE"/>
        </w:rPr>
      </w:pPr>
      <w:r>
        <w:rPr>
          <w:sz w:val="22"/>
          <w:szCs w:val="22"/>
          <w:lang w:val="de-DE"/>
        </w:rPr>
        <w:t>AMGEVITA 40 mg Injektionslösung in einer Fertigspritze</w:t>
      </w:r>
    </w:p>
    <w:p w14:paraId="45B21C5A" w14:textId="77777777" w:rsidR="00FE291A" w:rsidRDefault="00C8738F">
      <w:pPr>
        <w:widowControl/>
        <w:rPr>
          <w:b/>
          <w:sz w:val="22"/>
          <w:szCs w:val="22"/>
          <w:lang w:val="de-DE"/>
        </w:rPr>
      </w:pPr>
      <w:r>
        <w:rPr>
          <w:sz w:val="22"/>
          <w:szCs w:val="22"/>
          <w:lang w:val="de-DE"/>
        </w:rPr>
        <w:t>Adalimumab</w:t>
      </w:r>
    </w:p>
    <w:p w14:paraId="5CF689E0" w14:textId="77777777" w:rsidR="00FE291A" w:rsidRDefault="00FE291A">
      <w:pPr>
        <w:widowControl/>
        <w:rPr>
          <w:sz w:val="22"/>
          <w:szCs w:val="22"/>
          <w:lang w:val="de-DE"/>
        </w:rPr>
      </w:pPr>
    </w:p>
    <w:p w14:paraId="791446C4" w14:textId="77777777" w:rsidR="00FE291A" w:rsidRDefault="00FE291A">
      <w:pPr>
        <w:widowControl/>
        <w:rPr>
          <w:sz w:val="22"/>
          <w:szCs w:val="22"/>
          <w:lang w:val="de-DE"/>
        </w:rPr>
      </w:pPr>
    </w:p>
    <w:p w14:paraId="19EBB8BA" w14:textId="77777777" w:rsidR="00FE291A" w:rsidRDefault="00C8738F">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WIRKSTOFF</w:t>
      </w:r>
    </w:p>
    <w:p w14:paraId="031A843A" w14:textId="77777777" w:rsidR="00FE291A" w:rsidRDefault="00FE291A">
      <w:pPr>
        <w:keepNext/>
        <w:widowControl/>
        <w:rPr>
          <w:sz w:val="22"/>
          <w:szCs w:val="22"/>
          <w:lang w:val="de-DE"/>
        </w:rPr>
      </w:pPr>
    </w:p>
    <w:p w14:paraId="2B4F5194" w14:textId="77777777" w:rsidR="00FE291A" w:rsidRDefault="00C8738F">
      <w:pPr>
        <w:widowControl/>
        <w:rPr>
          <w:sz w:val="22"/>
          <w:szCs w:val="22"/>
          <w:lang w:val="de-DE"/>
        </w:rPr>
      </w:pPr>
      <w:r>
        <w:rPr>
          <w:sz w:val="22"/>
          <w:szCs w:val="22"/>
          <w:lang w:val="de-DE"/>
        </w:rPr>
        <w:t>Jede Fertigspritze enthält 40 mg Adalimumab in 0,4 ml Lösung.</w:t>
      </w:r>
    </w:p>
    <w:p w14:paraId="1CF97090" w14:textId="77777777" w:rsidR="00FE291A" w:rsidRDefault="00FE291A">
      <w:pPr>
        <w:widowControl/>
        <w:rPr>
          <w:sz w:val="22"/>
          <w:szCs w:val="22"/>
          <w:lang w:val="de-DE"/>
        </w:rPr>
      </w:pPr>
    </w:p>
    <w:p w14:paraId="28600DF8" w14:textId="77777777" w:rsidR="00FE291A" w:rsidRDefault="00FE291A">
      <w:pPr>
        <w:widowControl/>
        <w:rPr>
          <w:sz w:val="22"/>
          <w:szCs w:val="22"/>
          <w:lang w:val="de-DE"/>
        </w:rPr>
      </w:pPr>
    </w:p>
    <w:p w14:paraId="0804ABC7" w14:textId="77777777" w:rsidR="00FE291A" w:rsidRDefault="00C8738F">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SONSTIGE BESTANDTEILE</w:t>
      </w:r>
    </w:p>
    <w:p w14:paraId="363EAC1D" w14:textId="77777777" w:rsidR="00FE291A" w:rsidRDefault="00FE291A">
      <w:pPr>
        <w:widowControl/>
        <w:rPr>
          <w:sz w:val="22"/>
          <w:szCs w:val="22"/>
          <w:lang w:val="de-DE"/>
        </w:rPr>
      </w:pPr>
    </w:p>
    <w:p w14:paraId="1D5D9E91" w14:textId="77777777" w:rsidR="00FE291A" w:rsidRDefault="00C8738F">
      <w:pPr>
        <w:widowControl/>
        <w:rPr>
          <w:sz w:val="22"/>
          <w:szCs w:val="22"/>
          <w:lang w:val="de-DE"/>
        </w:rPr>
      </w:pPr>
      <w:r>
        <w:rPr>
          <w:sz w:val="22"/>
          <w:szCs w:val="22"/>
          <w:lang w:val="de-DE"/>
        </w:rPr>
        <w:t>(S)-Milchsäure, Saccharose, Polysorbat 80, Natriumhydroxid und Wasser für Injektionszwecke.</w:t>
      </w:r>
    </w:p>
    <w:p w14:paraId="2B98E5D6" w14:textId="77777777" w:rsidR="00FE291A" w:rsidRDefault="00FE291A">
      <w:pPr>
        <w:widowControl/>
        <w:rPr>
          <w:sz w:val="22"/>
          <w:szCs w:val="22"/>
          <w:lang w:val="de-DE"/>
        </w:rPr>
      </w:pPr>
    </w:p>
    <w:p w14:paraId="23B60F52" w14:textId="77777777" w:rsidR="00FE291A" w:rsidRDefault="00FE291A">
      <w:pPr>
        <w:widowControl/>
        <w:rPr>
          <w:sz w:val="22"/>
          <w:szCs w:val="22"/>
          <w:lang w:val="de-DE"/>
        </w:rPr>
      </w:pPr>
    </w:p>
    <w:p w14:paraId="1A7688B2" w14:textId="77777777" w:rsidR="00FE291A" w:rsidRDefault="00C8738F">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DARREICHUNGSFORM UND INHALT</w:t>
      </w:r>
    </w:p>
    <w:p w14:paraId="5066C837" w14:textId="77777777" w:rsidR="00FE291A" w:rsidRDefault="00FE291A">
      <w:pPr>
        <w:widowControl/>
        <w:rPr>
          <w:sz w:val="22"/>
          <w:szCs w:val="22"/>
          <w:lang w:val="de-DE"/>
        </w:rPr>
      </w:pPr>
    </w:p>
    <w:p w14:paraId="121BBEA0" w14:textId="77777777" w:rsidR="00FE291A" w:rsidRDefault="00C8738F">
      <w:pPr>
        <w:widowControl/>
        <w:rPr>
          <w:sz w:val="22"/>
          <w:szCs w:val="22"/>
          <w:lang w:val="de-DE"/>
        </w:rPr>
      </w:pPr>
      <w:r>
        <w:rPr>
          <w:sz w:val="22"/>
          <w:szCs w:val="22"/>
          <w:highlight w:val="lightGray"/>
          <w:lang w:val="de-DE"/>
        </w:rPr>
        <w:t>Injektionslösung</w:t>
      </w:r>
    </w:p>
    <w:p w14:paraId="4D6CAF08" w14:textId="77777777" w:rsidR="00FE291A" w:rsidRDefault="00C8738F">
      <w:pPr>
        <w:widowControl/>
        <w:rPr>
          <w:sz w:val="22"/>
          <w:szCs w:val="22"/>
          <w:lang w:val="de-DE"/>
        </w:rPr>
      </w:pPr>
      <w:r>
        <w:rPr>
          <w:sz w:val="22"/>
          <w:szCs w:val="22"/>
          <w:lang w:val="de-DE"/>
        </w:rPr>
        <w:t>40 mg/0,4 ml</w:t>
      </w:r>
    </w:p>
    <w:p w14:paraId="5D839481" w14:textId="77777777" w:rsidR="00FE291A" w:rsidRDefault="00C8738F">
      <w:pPr>
        <w:widowControl/>
        <w:rPr>
          <w:sz w:val="22"/>
          <w:szCs w:val="22"/>
          <w:lang w:val="de-DE"/>
        </w:rPr>
      </w:pPr>
      <w:r>
        <w:rPr>
          <w:sz w:val="22"/>
          <w:szCs w:val="22"/>
          <w:lang w:val="de-DE"/>
        </w:rPr>
        <w:t>Bündelpackung: 6 (3 Packungen mit 2) Fertigspritzen.</w:t>
      </w:r>
    </w:p>
    <w:p w14:paraId="1BE50776" w14:textId="77777777" w:rsidR="00FE291A" w:rsidRDefault="00FE291A">
      <w:pPr>
        <w:widowControl/>
        <w:rPr>
          <w:sz w:val="22"/>
          <w:szCs w:val="22"/>
          <w:lang w:val="de-DE"/>
        </w:rPr>
      </w:pPr>
    </w:p>
    <w:p w14:paraId="3C5BF13D" w14:textId="77777777" w:rsidR="00FE291A" w:rsidRDefault="00FE291A">
      <w:pPr>
        <w:widowControl/>
        <w:rPr>
          <w:sz w:val="22"/>
          <w:szCs w:val="22"/>
          <w:lang w:val="de-DE"/>
        </w:rPr>
      </w:pPr>
    </w:p>
    <w:p w14:paraId="2E4293EB" w14:textId="77777777" w:rsidR="00FE291A" w:rsidRDefault="00C8738F">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HINWEISE ZUR UND ART(EN) DER ANWENDUNG</w:t>
      </w:r>
    </w:p>
    <w:p w14:paraId="4B316148" w14:textId="77777777" w:rsidR="00FE291A" w:rsidRDefault="00FE291A">
      <w:pPr>
        <w:keepNext/>
        <w:widowControl/>
        <w:rPr>
          <w:sz w:val="22"/>
          <w:szCs w:val="22"/>
          <w:lang w:val="de-DE"/>
        </w:rPr>
      </w:pPr>
    </w:p>
    <w:p w14:paraId="406DE8DD" w14:textId="77777777" w:rsidR="00FE291A" w:rsidRDefault="00C8738F">
      <w:pPr>
        <w:widowControl/>
        <w:rPr>
          <w:sz w:val="22"/>
          <w:szCs w:val="22"/>
          <w:lang w:val="de-DE"/>
        </w:rPr>
      </w:pPr>
      <w:r>
        <w:rPr>
          <w:sz w:val="22"/>
          <w:szCs w:val="22"/>
          <w:lang w:val="de-DE"/>
        </w:rPr>
        <w:t>Zur subkutanen Anwendung.</w:t>
      </w:r>
    </w:p>
    <w:p w14:paraId="538B3ABA" w14:textId="77777777" w:rsidR="00FE291A" w:rsidRDefault="00C8738F">
      <w:pPr>
        <w:widowControl/>
        <w:rPr>
          <w:sz w:val="22"/>
          <w:szCs w:val="22"/>
          <w:lang w:val="de-DE"/>
        </w:rPr>
      </w:pPr>
      <w:r>
        <w:rPr>
          <w:sz w:val="22"/>
          <w:szCs w:val="22"/>
          <w:lang w:val="de-DE"/>
        </w:rPr>
        <w:t>Packungsbeilage beachten.</w:t>
      </w:r>
    </w:p>
    <w:p w14:paraId="1F58E69C" w14:textId="77777777" w:rsidR="00FE291A" w:rsidRDefault="00C8738F">
      <w:pPr>
        <w:widowControl/>
        <w:rPr>
          <w:sz w:val="22"/>
          <w:szCs w:val="22"/>
          <w:lang w:val="de-DE"/>
        </w:rPr>
      </w:pPr>
      <w:r>
        <w:rPr>
          <w:sz w:val="22"/>
          <w:szCs w:val="22"/>
          <w:lang w:val="de-DE"/>
        </w:rPr>
        <w:t>Nur zum Einmalgebrauch.</w:t>
      </w:r>
    </w:p>
    <w:p w14:paraId="3093BDDF" w14:textId="77777777" w:rsidR="00FE291A" w:rsidRDefault="00FE291A">
      <w:pPr>
        <w:widowControl/>
        <w:rPr>
          <w:sz w:val="22"/>
          <w:szCs w:val="22"/>
          <w:lang w:val="de-DE"/>
        </w:rPr>
      </w:pPr>
    </w:p>
    <w:p w14:paraId="2EE7EDA1" w14:textId="77777777" w:rsidR="00FE291A" w:rsidRDefault="00FE291A">
      <w:pPr>
        <w:widowControl/>
        <w:rPr>
          <w:sz w:val="22"/>
          <w:szCs w:val="22"/>
          <w:lang w:val="de-DE"/>
        </w:rPr>
      </w:pPr>
    </w:p>
    <w:p w14:paraId="1293F642" w14:textId="77777777" w:rsidR="00FE291A" w:rsidRDefault="00C8738F">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WARNHINWEIS, DASS DAS ARZNEIMITTEL FÜR KINDER UNZUGÄNGLICH AUFZUBEWAHREN IST</w:t>
      </w:r>
    </w:p>
    <w:p w14:paraId="515B015D" w14:textId="77777777" w:rsidR="00FE291A" w:rsidRDefault="00FE291A">
      <w:pPr>
        <w:keepNext/>
        <w:widowControl/>
        <w:rPr>
          <w:sz w:val="22"/>
          <w:szCs w:val="22"/>
          <w:lang w:val="de-DE"/>
        </w:rPr>
      </w:pPr>
    </w:p>
    <w:p w14:paraId="2B504040" w14:textId="77777777" w:rsidR="00FE291A" w:rsidRDefault="00C8738F">
      <w:pPr>
        <w:widowControl/>
        <w:outlineLvl w:val="0"/>
        <w:rPr>
          <w:sz w:val="22"/>
          <w:szCs w:val="22"/>
          <w:lang w:val="de-DE"/>
        </w:rPr>
      </w:pPr>
      <w:r>
        <w:rPr>
          <w:sz w:val="22"/>
          <w:szCs w:val="22"/>
          <w:lang w:val="de-DE"/>
        </w:rPr>
        <w:t>Arzneimittel für Kinder unzugänglich aufbewahren.</w:t>
      </w:r>
    </w:p>
    <w:p w14:paraId="40BDAD91" w14:textId="77777777" w:rsidR="00FE291A" w:rsidRDefault="00FE291A">
      <w:pPr>
        <w:widowControl/>
        <w:rPr>
          <w:sz w:val="22"/>
          <w:szCs w:val="22"/>
          <w:lang w:val="de-DE"/>
        </w:rPr>
      </w:pPr>
    </w:p>
    <w:p w14:paraId="47B8771B" w14:textId="77777777" w:rsidR="00FE291A" w:rsidRDefault="00FE291A">
      <w:pPr>
        <w:widowControl/>
        <w:rPr>
          <w:sz w:val="22"/>
          <w:szCs w:val="22"/>
          <w:lang w:val="de-DE"/>
        </w:rPr>
      </w:pPr>
    </w:p>
    <w:p w14:paraId="0ABE2213" w14:textId="77777777" w:rsidR="00FE291A" w:rsidRDefault="00C8738F">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WEITERE WARNHINWEISE, FALLS ERFORDERLICH</w:t>
      </w:r>
    </w:p>
    <w:p w14:paraId="3B2DEF85" w14:textId="77777777" w:rsidR="00FE291A" w:rsidRDefault="00FE291A">
      <w:pPr>
        <w:keepNext/>
        <w:widowControl/>
        <w:rPr>
          <w:sz w:val="22"/>
          <w:szCs w:val="22"/>
          <w:lang w:val="de-DE"/>
        </w:rPr>
      </w:pPr>
    </w:p>
    <w:p w14:paraId="6C4A9921" w14:textId="77777777" w:rsidR="00FE291A" w:rsidRDefault="00FE291A">
      <w:pPr>
        <w:widowControl/>
        <w:tabs>
          <w:tab w:val="left" w:pos="749"/>
        </w:tabs>
        <w:rPr>
          <w:sz w:val="22"/>
          <w:szCs w:val="22"/>
          <w:lang w:val="de-DE"/>
        </w:rPr>
      </w:pPr>
    </w:p>
    <w:p w14:paraId="04E182B3" w14:textId="77777777" w:rsidR="00FE291A" w:rsidRDefault="00C8738F">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VERFALLDATUM</w:t>
      </w:r>
    </w:p>
    <w:p w14:paraId="5A5FBC4E" w14:textId="77777777" w:rsidR="00FE291A" w:rsidRDefault="00FE291A">
      <w:pPr>
        <w:keepNext/>
        <w:widowControl/>
        <w:rPr>
          <w:sz w:val="22"/>
          <w:szCs w:val="22"/>
          <w:lang w:val="de-DE"/>
        </w:rPr>
      </w:pPr>
    </w:p>
    <w:p w14:paraId="25C7EDC7" w14:textId="77777777" w:rsidR="00FE291A" w:rsidRDefault="00C8738F">
      <w:pPr>
        <w:widowControl/>
        <w:rPr>
          <w:sz w:val="22"/>
          <w:szCs w:val="22"/>
          <w:lang w:val="de-DE"/>
        </w:rPr>
      </w:pPr>
      <w:r>
        <w:rPr>
          <w:sz w:val="22"/>
          <w:szCs w:val="22"/>
          <w:lang w:val="de-DE"/>
        </w:rPr>
        <w:t>verwendbar bis</w:t>
      </w:r>
    </w:p>
    <w:p w14:paraId="01F9C549" w14:textId="77777777" w:rsidR="00FE291A" w:rsidRDefault="00FE291A">
      <w:pPr>
        <w:widowControl/>
        <w:rPr>
          <w:sz w:val="22"/>
          <w:szCs w:val="22"/>
          <w:lang w:val="de-DE"/>
        </w:rPr>
      </w:pPr>
    </w:p>
    <w:p w14:paraId="66123AC3" w14:textId="77777777" w:rsidR="00FE291A" w:rsidRDefault="00FE291A">
      <w:pPr>
        <w:widowControl/>
        <w:rPr>
          <w:sz w:val="22"/>
          <w:szCs w:val="22"/>
          <w:lang w:val="de-DE"/>
        </w:rPr>
      </w:pPr>
    </w:p>
    <w:p w14:paraId="6465425A" w14:textId="77777777" w:rsidR="00FE291A" w:rsidRDefault="00C8738F">
      <w:pPr>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BESONDERE VORSICHTSMASSNAHMEN FÜR DIE AUFBEWAHRUNG</w:t>
      </w:r>
    </w:p>
    <w:p w14:paraId="1BAF5CAD" w14:textId="77777777" w:rsidR="00FE291A" w:rsidRDefault="00FE291A">
      <w:pPr>
        <w:widowControl/>
        <w:rPr>
          <w:sz w:val="22"/>
          <w:szCs w:val="22"/>
          <w:lang w:val="de-DE"/>
        </w:rPr>
      </w:pPr>
    </w:p>
    <w:p w14:paraId="3183147E" w14:textId="77777777" w:rsidR="00FE291A" w:rsidRDefault="00C8738F">
      <w:pPr>
        <w:widowControl/>
        <w:ind w:left="567" w:hanging="567"/>
        <w:rPr>
          <w:sz w:val="22"/>
          <w:szCs w:val="22"/>
          <w:lang w:val="de-DE"/>
        </w:rPr>
      </w:pPr>
      <w:r>
        <w:rPr>
          <w:sz w:val="22"/>
          <w:szCs w:val="22"/>
          <w:lang w:val="de-DE"/>
        </w:rPr>
        <w:t>Im Kühlschrank lagern.</w:t>
      </w:r>
    </w:p>
    <w:p w14:paraId="0CB5EFBB" w14:textId="77777777" w:rsidR="00FE291A" w:rsidRDefault="00C8738F">
      <w:pPr>
        <w:widowControl/>
        <w:ind w:left="567" w:hanging="567"/>
        <w:rPr>
          <w:sz w:val="22"/>
          <w:szCs w:val="22"/>
          <w:lang w:val="de-DE"/>
        </w:rPr>
      </w:pPr>
      <w:r>
        <w:rPr>
          <w:sz w:val="22"/>
          <w:szCs w:val="22"/>
          <w:lang w:val="de-DE"/>
        </w:rPr>
        <w:t>Nicht einfrieren.</w:t>
      </w:r>
    </w:p>
    <w:p w14:paraId="3ABA9720" w14:textId="77777777" w:rsidR="00FE291A" w:rsidRDefault="00C8738F">
      <w:pPr>
        <w:widowControl/>
        <w:ind w:left="567" w:hanging="567"/>
        <w:rPr>
          <w:sz w:val="22"/>
          <w:szCs w:val="22"/>
          <w:lang w:val="de-DE"/>
        </w:rPr>
      </w:pPr>
      <w:r>
        <w:rPr>
          <w:sz w:val="22"/>
          <w:szCs w:val="22"/>
          <w:lang w:val="de-DE"/>
        </w:rPr>
        <w:t>Im Originalkarton aufbewahren, um den Inhalt vor Licht zu schützen.</w:t>
      </w:r>
    </w:p>
    <w:p w14:paraId="23447753" w14:textId="77777777" w:rsidR="00FE291A" w:rsidRDefault="00FE291A">
      <w:pPr>
        <w:widowControl/>
        <w:ind w:left="567" w:hanging="567"/>
        <w:rPr>
          <w:sz w:val="22"/>
          <w:szCs w:val="22"/>
          <w:lang w:val="de-DE"/>
        </w:rPr>
      </w:pPr>
    </w:p>
    <w:p w14:paraId="14A276AF" w14:textId="77777777" w:rsidR="00FE291A" w:rsidRDefault="00FE291A">
      <w:pPr>
        <w:widowControl/>
        <w:ind w:left="567" w:hanging="567"/>
        <w:rPr>
          <w:sz w:val="22"/>
          <w:szCs w:val="22"/>
          <w:lang w:val="de-DE"/>
        </w:rPr>
      </w:pPr>
    </w:p>
    <w:p w14:paraId="37AFCEA6" w14:textId="77777777" w:rsidR="00FE291A" w:rsidRDefault="00C8738F">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GEGEBENENFALLS BESONDERE VORSICHTSMASSNAHMEN FÜR DIE BESEITIGUNG VON NICHT VERWENDETEM ARZNEIMITTEL ODER DAVON STAMMENDEN ABFALLMATERIALIEN</w:t>
      </w:r>
    </w:p>
    <w:p w14:paraId="6E977D2F" w14:textId="77777777" w:rsidR="00FE291A" w:rsidRDefault="00FE291A">
      <w:pPr>
        <w:widowControl/>
        <w:rPr>
          <w:sz w:val="22"/>
          <w:szCs w:val="22"/>
          <w:lang w:val="de-DE"/>
        </w:rPr>
      </w:pPr>
    </w:p>
    <w:p w14:paraId="44AA6DD5" w14:textId="77777777" w:rsidR="00FE291A" w:rsidRDefault="00FE291A">
      <w:pPr>
        <w:widowControl/>
        <w:rPr>
          <w:sz w:val="22"/>
          <w:szCs w:val="22"/>
          <w:lang w:val="de-DE"/>
        </w:rPr>
      </w:pPr>
    </w:p>
    <w:p w14:paraId="594464A9" w14:textId="77777777" w:rsidR="00FE291A" w:rsidRDefault="00C8738F">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NAME UND ANSCHRIFT DES PHARMAZEUTISCHEN UNTERNEHMERS</w:t>
      </w:r>
    </w:p>
    <w:p w14:paraId="2FD690E5" w14:textId="77777777" w:rsidR="00FE291A" w:rsidRDefault="00FE291A">
      <w:pPr>
        <w:widowControl/>
        <w:rPr>
          <w:sz w:val="22"/>
          <w:szCs w:val="22"/>
          <w:lang w:val="de-DE"/>
        </w:rPr>
      </w:pPr>
    </w:p>
    <w:p w14:paraId="55817170" w14:textId="77777777" w:rsidR="00FE291A" w:rsidRDefault="00C8738F">
      <w:pPr>
        <w:widowControl/>
        <w:rPr>
          <w:rFonts w:eastAsia="SimSun"/>
          <w:sz w:val="22"/>
          <w:szCs w:val="22"/>
          <w:lang w:val="de-DE" w:eastAsia="en-GB"/>
        </w:rPr>
      </w:pPr>
      <w:r>
        <w:rPr>
          <w:rFonts w:eastAsia="SimSun"/>
          <w:sz w:val="22"/>
          <w:szCs w:val="22"/>
          <w:lang w:val="de-DE" w:eastAsia="en-GB"/>
        </w:rPr>
        <w:t>Amgen Europe B.V.</w:t>
      </w:r>
    </w:p>
    <w:p w14:paraId="61E9C421" w14:textId="77777777" w:rsidR="00FE291A" w:rsidRDefault="00C8738F">
      <w:pPr>
        <w:widowControl/>
        <w:rPr>
          <w:rFonts w:eastAsia="SimSun"/>
          <w:sz w:val="22"/>
          <w:szCs w:val="22"/>
          <w:lang w:val="de-DE" w:eastAsia="en-GB"/>
        </w:rPr>
      </w:pPr>
      <w:r>
        <w:rPr>
          <w:rFonts w:eastAsia="SimSun"/>
          <w:sz w:val="22"/>
          <w:szCs w:val="22"/>
          <w:lang w:val="de-DE" w:eastAsia="en-GB"/>
        </w:rPr>
        <w:t>Minervum 7061,</w:t>
      </w:r>
    </w:p>
    <w:p w14:paraId="60161C26" w14:textId="77777777" w:rsidR="00FE291A" w:rsidRDefault="00C8738F">
      <w:pPr>
        <w:widowControl/>
        <w:rPr>
          <w:rFonts w:eastAsia="SimSun"/>
          <w:sz w:val="22"/>
          <w:szCs w:val="22"/>
          <w:lang w:val="de-DE" w:eastAsia="en-GB"/>
        </w:rPr>
      </w:pPr>
      <w:r>
        <w:rPr>
          <w:rFonts w:eastAsia="SimSun"/>
          <w:sz w:val="22"/>
          <w:szCs w:val="22"/>
          <w:lang w:val="de-DE" w:eastAsia="en-GB"/>
        </w:rPr>
        <w:t>4817 ZK Breda,</w:t>
      </w:r>
    </w:p>
    <w:p w14:paraId="4B42C8CD" w14:textId="77777777" w:rsidR="00FE291A" w:rsidRDefault="00C8738F">
      <w:pPr>
        <w:widowControl/>
        <w:rPr>
          <w:rFonts w:eastAsia="SimSun"/>
          <w:sz w:val="22"/>
          <w:szCs w:val="22"/>
          <w:lang w:val="de-DE" w:eastAsia="en-GB"/>
        </w:rPr>
      </w:pPr>
      <w:r>
        <w:rPr>
          <w:rFonts w:eastAsia="SimSun"/>
          <w:sz w:val="22"/>
          <w:szCs w:val="22"/>
          <w:lang w:val="de-DE" w:eastAsia="en-GB"/>
        </w:rPr>
        <w:t>Niederlande</w:t>
      </w:r>
    </w:p>
    <w:p w14:paraId="5C1E48FF" w14:textId="77777777" w:rsidR="00FE291A" w:rsidRDefault="00FE291A">
      <w:pPr>
        <w:widowControl/>
        <w:rPr>
          <w:sz w:val="22"/>
          <w:szCs w:val="22"/>
          <w:lang w:val="de-DE"/>
        </w:rPr>
      </w:pPr>
    </w:p>
    <w:p w14:paraId="10E34764" w14:textId="77777777" w:rsidR="00FE291A" w:rsidRDefault="00FE291A">
      <w:pPr>
        <w:widowControl/>
        <w:rPr>
          <w:sz w:val="22"/>
          <w:szCs w:val="22"/>
          <w:lang w:val="de-DE"/>
        </w:rPr>
      </w:pPr>
    </w:p>
    <w:p w14:paraId="7A367841" w14:textId="77777777" w:rsidR="00FE291A" w:rsidRDefault="00C8738F">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ZULASSUNGSNUMMER</w:t>
      </w:r>
    </w:p>
    <w:p w14:paraId="16B046E8" w14:textId="77777777" w:rsidR="00FE291A" w:rsidRDefault="00FE291A">
      <w:pPr>
        <w:widowControl/>
        <w:rPr>
          <w:sz w:val="22"/>
          <w:szCs w:val="22"/>
          <w:lang w:val="de-DE"/>
        </w:rPr>
      </w:pPr>
    </w:p>
    <w:p w14:paraId="039CFE56" w14:textId="77777777" w:rsidR="00FE291A" w:rsidRDefault="00C8738F">
      <w:pPr>
        <w:widowControl/>
        <w:outlineLvl w:val="0"/>
        <w:rPr>
          <w:sz w:val="22"/>
          <w:szCs w:val="22"/>
          <w:lang w:val="de-DE"/>
        </w:rPr>
      </w:pPr>
      <w:r>
        <w:rPr>
          <w:sz w:val="22"/>
          <w:szCs w:val="22"/>
          <w:lang w:val="de-DE"/>
        </w:rPr>
        <w:t>EU/1/16/1164/013</w:t>
      </w:r>
    </w:p>
    <w:p w14:paraId="38D5EABB" w14:textId="77777777" w:rsidR="00FE291A" w:rsidRDefault="00FE291A">
      <w:pPr>
        <w:widowControl/>
        <w:rPr>
          <w:sz w:val="22"/>
          <w:szCs w:val="22"/>
          <w:lang w:val="de-DE"/>
        </w:rPr>
      </w:pPr>
    </w:p>
    <w:p w14:paraId="019AD856" w14:textId="77777777" w:rsidR="00FE291A" w:rsidRDefault="00FE291A">
      <w:pPr>
        <w:widowControl/>
        <w:rPr>
          <w:sz w:val="22"/>
          <w:szCs w:val="22"/>
          <w:lang w:val="de-DE"/>
        </w:rPr>
      </w:pPr>
    </w:p>
    <w:p w14:paraId="2C6A0AE6" w14:textId="77777777" w:rsidR="00FE291A" w:rsidRDefault="00C8738F">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CHARGENBEZEICHNUNG</w:t>
      </w:r>
    </w:p>
    <w:p w14:paraId="7B30E11C" w14:textId="77777777" w:rsidR="00FE291A" w:rsidRDefault="00FE291A">
      <w:pPr>
        <w:widowControl/>
        <w:rPr>
          <w:i/>
          <w:sz w:val="22"/>
          <w:szCs w:val="22"/>
          <w:lang w:val="de-DE"/>
        </w:rPr>
      </w:pPr>
    </w:p>
    <w:p w14:paraId="1D38E66C" w14:textId="77777777" w:rsidR="00FE291A" w:rsidRDefault="00C8738F">
      <w:pPr>
        <w:widowControl/>
        <w:rPr>
          <w:sz w:val="22"/>
          <w:szCs w:val="22"/>
          <w:lang w:val="de-DE"/>
        </w:rPr>
      </w:pPr>
      <w:r>
        <w:rPr>
          <w:sz w:val="22"/>
          <w:szCs w:val="22"/>
          <w:lang w:val="de-DE"/>
        </w:rPr>
        <w:t>Ch.-B.</w:t>
      </w:r>
    </w:p>
    <w:p w14:paraId="2AEC870A" w14:textId="77777777" w:rsidR="00FE291A" w:rsidRDefault="00FE291A">
      <w:pPr>
        <w:widowControl/>
        <w:rPr>
          <w:sz w:val="22"/>
          <w:szCs w:val="22"/>
          <w:lang w:val="de-DE"/>
        </w:rPr>
      </w:pPr>
    </w:p>
    <w:p w14:paraId="4F056140" w14:textId="77777777" w:rsidR="00FE291A" w:rsidRDefault="00FE291A">
      <w:pPr>
        <w:widowControl/>
        <w:rPr>
          <w:sz w:val="22"/>
          <w:szCs w:val="22"/>
          <w:lang w:val="de-DE"/>
        </w:rPr>
      </w:pPr>
    </w:p>
    <w:p w14:paraId="1C70AD31" w14:textId="77777777" w:rsidR="00FE291A" w:rsidRDefault="00C8738F">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VERKAUFSABGRENZUNG</w:t>
      </w:r>
    </w:p>
    <w:p w14:paraId="29B0FB95" w14:textId="77777777" w:rsidR="00FE291A" w:rsidRDefault="00FE291A">
      <w:pPr>
        <w:widowControl/>
        <w:rPr>
          <w:i/>
          <w:sz w:val="22"/>
          <w:szCs w:val="22"/>
          <w:lang w:val="de-DE"/>
        </w:rPr>
      </w:pPr>
    </w:p>
    <w:p w14:paraId="05B04140" w14:textId="77777777" w:rsidR="00FE291A" w:rsidRDefault="00FE291A">
      <w:pPr>
        <w:widowControl/>
        <w:rPr>
          <w:sz w:val="22"/>
          <w:szCs w:val="22"/>
          <w:lang w:val="de-DE"/>
        </w:rPr>
      </w:pPr>
    </w:p>
    <w:p w14:paraId="55C3D79D" w14:textId="77777777" w:rsidR="00FE291A" w:rsidRDefault="00C8738F">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HINWEISE FÜR DEN GEBRAUCH</w:t>
      </w:r>
    </w:p>
    <w:p w14:paraId="5533980C" w14:textId="77777777" w:rsidR="00FE291A" w:rsidRDefault="00FE291A">
      <w:pPr>
        <w:widowControl/>
        <w:rPr>
          <w:sz w:val="22"/>
          <w:szCs w:val="22"/>
          <w:lang w:val="de-DE"/>
        </w:rPr>
      </w:pPr>
    </w:p>
    <w:p w14:paraId="375CE16C" w14:textId="77777777" w:rsidR="00FE291A" w:rsidRDefault="00FE291A">
      <w:pPr>
        <w:widowControl/>
        <w:rPr>
          <w:sz w:val="22"/>
          <w:szCs w:val="22"/>
          <w:lang w:val="de-DE"/>
        </w:rPr>
      </w:pPr>
    </w:p>
    <w:p w14:paraId="0140B6A4" w14:textId="77777777" w:rsidR="00FE291A" w:rsidRDefault="00C8738F">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ANGABEN IN BLINDENSCHRIFT</w:t>
      </w:r>
    </w:p>
    <w:p w14:paraId="2AAB7338" w14:textId="77777777" w:rsidR="00FE291A" w:rsidRDefault="00FE291A">
      <w:pPr>
        <w:widowControl/>
        <w:rPr>
          <w:sz w:val="22"/>
          <w:szCs w:val="22"/>
          <w:lang w:val="de-DE"/>
        </w:rPr>
      </w:pPr>
    </w:p>
    <w:p w14:paraId="0E6FE352" w14:textId="77777777" w:rsidR="00FE291A" w:rsidRDefault="00C8738F">
      <w:pPr>
        <w:widowControl/>
        <w:rPr>
          <w:sz w:val="22"/>
          <w:szCs w:val="22"/>
          <w:shd w:val="clear" w:color="auto" w:fill="CCCCCC"/>
          <w:lang w:val="de-DE"/>
        </w:rPr>
      </w:pPr>
      <w:r>
        <w:rPr>
          <w:sz w:val="22"/>
          <w:szCs w:val="22"/>
          <w:lang w:val="de-DE"/>
        </w:rPr>
        <w:t>AMGEVITA 40 mg/0,4 ml Spritze</w:t>
      </w:r>
    </w:p>
    <w:p w14:paraId="757073B3" w14:textId="77777777" w:rsidR="00FE291A" w:rsidRDefault="00FE291A">
      <w:pPr>
        <w:widowControl/>
        <w:rPr>
          <w:sz w:val="22"/>
          <w:szCs w:val="22"/>
          <w:shd w:val="clear" w:color="auto" w:fill="CCCCCC"/>
          <w:lang w:val="de-DE"/>
        </w:rPr>
      </w:pPr>
    </w:p>
    <w:p w14:paraId="76139758" w14:textId="77777777" w:rsidR="00FE291A" w:rsidRDefault="00FE291A">
      <w:pPr>
        <w:widowControl/>
        <w:rPr>
          <w:sz w:val="22"/>
          <w:szCs w:val="22"/>
          <w:shd w:val="clear" w:color="auto" w:fill="CCCCCC"/>
          <w:lang w:val="de-DE"/>
        </w:rPr>
      </w:pPr>
    </w:p>
    <w:p w14:paraId="68A1F032" w14:textId="77777777" w:rsidR="00FE291A" w:rsidRDefault="00C8738F">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i/>
          <w:sz w:val="22"/>
          <w:szCs w:val="22"/>
          <w:lang w:val="de-DE"/>
        </w:rPr>
      </w:pPr>
      <w:r>
        <w:rPr>
          <w:b/>
          <w:sz w:val="22"/>
          <w:szCs w:val="22"/>
          <w:lang w:val="de-DE"/>
        </w:rPr>
        <w:t>INDIVIDUELLES ERKENNUNGSMERKMAL – 2D-BARCODE</w:t>
      </w:r>
    </w:p>
    <w:p w14:paraId="2788974A" w14:textId="77777777" w:rsidR="00FE291A" w:rsidRDefault="00FE291A">
      <w:pPr>
        <w:widowControl/>
        <w:rPr>
          <w:sz w:val="22"/>
          <w:szCs w:val="22"/>
          <w:lang w:val="de-DE"/>
        </w:rPr>
      </w:pPr>
    </w:p>
    <w:p w14:paraId="3E20C5A7" w14:textId="77777777" w:rsidR="00FE291A" w:rsidRDefault="00C8738F">
      <w:pPr>
        <w:widowControl/>
        <w:rPr>
          <w:sz w:val="22"/>
          <w:szCs w:val="22"/>
          <w:shd w:val="clear" w:color="auto" w:fill="CCCCCC"/>
          <w:lang w:val="de-DE"/>
        </w:rPr>
      </w:pPr>
      <w:r>
        <w:rPr>
          <w:sz w:val="22"/>
          <w:szCs w:val="22"/>
          <w:highlight w:val="lightGray"/>
          <w:lang w:val="de-DE"/>
        </w:rPr>
        <w:t>2D-Barcode mit individuellem Erkennungsmerkmal.</w:t>
      </w:r>
    </w:p>
    <w:p w14:paraId="0A4B745C" w14:textId="77777777" w:rsidR="00FE291A" w:rsidRDefault="00FE291A">
      <w:pPr>
        <w:widowControl/>
        <w:rPr>
          <w:sz w:val="22"/>
          <w:szCs w:val="22"/>
          <w:lang w:val="de-DE"/>
        </w:rPr>
      </w:pPr>
    </w:p>
    <w:p w14:paraId="0BBB94FD" w14:textId="77777777" w:rsidR="00FE291A" w:rsidRDefault="00FE291A">
      <w:pPr>
        <w:widowControl/>
        <w:rPr>
          <w:sz w:val="22"/>
          <w:szCs w:val="22"/>
          <w:lang w:val="de-DE"/>
        </w:rPr>
      </w:pPr>
    </w:p>
    <w:p w14:paraId="364F5DCA" w14:textId="77777777" w:rsidR="00FE291A" w:rsidRDefault="00C8738F">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i/>
          <w:sz w:val="22"/>
          <w:szCs w:val="22"/>
          <w:lang w:val="de-DE"/>
        </w:rPr>
      </w:pPr>
      <w:r>
        <w:rPr>
          <w:b/>
          <w:sz w:val="22"/>
          <w:szCs w:val="22"/>
          <w:lang w:val="de-DE"/>
        </w:rPr>
        <w:t>INDIVIDUELLES ERKENNUNGSMERKMAL – VOM MENSCHEN LESBARES FORMAT</w:t>
      </w:r>
    </w:p>
    <w:p w14:paraId="1DCDEAD9" w14:textId="77777777" w:rsidR="00FE291A" w:rsidRDefault="00FE291A">
      <w:pPr>
        <w:keepNext/>
        <w:widowControl/>
        <w:rPr>
          <w:sz w:val="22"/>
          <w:szCs w:val="22"/>
          <w:lang w:val="de-DE"/>
        </w:rPr>
      </w:pPr>
    </w:p>
    <w:p w14:paraId="7FB73FD9" w14:textId="77777777" w:rsidR="00FE291A" w:rsidRDefault="00C8738F">
      <w:pPr>
        <w:keepNext/>
        <w:widowControl/>
        <w:rPr>
          <w:sz w:val="22"/>
          <w:szCs w:val="22"/>
          <w:lang w:val="de-DE"/>
        </w:rPr>
      </w:pPr>
      <w:r>
        <w:rPr>
          <w:sz w:val="22"/>
          <w:szCs w:val="22"/>
          <w:lang w:val="de-DE"/>
        </w:rPr>
        <w:t>PC</w:t>
      </w:r>
    </w:p>
    <w:p w14:paraId="341970CD" w14:textId="77777777" w:rsidR="00FE291A" w:rsidRDefault="00C8738F">
      <w:pPr>
        <w:keepNext/>
        <w:widowControl/>
        <w:rPr>
          <w:sz w:val="22"/>
          <w:szCs w:val="22"/>
          <w:lang w:val="de-DE"/>
        </w:rPr>
      </w:pPr>
      <w:r>
        <w:rPr>
          <w:sz w:val="22"/>
          <w:szCs w:val="22"/>
          <w:lang w:val="de-DE"/>
        </w:rPr>
        <w:t>SN</w:t>
      </w:r>
    </w:p>
    <w:p w14:paraId="4F0943CF" w14:textId="77777777" w:rsidR="00FE291A" w:rsidRDefault="00C8738F">
      <w:pPr>
        <w:widowControl/>
        <w:rPr>
          <w:sz w:val="22"/>
          <w:szCs w:val="22"/>
          <w:lang w:val="de-DE"/>
        </w:rPr>
      </w:pPr>
      <w:r>
        <w:rPr>
          <w:sz w:val="22"/>
          <w:szCs w:val="22"/>
          <w:lang w:val="de-DE"/>
        </w:rPr>
        <w:t>NN</w:t>
      </w:r>
    </w:p>
    <w:p w14:paraId="317B4626" w14:textId="77777777" w:rsidR="00FE291A" w:rsidRDefault="00C8738F">
      <w:pPr>
        <w:widowControl/>
        <w:pBdr>
          <w:top w:val="single" w:sz="4" w:space="1" w:color="auto"/>
          <w:left w:val="single" w:sz="4" w:space="4" w:color="auto"/>
          <w:bottom w:val="single" w:sz="4" w:space="1" w:color="auto"/>
          <w:right w:val="single" w:sz="4" w:space="4" w:color="auto"/>
        </w:pBdr>
        <w:rPr>
          <w:b/>
          <w:sz w:val="22"/>
          <w:szCs w:val="22"/>
          <w:lang w:val="de-DE"/>
        </w:rPr>
      </w:pPr>
      <w:r>
        <w:rPr>
          <w:sz w:val="22"/>
          <w:lang w:val="de-DE"/>
        </w:rPr>
        <w:br w:type="page"/>
      </w:r>
      <w:r>
        <w:rPr>
          <w:b/>
          <w:sz w:val="22"/>
          <w:szCs w:val="22"/>
          <w:lang w:val="de-DE"/>
        </w:rPr>
        <w:t>ANGABEN AUF DER ÄUSSEREN UMHÜLLUNG</w:t>
      </w:r>
    </w:p>
    <w:p w14:paraId="613EF37F" w14:textId="77777777" w:rsidR="00FE291A" w:rsidRDefault="00FE291A">
      <w:pPr>
        <w:pBdr>
          <w:top w:val="single" w:sz="4" w:space="1" w:color="auto"/>
          <w:left w:val="single" w:sz="4" w:space="4" w:color="auto"/>
          <w:bottom w:val="single" w:sz="4" w:space="1" w:color="auto"/>
          <w:right w:val="single" w:sz="4" w:space="4" w:color="auto"/>
        </w:pBdr>
        <w:ind w:left="567" w:hanging="567"/>
        <w:rPr>
          <w:sz w:val="22"/>
          <w:szCs w:val="22"/>
          <w:lang w:val="de-DE"/>
        </w:rPr>
      </w:pPr>
    </w:p>
    <w:p w14:paraId="47104B38" w14:textId="77777777" w:rsidR="00FE291A" w:rsidRDefault="00C8738F">
      <w:pPr>
        <w:pBdr>
          <w:top w:val="single" w:sz="4" w:space="1" w:color="auto"/>
          <w:left w:val="single" w:sz="4" w:space="4" w:color="auto"/>
          <w:bottom w:val="single" w:sz="4" w:space="1" w:color="auto"/>
          <w:right w:val="single" w:sz="4" w:space="4" w:color="auto"/>
        </w:pBdr>
        <w:rPr>
          <w:sz w:val="22"/>
          <w:szCs w:val="22"/>
          <w:lang w:val="de-DE"/>
        </w:rPr>
      </w:pPr>
      <w:r>
        <w:rPr>
          <w:b/>
          <w:sz w:val="22"/>
          <w:szCs w:val="22"/>
          <w:lang w:val="de-DE"/>
        </w:rPr>
        <w:t>INNERER KARTON DER BÜNDELPACKUNG FÜR DIE FERTIGSPRITZE (ohne blue box)</w:t>
      </w:r>
    </w:p>
    <w:p w14:paraId="57227564" w14:textId="77777777" w:rsidR="00FE291A" w:rsidRDefault="00FE291A">
      <w:pPr>
        <w:rPr>
          <w:sz w:val="22"/>
          <w:szCs w:val="22"/>
          <w:lang w:val="de-DE"/>
        </w:rPr>
      </w:pPr>
    </w:p>
    <w:p w14:paraId="5FFE5332" w14:textId="77777777" w:rsidR="00FE291A" w:rsidRDefault="00FE291A">
      <w:pPr>
        <w:rPr>
          <w:sz w:val="22"/>
          <w:szCs w:val="22"/>
          <w:lang w:val="de-DE"/>
        </w:rPr>
      </w:pPr>
    </w:p>
    <w:p w14:paraId="3ACA8526" w14:textId="77777777" w:rsidR="00FE291A" w:rsidRDefault="00C8738F">
      <w:pPr>
        <w:keepNext/>
        <w:numPr>
          <w:ilvl w:val="0"/>
          <w:numId w:val="34"/>
        </w:numPr>
        <w:pBdr>
          <w:top w:val="single" w:sz="4" w:space="1" w:color="auto"/>
          <w:left w:val="single" w:sz="4" w:space="4" w:color="auto"/>
          <w:bottom w:val="single" w:sz="4" w:space="1" w:color="auto"/>
          <w:right w:val="single" w:sz="4" w:space="4" w:color="auto"/>
        </w:pBdr>
        <w:tabs>
          <w:tab w:val="left" w:pos="567"/>
        </w:tabs>
        <w:ind w:hanging="1650"/>
        <w:outlineLvl w:val="0"/>
        <w:rPr>
          <w:sz w:val="22"/>
          <w:szCs w:val="22"/>
          <w:lang w:val="de-DE"/>
        </w:rPr>
      </w:pPr>
      <w:r>
        <w:rPr>
          <w:b/>
          <w:sz w:val="22"/>
          <w:szCs w:val="22"/>
          <w:lang w:val="de-DE"/>
        </w:rPr>
        <w:t>BEZEICHNUNG DES ARZNEIMITTELS</w:t>
      </w:r>
    </w:p>
    <w:p w14:paraId="0662D06F" w14:textId="77777777" w:rsidR="00FE291A" w:rsidRDefault="00FE291A">
      <w:pPr>
        <w:keepNext/>
        <w:rPr>
          <w:sz w:val="22"/>
          <w:szCs w:val="22"/>
          <w:lang w:val="de-DE"/>
        </w:rPr>
      </w:pPr>
    </w:p>
    <w:p w14:paraId="17E2ECB2" w14:textId="77777777" w:rsidR="00FE291A" w:rsidRDefault="00C8738F">
      <w:pPr>
        <w:rPr>
          <w:sz w:val="22"/>
          <w:szCs w:val="22"/>
          <w:lang w:val="de-DE"/>
        </w:rPr>
      </w:pPr>
      <w:r>
        <w:rPr>
          <w:sz w:val="22"/>
          <w:szCs w:val="22"/>
          <w:lang w:val="de-DE"/>
        </w:rPr>
        <w:t>AMGEVITA 40 mg Injektionslösung in einer Fertigspritze</w:t>
      </w:r>
    </w:p>
    <w:p w14:paraId="779F2F3E" w14:textId="77777777" w:rsidR="00FE291A" w:rsidRDefault="00C8738F">
      <w:pPr>
        <w:rPr>
          <w:b/>
          <w:sz w:val="22"/>
          <w:szCs w:val="22"/>
          <w:lang w:val="de-DE"/>
        </w:rPr>
      </w:pPr>
      <w:r>
        <w:rPr>
          <w:sz w:val="22"/>
          <w:szCs w:val="22"/>
          <w:lang w:val="de-DE"/>
        </w:rPr>
        <w:t>Adalimumab</w:t>
      </w:r>
    </w:p>
    <w:p w14:paraId="30E461C6" w14:textId="77777777" w:rsidR="00FE291A" w:rsidRDefault="00FE291A">
      <w:pPr>
        <w:rPr>
          <w:sz w:val="22"/>
          <w:szCs w:val="22"/>
          <w:lang w:val="de-DE"/>
        </w:rPr>
      </w:pPr>
    </w:p>
    <w:p w14:paraId="4487B355" w14:textId="77777777" w:rsidR="00FE291A" w:rsidRDefault="00FE291A">
      <w:pPr>
        <w:rPr>
          <w:sz w:val="22"/>
          <w:szCs w:val="22"/>
          <w:lang w:val="de-DE"/>
        </w:rPr>
      </w:pPr>
    </w:p>
    <w:p w14:paraId="24F7ABE2" w14:textId="77777777" w:rsidR="00FE291A" w:rsidRDefault="00C8738F">
      <w:pPr>
        <w:keepNext/>
        <w:numPr>
          <w:ilvl w:val="0"/>
          <w:numId w:val="34"/>
        </w:num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de-DE"/>
        </w:rPr>
      </w:pPr>
      <w:r>
        <w:rPr>
          <w:b/>
          <w:sz w:val="22"/>
          <w:szCs w:val="22"/>
          <w:lang w:val="de-DE"/>
        </w:rPr>
        <w:t>WIRKSTOFF</w:t>
      </w:r>
    </w:p>
    <w:p w14:paraId="4C89B513" w14:textId="77777777" w:rsidR="00FE291A" w:rsidRDefault="00FE291A">
      <w:pPr>
        <w:keepNext/>
        <w:rPr>
          <w:sz w:val="22"/>
          <w:szCs w:val="22"/>
          <w:lang w:val="de-DE"/>
        </w:rPr>
      </w:pPr>
    </w:p>
    <w:p w14:paraId="59F467AD" w14:textId="77777777" w:rsidR="00FE291A" w:rsidRDefault="00C8738F">
      <w:pPr>
        <w:rPr>
          <w:sz w:val="22"/>
          <w:szCs w:val="22"/>
          <w:lang w:val="de-DE"/>
        </w:rPr>
      </w:pPr>
      <w:r>
        <w:rPr>
          <w:sz w:val="22"/>
          <w:szCs w:val="22"/>
          <w:lang w:val="de-DE"/>
        </w:rPr>
        <w:t>Jede Fertigspritze enthält 40 mg Adalimumab in 0,4 ml Lösung.</w:t>
      </w:r>
    </w:p>
    <w:p w14:paraId="103A4685" w14:textId="77777777" w:rsidR="00FE291A" w:rsidRDefault="00FE291A">
      <w:pPr>
        <w:rPr>
          <w:sz w:val="22"/>
          <w:szCs w:val="22"/>
          <w:lang w:val="de-DE"/>
        </w:rPr>
      </w:pPr>
    </w:p>
    <w:p w14:paraId="26B01AA9" w14:textId="77777777" w:rsidR="00FE291A" w:rsidRDefault="00FE291A">
      <w:pPr>
        <w:rPr>
          <w:sz w:val="22"/>
          <w:szCs w:val="22"/>
          <w:lang w:val="de-DE"/>
        </w:rPr>
      </w:pPr>
    </w:p>
    <w:p w14:paraId="4CFB7DAA" w14:textId="77777777" w:rsidR="00FE291A" w:rsidRDefault="00C8738F">
      <w:pPr>
        <w:keepNext/>
        <w:numPr>
          <w:ilvl w:val="0"/>
          <w:numId w:val="3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SONSTIGE BESTANDTEILE</w:t>
      </w:r>
    </w:p>
    <w:p w14:paraId="6710CC68" w14:textId="77777777" w:rsidR="00FE291A" w:rsidRDefault="00FE291A">
      <w:pPr>
        <w:rPr>
          <w:sz w:val="22"/>
          <w:szCs w:val="22"/>
          <w:lang w:val="de-DE"/>
        </w:rPr>
      </w:pPr>
    </w:p>
    <w:p w14:paraId="0A7E8FF8" w14:textId="77777777" w:rsidR="00FE291A" w:rsidRDefault="00C8738F">
      <w:pPr>
        <w:rPr>
          <w:sz w:val="22"/>
          <w:szCs w:val="22"/>
          <w:lang w:val="de-DE"/>
        </w:rPr>
      </w:pPr>
      <w:r>
        <w:rPr>
          <w:sz w:val="22"/>
          <w:szCs w:val="22"/>
          <w:lang w:val="de-DE"/>
        </w:rPr>
        <w:t>(S)-Milchsäure, Saccharose, Polysorbat 80, Natriumhydroxid und Wasser für Injektionszwecke.</w:t>
      </w:r>
    </w:p>
    <w:p w14:paraId="3465DCEF" w14:textId="77777777" w:rsidR="00FE291A" w:rsidRDefault="00FE291A">
      <w:pPr>
        <w:rPr>
          <w:sz w:val="22"/>
          <w:szCs w:val="22"/>
          <w:lang w:val="de-DE"/>
        </w:rPr>
      </w:pPr>
    </w:p>
    <w:p w14:paraId="42D98D5F" w14:textId="77777777" w:rsidR="00FE291A" w:rsidRDefault="00FE291A">
      <w:pPr>
        <w:rPr>
          <w:sz w:val="22"/>
          <w:szCs w:val="22"/>
          <w:lang w:val="de-DE"/>
        </w:rPr>
      </w:pPr>
    </w:p>
    <w:p w14:paraId="2F115978" w14:textId="77777777" w:rsidR="00FE291A" w:rsidRDefault="00C8738F">
      <w:pPr>
        <w:keepNext/>
        <w:numPr>
          <w:ilvl w:val="0"/>
          <w:numId w:val="3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DARREICHUNGSFORM UND INHALT</w:t>
      </w:r>
    </w:p>
    <w:p w14:paraId="47A20FE8" w14:textId="77777777" w:rsidR="00FE291A" w:rsidRDefault="00FE291A">
      <w:pPr>
        <w:rPr>
          <w:sz w:val="22"/>
          <w:szCs w:val="22"/>
          <w:lang w:val="de-DE"/>
        </w:rPr>
      </w:pPr>
    </w:p>
    <w:p w14:paraId="2F4923C7" w14:textId="77777777" w:rsidR="00FE291A" w:rsidRDefault="00C8738F">
      <w:pPr>
        <w:rPr>
          <w:sz w:val="22"/>
          <w:szCs w:val="22"/>
          <w:lang w:val="de-DE"/>
        </w:rPr>
      </w:pPr>
      <w:r>
        <w:rPr>
          <w:sz w:val="22"/>
          <w:szCs w:val="22"/>
          <w:highlight w:val="lightGray"/>
          <w:lang w:val="de-DE"/>
        </w:rPr>
        <w:t>Injektionslösung</w:t>
      </w:r>
    </w:p>
    <w:p w14:paraId="23EE63BC" w14:textId="77777777" w:rsidR="00FE291A" w:rsidRDefault="00C8738F">
      <w:pPr>
        <w:rPr>
          <w:sz w:val="22"/>
          <w:szCs w:val="22"/>
          <w:lang w:val="de-DE"/>
        </w:rPr>
      </w:pPr>
      <w:r>
        <w:rPr>
          <w:sz w:val="22"/>
          <w:szCs w:val="22"/>
          <w:lang w:val="de-DE"/>
        </w:rPr>
        <w:t>40 mg/0,4 ml</w:t>
      </w:r>
    </w:p>
    <w:p w14:paraId="0B74DFFE" w14:textId="77777777" w:rsidR="00FE291A" w:rsidRDefault="00C8738F">
      <w:pPr>
        <w:rPr>
          <w:sz w:val="22"/>
          <w:szCs w:val="22"/>
          <w:lang w:val="de-DE"/>
        </w:rPr>
      </w:pPr>
      <w:r>
        <w:rPr>
          <w:sz w:val="22"/>
          <w:szCs w:val="22"/>
          <w:lang w:val="de-DE"/>
        </w:rPr>
        <w:t>2 Fertigspritzen. Teil einer Bündelpackung, Einzelverkauf unzulässig.</w:t>
      </w:r>
    </w:p>
    <w:p w14:paraId="1DC1CBB2" w14:textId="77777777" w:rsidR="00FE291A" w:rsidRDefault="00FE291A">
      <w:pPr>
        <w:rPr>
          <w:sz w:val="22"/>
          <w:szCs w:val="22"/>
          <w:lang w:val="de-DE"/>
        </w:rPr>
      </w:pPr>
    </w:p>
    <w:p w14:paraId="2EB03CE3" w14:textId="77777777" w:rsidR="00FE291A" w:rsidRDefault="00FE291A">
      <w:pPr>
        <w:rPr>
          <w:sz w:val="22"/>
          <w:szCs w:val="22"/>
          <w:lang w:val="de-DE"/>
        </w:rPr>
      </w:pPr>
    </w:p>
    <w:p w14:paraId="3A1CA669" w14:textId="77777777" w:rsidR="00FE291A" w:rsidRDefault="00C8738F">
      <w:pPr>
        <w:keepNext/>
        <w:numPr>
          <w:ilvl w:val="0"/>
          <w:numId w:val="3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HINWEISE ZUR UND ART(EN) DER ANWENDUNG</w:t>
      </w:r>
    </w:p>
    <w:p w14:paraId="7828CABB" w14:textId="77777777" w:rsidR="00FE291A" w:rsidRDefault="00FE291A">
      <w:pPr>
        <w:keepNext/>
        <w:rPr>
          <w:sz w:val="22"/>
          <w:szCs w:val="22"/>
          <w:lang w:val="de-DE"/>
        </w:rPr>
      </w:pPr>
    </w:p>
    <w:p w14:paraId="4FF657CD" w14:textId="77777777" w:rsidR="00FE291A" w:rsidRDefault="00C8738F">
      <w:pPr>
        <w:rPr>
          <w:sz w:val="22"/>
          <w:szCs w:val="22"/>
          <w:lang w:val="de-DE"/>
        </w:rPr>
      </w:pPr>
      <w:r>
        <w:rPr>
          <w:sz w:val="22"/>
          <w:szCs w:val="22"/>
          <w:lang w:val="de-DE"/>
        </w:rPr>
        <w:t>Zur subkutanen Anwendung.</w:t>
      </w:r>
    </w:p>
    <w:p w14:paraId="389334A8" w14:textId="77777777" w:rsidR="00FE291A" w:rsidRDefault="00C8738F">
      <w:pPr>
        <w:rPr>
          <w:sz w:val="22"/>
          <w:szCs w:val="22"/>
          <w:lang w:val="de-DE"/>
        </w:rPr>
      </w:pPr>
      <w:r>
        <w:rPr>
          <w:sz w:val="22"/>
          <w:szCs w:val="22"/>
          <w:lang w:val="de-DE"/>
        </w:rPr>
        <w:t>Packungsbeilage beachten.</w:t>
      </w:r>
    </w:p>
    <w:p w14:paraId="0257DB11" w14:textId="77777777" w:rsidR="00FE291A" w:rsidRDefault="00C8738F">
      <w:pPr>
        <w:rPr>
          <w:sz w:val="22"/>
          <w:szCs w:val="22"/>
          <w:lang w:val="de-DE"/>
        </w:rPr>
      </w:pPr>
      <w:r>
        <w:rPr>
          <w:sz w:val="22"/>
          <w:szCs w:val="22"/>
          <w:lang w:val="de-DE"/>
        </w:rPr>
        <w:t>Nur zum Einmalgebrauch.</w:t>
      </w:r>
    </w:p>
    <w:p w14:paraId="7F7BB9F8" w14:textId="77777777" w:rsidR="00FE291A" w:rsidRDefault="00FE291A">
      <w:pPr>
        <w:rPr>
          <w:sz w:val="22"/>
          <w:szCs w:val="22"/>
          <w:lang w:val="de-DE"/>
        </w:rPr>
      </w:pPr>
    </w:p>
    <w:p w14:paraId="489A5209" w14:textId="77777777" w:rsidR="00FE291A" w:rsidRDefault="00FE291A">
      <w:pPr>
        <w:rPr>
          <w:sz w:val="22"/>
          <w:szCs w:val="22"/>
          <w:lang w:val="de-DE"/>
        </w:rPr>
      </w:pPr>
    </w:p>
    <w:p w14:paraId="634A063F" w14:textId="77777777" w:rsidR="00FE291A" w:rsidRDefault="00C8738F">
      <w:pPr>
        <w:keepNext/>
        <w:numPr>
          <w:ilvl w:val="0"/>
          <w:numId w:val="3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WARNHINWEIS, DASS DAS ARZNEIMITTEL FÜR KINDER UNZUGÄNGLICH AUFZUBEWAHREN IST</w:t>
      </w:r>
    </w:p>
    <w:p w14:paraId="29DE9D11" w14:textId="77777777" w:rsidR="00FE291A" w:rsidRDefault="00FE291A">
      <w:pPr>
        <w:keepNext/>
        <w:rPr>
          <w:sz w:val="22"/>
          <w:szCs w:val="22"/>
          <w:lang w:val="de-DE"/>
        </w:rPr>
      </w:pPr>
    </w:p>
    <w:p w14:paraId="5C3C6A85" w14:textId="77777777" w:rsidR="00FE291A" w:rsidRDefault="00C8738F">
      <w:pPr>
        <w:outlineLvl w:val="0"/>
        <w:rPr>
          <w:sz w:val="22"/>
          <w:szCs w:val="22"/>
          <w:lang w:val="de-DE"/>
        </w:rPr>
      </w:pPr>
      <w:r>
        <w:rPr>
          <w:sz w:val="22"/>
          <w:szCs w:val="22"/>
          <w:lang w:val="de-DE"/>
        </w:rPr>
        <w:t>Arzneimittel für Kinder unzugänglich aufbewahren.</w:t>
      </w:r>
    </w:p>
    <w:p w14:paraId="14CF45E3" w14:textId="77777777" w:rsidR="00FE291A" w:rsidRDefault="00FE291A">
      <w:pPr>
        <w:rPr>
          <w:sz w:val="22"/>
          <w:szCs w:val="22"/>
          <w:lang w:val="de-DE"/>
        </w:rPr>
      </w:pPr>
    </w:p>
    <w:p w14:paraId="6EB8D992" w14:textId="77777777" w:rsidR="00FE291A" w:rsidRDefault="00FE291A">
      <w:pPr>
        <w:rPr>
          <w:sz w:val="22"/>
          <w:szCs w:val="22"/>
          <w:lang w:val="de-DE"/>
        </w:rPr>
      </w:pPr>
    </w:p>
    <w:p w14:paraId="447FBA83" w14:textId="77777777" w:rsidR="00FE291A" w:rsidRDefault="00C8738F">
      <w:pPr>
        <w:keepNext/>
        <w:numPr>
          <w:ilvl w:val="0"/>
          <w:numId w:val="3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WEITERE WARNHINWEISE, FALLS ERFORDERLICH</w:t>
      </w:r>
    </w:p>
    <w:p w14:paraId="732312D2" w14:textId="77777777" w:rsidR="00FE291A" w:rsidRDefault="00FE291A">
      <w:pPr>
        <w:keepNext/>
        <w:rPr>
          <w:sz w:val="22"/>
          <w:szCs w:val="22"/>
          <w:lang w:val="de-DE"/>
        </w:rPr>
      </w:pPr>
    </w:p>
    <w:p w14:paraId="2395FD53" w14:textId="77777777" w:rsidR="00FE291A" w:rsidRDefault="00FE291A">
      <w:pPr>
        <w:tabs>
          <w:tab w:val="left" w:pos="749"/>
        </w:tabs>
        <w:rPr>
          <w:sz w:val="22"/>
          <w:szCs w:val="22"/>
          <w:lang w:val="de-DE"/>
        </w:rPr>
      </w:pPr>
    </w:p>
    <w:p w14:paraId="4C241685" w14:textId="77777777" w:rsidR="00FE291A" w:rsidRDefault="00C8738F">
      <w:pPr>
        <w:keepNext/>
        <w:numPr>
          <w:ilvl w:val="0"/>
          <w:numId w:val="3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VERFALLDATUM</w:t>
      </w:r>
    </w:p>
    <w:p w14:paraId="1F80BD17" w14:textId="77777777" w:rsidR="00FE291A" w:rsidRDefault="00FE291A">
      <w:pPr>
        <w:keepNext/>
        <w:rPr>
          <w:sz w:val="22"/>
          <w:szCs w:val="22"/>
          <w:lang w:val="de-DE"/>
        </w:rPr>
      </w:pPr>
    </w:p>
    <w:p w14:paraId="28E2EDDA" w14:textId="77777777" w:rsidR="00FE291A" w:rsidRDefault="00C8738F">
      <w:pPr>
        <w:rPr>
          <w:sz w:val="22"/>
          <w:szCs w:val="22"/>
          <w:lang w:val="de-DE"/>
        </w:rPr>
      </w:pPr>
      <w:r>
        <w:rPr>
          <w:sz w:val="22"/>
          <w:szCs w:val="22"/>
          <w:lang w:val="de-DE"/>
        </w:rPr>
        <w:t>verwendbar bis</w:t>
      </w:r>
    </w:p>
    <w:p w14:paraId="24CB9D83" w14:textId="77777777" w:rsidR="00FE291A" w:rsidRDefault="00FE291A">
      <w:pPr>
        <w:rPr>
          <w:sz w:val="22"/>
          <w:szCs w:val="22"/>
          <w:lang w:val="de-DE"/>
        </w:rPr>
      </w:pPr>
    </w:p>
    <w:p w14:paraId="326671D9" w14:textId="77777777" w:rsidR="00FE291A" w:rsidRDefault="00FE291A">
      <w:pPr>
        <w:rPr>
          <w:sz w:val="22"/>
          <w:szCs w:val="22"/>
          <w:lang w:val="de-DE"/>
        </w:rPr>
      </w:pPr>
    </w:p>
    <w:p w14:paraId="1F2A61B5" w14:textId="77777777" w:rsidR="00FE291A" w:rsidRDefault="00C8738F">
      <w:pPr>
        <w:keepNext/>
        <w:numPr>
          <w:ilvl w:val="0"/>
          <w:numId w:val="3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BESONDERE VORSICHTSMASSNAHMEN FÜR DIE AUFBEWAHRUNG</w:t>
      </w:r>
    </w:p>
    <w:p w14:paraId="37F3285B" w14:textId="77777777" w:rsidR="00FE291A" w:rsidRDefault="00FE291A">
      <w:pPr>
        <w:keepNext/>
        <w:rPr>
          <w:sz w:val="22"/>
          <w:szCs w:val="22"/>
          <w:lang w:val="de-DE"/>
        </w:rPr>
      </w:pPr>
    </w:p>
    <w:p w14:paraId="06600F77" w14:textId="77777777" w:rsidR="00FE291A" w:rsidRDefault="00C8738F">
      <w:pPr>
        <w:keepNext/>
        <w:ind w:left="567" w:hanging="567"/>
        <w:rPr>
          <w:sz w:val="22"/>
          <w:szCs w:val="22"/>
          <w:lang w:val="de-DE"/>
        </w:rPr>
      </w:pPr>
      <w:r>
        <w:rPr>
          <w:sz w:val="22"/>
          <w:szCs w:val="22"/>
          <w:lang w:val="de-DE"/>
        </w:rPr>
        <w:t>Im Kühlschrank lagern.</w:t>
      </w:r>
    </w:p>
    <w:p w14:paraId="2E3E0AFE" w14:textId="77777777" w:rsidR="00FE291A" w:rsidRDefault="00C8738F">
      <w:pPr>
        <w:keepNext/>
        <w:ind w:left="567" w:hanging="567"/>
        <w:rPr>
          <w:sz w:val="22"/>
          <w:szCs w:val="22"/>
          <w:lang w:val="de-DE"/>
        </w:rPr>
      </w:pPr>
      <w:r>
        <w:rPr>
          <w:sz w:val="22"/>
          <w:szCs w:val="22"/>
          <w:lang w:val="de-DE"/>
        </w:rPr>
        <w:t>Nicht einfrieren.</w:t>
      </w:r>
    </w:p>
    <w:p w14:paraId="1D38860C" w14:textId="77777777" w:rsidR="00FE291A" w:rsidRDefault="00C8738F">
      <w:pPr>
        <w:keepNext/>
        <w:ind w:left="567" w:hanging="567"/>
        <w:rPr>
          <w:sz w:val="22"/>
          <w:szCs w:val="22"/>
          <w:lang w:val="de-DE"/>
        </w:rPr>
      </w:pPr>
      <w:r>
        <w:rPr>
          <w:sz w:val="22"/>
          <w:szCs w:val="22"/>
          <w:lang w:val="de-DE"/>
        </w:rPr>
        <w:t>Im Originalkarton aufbewahren, um den Inhalt vor Licht zu schützen.</w:t>
      </w:r>
    </w:p>
    <w:p w14:paraId="1C7B30AF" w14:textId="77777777" w:rsidR="00FE291A" w:rsidRDefault="00FE291A">
      <w:pPr>
        <w:ind w:left="567" w:hanging="567"/>
        <w:rPr>
          <w:sz w:val="22"/>
          <w:szCs w:val="22"/>
          <w:lang w:val="de-DE"/>
        </w:rPr>
      </w:pPr>
    </w:p>
    <w:p w14:paraId="3D077780" w14:textId="77777777" w:rsidR="00FE291A" w:rsidRDefault="00FE291A">
      <w:pPr>
        <w:ind w:left="567" w:hanging="567"/>
        <w:rPr>
          <w:sz w:val="22"/>
          <w:szCs w:val="22"/>
          <w:lang w:val="de-DE"/>
        </w:rPr>
      </w:pPr>
    </w:p>
    <w:p w14:paraId="62803FBE" w14:textId="77777777" w:rsidR="00FE291A" w:rsidRDefault="00C8738F">
      <w:pPr>
        <w:keepNext/>
        <w:numPr>
          <w:ilvl w:val="0"/>
          <w:numId w:val="34"/>
        </w:num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de-DE"/>
        </w:rPr>
      </w:pPr>
      <w:r>
        <w:rPr>
          <w:b/>
          <w:sz w:val="22"/>
          <w:szCs w:val="22"/>
          <w:lang w:val="de-DE"/>
        </w:rPr>
        <w:t>GEGEBENENFALLS BESONDERE VORSICHTSMASSNAHMEN FÜR DIE BESEITIGUNG VON NICHT VERWENDETEM ARZNEIMITTEL ODER DAVON STAMMENDEN ABFALLMATERIALIEN</w:t>
      </w:r>
    </w:p>
    <w:p w14:paraId="6D1A387C" w14:textId="77777777" w:rsidR="00FE291A" w:rsidRDefault="00FE291A">
      <w:pPr>
        <w:rPr>
          <w:sz w:val="22"/>
          <w:szCs w:val="22"/>
          <w:lang w:val="de-DE"/>
        </w:rPr>
      </w:pPr>
    </w:p>
    <w:p w14:paraId="21F5CC6F" w14:textId="77777777" w:rsidR="00FE291A" w:rsidRDefault="00FE291A">
      <w:pPr>
        <w:rPr>
          <w:sz w:val="22"/>
          <w:szCs w:val="22"/>
          <w:lang w:val="de-DE"/>
        </w:rPr>
      </w:pPr>
    </w:p>
    <w:p w14:paraId="6DB07AA4" w14:textId="77777777" w:rsidR="00FE291A" w:rsidRDefault="00C8738F">
      <w:pPr>
        <w:keepNext/>
        <w:numPr>
          <w:ilvl w:val="0"/>
          <w:numId w:val="34"/>
        </w:num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de-DE"/>
        </w:rPr>
      </w:pPr>
      <w:r>
        <w:rPr>
          <w:b/>
          <w:sz w:val="22"/>
          <w:szCs w:val="22"/>
          <w:lang w:val="de-DE"/>
        </w:rPr>
        <w:t>NAME UND ANSCHRIFT DES PHARMAZEUTISCHEN UNTERNEHMERS</w:t>
      </w:r>
    </w:p>
    <w:p w14:paraId="265DC7E3" w14:textId="77777777" w:rsidR="00FE291A" w:rsidRDefault="00FE291A">
      <w:pPr>
        <w:rPr>
          <w:sz w:val="22"/>
          <w:szCs w:val="22"/>
          <w:lang w:val="de-DE"/>
        </w:rPr>
      </w:pPr>
    </w:p>
    <w:p w14:paraId="76CA0EED" w14:textId="77777777" w:rsidR="00FE291A" w:rsidRDefault="00C8738F">
      <w:pPr>
        <w:rPr>
          <w:rFonts w:eastAsia="SimSun"/>
          <w:sz w:val="22"/>
          <w:szCs w:val="22"/>
          <w:lang w:val="de-DE" w:eastAsia="en-GB"/>
        </w:rPr>
      </w:pPr>
      <w:r>
        <w:rPr>
          <w:rFonts w:eastAsia="SimSun"/>
          <w:sz w:val="22"/>
          <w:szCs w:val="22"/>
          <w:lang w:val="de-DE" w:eastAsia="en-GB"/>
        </w:rPr>
        <w:t>Amgen Europe B.V.</w:t>
      </w:r>
    </w:p>
    <w:p w14:paraId="40AB9488" w14:textId="77777777" w:rsidR="00FE291A" w:rsidRDefault="00C8738F">
      <w:pPr>
        <w:rPr>
          <w:rFonts w:eastAsia="SimSun"/>
          <w:sz w:val="22"/>
          <w:szCs w:val="22"/>
          <w:lang w:val="de-DE" w:eastAsia="en-GB"/>
        </w:rPr>
      </w:pPr>
      <w:r>
        <w:rPr>
          <w:rFonts w:eastAsia="SimSun"/>
          <w:sz w:val="22"/>
          <w:szCs w:val="22"/>
          <w:lang w:val="de-DE" w:eastAsia="en-GB"/>
        </w:rPr>
        <w:t>Minervum 7061,</w:t>
      </w:r>
    </w:p>
    <w:p w14:paraId="116DF7C1" w14:textId="77777777" w:rsidR="00FE291A" w:rsidRDefault="00C8738F">
      <w:pPr>
        <w:rPr>
          <w:rFonts w:eastAsia="SimSun"/>
          <w:sz w:val="22"/>
          <w:szCs w:val="22"/>
          <w:lang w:val="de-DE" w:eastAsia="en-GB"/>
        </w:rPr>
      </w:pPr>
      <w:r>
        <w:rPr>
          <w:rFonts w:eastAsia="SimSun"/>
          <w:sz w:val="22"/>
          <w:szCs w:val="22"/>
          <w:lang w:val="de-DE" w:eastAsia="en-GB"/>
        </w:rPr>
        <w:t>4817 ZK Breda,</w:t>
      </w:r>
    </w:p>
    <w:p w14:paraId="42C6727E" w14:textId="77777777" w:rsidR="00FE291A" w:rsidRDefault="00C8738F">
      <w:pPr>
        <w:rPr>
          <w:rFonts w:eastAsia="SimSun"/>
          <w:sz w:val="22"/>
          <w:szCs w:val="22"/>
          <w:lang w:val="de-DE" w:eastAsia="en-GB"/>
        </w:rPr>
      </w:pPr>
      <w:r>
        <w:rPr>
          <w:rFonts w:eastAsia="SimSun"/>
          <w:sz w:val="22"/>
          <w:szCs w:val="22"/>
          <w:lang w:val="de-DE" w:eastAsia="en-GB"/>
        </w:rPr>
        <w:t>Niederlande</w:t>
      </w:r>
    </w:p>
    <w:p w14:paraId="52231B46" w14:textId="77777777" w:rsidR="00FE291A" w:rsidRDefault="00FE291A">
      <w:pPr>
        <w:rPr>
          <w:sz w:val="22"/>
          <w:szCs w:val="22"/>
          <w:lang w:val="de-DE"/>
        </w:rPr>
      </w:pPr>
    </w:p>
    <w:p w14:paraId="27DA1B8E" w14:textId="77777777" w:rsidR="00FE291A" w:rsidRDefault="00FE291A">
      <w:pPr>
        <w:rPr>
          <w:sz w:val="22"/>
          <w:szCs w:val="22"/>
          <w:lang w:val="de-DE"/>
        </w:rPr>
      </w:pPr>
    </w:p>
    <w:p w14:paraId="755FE93B" w14:textId="77777777" w:rsidR="00FE291A" w:rsidRDefault="00C8738F">
      <w:pPr>
        <w:keepNext/>
        <w:numPr>
          <w:ilvl w:val="0"/>
          <w:numId w:val="3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ZULASSUNGSNUMMER</w:t>
      </w:r>
    </w:p>
    <w:p w14:paraId="7B8363AE" w14:textId="77777777" w:rsidR="00FE291A" w:rsidRDefault="00FE291A">
      <w:pPr>
        <w:rPr>
          <w:sz w:val="22"/>
          <w:szCs w:val="22"/>
          <w:lang w:val="de-DE"/>
        </w:rPr>
      </w:pPr>
    </w:p>
    <w:p w14:paraId="7A941619" w14:textId="77777777" w:rsidR="00FE291A" w:rsidRDefault="00C8738F">
      <w:pPr>
        <w:outlineLvl w:val="0"/>
        <w:rPr>
          <w:sz w:val="22"/>
          <w:szCs w:val="22"/>
          <w:lang w:val="de-DE"/>
        </w:rPr>
      </w:pPr>
      <w:r>
        <w:rPr>
          <w:sz w:val="22"/>
          <w:szCs w:val="22"/>
          <w:lang w:val="de-DE"/>
        </w:rPr>
        <w:t>EU/1/16/1164/013</w:t>
      </w:r>
    </w:p>
    <w:p w14:paraId="1E20C215" w14:textId="77777777" w:rsidR="00FE291A" w:rsidRDefault="00FE291A">
      <w:pPr>
        <w:outlineLvl w:val="0"/>
        <w:rPr>
          <w:sz w:val="22"/>
          <w:szCs w:val="22"/>
          <w:lang w:val="de-DE"/>
        </w:rPr>
      </w:pPr>
    </w:p>
    <w:p w14:paraId="69C262FD" w14:textId="77777777" w:rsidR="00FE291A" w:rsidRDefault="00FE291A">
      <w:pPr>
        <w:rPr>
          <w:sz w:val="22"/>
          <w:szCs w:val="22"/>
          <w:lang w:val="de-DE"/>
        </w:rPr>
      </w:pPr>
    </w:p>
    <w:p w14:paraId="615C6910" w14:textId="77777777" w:rsidR="00FE291A" w:rsidRDefault="00C8738F">
      <w:pPr>
        <w:keepNext/>
        <w:numPr>
          <w:ilvl w:val="0"/>
          <w:numId w:val="3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CHARGENBEZEICHNUNG</w:t>
      </w:r>
    </w:p>
    <w:p w14:paraId="31376CE5" w14:textId="77777777" w:rsidR="00FE291A" w:rsidRDefault="00FE291A">
      <w:pPr>
        <w:rPr>
          <w:i/>
          <w:sz w:val="22"/>
          <w:szCs w:val="22"/>
          <w:lang w:val="de-DE"/>
        </w:rPr>
      </w:pPr>
    </w:p>
    <w:p w14:paraId="36595E1D" w14:textId="77777777" w:rsidR="00FE291A" w:rsidRDefault="00C8738F">
      <w:pPr>
        <w:rPr>
          <w:sz w:val="22"/>
          <w:szCs w:val="22"/>
          <w:lang w:val="de-DE"/>
        </w:rPr>
      </w:pPr>
      <w:r>
        <w:rPr>
          <w:sz w:val="22"/>
          <w:szCs w:val="22"/>
          <w:lang w:val="de-DE"/>
        </w:rPr>
        <w:t>Ch.-B.</w:t>
      </w:r>
    </w:p>
    <w:p w14:paraId="1D7C5EF8" w14:textId="77777777" w:rsidR="00FE291A" w:rsidRDefault="00FE291A">
      <w:pPr>
        <w:rPr>
          <w:sz w:val="22"/>
          <w:szCs w:val="22"/>
          <w:lang w:val="de-DE"/>
        </w:rPr>
      </w:pPr>
    </w:p>
    <w:p w14:paraId="4754212B" w14:textId="77777777" w:rsidR="00FE291A" w:rsidRDefault="00FE291A">
      <w:pPr>
        <w:rPr>
          <w:sz w:val="22"/>
          <w:szCs w:val="22"/>
          <w:lang w:val="de-DE"/>
        </w:rPr>
      </w:pPr>
    </w:p>
    <w:p w14:paraId="018936A2" w14:textId="77777777" w:rsidR="00FE291A" w:rsidRDefault="00C8738F">
      <w:pPr>
        <w:keepNext/>
        <w:numPr>
          <w:ilvl w:val="0"/>
          <w:numId w:val="3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VERKAUFSABGRENZUNG</w:t>
      </w:r>
    </w:p>
    <w:p w14:paraId="08018753" w14:textId="77777777" w:rsidR="00FE291A" w:rsidRDefault="00FE291A">
      <w:pPr>
        <w:rPr>
          <w:i/>
          <w:sz w:val="22"/>
          <w:szCs w:val="22"/>
          <w:lang w:val="de-DE"/>
        </w:rPr>
      </w:pPr>
    </w:p>
    <w:p w14:paraId="3DB11D8C" w14:textId="77777777" w:rsidR="00FE291A" w:rsidRDefault="00FE291A">
      <w:pPr>
        <w:rPr>
          <w:sz w:val="22"/>
          <w:szCs w:val="22"/>
          <w:lang w:val="de-DE"/>
        </w:rPr>
      </w:pPr>
    </w:p>
    <w:p w14:paraId="4EC75126" w14:textId="77777777" w:rsidR="00FE291A" w:rsidRDefault="00C8738F">
      <w:pPr>
        <w:keepNext/>
        <w:numPr>
          <w:ilvl w:val="0"/>
          <w:numId w:val="3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HINWEISE FÜR DEN GEBRAUCH</w:t>
      </w:r>
    </w:p>
    <w:p w14:paraId="4F80F353" w14:textId="77777777" w:rsidR="00FE291A" w:rsidRDefault="00FE291A">
      <w:pPr>
        <w:rPr>
          <w:sz w:val="22"/>
          <w:szCs w:val="22"/>
          <w:lang w:val="de-DE"/>
        </w:rPr>
      </w:pPr>
    </w:p>
    <w:p w14:paraId="21038CCC" w14:textId="77777777" w:rsidR="00FE291A" w:rsidRDefault="00FE291A">
      <w:pPr>
        <w:rPr>
          <w:sz w:val="22"/>
          <w:szCs w:val="22"/>
          <w:lang w:val="de-DE"/>
        </w:rPr>
      </w:pPr>
    </w:p>
    <w:p w14:paraId="203D3931" w14:textId="77777777" w:rsidR="00FE291A" w:rsidRDefault="00C8738F">
      <w:pPr>
        <w:keepNext/>
        <w:numPr>
          <w:ilvl w:val="0"/>
          <w:numId w:val="34"/>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ANGABEN IN BLINDENSCHRIFT</w:t>
      </w:r>
    </w:p>
    <w:p w14:paraId="67C7C06D" w14:textId="77777777" w:rsidR="00FE291A" w:rsidRDefault="00FE291A">
      <w:pPr>
        <w:rPr>
          <w:sz w:val="22"/>
          <w:szCs w:val="22"/>
          <w:lang w:val="de-DE"/>
        </w:rPr>
      </w:pPr>
    </w:p>
    <w:p w14:paraId="752DF534" w14:textId="77777777" w:rsidR="00FE291A" w:rsidRDefault="00C8738F">
      <w:pPr>
        <w:rPr>
          <w:sz w:val="22"/>
          <w:szCs w:val="22"/>
          <w:shd w:val="clear" w:color="auto" w:fill="CCCCCC"/>
          <w:lang w:val="de-DE"/>
        </w:rPr>
      </w:pPr>
      <w:r>
        <w:rPr>
          <w:sz w:val="22"/>
          <w:szCs w:val="22"/>
          <w:lang w:val="de-DE"/>
        </w:rPr>
        <w:t>AMGEVITA 40 mg/0,4 ml Spritze</w:t>
      </w:r>
    </w:p>
    <w:p w14:paraId="7F24C366" w14:textId="77777777" w:rsidR="00FE291A" w:rsidRDefault="00FE291A">
      <w:pPr>
        <w:rPr>
          <w:sz w:val="22"/>
          <w:szCs w:val="22"/>
          <w:shd w:val="clear" w:color="auto" w:fill="CCCCCC"/>
          <w:lang w:val="de-DE"/>
        </w:rPr>
      </w:pPr>
    </w:p>
    <w:p w14:paraId="40691578" w14:textId="77777777" w:rsidR="00FE291A" w:rsidRDefault="00FE291A">
      <w:pPr>
        <w:rPr>
          <w:sz w:val="22"/>
          <w:szCs w:val="22"/>
          <w:shd w:val="clear" w:color="auto" w:fill="CCCCCC"/>
          <w:lang w:val="de-DE"/>
        </w:rPr>
      </w:pPr>
    </w:p>
    <w:p w14:paraId="1A696859" w14:textId="77777777" w:rsidR="00FE291A" w:rsidRDefault="00C8738F">
      <w:pPr>
        <w:pBdr>
          <w:top w:val="single" w:sz="4" w:space="1" w:color="auto"/>
          <w:left w:val="single" w:sz="4" w:space="4" w:color="auto"/>
          <w:bottom w:val="single" w:sz="4" w:space="0" w:color="auto"/>
          <w:right w:val="single" w:sz="4" w:space="4" w:color="auto"/>
        </w:pBdr>
        <w:ind w:left="567" w:hanging="567"/>
        <w:rPr>
          <w:i/>
          <w:sz w:val="22"/>
          <w:szCs w:val="22"/>
          <w:lang w:val="de-DE"/>
        </w:rPr>
      </w:pPr>
      <w:r>
        <w:rPr>
          <w:b/>
          <w:sz w:val="22"/>
          <w:szCs w:val="22"/>
          <w:lang w:val="de-DE"/>
        </w:rPr>
        <w:t>17.</w:t>
      </w:r>
      <w:r>
        <w:rPr>
          <w:b/>
          <w:sz w:val="22"/>
          <w:szCs w:val="22"/>
          <w:lang w:val="de-DE"/>
        </w:rPr>
        <w:tab/>
        <w:t>INDIVIDUELLES ERKENNUNGSMERKMAL – 2D-BARCODE</w:t>
      </w:r>
    </w:p>
    <w:p w14:paraId="58D4EA4F" w14:textId="77777777" w:rsidR="00FE291A" w:rsidRDefault="00FE291A">
      <w:pPr>
        <w:rPr>
          <w:sz w:val="22"/>
          <w:szCs w:val="22"/>
          <w:lang w:val="de-DE"/>
        </w:rPr>
      </w:pPr>
    </w:p>
    <w:p w14:paraId="7B2DB994" w14:textId="77777777" w:rsidR="00FE291A" w:rsidRDefault="00FE291A">
      <w:pPr>
        <w:rPr>
          <w:sz w:val="22"/>
          <w:szCs w:val="22"/>
          <w:lang w:val="de-DE"/>
        </w:rPr>
      </w:pPr>
    </w:p>
    <w:p w14:paraId="24355DA6" w14:textId="77777777" w:rsidR="00FE291A" w:rsidRDefault="00C8738F">
      <w:pPr>
        <w:pBdr>
          <w:top w:val="single" w:sz="4" w:space="1" w:color="auto"/>
          <w:left w:val="single" w:sz="4" w:space="4" w:color="auto"/>
          <w:bottom w:val="single" w:sz="4" w:space="0" w:color="auto"/>
          <w:right w:val="single" w:sz="4" w:space="4" w:color="auto"/>
        </w:pBdr>
        <w:ind w:left="567" w:hanging="567"/>
        <w:rPr>
          <w:i/>
          <w:sz w:val="22"/>
          <w:szCs w:val="22"/>
          <w:lang w:val="de-DE"/>
        </w:rPr>
      </w:pPr>
      <w:r>
        <w:rPr>
          <w:b/>
          <w:sz w:val="22"/>
          <w:szCs w:val="22"/>
          <w:lang w:val="de-DE"/>
        </w:rPr>
        <w:t>18.</w:t>
      </w:r>
      <w:r>
        <w:rPr>
          <w:b/>
          <w:sz w:val="22"/>
          <w:szCs w:val="22"/>
          <w:lang w:val="de-DE"/>
        </w:rPr>
        <w:tab/>
        <w:t>INDIVIDUELLES ERKENNUNGSMERKMAL – VOM MENSCHEN LESBARES FORMAT</w:t>
      </w:r>
    </w:p>
    <w:p w14:paraId="2E567EF3" w14:textId="77777777" w:rsidR="00FE291A" w:rsidRDefault="00FE291A">
      <w:pPr>
        <w:rPr>
          <w:shd w:val="clear" w:color="auto" w:fill="CCCCCC"/>
          <w:lang w:val="de-DE"/>
        </w:rPr>
      </w:pPr>
    </w:p>
    <w:p w14:paraId="4750FB5B" w14:textId="77777777" w:rsidR="00FE291A" w:rsidRDefault="00FE291A">
      <w:pPr>
        <w:rPr>
          <w:shd w:val="clear" w:color="auto" w:fill="CCCCCC"/>
          <w:lang w:val="de-DE"/>
        </w:rPr>
      </w:pPr>
    </w:p>
    <w:p w14:paraId="08C7AC0D" w14:textId="77777777" w:rsidR="00FE291A" w:rsidRDefault="00C8738F">
      <w:pPr>
        <w:widowControl/>
        <w:pBdr>
          <w:top w:val="single" w:sz="4" w:space="1" w:color="auto"/>
          <w:left w:val="single" w:sz="4" w:space="4" w:color="auto"/>
          <w:bottom w:val="single" w:sz="4" w:space="1" w:color="auto"/>
          <w:right w:val="single" w:sz="4" w:space="4" w:color="auto"/>
        </w:pBdr>
        <w:autoSpaceDE/>
        <w:autoSpaceDN/>
        <w:adjustRightInd/>
        <w:rPr>
          <w:b/>
          <w:sz w:val="22"/>
          <w:szCs w:val="22"/>
          <w:lang w:val="de-DE"/>
        </w:rPr>
      </w:pPr>
      <w:r>
        <w:rPr>
          <w:b/>
          <w:sz w:val="22"/>
          <w:szCs w:val="22"/>
          <w:lang w:val="de-DE"/>
        </w:rPr>
        <w:br w:type="page"/>
        <w:t>MINDESTANGABEN AUF KLEINEN BEHÄLTNISSEN</w:t>
      </w:r>
    </w:p>
    <w:p w14:paraId="6F2027F7" w14:textId="77777777" w:rsidR="00FE291A" w:rsidRDefault="00FE291A">
      <w:pPr>
        <w:widowControl/>
        <w:pBdr>
          <w:top w:val="single" w:sz="4" w:space="1" w:color="auto"/>
          <w:left w:val="single" w:sz="4" w:space="4" w:color="auto"/>
          <w:bottom w:val="single" w:sz="4" w:space="1" w:color="auto"/>
          <w:right w:val="single" w:sz="4" w:space="4" w:color="auto"/>
        </w:pBdr>
        <w:rPr>
          <w:b/>
          <w:sz w:val="22"/>
          <w:szCs w:val="22"/>
          <w:lang w:val="de-DE"/>
        </w:rPr>
      </w:pPr>
    </w:p>
    <w:p w14:paraId="3FAA263E" w14:textId="77777777" w:rsidR="00FE291A" w:rsidRDefault="00C8738F">
      <w:pPr>
        <w:widowControl/>
        <w:pBdr>
          <w:top w:val="single" w:sz="4" w:space="1" w:color="auto"/>
          <w:left w:val="single" w:sz="4" w:space="4" w:color="auto"/>
          <w:bottom w:val="single" w:sz="4" w:space="1" w:color="auto"/>
          <w:right w:val="single" w:sz="4" w:space="4" w:color="auto"/>
        </w:pBdr>
        <w:rPr>
          <w:b/>
          <w:sz w:val="22"/>
          <w:szCs w:val="22"/>
          <w:lang w:val="de-DE"/>
        </w:rPr>
      </w:pPr>
      <w:r>
        <w:rPr>
          <w:b/>
          <w:sz w:val="22"/>
          <w:szCs w:val="22"/>
          <w:lang w:val="de-DE"/>
        </w:rPr>
        <w:t>ETIKETT DER SPRITZE</w:t>
      </w:r>
    </w:p>
    <w:p w14:paraId="7D89E792" w14:textId="77777777" w:rsidR="00FE291A" w:rsidRDefault="00FE291A">
      <w:pPr>
        <w:widowControl/>
        <w:rPr>
          <w:sz w:val="22"/>
          <w:szCs w:val="22"/>
          <w:lang w:val="de-DE"/>
        </w:rPr>
      </w:pPr>
    </w:p>
    <w:p w14:paraId="2E85BE15" w14:textId="77777777" w:rsidR="00FE291A" w:rsidRDefault="00FE291A">
      <w:pPr>
        <w:widowControl/>
        <w:rPr>
          <w:sz w:val="22"/>
          <w:szCs w:val="22"/>
          <w:lang w:val="de-DE"/>
        </w:rPr>
      </w:pPr>
    </w:p>
    <w:p w14:paraId="5BD9F0C9" w14:textId="77777777" w:rsidR="00FE291A" w:rsidRDefault="00C8738F">
      <w:pPr>
        <w:widowControl/>
        <w:numPr>
          <w:ilvl w:val="0"/>
          <w:numId w:val="35"/>
        </w:numPr>
        <w:pBdr>
          <w:top w:val="single" w:sz="4" w:space="1" w:color="auto"/>
          <w:left w:val="single" w:sz="4" w:space="4" w:color="auto"/>
          <w:bottom w:val="single" w:sz="4" w:space="1" w:color="auto"/>
          <w:right w:val="single" w:sz="4" w:space="4" w:color="auto"/>
        </w:pBdr>
        <w:tabs>
          <w:tab w:val="left" w:pos="567"/>
        </w:tabs>
        <w:autoSpaceDE/>
        <w:autoSpaceDN/>
        <w:adjustRightInd/>
        <w:ind w:hanging="930"/>
        <w:outlineLvl w:val="0"/>
        <w:rPr>
          <w:b/>
          <w:sz w:val="22"/>
          <w:szCs w:val="22"/>
          <w:lang w:val="de-DE"/>
        </w:rPr>
      </w:pPr>
      <w:r>
        <w:rPr>
          <w:b/>
          <w:sz w:val="22"/>
          <w:szCs w:val="22"/>
          <w:lang w:val="de-DE"/>
        </w:rPr>
        <w:t>BEZEICHNUNG DES ARZNEIMITTELS SOWIE ART(EN) DER ANWENDUNG</w:t>
      </w:r>
    </w:p>
    <w:p w14:paraId="52F741F5" w14:textId="77777777" w:rsidR="00FE291A" w:rsidRDefault="00FE291A">
      <w:pPr>
        <w:widowControl/>
        <w:ind w:left="567" w:hanging="567"/>
        <w:rPr>
          <w:sz w:val="22"/>
          <w:szCs w:val="22"/>
          <w:lang w:val="de-DE"/>
        </w:rPr>
      </w:pPr>
    </w:p>
    <w:p w14:paraId="72AA4644" w14:textId="77777777" w:rsidR="00FE291A" w:rsidRPr="00C85130" w:rsidRDefault="00C8738F">
      <w:pPr>
        <w:widowControl/>
        <w:rPr>
          <w:sz w:val="22"/>
          <w:szCs w:val="22"/>
          <w:lang w:val="de-DE"/>
          <w:rPrChange w:id="91" w:author="Author">
            <w:rPr>
              <w:sz w:val="22"/>
              <w:szCs w:val="22"/>
              <w:lang w:val="es-ES"/>
            </w:rPr>
          </w:rPrChange>
        </w:rPr>
      </w:pPr>
      <w:r w:rsidRPr="00C85130">
        <w:rPr>
          <w:sz w:val="22"/>
          <w:szCs w:val="22"/>
          <w:lang w:val="de-DE"/>
          <w:rPrChange w:id="92" w:author="Author">
            <w:rPr>
              <w:sz w:val="22"/>
              <w:szCs w:val="22"/>
              <w:lang w:val="es-ES"/>
            </w:rPr>
          </w:rPrChange>
        </w:rPr>
        <w:t>AMGEVITA 40 mg Injektion</w:t>
      </w:r>
    </w:p>
    <w:p w14:paraId="09569EFC" w14:textId="77777777" w:rsidR="00FE291A" w:rsidRPr="00C85130" w:rsidRDefault="00C8738F">
      <w:pPr>
        <w:widowControl/>
        <w:rPr>
          <w:sz w:val="22"/>
          <w:szCs w:val="22"/>
          <w:lang w:val="de-DE"/>
          <w:rPrChange w:id="93" w:author="Author">
            <w:rPr>
              <w:sz w:val="22"/>
              <w:szCs w:val="22"/>
              <w:lang w:val="es-ES"/>
            </w:rPr>
          </w:rPrChange>
        </w:rPr>
      </w:pPr>
      <w:r w:rsidRPr="00C85130">
        <w:rPr>
          <w:sz w:val="22"/>
          <w:szCs w:val="22"/>
          <w:lang w:val="de-DE"/>
          <w:rPrChange w:id="94" w:author="Author">
            <w:rPr>
              <w:sz w:val="22"/>
              <w:szCs w:val="22"/>
              <w:lang w:val="es-ES"/>
            </w:rPr>
          </w:rPrChange>
        </w:rPr>
        <w:t>Adalimumab</w:t>
      </w:r>
    </w:p>
    <w:p w14:paraId="5B1DDBD3" w14:textId="77777777" w:rsidR="00FE291A" w:rsidRPr="00C85130" w:rsidRDefault="00C8738F">
      <w:pPr>
        <w:widowControl/>
        <w:rPr>
          <w:sz w:val="22"/>
          <w:szCs w:val="22"/>
          <w:lang w:val="de-DE"/>
          <w:rPrChange w:id="95" w:author="Author">
            <w:rPr>
              <w:sz w:val="22"/>
              <w:szCs w:val="22"/>
              <w:lang w:val="es-ES"/>
            </w:rPr>
          </w:rPrChange>
        </w:rPr>
      </w:pPr>
      <w:r w:rsidRPr="00C85130">
        <w:rPr>
          <w:sz w:val="22"/>
          <w:szCs w:val="22"/>
          <w:lang w:val="de-DE"/>
          <w:rPrChange w:id="96" w:author="Author">
            <w:rPr>
              <w:sz w:val="22"/>
              <w:szCs w:val="22"/>
              <w:lang w:val="es-ES"/>
            </w:rPr>
          </w:rPrChange>
        </w:rPr>
        <w:t>s.c.</w:t>
      </w:r>
    </w:p>
    <w:p w14:paraId="238702EC" w14:textId="77777777" w:rsidR="00FE291A" w:rsidRPr="00C85130" w:rsidRDefault="00FE291A">
      <w:pPr>
        <w:widowControl/>
        <w:rPr>
          <w:sz w:val="22"/>
          <w:szCs w:val="22"/>
          <w:lang w:val="de-DE"/>
          <w:rPrChange w:id="97" w:author="Author">
            <w:rPr>
              <w:sz w:val="22"/>
              <w:szCs w:val="22"/>
              <w:lang w:val="es-ES"/>
            </w:rPr>
          </w:rPrChange>
        </w:rPr>
      </w:pPr>
    </w:p>
    <w:p w14:paraId="0D87E656" w14:textId="77777777" w:rsidR="00FE291A" w:rsidRPr="00C85130" w:rsidRDefault="00FE291A">
      <w:pPr>
        <w:widowControl/>
        <w:rPr>
          <w:sz w:val="22"/>
          <w:szCs w:val="22"/>
          <w:lang w:val="de-DE"/>
          <w:rPrChange w:id="98" w:author="Author">
            <w:rPr>
              <w:sz w:val="22"/>
              <w:szCs w:val="22"/>
              <w:lang w:val="es-ES"/>
            </w:rPr>
          </w:rPrChange>
        </w:rPr>
      </w:pPr>
    </w:p>
    <w:p w14:paraId="319C3979" w14:textId="77777777" w:rsidR="00FE291A" w:rsidRDefault="00C8738F">
      <w:pPr>
        <w:widowControl/>
        <w:numPr>
          <w:ilvl w:val="0"/>
          <w:numId w:val="35"/>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HINWEISE ZUR ANWENDUNG</w:t>
      </w:r>
    </w:p>
    <w:p w14:paraId="5155B4B1" w14:textId="77777777" w:rsidR="00FE291A" w:rsidRDefault="00FE291A">
      <w:pPr>
        <w:widowControl/>
        <w:rPr>
          <w:sz w:val="22"/>
          <w:szCs w:val="22"/>
          <w:lang w:val="de-DE"/>
        </w:rPr>
      </w:pPr>
    </w:p>
    <w:p w14:paraId="6001CD0E" w14:textId="77777777" w:rsidR="00FE291A" w:rsidRDefault="00FE291A">
      <w:pPr>
        <w:widowControl/>
        <w:rPr>
          <w:sz w:val="22"/>
          <w:szCs w:val="22"/>
          <w:lang w:val="de-DE"/>
        </w:rPr>
      </w:pPr>
    </w:p>
    <w:p w14:paraId="40247B5C" w14:textId="77777777" w:rsidR="00FE291A" w:rsidRDefault="00C8738F">
      <w:pPr>
        <w:widowControl/>
        <w:numPr>
          <w:ilvl w:val="0"/>
          <w:numId w:val="35"/>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VERFALLDATUM</w:t>
      </w:r>
    </w:p>
    <w:p w14:paraId="529D5A21" w14:textId="77777777" w:rsidR="00FE291A" w:rsidRDefault="00FE291A">
      <w:pPr>
        <w:widowControl/>
        <w:rPr>
          <w:sz w:val="22"/>
          <w:szCs w:val="22"/>
          <w:lang w:val="de-DE"/>
        </w:rPr>
      </w:pPr>
    </w:p>
    <w:p w14:paraId="7997786E" w14:textId="77777777" w:rsidR="00FE291A" w:rsidRDefault="00C8738F">
      <w:pPr>
        <w:widowControl/>
        <w:rPr>
          <w:sz w:val="22"/>
          <w:szCs w:val="22"/>
          <w:lang w:val="de-DE"/>
        </w:rPr>
      </w:pPr>
      <w:r>
        <w:rPr>
          <w:sz w:val="22"/>
          <w:szCs w:val="22"/>
          <w:lang w:val="de-DE"/>
        </w:rPr>
        <w:t>EXP</w:t>
      </w:r>
    </w:p>
    <w:p w14:paraId="42F40900" w14:textId="77777777" w:rsidR="00FE291A" w:rsidRDefault="00FE291A">
      <w:pPr>
        <w:widowControl/>
        <w:rPr>
          <w:sz w:val="22"/>
          <w:szCs w:val="22"/>
          <w:lang w:val="de-DE"/>
        </w:rPr>
      </w:pPr>
    </w:p>
    <w:p w14:paraId="270A145A" w14:textId="77777777" w:rsidR="00FE291A" w:rsidRDefault="00FE291A">
      <w:pPr>
        <w:widowControl/>
        <w:rPr>
          <w:sz w:val="22"/>
          <w:szCs w:val="22"/>
          <w:lang w:val="de-DE"/>
        </w:rPr>
      </w:pPr>
    </w:p>
    <w:p w14:paraId="48BB81E2" w14:textId="77777777" w:rsidR="00FE291A" w:rsidRDefault="00C8738F">
      <w:pPr>
        <w:widowControl/>
        <w:numPr>
          <w:ilvl w:val="0"/>
          <w:numId w:val="35"/>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CHARGENBEZEICHNUNG</w:t>
      </w:r>
    </w:p>
    <w:p w14:paraId="5C7295FD" w14:textId="77777777" w:rsidR="00FE291A" w:rsidRDefault="00FE291A">
      <w:pPr>
        <w:widowControl/>
        <w:ind w:right="113"/>
        <w:rPr>
          <w:sz w:val="22"/>
          <w:szCs w:val="22"/>
          <w:lang w:val="de-DE"/>
        </w:rPr>
      </w:pPr>
    </w:p>
    <w:p w14:paraId="32F0F16A" w14:textId="77777777" w:rsidR="00FE291A" w:rsidRDefault="00C8738F">
      <w:pPr>
        <w:widowControl/>
        <w:ind w:right="113"/>
        <w:rPr>
          <w:sz w:val="22"/>
          <w:szCs w:val="22"/>
          <w:lang w:val="de-DE"/>
        </w:rPr>
      </w:pPr>
      <w:r>
        <w:rPr>
          <w:sz w:val="22"/>
          <w:szCs w:val="22"/>
          <w:lang w:val="de-DE"/>
        </w:rPr>
        <w:t>Lot</w:t>
      </w:r>
    </w:p>
    <w:p w14:paraId="606A3590" w14:textId="77777777" w:rsidR="00FE291A" w:rsidRDefault="00FE291A">
      <w:pPr>
        <w:widowControl/>
        <w:ind w:right="113"/>
        <w:rPr>
          <w:sz w:val="22"/>
          <w:szCs w:val="22"/>
          <w:lang w:val="de-DE"/>
        </w:rPr>
      </w:pPr>
    </w:p>
    <w:p w14:paraId="6595CF25" w14:textId="77777777" w:rsidR="00FE291A" w:rsidRDefault="00FE291A">
      <w:pPr>
        <w:widowControl/>
        <w:ind w:right="113"/>
        <w:rPr>
          <w:sz w:val="22"/>
          <w:szCs w:val="22"/>
          <w:lang w:val="de-DE"/>
        </w:rPr>
      </w:pPr>
    </w:p>
    <w:p w14:paraId="3F38A59E" w14:textId="77777777" w:rsidR="00FE291A" w:rsidRDefault="00C8738F">
      <w:pPr>
        <w:widowControl/>
        <w:numPr>
          <w:ilvl w:val="0"/>
          <w:numId w:val="35"/>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INHALT NACH GEWICHT, VOLUMEN ODER EINHEITEN</w:t>
      </w:r>
    </w:p>
    <w:p w14:paraId="7B367CCE" w14:textId="77777777" w:rsidR="00FE291A" w:rsidRDefault="00FE291A">
      <w:pPr>
        <w:widowControl/>
        <w:ind w:right="113"/>
        <w:rPr>
          <w:sz w:val="22"/>
          <w:szCs w:val="22"/>
          <w:lang w:val="de-DE"/>
        </w:rPr>
      </w:pPr>
    </w:p>
    <w:p w14:paraId="745EE5F1" w14:textId="77777777" w:rsidR="00FE291A" w:rsidRDefault="00C8738F">
      <w:pPr>
        <w:widowControl/>
        <w:ind w:right="113"/>
        <w:rPr>
          <w:sz w:val="22"/>
          <w:szCs w:val="22"/>
          <w:lang w:val="de-DE"/>
        </w:rPr>
      </w:pPr>
      <w:r>
        <w:rPr>
          <w:sz w:val="22"/>
          <w:szCs w:val="22"/>
          <w:lang w:val="de-DE"/>
        </w:rPr>
        <w:t>0,4 ml</w:t>
      </w:r>
    </w:p>
    <w:p w14:paraId="77A8392C" w14:textId="77777777" w:rsidR="00FE291A" w:rsidRDefault="00FE291A">
      <w:pPr>
        <w:widowControl/>
        <w:ind w:right="113"/>
        <w:rPr>
          <w:sz w:val="22"/>
          <w:szCs w:val="22"/>
          <w:lang w:val="de-DE"/>
        </w:rPr>
      </w:pPr>
    </w:p>
    <w:p w14:paraId="0BA6391C" w14:textId="77777777" w:rsidR="00FE291A" w:rsidRDefault="00FE291A">
      <w:pPr>
        <w:widowControl/>
        <w:ind w:right="113"/>
        <w:rPr>
          <w:sz w:val="22"/>
          <w:szCs w:val="22"/>
          <w:lang w:val="de-DE"/>
        </w:rPr>
      </w:pPr>
    </w:p>
    <w:p w14:paraId="02E99ED9" w14:textId="77777777" w:rsidR="00FE291A" w:rsidRDefault="00C8738F">
      <w:pPr>
        <w:widowControl/>
        <w:numPr>
          <w:ilvl w:val="0"/>
          <w:numId w:val="35"/>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WEITERE ANGABEN</w:t>
      </w:r>
    </w:p>
    <w:p w14:paraId="577F9CBC" w14:textId="77777777" w:rsidR="00FE291A" w:rsidRDefault="00FE291A">
      <w:pPr>
        <w:widowControl/>
        <w:ind w:right="113"/>
        <w:rPr>
          <w:sz w:val="22"/>
          <w:szCs w:val="22"/>
          <w:lang w:val="de-DE"/>
        </w:rPr>
      </w:pPr>
    </w:p>
    <w:p w14:paraId="55ACB117" w14:textId="77777777" w:rsidR="00FE291A" w:rsidRDefault="00FE291A">
      <w:pPr>
        <w:widowControl/>
        <w:ind w:right="113"/>
        <w:rPr>
          <w:sz w:val="22"/>
          <w:szCs w:val="22"/>
          <w:lang w:val="de-DE"/>
        </w:rPr>
      </w:pPr>
    </w:p>
    <w:p w14:paraId="5D129333" w14:textId="77777777" w:rsidR="00FE291A" w:rsidRDefault="00C8738F">
      <w:pPr>
        <w:widowControl/>
        <w:pBdr>
          <w:top w:val="single" w:sz="4" w:space="1" w:color="auto"/>
          <w:left w:val="single" w:sz="4" w:space="4" w:color="auto"/>
          <w:bottom w:val="single" w:sz="4" w:space="1" w:color="auto"/>
          <w:right w:val="single" w:sz="4" w:space="4" w:color="auto"/>
        </w:pBdr>
        <w:outlineLvl w:val="0"/>
        <w:rPr>
          <w:b/>
          <w:sz w:val="22"/>
          <w:szCs w:val="22"/>
          <w:lang w:val="de-DE"/>
        </w:rPr>
      </w:pPr>
      <w:r>
        <w:rPr>
          <w:sz w:val="22"/>
          <w:szCs w:val="22"/>
          <w:lang w:val="de-DE"/>
        </w:rPr>
        <w:br w:type="page"/>
      </w:r>
      <w:r>
        <w:rPr>
          <w:b/>
          <w:sz w:val="22"/>
          <w:szCs w:val="22"/>
          <w:lang w:val="de-DE"/>
        </w:rPr>
        <w:t>ANGABEN AUF DER ÄUSSEREN UMHÜLLUNG</w:t>
      </w:r>
    </w:p>
    <w:p w14:paraId="2CA5EF2F" w14:textId="77777777" w:rsidR="00FE291A" w:rsidRDefault="00FE291A">
      <w:pPr>
        <w:widowControl/>
        <w:pBdr>
          <w:top w:val="single" w:sz="4" w:space="1" w:color="auto"/>
          <w:left w:val="single" w:sz="4" w:space="4" w:color="auto"/>
          <w:bottom w:val="single" w:sz="4" w:space="1" w:color="auto"/>
          <w:right w:val="single" w:sz="4" w:space="4" w:color="auto"/>
        </w:pBdr>
        <w:ind w:left="567" w:hanging="567"/>
        <w:rPr>
          <w:sz w:val="22"/>
          <w:szCs w:val="22"/>
          <w:lang w:val="de-DE"/>
        </w:rPr>
      </w:pPr>
    </w:p>
    <w:p w14:paraId="74D5A7E0" w14:textId="77777777" w:rsidR="00FE291A" w:rsidRDefault="00C8738F">
      <w:pPr>
        <w:widowControl/>
        <w:pBdr>
          <w:top w:val="single" w:sz="4" w:space="1" w:color="auto"/>
          <w:left w:val="single" w:sz="4" w:space="4" w:color="auto"/>
          <w:bottom w:val="single" w:sz="4" w:space="1" w:color="auto"/>
          <w:right w:val="single" w:sz="4" w:space="4" w:color="auto"/>
        </w:pBdr>
        <w:rPr>
          <w:sz w:val="22"/>
          <w:szCs w:val="22"/>
          <w:lang w:val="de-DE"/>
        </w:rPr>
      </w:pPr>
      <w:r>
        <w:rPr>
          <w:b/>
          <w:sz w:val="22"/>
          <w:szCs w:val="22"/>
          <w:lang w:val="de-DE"/>
        </w:rPr>
        <w:t>KARTON FÜR DEN FERTIGPEN</w:t>
      </w:r>
    </w:p>
    <w:p w14:paraId="4396395B" w14:textId="77777777" w:rsidR="00FE291A" w:rsidRDefault="00FE291A">
      <w:pPr>
        <w:widowControl/>
        <w:rPr>
          <w:sz w:val="22"/>
          <w:szCs w:val="22"/>
          <w:lang w:val="de-DE"/>
        </w:rPr>
      </w:pPr>
    </w:p>
    <w:p w14:paraId="752330FF" w14:textId="77777777" w:rsidR="00FE291A" w:rsidRDefault="00FE291A">
      <w:pPr>
        <w:widowControl/>
        <w:rPr>
          <w:sz w:val="22"/>
          <w:szCs w:val="22"/>
          <w:lang w:val="de-DE"/>
        </w:rPr>
      </w:pPr>
    </w:p>
    <w:p w14:paraId="621B97C7" w14:textId="77777777" w:rsidR="00FE291A" w:rsidRDefault="00C8738F">
      <w:pPr>
        <w:keepNext/>
        <w:widowControl/>
        <w:numPr>
          <w:ilvl w:val="0"/>
          <w:numId w:val="36"/>
        </w:numPr>
        <w:pBdr>
          <w:top w:val="single" w:sz="4" w:space="1" w:color="auto"/>
          <w:left w:val="single" w:sz="4" w:space="4" w:color="auto"/>
          <w:bottom w:val="single" w:sz="4" w:space="1" w:color="auto"/>
          <w:right w:val="single" w:sz="4" w:space="4" w:color="auto"/>
        </w:pBdr>
        <w:tabs>
          <w:tab w:val="left" w:pos="567"/>
        </w:tabs>
        <w:autoSpaceDE/>
        <w:autoSpaceDN/>
        <w:adjustRightInd/>
        <w:ind w:hanging="1650"/>
        <w:outlineLvl w:val="0"/>
        <w:rPr>
          <w:sz w:val="22"/>
          <w:szCs w:val="22"/>
          <w:lang w:val="de-DE"/>
        </w:rPr>
      </w:pPr>
      <w:r>
        <w:rPr>
          <w:b/>
          <w:sz w:val="22"/>
          <w:szCs w:val="22"/>
          <w:lang w:val="de-DE"/>
        </w:rPr>
        <w:t>BEZEICHNUNG DES ARZNEIMITTELS</w:t>
      </w:r>
    </w:p>
    <w:p w14:paraId="579A91EC" w14:textId="77777777" w:rsidR="00FE291A" w:rsidRDefault="00FE291A">
      <w:pPr>
        <w:keepNext/>
        <w:widowControl/>
        <w:rPr>
          <w:sz w:val="22"/>
          <w:szCs w:val="22"/>
          <w:lang w:val="de-DE"/>
        </w:rPr>
      </w:pPr>
    </w:p>
    <w:p w14:paraId="5FDCE266" w14:textId="77777777" w:rsidR="00FE291A" w:rsidRDefault="00C8738F">
      <w:pPr>
        <w:widowControl/>
        <w:rPr>
          <w:sz w:val="22"/>
          <w:szCs w:val="22"/>
          <w:lang w:val="de-DE"/>
        </w:rPr>
      </w:pPr>
      <w:r>
        <w:rPr>
          <w:sz w:val="22"/>
          <w:szCs w:val="22"/>
          <w:lang w:val="de-DE"/>
        </w:rPr>
        <w:t>AMGEVITA 40 mg Injektionslösung im Fertigpen</w:t>
      </w:r>
    </w:p>
    <w:p w14:paraId="37E650D3" w14:textId="77777777" w:rsidR="00FE291A" w:rsidRDefault="00C8738F">
      <w:pPr>
        <w:widowControl/>
        <w:rPr>
          <w:b/>
          <w:sz w:val="22"/>
          <w:szCs w:val="22"/>
          <w:lang w:val="de-DE"/>
        </w:rPr>
      </w:pPr>
      <w:r>
        <w:rPr>
          <w:sz w:val="22"/>
          <w:szCs w:val="22"/>
          <w:lang w:val="de-DE"/>
        </w:rPr>
        <w:t>Adalimumab</w:t>
      </w:r>
    </w:p>
    <w:p w14:paraId="19B78C77" w14:textId="77777777" w:rsidR="00FE291A" w:rsidRDefault="00FE291A">
      <w:pPr>
        <w:widowControl/>
        <w:rPr>
          <w:sz w:val="22"/>
          <w:szCs w:val="22"/>
          <w:lang w:val="de-DE"/>
        </w:rPr>
      </w:pPr>
    </w:p>
    <w:p w14:paraId="31947498" w14:textId="77777777" w:rsidR="00FE291A" w:rsidRDefault="00FE291A">
      <w:pPr>
        <w:widowControl/>
        <w:rPr>
          <w:sz w:val="22"/>
          <w:szCs w:val="22"/>
          <w:lang w:val="de-DE"/>
        </w:rPr>
      </w:pPr>
    </w:p>
    <w:p w14:paraId="2749AA03" w14:textId="77777777" w:rsidR="00FE291A" w:rsidRDefault="00C8738F">
      <w:pPr>
        <w:keepNext/>
        <w:widowControl/>
        <w:numPr>
          <w:ilvl w:val="0"/>
          <w:numId w:val="3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WIRKSTOFF</w:t>
      </w:r>
    </w:p>
    <w:p w14:paraId="500BF0CF" w14:textId="77777777" w:rsidR="00FE291A" w:rsidRDefault="00FE291A">
      <w:pPr>
        <w:keepNext/>
        <w:widowControl/>
        <w:rPr>
          <w:sz w:val="22"/>
          <w:szCs w:val="22"/>
          <w:lang w:val="de-DE"/>
        </w:rPr>
      </w:pPr>
    </w:p>
    <w:p w14:paraId="7522061E" w14:textId="77777777" w:rsidR="00FE291A" w:rsidRDefault="00C8738F">
      <w:pPr>
        <w:widowControl/>
        <w:rPr>
          <w:sz w:val="22"/>
          <w:szCs w:val="22"/>
          <w:lang w:val="de-DE"/>
        </w:rPr>
      </w:pPr>
      <w:r>
        <w:rPr>
          <w:sz w:val="22"/>
          <w:szCs w:val="22"/>
          <w:lang w:val="de-DE"/>
        </w:rPr>
        <w:t>Jeder Fertigpen enthält 40 mg Adalimumab in 0,4 ml Lösung.</w:t>
      </w:r>
    </w:p>
    <w:p w14:paraId="3551B3B2" w14:textId="77777777" w:rsidR="00FE291A" w:rsidRDefault="00FE291A">
      <w:pPr>
        <w:widowControl/>
        <w:rPr>
          <w:sz w:val="22"/>
          <w:szCs w:val="22"/>
          <w:lang w:val="de-DE"/>
        </w:rPr>
      </w:pPr>
    </w:p>
    <w:p w14:paraId="1A6784D0" w14:textId="77777777" w:rsidR="00FE291A" w:rsidRDefault="00FE291A">
      <w:pPr>
        <w:widowControl/>
        <w:rPr>
          <w:sz w:val="22"/>
          <w:szCs w:val="22"/>
          <w:lang w:val="de-DE"/>
        </w:rPr>
      </w:pPr>
    </w:p>
    <w:p w14:paraId="105EEE8A" w14:textId="77777777" w:rsidR="00FE291A" w:rsidRDefault="00C8738F">
      <w:pPr>
        <w:keepNext/>
        <w:widowControl/>
        <w:numPr>
          <w:ilvl w:val="0"/>
          <w:numId w:val="3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SONSTIGE BESTANDTEILE</w:t>
      </w:r>
    </w:p>
    <w:p w14:paraId="24F1E8D8" w14:textId="77777777" w:rsidR="00FE291A" w:rsidRDefault="00FE291A">
      <w:pPr>
        <w:widowControl/>
        <w:rPr>
          <w:sz w:val="22"/>
          <w:szCs w:val="22"/>
          <w:lang w:val="de-DE"/>
        </w:rPr>
      </w:pPr>
    </w:p>
    <w:p w14:paraId="6F7E6F99" w14:textId="77777777" w:rsidR="00FE291A" w:rsidRDefault="00C8738F">
      <w:pPr>
        <w:widowControl/>
        <w:rPr>
          <w:sz w:val="22"/>
          <w:szCs w:val="22"/>
          <w:lang w:val="de-DE"/>
        </w:rPr>
      </w:pPr>
      <w:r>
        <w:rPr>
          <w:sz w:val="22"/>
          <w:szCs w:val="22"/>
          <w:lang w:val="de-DE"/>
        </w:rPr>
        <w:t>(S)-Milchsäure, Saccharose, Polysorbat 80, Natriumhydroxid und Wasser für Injektionszwecke.</w:t>
      </w:r>
    </w:p>
    <w:p w14:paraId="608C2536" w14:textId="77777777" w:rsidR="00FE291A" w:rsidRDefault="00FE291A">
      <w:pPr>
        <w:widowControl/>
        <w:rPr>
          <w:sz w:val="22"/>
          <w:szCs w:val="22"/>
          <w:lang w:val="de-DE"/>
        </w:rPr>
      </w:pPr>
    </w:p>
    <w:p w14:paraId="7B7C605B" w14:textId="77777777" w:rsidR="00FE291A" w:rsidRDefault="00FE291A">
      <w:pPr>
        <w:widowControl/>
        <w:rPr>
          <w:sz w:val="22"/>
          <w:szCs w:val="22"/>
          <w:lang w:val="de-DE"/>
        </w:rPr>
      </w:pPr>
    </w:p>
    <w:p w14:paraId="6D8977CB" w14:textId="77777777" w:rsidR="00FE291A" w:rsidRDefault="00C8738F">
      <w:pPr>
        <w:keepNext/>
        <w:widowControl/>
        <w:numPr>
          <w:ilvl w:val="0"/>
          <w:numId w:val="3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DARREICHUNGSFORM UND INHALT</w:t>
      </w:r>
    </w:p>
    <w:p w14:paraId="4DC5A6F3" w14:textId="77777777" w:rsidR="00FE291A" w:rsidRDefault="00FE291A">
      <w:pPr>
        <w:widowControl/>
        <w:rPr>
          <w:sz w:val="22"/>
          <w:szCs w:val="22"/>
          <w:lang w:val="de-DE"/>
        </w:rPr>
      </w:pPr>
    </w:p>
    <w:p w14:paraId="32A28A06" w14:textId="77777777" w:rsidR="00FE291A" w:rsidRDefault="00C8738F">
      <w:pPr>
        <w:widowControl/>
        <w:rPr>
          <w:sz w:val="22"/>
          <w:szCs w:val="22"/>
          <w:lang w:val="de-DE"/>
        </w:rPr>
      </w:pPr>
      <w:r>
        <w:rPr>
          <w:sz w:val="22"/>
          <w:szCs w:val="22"/>
          <w:highlight w:val="lightGray"/>
          <w:lang w:val="de-DE"/>
        </w:rPr>
        <w:t>Injektionslösung</w:t>
      </w:r>
    </w:p>
    <w:p w14:paraId="2095E88A" w14:textId="77777777" w:rsidR="00FE291A" w:rsidRDefault="00C8738F">
      <w:pPr>
        <w:widowControl/>
        <w:rPr>
          <w:sz w:val="22"/>
          <w:szCs w:val="22"/>
          <w:lang w:val="de-DE"/>
        </w:rPr>
      </w:pPr>
      <w:r>
        <w:rPr>
          <w:sz w:val="22"/>
          <w:szCs w:val="22"/>
          <w:lang w:val="de-DE"/>
        </w:rPr>
        <w:t>40 mg/0,4 ml</w:t>
      </w:r>
    </w:p>
    <w:p w14:paraId="3206C03D" w14:textId="77777777" w:rsidR="00FE291A" w:rsidRDefault="00C8738F">
      <w:pPr>
        <w:widowControl/>
        <w:rPr>
          <w:sz w:val="22"/>
          <w:szCs w:val="22"/>
          <w:lang w:val="de-DE"/>
        </w:rPr>
      </w:pPr>
      <w:r>
        <w:rPr>
          <w:sz w:val="22"/>
          <w:szCs w:val="22"/>
          <w:lang w:val="de-DE"/>
        </w:rPr>
        <w:t>1 SureClick Fertigpen.</w:t>
      </w:r>
    </w:p>
    <w:p w14:paraId="4809B04A" w14:textId="77777777" w:rsidR="00FE291A" w:rsidRDefault="00C8738F">
      <w:pPr>
        <w:widowControl/>
        <w:rPr>
          <w:sz w:val="22"/>
          <w:szCs w:val="22"/>
          <w:highlight w:val="lightGray"/>
          <w:lang w:val="de-DE"/>
        </w:rPr>
      </w:pPr>
      <w:r>
        <w:rPr>
          <w:sz w:val="22"/>
          <w:szCs w:val="22"/>
          <w:highlight w:val="lightGray"/>
          <w:lang w:val="de-DE"/>
        </w:rPr>
        <w:t>2 SureClick Fertigpens.</w:t>
      </w:r>
    </w:p>
    <w:p w14:paraId="36BCCF57" w14:textId="77777777" w:rsidR="00FE291A" w:rsidRDefault="00FE291A">
      <w:pPr>
        <w:widowControl/>
        <w:rPr>
          <w:sz w:val="22"/>
          <w:szCs w:val="22"/>
          <w:lang w:val="de-DE"/>
        </w:rPr>
      </w:pPr>
    </w:p>
    <w:p w14:paraId="046B08E3" w14:textId="77777777" w:rsidR="00FE291A" w:rsidRDefault="00FE291A">
      <w:pPr>
        <w:widowControl/>
        <w:rPr>
          <w:sz w:val="22"/>
          <w:szCs w:val="22"/>
          <w:lang w:val="de-DE"/>
        </w:rPr>
      </w:pPr>
    </w:p>
    <w:p w14:paraId="19409C7F" w14:textId="77777777" w:rsidR="00FE291A" w:rsidRDefault="00C8738F">
      <w:pPr>
        <w:keepNext/>
        <w:widowControl/>
        <w:numPr>
          <w:ilvl w:val="0"/>
          <w:numId w:val="3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HINWEISE ZUR UND ART(EN) DER ANWENDUNG</w:t>
      </w:r>
    </w:p>
    <w:p w14:paraId="5EC0782C" w14:textId="77777777" w:rsidR="00FE291A" w:rsidRDefault="00FE291A">
      <w:pPr>
        <w:keepNext/>
        <w:widowControl/>
        <w:rPr>
          <w:sz w:val="22"/>
          <w:szCs w:val="22"/>
          <w:lang w:val="de-DE"/>
        </w:rPr>
      </w:pPr>
    </w:p>
    <w:p w14:paraId="18CF0721" w14:textId="77777777" w:rsidR="00FE291A" w:rsidRDefault="00C8738F">
      <w:pPr>
        <w:widowControl/>
        <w:rPr>
          <w:sz w:val="22"/>
          <w:szCs w:val="22"/>
          <w:lang w:val="de-DE"/>
        </w:rPr>
      </w:pPr>
      <w:r>
        <w:rPr>
          <w:sz w:val="22"/>
          <w:szCs w:val="22"/>
          <w:lang w:val="de-DE"/>
        </w:rPr>
        <w:t>Zur subkutanen Anwendung.</w:t>
      </w:r>
    </w:p>
    <w:p w14:paraId="595139FB" w14:textId="77777777" w:rsidR="00FE291A" w:rsidRDefault="00C8738F">
      <w:pPr>
        <w:widowControl/>
        <w:rPr>
          <w:sz w:val="22"/>
          <w:szCs w:val="22"/>
          <w:lang w:val="de-DE"/>
        </w:rPr>
      </w:pPr>
      <w:r>
        <w:rPr>
          <w:sz w:val="22"/>
          <w:szCs w:val="22"/>
          <w:lang w:val="de-DE"/>
        </w:rPr>
        <w:t>Packungsbeilage beachten.</w:t>
      </w:r>
    </w:p>
    <w:p w14:paraId="1C2A267B" w14:textId="77777777" w:rsidR="00FE291A" w:rsidRDefault="00C8738F">
      <w:pPr>
        <w:widowControl/>
        <w:rPr>
          <w:sz w:val="22"/>
          <w:szCs w:val="22"/>
          <w:lang w:val="de-DE"/>
        </w:rPr>
      </w:pPr>
      <w:r>
        <w:rPr>
          <w:sz w:val="22"/>
          <w:szCs w:val="22"/>
          <w:lang w:val="de-DE"/>
        </w:rPr>
        <w:t>Nur zum Einmalgebrauch.</w:t>
      </w:r>
    </w:p>
    <w:p w14:paraId="1812FD6D" w14:textId="77777777" w:rsidR="00FE291A" w:rsidRDefault="00FE291A">
      <w:pPr>
        <w:widowControl/>
        <w:rPr>
          <w:sz w:val="22"/>
          <w:szCs w:val="22"/>
          <w:lang w:val="de-DE"/>
        </w:rPr>
      </w:pPr>
    </w:p>
    <w:p w14:paraId="2B90EFAD" w14:textId="77777777" w:rsidR="00FE291A" w:rsidRDefault="00FE291A">
      <w:pPr>
        <w:widowControl/>
        <w:rPr>
          <w:sz w:val="22"/>
          <w:szCs w:val="22"/>
          <w:lang w:val="de-DE"/>
        </w:rPr>
      </w:pPr>
    </w:p>
    <w:p w14:paraId="724798B6" w14:textId="77777777" w:rsidR="00FE291A" w:rsidRDefault="00C8738F">
      <w:pPr>
        <w:keepNext/>
        <w:widowControl/>
        <w:numPr>
          <w:ilvl w:val="0"/>
          <w:numId w:val="3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WARNHINWEIS, DASS DAS ARZNEIMITTEL FÜR KINDER UNZUGÄNGLICH AUFZUBEWAHREN IST</w:t>
      </w:r>
    </w:p>
    <w:p w14:paraId="3FBA684A" w14:textId="77777777" w:rsidR="00FE291A" w:rsidRDefault="00FE291A">
      <w:pPr>
        <w:keepNext/>
        <w:widowControl/>
        <w:rPr>
          <w:sz w:val="22"/>
          <w:szCs w:val="22"/>
          <w:lang w:val="de-DE"/>
        </w:rPr>
      </w:pPr>
    </w:p>
    <w:p w14:paraId="6D3FC78E" w14:textId="77777777" w:rsidR="00FE291A" w:rsidRDefault="00C8738F">
      <w:pPr>
        <w:widowControl/>
        <w:outlineLvl w:val="0"/>
        <w:rPr>
          <w:sz w:val="22"/>
          <w:szCs w:val="22"/>
          <w:lang w:val="de-DE"/>
        </w:rPr>
      </w:pPr>
      <w:r>
        <w:rPr>
          <w:sz w:val="22"/>
          <w:szCs w:val="22"/>
          <w:lang w:val="de-DE"/>
        </w:rPr>
        <w:t>Arzneimittel für Kinder unzugänglich aufbewahren.</w:t>
      </w:r>
    </w:p>
    <w:p w14:paraId="42D78946" w14:textId="77777777" w:rsidR="00FE291A" w:rsidRDefault="00FE291A">
      <w:pPr>
        <w:widowControl/>
        <w:rPr>
          <w:sz w:val="22"/>
          <w:szCs w:val="22"/>
          <w:lang w:val="de-DE"/>
        </w:rPr>
      </w:pPr>
    </w:p>
    <w:p w14:paraId="61BA117A" w14:textId="77777777" w:rsidR="00FE291A" w:rsidRDefault="00FE291A">
      <w:pPr>
        <w:widowControl/>
        <w:rPr>
          <w:sz w:val="22"/>
          <w:szCs w:val="22"/>
          <w:lang w:val="de-DE"/>
        </w:rPr>
      </w:pPr>
    </w:p>
    <w:p w14:paraId="3A3D675D" w14:textId="77777777" w:rsidR="00FE291A" w:rsidRDefault="00C8738F">
      <w:pPr>
        <w:keepNext/>
        <w:widowControl/>
        <w:numPr>
          <w:ilvl w:val="0"/>
          <w:numId w:val="3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WEITERE WARNHINWEISE, FALLS ERFORDERLICH</w:t>
      </w:r>
    </w:p>
    <w:p w14:paraId="60B31FCB" w14:textId="77777777" w:rsidR="00FE291A" w:rsidRDefault="00FE291A">
      <w:pPr>
        <w:keepNext/>
        <w:widowControl/>
        <w:rPr>
          <w:sz w:val="22"/>
          <w:szCs w:val="22"/>
          <w:lang w:val="de-DE"/>
        </w:rPr>
      </w:pPr>
    </w:p>
    <w:p w14:paraId="52D793C0" w14:textId="77777777" w:rsidR="00FE291A" w:rsidRDefault="00FE291A">
      <w:pPr>
        <w:widowControl/>
        <w:tabs>
          <w:tab w:val="left" w:pos="749"/>
        </w:tabs>
        <w:rPr>
          <w:sz w:val="22"/>
          <w:szCs w:val="22"/>
          <w:lang w:val="de-DE"/>
        </w:rPr>
      </w:pPr>
    </w:p>
    <w:p w14:paraId="334C00E5" w14:textId="77777777" w:rsidR="00FE291A" w:rsidRDefault="00C8738F">
      <w:pPr>
        <w:keepNext/>
        <w:widowControl/>
        <w:numPr>
          <w:ilvl w:val="0"/>
          <w:numId w:val="3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VERFALLDATUM</w:t>
      </w:r>
    </w:p>
    <w:p w14:paraId="05CB2A5C" w14:textId="77777777" w:rsidR="00FE291A" w:rsidRDefault="00FE291A">
      <w:pPr>
        <w:keepNext/>
        <w:widowControl/>
        <w:rPr>
          <w:sz w:val="22"/>
          <w:szCs w:val="22"/>
          <w:lang w:val="de-DE"/>
        </w:rPr>
      </w:pPr>
    </w:p>
    <w:p w14:paraId="5E24C4BE" w14:textId="77777777" w:rsidR="00FE291A" w:rsidRDefault="00C8738F">
      <w:pPr>
        <w:widowControl/>
        <w:rPr>
          <w:sz w:val="22"/>
          <w:szCs w:val="22"/>
          <w:lang w:val="de-DE"/>
        </w:rPr>
      </w:pPr>
      <w:r>
        <w:rPr>
          <w:sz w:val="22"/>
          <w:szCs w:val="22"/>
          <w:lang w:val="de-DE"/>
        </w:rPr>
        <w:t>verwendbar bis</w:t>
      </w:r>
    </w:p>
    <w:p w14:paraId="439C8524" w14:textId="77777777" w:rsidR="00FE291A" w:rsidRDefault="00FE291A">
      <w:pPr>
        <w:widowControl/>
        <w:rPr>
          <w:sz w:val="22"/>
          <w:szCs w:val="22"/>
          <w:lang w:val="de-DE"/>
        </w:rPr>
      </w:pPr>
    </w:p>
    <w:p w14:paraId="66AC80EE" w14:textId="77777777" w:rsidR="00FE291A" w:rsidRDefault="00FE291A">
      <w:pPr>
        <w:widowControl/>
        <w:rPr>
          <w:sz w:val="22"/>
          <w:szCs w:val="22"/>
          <w:lang w:val="de-DE"/>
        </w:rPr>
      </w:pPr>
    </w:p>
    <w:p w14:paraId="02DB15EA" w14:textId="77777777" w:rsidR="00FE291A" w:rsidRDefault="00C8738F">
      <w:pPr>
        <w:widowControl/>
        <w:numPr>
          <w:ilvl w:val="0"/>
          <w:numId w:val="3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BESONDERE VORSICHTSMASSNAHMEN FÜR DIE AUFBEWAHRUNG</w:t>
      </w:r>
    </w:p>
    <w:p w14:paraId="29E45141" w14:textId="77777777" w:rsidR="00FE291A" w:rsidRDefault="00FE291A">
      <w:pPr>
        <w:widowControl/>
        <w:rPr>
          <w:sz w:val="22"/>
          <w:szCs w:val="22"/>
          <w:lang w:val="de-DE"/>
        </w:rPr>
      </w:pPr>
    </w:p>
    <w:p w14:paraId="370DFAA4" w14:textId="77777777" w:rsidR="00FE291A" w:rsidRDefault="00C8738F">
      <w:pPr>
        <w:widowControl/>
        <w:ind w:left="567" w:hanging="567"/>
        <w:rPr>
          <w:sz w:val="22"/>
          <w:szCs w:val="22"/>
          <w:lang w:val="de-DE"/>
        </w:rPr>
      </w:pPr>
      <w:r>
        <w:rPr>
          <w:sz w:val="22"/>
          <w:szCs w:val="22"/>
          <w:lang w:val="de-DE"/>
        </w:rPr>
        <w:t>Im Kühlschrank lagern.</w:t>
      </w:r>
    </w:p>
    <w:p w14:paraId="2E552FC2" w14:textId="77777777" w:rsidR="00FE291A" w:rsidRDefault="00C8738F">
      <w:pPr>
        <w:widowControl/>
        <w:ind w:left="567" w:hanging="567"/>
        <w:rPr>
          <w:sz w:val="22"/>
          <w:szCs w:val="22"/>
          <w:lang w:val="de-DE"/>
        </w:rPr>
      </w:pPr>
      <w:r>
        <w:rPr>
          <w:sz w:val="22"/>
          <w:szCs w:val="22"/>
          <w:lang w:val="de-DE"/>
        </w:rPr>
        <w:t>Nicht einfrieren.</w:t>
      </w:r>
    </w:p>
    <w:p w14:paraId="1515F893" w14:textId="77777777" w:rsidR="00FE291A" w:rsidRDefault="00C8738F">
      <w:pPr>
        <w:widowControl/>
        <w:ind w:left="567" w:hanging="567"/>
        <w:rPr>
          <w:sz w:val="22"/>
          <w:szCs w:val="22"/>
          <w:lang w:val="de-DE"/>
        </w:rPr>
      </w:pPr>
      <w:r>
        <w:rPr>
          <w:sz w:val="22"/>
          <w:szCs w:val="22"/>
          <w:lang w:val="de-DE"/>
        </w:rPr>
        <w:t>Im Originalkarton aufbewahren, um den Inhalt vor Licht zu schützen.</w:t>
      </w:r>
    </w:p>
    <w:p w14:paraId="06EDE3BE" w14:textId="77777777" w:rsidR="00FE291A" w:rsidRDefault="00FE291A">
      <w:pPr>
        <w:widowControl/>
        <w:ind w:left="567" w:hanging="567"/>
        <w:rPr>
          <w:sz w:val="22"/>
          <w:szCs w:val="22"/>
          <w:lang w:val="de-DE"/>
        </w:rPr>
      </w:pPr>
    </w:p>
    <w:p w14:paraId="6F46964F" w14:textId="77777777" w:rsidR="00FE291A" w:rsidRDefault="00FE291A">
      <w:pPr>
        <w:widowControl/>
        <w:ind w:left="567" w:hanging="567"/>
        <w:rPr>
          <w:sz w:val="22"/>
          <w:szCs w:val="22"/>
          <w:lang w:val="de-DE"/>
        </w:rPr>
      </w:pPr>
    </w:p>
    <w:p w14:paraId="02014DF0" w14:textId="77777777" w:rsidR="00FE291A" w:rsidRDefault="00C8738F">
      <w:pPr>
        <w:keepNext/>
        <w:widowControl/>
        <w:numPr>
          <w:ilvl w:val="0"/>
          <w:numId w:val="3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GEGEBENENFALLS BESONDERE VORSICHTSMASSNAHMEN FÜR DIE BESEITIGUNG VON NICHT VERWENDETEM ARZNEIMITTEL ODER DAVON STAMMENDEN ABFALLMATERIALIEN</w:t>
      </w:r>
    </w:p>
    <w:p w14:paraId="07179FC5" w14:textId="77777777" w:rsidR="00FE291A" w:rsidRDefault="00FE291A">
      <w:pPr>
        <w:widowControl/>
        <w:rPr>
          <w:sz w:val="22"/>
          <w:szCs w:val="22"/>
          <w:lang w:val="de-DE"/>
        </w:rPr>
      </w:pPr>
    </w:p>
    <w:p w14:paraId="30590929" w14:textId="77777777" w:rsidR="00FE291A" w:rsidRDefault="00FE291A">
      <w:pPr>
        <w:widowControl/>
        <w:rPr>
          <w:sz w:val="22"/>
          <w:szCs w:val="22"/>
          <w:lang w:val="de-DE"/>
        </w:rPr>
      </w:pPr>
    </w:p>
    <w:p w14:paraId="62C12407" w14:textId="77777777" w:rsidR="00FE291A" w:rsidRDefault="00C8738F">
      <w:pPr>
        <w:keepNext/>
        <w:widowControl/>
        <w:numPr>
          <w:ilvl w:val="0"/>
          <w:numId w:val="3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NAME UND ANSCHRIFT DES PHARMAZEUTISCHEN UNTERNEHMERS</w:t>
      </w:r>
    </w:p>
    <w:p w14:paraId="26900FB3" w14:textId="77777777" w:rsidR="00FE291A" w:rsidRDefault="00FE291A">
      <w:pPr>
        <w:widowControl/>
        <w:rPr>
          <w:sz w:val="22"/>
          <w:szCs w:val="22"/>
          <w:lang w:val="de-DE"/>
        </w:rPr>
      </w:pPr>
    </w:p>
    <w:p w14:paraId="7FB71E70" w14:textId="77777777" w:rsidR="00FE291A" w:rsidRDefault="00C8738F">
      <w:pPr>
        <w:widowControl/>
        <w:rPr>
          <w:rFonts w:eastAsia="SimSun"/>
          <w:sz w:val="22"/>
          <w:szCs w:val="22"/>
          <w:lang w:val="de-DE" w:eastAsia="en-GB"/>
        </w:rPr>
      </w:pPr>
      <w:r>
        <w:rPr>
          <w:rFonts w:eastAsia="SimSun"/>
          <w:sz w:val="22"/>
          <w:szCs w:val="22"/>
          <w:lang w:val="de-DE" w:eastAsia="en-GB"/>
        </w:rPr>
        <w:t>Amgen Europe B.V.</w:t>
      </w:r>
    </w:p>
    <w:p w14:paraId="2F17BBC7" w14:textId="77777777" w:rsidR="00FE291A" w:rsidRDefault="00C8738F">
      <w:pPr>
        <w:widowControl/>
        <w:rPr>
          <w:rFonts w:eastAsia="SimSun"/>
          <w:sz w:val="22"/>
          <w:szCs w:val="22"/>
          <w:lang w:val="de-DE" w:eastAsia="en-GB"/>
        </w:rPr>
      </w:pPr>
      <w:r>
        <w:rPr>
          <w:rFonts w:eastAsia="SimSun"/>
          <w:sz w:val="22"/>
          <w:szCs w:val="22"/>
          <w:lang w:val="de-DE" w:eastAsia="en-GB"/>
        </w:rPr>
        <w:t>Minervum 7061,</w:t>
      </w:r>
    </w:p>
    <w:p w14:paraId="3C8B9C55" w14:textId="77777777" w:rsidR="00FE291A" w:rsidRDefault="00C8738F">
      <w:pPr>
        <w:widowControl/>
        <w:rPr>
          <w:rFonts w:eastAsia="SimSun"/>
          <w:sz w:val="22"/>
          <w:szCs w:val="22"/>
          <w:lang w:val="de-DE" w:eastAsia="en-GB"/>
        </w:rPr>
      </w:pPr>
      <w:r>
        <w:rPr>
          <w:rFonts w:eastAsia="SimSun"/>
          <w:sz w:val="22"/>
          <w:szCs w:val="22"/>
          <w:lang w:val="de-DE" w:eastAsia="en-GB"/>
        </w:rPr>
        <w:t>4817 ZK Breda,</w:t>
      </w:r>
    </w:p>
    <w:p w14:paraId="52F936F4" w14:textId="77777777" w:rsidR="00FE291A" w:rsidRDefault="00C8738F">
      <w:pPr>
        <w:widowControl/>
        <w:rPr>
          <w:rFonts w:eastAsia="SimSun"/>
          <w:sz w:val="22"/>
          <w:szCs w:val="22"/>
          <w:lang w:val="de-DE" w:eastAsia="en-GB"/>
        </w:rPr>
      </w:pPr>
      <w:r>
        <w:rPr>
          <w:rFonts w:eastAsia="SimSun"/>
          <w:sz w:val="22"/>
          <w:szCs w:val="22"/>
          <w:lang w:val="de-DE" w:eastAsia="en-GB"/>
        </w:rPr>
        <w:t>Niederlande</w:t>
      </w:r>
    </w:p>
    <w:p w14:paraId="3DBE12D2" w14:textId="77777777" w:rsidR="00FE291A" w:rsidRDefault="00FE291A">
      <w:pPr>
        <w:widowControl/>
        <w:rPr>
          <w:sz w:val="22"/>
          <w:szCs w:val="22"/>
          <w:lang w:val="de-DE"/>
        </w:rPr>
      </w:pPr>
    </w:p>
    <w:p w14:paraId="3FE4D682" w14:textId="77777777" w:rsidR="00FE291A" w:rsidRDefault="00FE291A">
      <w:pPr>
        <w:widowControl/>
        <w:rPr>
          <w:sz w:val="22"/>
          <w:szCs w:val="22"/>
          <w:lang w:val="de-DE"/>
        </w:rPr>
      </w:pPr>
    </w:p>
    <w:p w14:paraId="4906195C" w14:textId="77777777" w:rsidR="00FE291A" w:rsidRDefault="00C8738F">
      <w:pPr>
        <w:keepNext/>
        <w:widowControl/>
        <w:numPr>
          <w:ilvl w:val="0"/>
          <w:numId w:val="3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ZULASSUNGSNUMMERN</w:t>
      </w:r>
    </w:p>
    <w:p w14:paraId="0A07B9FD" w14:textId="77777777" w:rsidR="00FE291A" w:rsidRDefault="00FE291A">
      <w:pPr>
        <w:widowControl/>
        <w:rPr>
          <w:sz w:val="22"/>
          <w:szCs w:val="22"/>
          <w:lang w:val="de-DE"/>
        </w:rPr>
      </w:pPr>
    </w:p>
    <w:p w14:paraId="6576D109" w14:textId="77777777" w:rsidR="00FE291A" w:rsidRDefault="00C8738F">
      <w:pPr>
        <w:widowControl/>
        <w:outlineLvl w:val="0"/>
        <w:rPr>
          <w:sz w:val="22"/>
          <w:szCs w:val="22"/>
          <w:lang w:val="de-DE"/>
        </w:rPr>
      </w:pPr>
      <w:r>
        <w:rPr>
          <w:sz w:val="22"/>
          <w:szCs w:val="22"/>
          <w:lang w:val="de-DE"/>
        </w:rPr>
        <w:t xml:space="preserve">EU/1/16/1164/014 </w:t>
      </w:r>
      <w:r>
        <w:rPr>
          <w:sz w:val="22"/>
          <w:szCs w:val="22"/>
          <w:highlight w:val="lightGray"/>
          <w:lang w:val="de-DE"/>
        </w:rPr>
        <w:t>1er Packung</w:t>
      </w:r>
    </w:p>
    <w:p w14:paraId="1A3E33F8" w14:textId="77777777" w:rsidR="00FE291A" w:rsidRDefault="00C8738F">
      <w:pPr>
        <w:widowControl/>
        <w:outlineLvl w:val="0"/>
        <w:rPr>
          <w:sz w:val="22"/>
          <w:szCs w:val="22"/>
          <w:highlight w:val="lightGray"/>
          <w:lang w:val="de-DE"/>
        </w:rPr>
      </w:pPr>
      <w:r>
        <w:rPr>
          <w:sz w:val="22"/>
          <w:szCs w:val="22"/>
          <w:highlight w:val="lightGray"/>
          <w:lang w:val="de-DE"/>
        </w:rPr>
        <w:t>EU/1/16/1164/015 2er Packung</w:t>
      </w:r>
    </w:p>
    <w:p w14:paraId="5F5C6192" w14:textId="77777777" w:rsidR="00FE291A" w:rsidRDefault="00FE291A">
      <w:pPr>
        <w:widowControl/>
        <w:rPr>
          <w:sz w:val="22"/>
          <w:szCs w:val="22"/>
          <w:lang w:val="de-DE"/>
        </w:rPr>
      </w:pPr>
    </w:p>
    <w:p w14:paraId="76180BE2" w14:textId="77777777" w:rsidR="00FE291A" w:rsidRDefault="00FE291A">
      <w:pPr>
        <w:widowControl/>
        <w:rPr>
          <w:sz w:val="22"/>
          <w:szCs w:val="22"/>
          <w:lang w:val="de-DE"/>
        </w:rPr>
      </w:pPr>
    </w:p>
    <w:p w14:paraId="138CC1E2" w14:textId="77777777" w:rsidR="00FE291A" w:rsidRDefault="00C8738F">
      <w:pPr>
        <w:keepNext/>
        <w:widowControl/>
        <w:numPr>
          <w:ilvl w:val="0"/>
          <w:numId w:val="3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CHARGENBEZEICHNUNG</w:t>
      </w:r>
    </w:p>
    <w:p w14:paraId="19F6BA6B" w14:textId="77777777" w:rsidR="00FE291A" w:rsidRDefault="00FE291A">
      <w:pPr>
        <w:widowControl/>
        <w:rPr>
          <w:i/>
          <w:sz w:val="22"/>
          <w:szCs w:val="22"/>
          <w:lang w:val="de-DE"/>
        </w:rPr>
      </w:pPr>
    </w:p>
    <w:p w14:paraId="295A6101" w14:textId="77777777" w:rsidR="00FE291A" w:rsidRDefault="00C8738F">
      <w:pPr>
        <w:widowControl/>
        <w:rPr>
          <w:sz w:val="22"/>
          <w:szCs w:val="22"/>
          <w:lang w:val="de-DE"/>
        </w:rPr>
      </w:pPr>
      <w:r>
        <w:rPr>
          <w:sz w:val="22"/>
          <w:szCs w:val="22"/>
          <w:lang w:val="de-DE"/>
        </w:rPr>
        <w:t>Ch.-B.</w:t>
      </w:r>
    </w:p>
    <w:p w14:paraId="0B483DCE" w14:textId="77777777" w:rsidR="00FE291A" w:rsidRDefault="00FE291A">
      <w:pPr>
        <w:widowControl/>
        <w:rPr>
          <w:sz w:val="22"/>
          <w:szCs w:val="22"/>
          <w:lang w:val="de-DE"/>
        </w:rPr>
      </w:pPr>
    </w:p>
    <w:p w14:paraId="6D77C487" w14:textId="77777777" w:rsidR="00FE291A" w:rsidRDefault="00FE291A">
      <w:pPr>
        <w:widowControl/>
        <w:rPr>
          <w:sz w:val="22"/>
          <w:szCs w:val="22"/>
          <w:lang w:val="de-DE"/>
        </w:rPr>
      </w:pPr>
    </w:p>
    <w:p w14:paraId="26BB4DD4" w14:textId="77777777" w:rsidR="00FE291A" w:rsidRDefault="00C8738F">
      <w:pPr>
        <w:keepNext/>
        <w:widowControl/>
        <w:numPr>
          <w:ilvl w:val="0"/>
          <w:numId w:val="3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VERKAUFSABGRENZUNG</w:t>
      </w:r>
    </w:p>
    <w:p w14:paraId="7AA58F4F" w14:textId="77777777" w:rsidR="00FE291A" w:rsidRDefault="00FE291A">
      <w:pPr>
        <w:widowControl/>
        <w:rPr>
          <w:i/>
          <w:sz w:val="22"/>
          <w:szCs w:val="22"/>
          <w:lang w:val="de-DE"/>
        </w:rPr>
      </w:pPr>
    </w:p>
    <w:p w14:paraId="3C77CCF9" w14:textId="77777777" w:rsidR="00FE291A" w:rsidRDefault="00FE291A">
      <w:pPr>
        <w:widowControl/>
        <w:rPr>
          <w:sz w:val="22"/>
          <w:szCs w:val="22"/>
          <w:lang w:val="de-DE"/>
        </w:rPr>
      </w:pPr>
    </w:p>
    <w:p w14:paraId="5AFF4F49" w14:textId="77777777" w:rsidR="00FE291A" w:rsidRDefault="00C8738F">
      <w:pPr>
        <w:keepNext/>
        <w:widowControl/>
        <w:numPr>
          <w:ilvl w:val="0"/>
          <w:numId w:val="3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HINWEISE FÜR DEN GEBRAUCH</w:t>
      </w:r>
    </w:p>
    <w:p w14:paraId="0F9193C4" w14:textId="77777777" w:rsidR="00FE291A" w:rsidRDefault="00FE291A">
      <w:pPr>
        <w:widowControl/>
        <w:rPr>
          <w:sz w:val="22"/>
          <w:szCs w:val="22"/>
          <w:lang w:val="de-DE"/>
        </w:rPr>
      </w:pPr>
    </w:p>
    <w:p w14:paraId="5EDE7D6C" w14:textId="77777777" w:rsidR="00FE291A" w:rsidRDefault="00FE291A">
      <w:pPr>
        <w:widowControl/>
        <w:rPr>
          <w:sz w:val="22"/>
          <w:szCs w:val="22"/>
          <w:lang w:val="de-DE"/>
        </w:rPr>
      </w:pPr>
    </w:p>
    <w:p w14:paraId="187E936B" w14:textId="77777777" w:rsidR="00FE291A" w:rsidRDefault="00C8738F">
      <w:pPr>
        <w:keepNext/>
        <w:widowControl/>
        <w:numPr>
          <w:ilvl w:val="0"/>
          <w:numId w:val="3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ANGABEN IN BLINDENSCHRIFT</w:t>
      </w:r>
    </w:p>
    <w:p w14:paraId="4AEA3B06" w14:textId="77777777" w:rsidR="00FE291A" w:rsidRDefault="00FE291A">
      <w:pPr>
        <w:widowControl/>
        <w:rPr>
          <w:sz w:val="22"/>
          <w:szCs w:val="22"/>
          <w:lang w:val="de-DE"/>
        </w:rPr>
      </w:pPr>
    </w:p>
    <w:p w14:paraId="16E73624" w14:textId="77777777" w:rsidR="00FE291A" w:rsidRDefault="00C8738F">
      <w:pPr>
        <w:widowControl/>
        <w:rPr>
          <w:sz w:val="22"/>
          <w:szCs w:val="22"/>
          <w:shd w:val="clear" w:color="auto" w:fill="CCCCCC"/>
          <w:lang w:val="de-DE"/>
        </w:rPr>
      </w:pPr>
      <w:r>
        <w:rPr>
          <w:sz w:val="22"/>
          <w:szCs w:val="22"/>
          <w:lang w:val="de-DE"/>
        </w:rPr>
        <w:t>AMGEVITA 40 mg/0,4 ml Pen</w:t>
      </w:r>
    </w:p>
    <w:p w14:paraId="3F14B834" w14:textId="77777777" w:rsidR="00FE291A" w:rsidRDefault="00FE291A">
      <w:pPr>
        <w:widowControl/>
        <w:rPr>
          <w:sz w:val="22"/>
          <w:szCs w:val="22"/>
          <w:shd w:val="clear" w:color="auto" w:fill="CCCCCC"/>
          <w:lang w:val="de-DE"/>
        </w:rPr>
      </w:pPr>
    </w:p>
    <w:p w14:paraId="18EB746A" w14:textId="77777777" w:rsidR="00FE291A" w:rsidRDefault="00FE291A">
      <w:pPr>
        <w:widowControl/>
        <w:rPr>
          <w:sz w:val="22"/>
          <w:szCs w:val="22"/>
          <w:shd w:val="clear" w:color="auto" w:fill="CCCCCC"/>
          <w:lang w:val="de-DE"/>
        </w:rPr>
      </w:pPr>
    </w:p>
    <w:p w14:paraId="1BDDD1F7" w14:textId="77777777" w:rsidR="00FE291A" w:rsidRDefault="00C8738F">
      <w:pPr>
        <w:keepNext/>
        <w:widowControl/>
        <w:numPr>
          <w:ilvl w:val="0"/>
          <w:numId w:val="3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i/>
          <w:sz w:val="22"/>
          <w:szCs w:val="22"/>
          <w:lang w:val="de-DE"/>
        </w:rPr>
      </w:pPr>
      <w:r>
        <w:rPr>
          <w:b/>
          <w:sz w:val="22"/>
          <w:szCs w:val="22"/>
          <w:lang w:val="de-DE"/>
        </w:rPr>
        <w:t>INDIVIDUELLES ERKENNUNGSMERKMAL – 2D-BARCODE</w:t>
      </w:r>
    </w:p>
    <w:p w14:paraId="27CCA0D6" w14:textId="77777777" w:rsidR="00FE291A" w:rsidRDefault="00FE291A">
      <w:pPr>
        <w:widowControl/>
        <w:rPr>
          <w:sz w:val="22"/>
          <w:szCs w:val="22"/>
          <w:lang w:val="de-DE"/>
        </w:rPr>
      </w:pPr>
    </w:p>
    <w:p w14:paraId="7042FCBE" w14:textId="77777777" w:rsidR="00FE291A" w:rsidRDefault="00C8738F">
      <w:pPr>
        <w:widowControl/>
        <w:rPr>
          <w:sz w:val="22"/>
          <w:szCs w:val="22"/>
          <w:shd w:val="clear" w:color="auto" w:fill="CCCCCC"/>
          <w:lang w:val="de-DE"/>
        </w:rPr>
      </w:pPr>
      <w:r>
        <w:rPr>
          <w:sz w:val="22"/>
          <w:szCs w:val="22"/>
          <w:highlight w:val="lightGray"/>
          <w:lang w:val="de-DE"/>
        </w:rPr>
        <w:t>2D-Barcode mit individuellem Erkennungsmerkmal.</w:t>
      </w:r>
    </w:p>
    <w:p w14:paraId="54E6FE68" w14:textId="77777777" w:rsidR="00FE291A" w:rsidRDefault="00FE291A">
      <w:pPr>
        <w:widowControl/>
        <w:rPr>
          <w:sz w:val="22"/>
          <w:szCs w:val="22"/>
          <w:lang w:val="de-DE"/>
        </w:rPr>
      </w:pPr>
    </w:p>
    <w:p w14:paraId="3CBABF83" w14:textId="77777777" w:rsidR="00FE291A" w:rsidRDefault="00FE291A">
      <w:pPr>
        <w:widowControl/>
        <w:rPr>
          <w:sz w:val="22"/>
          <w:szCs w:val="22"/>
          <w:lang w:val="de-DE"/>
        </w:rPr>
      </w:pPr>
    </w:p>
    <w:p w14:paraId="6351D55C" w14:textId="77777777" w:rsidR="00FE291A" w:rsidRDefault="00C8738F">
      <w:pPr>
        <w:keepNext/>
        <w:widowControl/>
        <w:numPr>
          <w:ilvl w:val="0"/>
          <w:numId w:val="36"/>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i/>
          <w:sz w:val="22"/>
          <w:szCs w:val="22"/>
          <w:lang w:val="de-DE"/>
        </w:rPr>
      </w:pPr>
      <w:r>
        <w:rPr>
          <w:b/>
          <w:sz w:val="22"/>
          <w:szCs w:val="22"/>
          <w:lang w:val="de-DE"/>
        </w:rPr>
        <w:t>INDIVIDUELLES ERKENNUNGSMERKMAL – VOM MENSCHEN LESBARES FORMAT</w:t>
      </w:r>
    </w:p>
    <w:p w14:paraId="55732348" w14:textId="77777777" w:rsidR="00FE291A" w:rsidRDefault="00FE291A">
      <w:pPr>
        <w:keepNext/>
        <w:widowControl/>
        <w:rPr>
          <w:sz w:val="22"/>
          <w:szCs w:val="22"/>
          <w:lang w:val="de-DE"/>
        </w:rPr>
      </w:pPr>
    </w:p>
    <w:p w14:paraId="3D1D5A79" w14:textId="77777777" w:rsidR="00FE291A" w:rsidRDefault="00C8738F">
      <w:pPr>
        <w:keepNext/>
        <w:widowControl/>
        <w:rPr>
          <w:sz w:val="22"/>
          <w:szCs w:val="22"/>
          <w:lang w:val="de-DE"/>
        </w:rPr>
      </w:pPr>
      <w:r>
        <w:rPr>
          <w:sz w:val="22"/>
          <w:szCs w:val="22"/>
          <w:lang w:val="de-DE"/>
        </w:rPr>
        <w:t>PC</w:t>
      </w:r>
    </w:p>
    <w:p w14:paraId="2A249B37" w14:textId="77777777" w:rsidR="00FE291A" w:rsidRDefault="00C8738F">
      <w:pPr>
        <w:keepNext/>
        <w:widowControl/>
        <w:rPr>
          <w:sz w:val="22"/>
          <w:szCs w:val="22"/>
          <w:lang w:val="de-DE"/>
        </w:rPr>
      </w:pPr>
      <w:r>
        <w:rPr>
          <w:sz w:val="22"/>
          <w:szCs w:val="22"/>
          <w:lang w:val="de-DE"/>
        </w:rPr>
        <w:t>SN</w:t>
      </w:r>
    </w:p>
    <w:p w14:paraId="59635CDA" w14:textId="77777777" w:rsidR="00FE291A" w:rsidRDefault="00C8738F">
      <w:pPr>
        <w:widowControl/>
        <w:rPr>
          <w:sz w:val="22"/>
          <w:szCs w:val="22"/>
          <w:lang w:val="de-DE"/>
        </w:rPr>
      </w:pPr>
      <w:r>
        <w:rPr>
          <w:sz w:val="22"/>
          <w:szCs w:val="22"/>
          <w:lang w:val="de-DE"/>
        </w:rPr>
        <w:t>NN</w:t>
      </w:r>
    </w:p>
    <w:p w14:paraId="53EE0929" w14:textId="77777777" w:rsidR="00FE291A" w:rsidRDefault="00C8738F">
      <w:pPr>
        <w:widowControl/>
        <w:pBdr>
          <w:top w:val="single" w:sz="4" w:space="1" w:color="auto"/>
          <w:left w:val="single" w:sz="4" w:space="4" w:color="auto"/>
          <w:bottom w:val="single" w:sz="4" w:space="1" w:color="auto"/>
          <w:right w:val="single" w:sz="4" w:space="4" w:color="auto"/>
        </w:pBdr>
        <w:outlineLvl w:val="0"/>
        <w:rPr>
          <w:b/>
          <w:sz w:val="22"/>
          <w:szCs w:val="22"/>
          <w:lang w:val="de-DE"/>
        </w:rPr>
      </w:pPr>
      <w:r>
        <w:rPr>
          <w:sz w:val="22"/>
          <w:lang w:val="de-DE"/>
        </w:rPr>
        <w:br w:type="page"/>
      </w:r>
      <w:r>
        <w:rPr>
          <w:b/>
          <w:sz w:val="22"/>
          <w:szCs w:val="22"/>
          <w:lang w:val="de-DE"/>
        </w:rPr>
        <w:t>ANGABEN AUF DER ÄUSSEREN UMHÜLLUNG</w:t>
      </w:r>
    </w:p>
    <w:p w14:paraId="6DE24E4C" w14:textId="77777777" w:rsidR="00FE291A" w:rsidRDefault="00FE291A">
      <w:pPr>
        <w:widowControl/>
        <w:pBdr>
          <w:top w:val="single" w:sz="4" w:space="1" w:color="auto"/>
          <w:left w:val="single" w:sz="4" w:space="4" w:color="auto"/>
          <w:bottom w:val="single" w:sz="4" w:space="1" w:color="auto"/>
          <w:right w:val="single" w:sz="4" w:space="4" w:color="auto"/>
        </w:pBdr>
        <w:ind w:left="567" w:hanging="567"/>
        <w:rPr>
          <w:sz w:val="22"/>
          <w:szCs w:val="22"/>
          <w:lang w:val="de-DE"/>
        </w:rPr>
      </w:pPr>
    </w:p>
    <w:p w14:paraId="1DE2A2BC" w14:textId="77777777" w:rsidR="00FE291A" w:rsidRDefault="00C8738F">
      <w:pPr>
        <w:widowControl/>
        <w:pBdr>
          <w:top w:val="single" w:sz="4" w:space="1" w:color="auto"/>
          <w:left w:val="single" w:sz="4" w:space="4" w:color="auto"/>
          <w:bottom w:val="single" w:sz="4" w:space="1" w:color="auto"/>
          <w:right w:val="single" w:sz="4" w:space="4" w:color="auto"/>
        </w:pBdr>
        <w:rPr>
          <w:sz w:val="22"/>
          <w:szCs w:val="22"/>
          <w:lang w:val="de-DE"/>
        </w:rPr>
      </w:pPr>
      <w:r>
        <w:rPr>
          <w:b/>
          <w:sz w:val="22"/>
          <w:szCs w:val="22"/>
          <w:lang w:val="de-DE"/>
        </w:rPr>
        <w:t>UMKARTON DER BÜNDELPACKUNG FÜR DEN FERTIGPEN (mit blue box)</w:t>
      </w:r>
    </w:p>
    <w:p w14:paraId="1A89DA25" w14:textId="77777777" w:rsidR="00FE291A" w:rsidRDefault="00FE291A">
      <w:pPr>
        <w:widowControl/>
        <w:rPr>
          <w:sz w:val="22"/>
          <w:szCs w:val="22"/>
          <w:lang w:val="de-DE"/>
        </w:rPr>
      </w:pPr>
    </w:p>
    <w:p w14:paraId="35827ABC" w14:textId="77777777" w:rsidR="00FE291A" w:rsidRDefault="00FE291A">
      <w:pPr>
        <w:widowControl/>
        <w:rPr>
          <w:sz w:val="22"/>
          <w:szCs w:val="22"/>
          <w:lang w:val="de-DE"/>
        </w:rPr>
      </w:pPr>
    </w:p>
    <w:p w14:paraId="69AB4819" w14:textId="77777777" w:rsidR="00FE291A" w:rsidRDefault="00C8738F">
      <w:pPr>
        <w:keepNext/>
        <w:widowControl/>
        <w:numPr>
          <w:ilvl w:val="0"/>
          <w:numId w:val="37"/>
        </w:numPr>
        <w:pBdr>
          <w:top w:val="single" w:sz="4" w:space="1" w:color="auto"/>
          <w:left w:val="single" w:sz="4" w:space="4" w:color="auto"/>
          <w:bottom w:val="single" w:sz="4" w:space="1" w:color="auto"/>
          <w:right w:val="single" w:sz="4" w:space="4" w:color="auto"/>
        </w:pBdr>
        <w:tabs>
          <w:tab w:val="left" w:pos="567"/>
        </w:tabs>
        <w:autoSpaceDE/>
        <w:autoSpaceDN/>
        <w:adjustRightInd/>
        <w:ind w:hanging="1650"/>
        <w:outlineLvl w:val="0"/>
        <w:rPr>
          <w:sz w:val="22"/>
          <w:szCs w:val="22"/>
          <w:lang w:val="de-DE"/>
        </w:rPr>
      </w:pPr>
      <w:r>
        <w:rPr>
          <w:b/>
          <w:sz w:val="22"/>
          <w:szCs w:val="22"/>
          <w:lang w:val="de-DE"/>
        </w:rPr>
        <w:t>BEZEICHNUNG DES ARZNEIMITTELS</w:t>
      </w:r>
    </w:p>
    <w:p w14:paraId="6AF9E40F" w14:textId="77777777" w:rsidR="00FE291A" w:rsidRDefault="00FE291A">
      <w:pPr>
        <w:keepNext/>
        <w:widowControl/>
        <w:rPr>
          <w:sz w:val="22"/>
          <w:szCs w:val="22"/>
          <w:lang w:val="de-DE"/>
        </w:rPr>
      </w:pPr>
    </w:p>
    <w:p w14:paraId="0FAF12C1" w14:textId="77777777" w:rsidR="00FE291A" w:rsidRDefault="00C8738F">
      <w:pPr>
        <w:widowControl/>
        <w:rPr>
          <w:sz w:val="22"/>
          <w:szCs w:val="22"/>
          <w:lang w:val="de-DE"/>
        </w:rPr>
      </w:pPr>
      <w:r>
        <w:rPr>
          <w:sz w:val="22"/>
          <w:szCs w:val="22"/>
          <w:lang w:val="de-DE"/>
        </w:rPr>
        <w:t>AMGEVITA 40 mg Injektionslösung im Fertigpen</w:t>
      </w:r>
    </w:p>
    <w:p w14:paraId="4A6F40F7" w14:textId="77777777" w:rsidR="00FE291A" w:rsidRDefault="00C8738F">
      <w:pPr>
        <w:widowControl/>
        <w:rPr>
          <w:b/>
          <w:sz w:val="22"/>
          <w:szCs w:val="22"/>
          <w:lang w:val="de-DE"/>
        </w:rPr>
      </w:pPr>
      <w:r>
        <w:rPr>
          <w:sz w:val="22"/>
          <w:szCs w:val="22"/>
          <w:lang w:val="de-DE"/>
        </w:rPr>
        <w:t>Adalimumab</w:t>
      </w:r>
    </w:p>
    <w:p w14:paraId="291C2F2E" w14:textId="77777777" w:rsidR="00FE291A" w:rsidRDefault="00FE291A">
      <w:pPr>
        <w:widowControl/>
        <w:rPr>
          <w:sz w:val="22"/>
          <w:szCs w:val="22"/>
          <w:lang w:val="de-DE"/>
        </w:rPr>
      </w:pPr>
    </w:p>
    <w:p w14:paraId="394ABD52" w14:textId="77777777" w:rsidR="00FE291A" w:rsidRDefault="00FE291A">
      <w:pPr>
        <w:widowControl/>
        <w:rPr>
          <w:sz w:val="22"/>
          <w:szCs w:val="22"/>
          <w:lang w:val="de-DE"/>
        </w:rPr>
      </w:pPr>
    </w:p>
    <w:p w14:paraId="034DC2D1" w14:textId="77777777" w:rsidR="00FE291A" w:rsidRDefault="00C8738F">
      <w:pPr>
        <w:keepNext/>
        <w:widowControl/>
        <w:numPr>
          <w:ilvl w:val="0"/>
          <w:numId w:val="3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WIRKSTOFF</w:t>
      </w:r>
    </w:p>
    <w:p w14:paraId="59377F1A" w14:textId="77777777" w:rsidR="00FE291A" w:rsidRDefault="00FE291A">
      <w:pPr>
        <w:keepNext/>
        <w:widowControl/>
        <w:rPr>
          <w:sz w:val="22"/>
          <w:szCs w:val="22"/>
          <w:lang w:val="de-DE"/>
        </w:rPr>
      </w:pPr>
    </w:p>
    <w:p w14:paraId="4113E49C" w14:textId="77777777" w:rsidR="00FE291A" w:rsidRDefault="00C8738F">
      <w:pPr>
        <w:widowControl/>
        <w:rPr>
          <w:sz w:val="22"/>
          <w:szCs w:val="22"/>
          <w:lang w:val="de-DE"/>
        </w:rPr>
      </w:pPr>
      <w:r>
        <w:rPr>
          <w:sz w:val="22"/>
          <w:szCs w:val="22"/>
          <w:lang w:val="de-DE"/>
        </w:rPr>
        <w:t>Jeder Fertigpen enthält 40 mg Adalimumab in 0,4 ml Lösung.</w:t>
      </w:r>
    </w:p>
    <w:p w14:paraId="33360F30" w14:textId="77777777" w:rsidR="00FE291A" w:rsidRDefault="00FE291A">
      <w:pPr>
        <w:widowControl/>
        <w:rPr>
          <w:sz w:val="22"/>
          <w:szCs w:val="22"/>
          <w:lang w:val="de-DE"/>
        </w:rPr>
      </w:pPr>
    </w:p>
    <w:p w14:paraId="3BF16819" w14:textId="77777777" w:rsidR="00FE291A" w:rsidRDefault="00FE291A">
      <w:pPr>
        <w:widowControl/>
        <w:rPr>
          <w:sz w:val="22"/>
          <w:szCs w:val="22"/>
          <w:lang w:val="de-DE"/>
        </w:rPr>
      </w:pPr>
    </w:p>
    <w:p w14:paraId="373361BF" w14:textId="77777777" w:rsidR="00FE291A" w:rsidRDefault="00C8738F">
      <w:pPr>
        <w:keepNext/>
        <w:widowControl/>
        <w:numPr>
          <w:ilvl w:val="0"/>
          <w:numId w:val="3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SONSTIGE BESTANDTEILE</w:t>
      </w:r>
    </w:p>
    <w:p w14:paraId="4939ADFC" w14:textId="77777777" w:rsidR="00FE291A" w:rsidRDefault="00FE291A">
      <w:pPr>
        <w:widowControl/>
        <w:rPr>
          <w:sz w:val="22"/>
          <w:szCs w:val="22"/>
          <w:lang w:val="de-DE"/>
        </w:rPr>
      </w:pPr>
    </w:p>
    <w:p w14:paraId="44D46EF8" w14:textId="77777777" w:rsidR="00FE291A" w:rsidRDefault="00C8738F">
      <w:pPr>
        <w:widowControl/>
        <w:rPr>
          <w:sz w:val="22"/>
          <w:szCs w:val="22"/>
          <w:lang w:val="de-DE"/>
        </w:rPr>
      </w:pPr>
      <w:r>
        <w:rPr>
          <w:sz w:val="22"/>
          <w:szCs w:val="22"/>
          <w:lang w:val="de-DE"/>
        </w:rPr>
        <w:t>(S)-Milchsäure, Saccharose, Polysorbat 80, Natriumhydroxid und Wasser für Injektionszwecke.</w:t>
      </w:r>
    </w:p>
    <w:p w14:paraId="24B1F271" w14:textId="77777777" w:rsidR="00FE291A" w:rsidRDefault="00FE291A">
      <w:pPr>
        <w:widowControl/>
        <w:rPr>
          <w:sz w:val="22"/>
          <w:szCs w:val="22"/>
          <w:lang w:val="de-DE"/>
        </w:rPr>
      </w:pPr>
    </w:p>
    <w:p w14:paraId="59AEA46D" w14:textId="77777777" w:rsidR="00FE291A" w:rsidRDefault="00FE291A">
      <w:pPr>
        <w:widowControl/>
        <w:rPr>
          <w:sz w:val="22"/>
          <w:szCs w:val="22"/>
          <w:lang w:val="de-DE"/>
        </w:rPr>
      </w:pPr>
    </w:p>
    <w:p w14:paraId="1BE6DF76" w14:textId="77777777" w:rsidR="00FE291A" w:rsidRDefault="00C8738F">
      <w:pPr>
        <w:keepNext/>
        <w:widowControl/>
        <w:numPr>
          <w:ilvl w:val="0"/>
          <w:numId w:val="3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DARREICHUNGSFORM UND INHALT</w:t>
      </w:r>
    </w:p>
    <w:p w14:paraId="031780FF" w14:textId="77777777" w:rsidR="00FE291A" w:rsidRDefault="00FE291A">
      <w:pPr>
        <w:widowControl/>
        <w:rPr>
          <w:sz w:val="22"/>
          <w:szCs w:val="22"/>
          <w:lang w:val="de-DE"/>
        </w:rPr>
      </w:pPr>
    </w:p>
    <w:p w14:paraId="37BC62EC" w14:textId="77777777" w:rsidR="00FE291A" w:rsidRDefault="00C8738F">
      <w:pPr>
        <w:widowControl/>
        <w:rPr>
          <w:sz w:val="22"/>
          <w:szCs w:val="22"/>
          <w:lang w:val="de-DE"/>
        </w:rPr>
      </w:pPr>
      <w:r>
        <w:rPr>
          <w:sz w:val="22"/>
          <w:szCs w:val="22"/>
          <w:highlight w:val="lightGray"/>
          <w:lang w:val="de-DE"/>
        </w:rPr>
        <w:t>Injektionslösung</w:t>
      </w:r>
    </w:p>
    <w:p w14:paraId="512BB8A0" w14:textId="77777777" w:rsidR="00FE291A" w:rsidRDefault="00C8738F">
      <w:pPr>
        <w:widowControl/>
        <w:rPr>
          <w:sz w:val="22"/>
          <w:szCs w:val="22"/>
          <w:lang w:val="de-DE"/>
        </w:rPr>
      </w:pPr>
      <w:r>
        <w:rPr>
          <w:sz w:val="22"/>
          <w:szCs w:val="22"/>
          <w:lang w:val="de-DE"/>
        </w:rPr>
        <w:t>40 mg/0,4 ml</w:t>
      </w:r>
    </w:p>
    <w:p w14:paraId="1556A825" w14:textId="77777777" w:rsidR="00FE291A" w:rsidRDefault="00C8738F">
      <w:pPr>
        <w:widowControl/>
        <w:rPr>
          <w:sz w:val="22"/>
          <w:szCs w:val="22"/>
          <w:lang w:val="de-DE"/>
        </w:rPr>
      </w:pPr>
      <w:r>
        <w:rPr>
          <w:sz w:val="22"/>
          <w:szCs w:val="22"/>
          <w:lang w:val="de-DE"/>
        </w:rPr>
        <w:t>Bündelpackung: 6 (3 Packungen mit 2) SureClick Fertigpens.</w:t>
      </w:r>
    </w:p>
    <w:p w14:paraId="387D5B00" w14:textId="77777777" w:rsidR="00FE291A" w:rsidRDefault="00FE291A">
      <w:pPr>
        <w:widowControl/>
        <w:rPr>
          <w:sz w:val="22"/>
          <w:szCs w:val="22"/>
          <w:lang w:val="de-DE"/>
        </w:rPr>
      </w:pPr>
    </w:p>
    <w:p w14:paraId="3C18D462" w14:textId="77777777" w:rsidR="00FE291A" w:rsidRDefault="00FE291A">
      <w:pPr>
        <w:widowControl/>
        <w:rPr>
          <w:sz w:val="22"/>
          <w:szCs w:val="22"/>
          <w:lang w:val="de-DE"/>
        </w:rPr>
      </w:pPr>
    </w:p>
    <w:p w14:paraId="1F989516" w14:textId="77777777" w:rsidR="00FE291A" w:rsidRDefault="00C8738F">
      <w:pPr>
        <w:keepNext/>
        <w:widowControl/>
        <w:numPr>
          <w:ilvl w:val="0"/>
          <w:numId w:val="3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HINWEISE ZUR UND ART(EN) DER ANWENDUNG</w:t>
      </w:r>
    </w:p>
    <w:p w14:paraId="3B9C2C88" w14:textId="77777777" w:rsidR="00FE291A" w:rsidRDefault="00FE291A">
      <w:pPr>
        <w:keepNext/>
        <w:widowControl/>
        <w:rPr>
          <w:sz w:val="22"/>
          <w:szCs w:val="22"/>
          <w:lang w:val="de-DE"/>
        </w:rPr>
      </w:pPr>
    </w:p>
    <w:p w14:paraId="71653871" w14:textId="77777777" w:rsidR="00FE291A" w:rsidRDefault="00C8738F">
      <w:pPr>
        <w:widowControl/>
        <w:rPr>
          <w:sz w:val="22"/>
          <w:szCs w:val="22"/>
          <w:lang w:val="de-DE"/>
        </w:rPr>
      </w:pPr>
      <w:r>
        <w:rPr>
          <w:sz w:val="22"/>
          <w:szCs w:val="22"/>
          <w:lang w:val="de-DE"/>
        </w:rPr>
        <w:t>Zur subkutanen Anwendung.</w:t>
      </w:r>
    </w:p>
    <w:p w14:paraId="53333B7D" w14:textId="77777777" w:rsidR="00FE291A" w:rsidRDefault="00C8738F">
      <w:pPr>
        <w:widowControl/>
        <w:rPr>
          <w:sz w:val="22"/>
          <w:szCs w:val="22"/>
          <w:lang w:val="de-DE"/>
        </w:rPr>
      </w:pPr>
      <w:r>
        <w:rPr>
          <w:sz w:val="22"/>
          <w:szCs w:val="22"/>
          <w:lang w:val="de-DE"/>
        </w:rPr>
        <w:t>Packungsbeilage beachten.</w:t>
      </w:r>
    </w:p>
    <w:p w14:paraId="6F7E0EBD" w14:textId="77777777" w:rsidR="00FE291A" w:rsidRDefault="00C8738F">
      <w:pPr>
        <w:widowControl/>
        <w:rPr>
          <w:sz w:val="22"/>
          <w:szCs w:val="22"/>
          <w:lang w:val="de-DE"/>
        </w:rPr>
      </w:pPr>
      <w:r>
        <w:rPr>
          <w:sz w:val="22"/>
          <w:szCs w:val="22"/>
          <w:lang w:val="de-DE"/>
        </w:rPr>
        <w:t>Nur zum Einmalgebrauch.</w:t>
      </w:r>
    </w:p>
    <w:p w14:paraId="52084AD1" w14:textId="77777777" w:rsidR="00FE291A" w:rsidRDefault="00FE291A">
      <w:pPr>
        <w:widowControl/>
        <w:rPr>
          <w:sz w:val="22"/>
          <w:szCs w:val="22"/>
          <w:lang w:val="de-DE"/>
        </w:rPr>
      </w:pPr>
    </w:p>
    <w:p w14:paraId="232B0BF8" w14:textId="77777777" w:rsidR="00FE291A" w:rsidRDefault="00FE291A">
      <w:pPr>
        <w:widowControl/>
        <w:rPr>
          <w:sz w:val="22"/>
          <w:szCs w:val="22"/>
          <w:lang w:val="de-DE"/>
        </w:rPr>
      </w:pPr>
    </w:p>
    <w:p w14:paraId="4576ECFB" w14:textId="77777777" w:rsidR="00FE291A" w:rsidRDefault="00C8738F">
      <w:pPr>
        <w:keepNext/>
        <w:widowControl/>
        <w:numPr>
          <w:ilvl w:val="0"/>
          <w:numId w:val="3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WARNHINWEIS, DASS DAS ARZNEIMITTEL FÜR KINDER UNZUGÄNGLICH AUFZUBEWAHREN IST</w:t>
      </w:r>
    </w:p>
    <w:p w14:paraId="7E6E2263" w14:textId="77777777" w:rsidR="00FE291A" w:rsidRDefault="00FE291A">
      <w:pPr>
        <w:keepNext/>
        <w:widowControl/>
        <w:rPr>
          <w:sz w:val="22"/>
          <w:szCs w:val="22"/>
          <w:lang w:val="de-DE"/>
        </w:rPr>
      </w:pPr>
    </w:p>
    <w:p w14:paraId="622A1B8F" w14:textId="77777777" w:rsidR="00FE291A" w:rsidRDefault="00C8738F">
      <w:pPr>
        <w:widowControl/>
        <w:outlineLvl w:val="0"/>
        <w:rPr>
          <w:sz w:val="22"/>
          <w:szCs w:val="22"/>
          <w:lang w:val="de-DE"/>
        </w:rPr>
      </w:pPr>
      <w:r>
        <w:rPr>
          <w:sz w:val="22"/>
          <w:szCs w:val="22"/>
          <w:lang w:val="de-DE"/>
        </w:rPr>
        <w:t>Arzneimittel für Kinder unzugänglich aufbewahren.</w:t>
      </w:r>
    </w:p>
    <w:p w14:paraId="047036DD" w14:textId="77777777" w:rsidR="00FE291A" w:rsidRDefault="00FE291A">
      <w:pPr>
        <w:widowControl/>
        <w:rPr>
          <w:sz w:val="22"/>
          <w:szCs w:val="22"/>
          <w:lang w:val="de-DE"/>
        </w:rPr>
      </w:pPr>
    </w:p>
    <w:p w14:paraId="5FF55DB4" w14:textId="77777777" w:rsidR="00FE291A" w:rsidRDefault="00FE291A">
      <w:pPr>
        <w:widowControl/>
        <w:rPr>
          <w:sz w:val="22"/>
          <w:szCs w:val="22"/>
          <w:lang w:val="de-DE"/>
        </w:rPr>
      </w:pPr>
    </w:p>
    <w:p w14:paraId="63189CAD" w14:textId="77777777" w:rsidR="00FE291A" w:rsidRDefault="00C8738F">
      <w:pPr>
        <w:keepNext/>
        <w:widowControl/>
        <w:numPr>
          <w:ilvl w:val="0"/>
          <w:numId w:val="3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WEITERE WARNHINWEISE, FALLS ERFORDERLICH</w:t>
      </w:r>
    </w:p>
    <w:p w14:paraId="423F9454" w14:textId="77777777" w:rsidR="00FE291A" w:rsidRDefault="00FE291A">
      <w:pPr>
        <w:keepNext/>
        <w:widowControl/>
        <w:rPr>
          <w:sz w:val="22"/>
          <w:szCs w:val="22"/>
          <w:lang w:val="de-DE"/>
        </w:rPr>
      </w:pPr>
    </w:p>
    <w:p w14:paraId="1C2A418B" w14:textId="77777777" w:rsidR="00FE291A" w:rsidRDefault="00FE291A">
      <w:pPr>
        <w:widowControl/>
        <w:tabs>
          <w:tab w:val="left" w:pos="749"/>
        </w:tabs>
        <w:rPr>
          <w:sz w:val="22"/>
          <w:szCs w:val="22"/>
          <w:lang w:val="de-DE"/>
        </w:rPr>
      </w:pPr>
    </w:p>
    <w:p w14:paraId="1C2141F9" w14:textId="77777777" w:rsidR="00FE291A" w:rsidRDefault="00C8738F">
      <w:pPr>
        <w:keepNext/>
        <w:widowControl/>
        <w:numPr>
          <w:ilvl w:val="0"/>
          <w:numId w:val="3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VERFALLDATUM</w:t>
      </w:r>
    </w:p>
    <w:p w14:paraId="42ECA414" w14:textId="77777777" w:rsidR="00FE291A" w:rsidRDefault="00FE291A">
      <w:pPr>
        <w:keepNext/>
        <w:widowControl/>
        <w:rPr>
          <w:sz w:val="22"/>
          <w:szCs w:val="22"/>
          <w:lang w:val="de-DE"/>
        </w:rPr>
      </w:pPr>
    </w:p>
    <w:p w14:paraId="0B5F7D11" w14:textId="77777777" w:rsidR="00FE291A" w:rsidRDefault="00C8738F">
      <w:pPr>
        <w:widowControl/>
        <w:rPr>
          <w:sz w:val="22"/>
          <w:szCs w:val="22"/>
          <w:lang w:val="de-DE"/>
        </w:rPr>
      </w:pPr>
      <w:r>
        <w:rPr>
          <w:sz w:val="22"/>
          <w:szCs w:val="22"/>
          <w:lang w:val="de-DE"/>
        </w:rPr>
        <w:t>verwendbar bis</w:t>
      </w:r>
    </w:p>
    <w:p w14:paraId="694DBAEF" w14:textId="77777777" w:rsidR="00FE291A" w:rsidRDefault="00FE291A">
      <w:pPr>
        <w:widowControl/>
        <w:rPr>
          <w:sz w:val="22"/>
          <w:szCs w:val="22"/>
          <w:lang w:val="de-DE"/>
        </w:rPr>
      </w:pPr>
    </w:p>
    <w:p w14:paraId="660940C8" w14:textId="77777777" w:rsidR="00FE291A" w:rsidRDefault="00FE291A">
      <w:pPr>
        <w:widowControl/>
        <w:rPr>
          <w:sz w:val="22"/>
          <w:szCs w:val="22"/>
          <w:lang w:val="de-DE"/>
        </w:rPr>
      </w:pPr>
    </w:p>
    <w:p w14:paraId="0C073052" w14:textId="77777777" w:rsidR="00FE291A" w:rsidRDefault="00C8738F">
      <w:pPr>
        <w:widowControl/>
        <w:numPr>
          <w:ilvl w:val="0"/>
          <w:numId w:val="3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BESONDERE VORSICHTSMASSNAHMEN FÜR DIE AUFBEWAHRUNG</w:t>
      </w:r>
    </w:p>
    <w:p w14:paraId="0AD57057" w14:textId="77777777" w:rsidR="00FE291A" w:rsidRDefault="00FE291A">
      <w:pPr>
        <w:widowControl/>
        <w:rPr>
          <w:sz w:val="22"/>
          <w:szCs w:val="22"/>
          <w:lang w:val="de-DE"/>
        </w:rPr>
      </w:pPr>
    </w:p>
    <w:p w14:paraId="39437613" w14:textId="77777777" w:rsidR="00FE291A" w:rsidRDefault="00C8738F">
      <w:pPr>
        <w:widowControl/>
        <w:ind w:left="567" w:hanging="567"/>
        <w:rPr>
          <w:sz w:val="22"/>
          <w:szCs w:val="22"/>
          <w:lang w:val="de-DE"/>
        </w:rPr>
      </w:pPr>
      <w:r>
        <w:rPr>
          <w:sz w:val="22"/>
          <w:szCs w:val="22"/>
          <w:lang w:val="de-DE"/>
        </w:rPr>
        <w:t>Im Kühlschrank lagern.</w:t>
      </w:r>
    </w:p>
    <w:p w14:paraId="6C1580C7" w14:textId="77777777" w:rsidR="00FE291A" w:rsidRDefault="00C8738F">
      <w:pPr>
        <w:widowControl/>
        <w:ind w:left="567" w:hanging="567"/>
        <w:rPr>
          <w:sz w:val="22"/>
          <w:szCs w:val="22"/>
          <w:lang w:val="de-DE"/>
        </w:rPr>
      </w:pPr>
      <w:r>
        <w:rPr>
          <w:sz w:val="22"/>
          <w:szCs w:val="22"/>
          <w:lang w:val="de-DE"/>
        </w:rPr>
        <w:t>Nicht einfrieren.</w:t>
      </w:r>
    </w:p>
    <w:p w14:paraId="0FFA563F" w14:textId="77777777" w:rsidR="00FE291A" w:rsidRDefault="00C8738F">
      <w:pPr>
        <w:widowControl/>
        <w:ind w:left="567" w:hanging="567"/>
        <w:rPr>
          <w:sz w:val="22"/>
          <w:szCs w:val="22"/>
          <w:lang w:val="de-DE"/>
        </w:rPr>
      </w:pPr>
      <w:r>
        <w:rPr>
          <w:sz w:val="22"/>
          <w:szCs w:val="22"/>
          <w:lang w:val="de-DE"/>
        </w:rPr>
        <w:t>Im Originalkarton aufbewahren, um den Inhalt vor Licht zu schützen.</w:t>
      </w:r>
    </w:p>
    <w:p w14:paraId="11CB5D6C" w14:textId="77777777" w:rsidR="00FE291A" w:rsidRDefault="00FE291A">
      <w:pPr>
        <w:widowControl/>
        <w:ind w:left="567" w:hanging="567"/>
        <w:rPr>
          <w:sz w:val="22"/>
          <w:szCs w:val="22"/>
          <w:lang w:val="de-DE"/>
        </w:rPr>
      </w:pPr>
    </w:p>
    <w:p w14:paraId="41CBA3FE" w14:textId="77777777" w:rsidR="00FE291A" w:rsidRDefault="00FE291A">
      <w:pPr>
        <w:widowControl/>
        <w:ind w:left="567" w:hanging="567"/>
        <w:rPr>
          <w:sz w:val="22"/>
          <w:szCs w:val="22"/>
          <w:lang w:val="de-DE"/>
        </w:rPr>
      </w:pPr>
    </w:p>
    <w:p w14:paraId="3C5F241C" w14:textId="77777777" w:rsidR="00FE291A" w:rsidRDefault="00C8738F">
      <w:pPr>
        <w:keepNext/>
        <w:widowControl/>
        <w:numPr>
          <w:ilvl w:val="0"/>
          <w:numId w:val="3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GEGEBENENFALLS BESONDERE VORSICHTSMASSNAHMEN FÜR DIE BESEITIGUNG VON NICHT VERWENDETEM ARZNEIMITTEL ODER DAVON STAMMENDEN ABFALLMATERIALIEN</w:t>
      </w:r>
    </w:p>
    <w:p w14:paraId="28F92209" w14:textId="77777777" w:rsidR="00FE291A" w:rsidRDefault="00FE291A">
      <w:pPr>
        <w:widowControl/>
        <w:rPr>
          <w:sz w:val="22"/>
          <w:szCs w:val="22"/>
          <w:lang w:val="de-DE"/>
        </w:rPr>
      </w:pPr>
    </w:p>
    <w:p w14:paraId="789B8144" w14:textId="77777777" w:rsidR="00FE291A" w:rsidRDefault="00FE291A">
      <w:pPr>
        <w:widowControl/>
        <w:rPr>
          <w:sz w:val="22"/>
          <w:szCs w:val="22"/>
          <w:lang w:val="de-DE"/>
        </w:rPr>
      </w:pPr>
    </w:p>
    <w:p w14:paraId="00BB1148" w14:textId="77777777" w:rsidR="00FE291A" w:rsidRDefault="00C8738F">
      <w:pPr>
        <w:keepNext/>
        <w:widowControl/>
        <w:numPr>
          <w:ilvl w:val="0"/>
          <w:numId w:val="3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NAME UND ANSCHRIFT DES PHARMAZEUTISCHEN UNTERNEHMERS</w:t>
      </w:r>
    </w:p>
    <w:p w14:paraId="2392A923" w14:textId="77777777" w:rsidR="00FE291A" w:rsidRDefault="00FE291A">
      <w:pPr>
        <w:widowControl/>
        <w:rPr>
          <w:sz w:val="22"/>
          <w:szCs w:val="22"/>
          <w:lang w:val="de-DE"/>
        </w:rPr>
      </w:pPr>
    </w:p>
    <w:p w14:paraId="4C6F5D1C" w14:textId="77777777" w:rsidR="00FE291A" w:rsidRDefault="00C8738F">
      <w:pPr>
        <w:widowControl/>
        <w:rPr>
          <w:rFonts w:eastAsia="SimSun"/>
          <w:sz w:val="22"/>
          <w:szCs w:val="22"/>
          <w:lang w:val="de-DE" w:eastAsia="en-GB"/>
        </w:rPr>
      </w:pPr>
      <w:r>
        <w:rPr>
          <w:rFonts w:eastAsia="SimSun"/>
          <w:sz w:val="22"/>
          <w:szCs w:val="22"/>
          <w:lang w:val="de-DE" w:eastAsia="en-GB"/>
        </w:rPr>
        <w:t>Amgen Europe B.V.</w:t>
      </w:r>
    </w:p>
    <w:p w14:paraId="6753E5C1" w14:textId="77777777" w:rsidR="00FE291A" w:rsidRDefault="00C8738F">
      <w:pPr>
        <w:widowControl/>
        <w:rPr>
          <w:rFonts w:eastAsia="SimSun"/>
          <w:sz w:val="22"/>
          <w:szCs w:val="22"/>
          <w:lang w:val="de-DE" w:eastAsia="en-GB"/>
        </w:rPr>
      </w:pPr>
      <w:r>
        <w:rPr>
          <w:rFonts w:eastAsia="SimSun"/>
          <w:sz w:val="22"/>
          <w:szCs w:val="22"/>
          <w:lang w:val="de-DE" w:eastAsia="en-GB"/>
        </w:rPr>
        <w:t>Minervum 7061,</w:t>
      </w:r>
    </w:p>
    <w:p w14:paraId="18A218E6" w14:textId="77777777" w:rsidR="00FE291A" w:rsidRDefault="00C8738F">
      <w:pPr>
        <w:widowControl/>
        <w:rPr>
          <w:rFonts w:eastAsia="SimSun"/>
          <w:sz w:val="22"/>
          <w:szCs w:val="22"/>
          <w:lang w:val="de-DE" w:eastAsia="en-GB"/>
        </w:rPr>
      </w:pPr>
      <w:r>
        <w:rPr>
          <w:rFonts w:eastAsia="SimSun"/>
          <w:sz w:val="22"/>
          <w:szCs w:val="22"/>
          <w:lang w:val="de-DE" w:eastAsia="en-GB"/>
        </w:rPr>
        <w:t>4817 ZK Breda,</w:t>
      </w:r>
    </w:p>
    <w:p w14:paraId="1DA1E5BB" w14:textId="77777777" w:rsidR="00FE291A" w:rsidRDefault="00C8738F">
      <w:pPr>
        <w:widowControl/>
        <w:rPr>
          <w:rFonts w:eastAsia="SimSun"/>
          <w:sz w:val="22"/>
          <w:szCs w:val="22"/>
          <w:lang w:val="de-DE" w:eastAsia="en-GB"/>
        </w:rPr>
      </w:pPr>
      <w:r>
        <w:rPr>
          <w:rFonts w:eastAsia="SimSun"/>
          <w:sz w:val="22"/>
          <w:szCs w:val="22"/>
          <w:lang w:val="de-DE" w:eastAsia="en-GB"/>
        </w:rPr>
        <w:t>Niederlande</w:t>
      </w:r>
    </w:p>
    <w:p w14:paraId="66F6F6EC" w14:textId="77777777" w:rsidR="00FE291A" w:rsidRDefault="00FE291A">
      <w:pPr>
        <w:widowControl/>
        <w:rPr>
          <w:sz w:val="22"/>
          <w:szCs w:val="22"/>
          <w:lang w:val="de-DE"/>
        </w:rPr>
      </w:pPr>
    </w:p>
    <w:p w14:paraId="2B6B9A38" w14:textId="77777777" w:rsidR="00FE291A" w:rsidRDefault="00FE291A">
      <w:pPr>
        <w:widowControl/>
        <w:rPr>
          <w:sz w:val="22"/>
          <w:szCs w:val="22"/>
          <w:lang w:val="de-DE"/>
        </w:rPr>
      </w:pPr>
    </w:p>
    <w:p w14:paraId="5A08320E" w14:textId="77777777" w:rsidR="00FE291A" w:rsidRDefault="00C8738F">
      <w:pPr>
        <w:keepNext/>
        <w:widowControl/>
        <w:numPr>
          <w:ilvl w:val="0"/>
          <w:numId w:val="3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ZULASSUNGSNUMMER</w:t>
      </w:r>
    </w:p>
    <w:p w14:paraId="07752984" w14:textId="77777777" w:rsidR="00FE291A" w:rsidRDefault="00FE291A">
      <w:pPr>
        <w:widowControl/>
        <w:rPr>
          <w:sz w:val="22"/>
          <w:szCs w:val="22"/>
          <w:lang w:val="de-DE"/>
        </w:rPr>
      </w:pPr>
    </w:p>
    <w:p w14:paraId="34C66C0B" w14:textId="77777777" w:rsidR="00FE291A" w:rsidRDefault="00C8738F">
      <w:pPr>
        <w:widowControl/>
        <w:outlineLvl w:val="0"/>
        <w:rPr>
          <w:sz w:val="22"/>
          <w:szCs w:val="22"/>
          <w:highlight w:val="lightGray"/>
          <w:lang w:val="de-DE"/>
        </w:rPr>
      </w:pPr>
      <w:r>
        <w:rPr>
          <w:sz w:val="22"/>
          <w:szCs w:val="22"/>
          <w:lang w:val="de-DE"/>
        </w:rPr>
        <w:t>EU/1/16/1164/016</w:t>
      </w:r>
    </w:p>
    <w:p w14:paraId="3B2BB996" w14:textId="77777777" w:rsidR="00FE291A" w:rsidRDefault="00FE291A">
      <w:pPr>
        <w:widowControl/>
        <w:rPr>
          <w:sz w:val="22"/>
          <w:szCs w:val="22"/>
          <w:lang w:val="de-DE"/>
        </w:rPr>
      </w:pPr>
    </w:p>
    <w:p w14:paraId="177B964C" w14:textId="77777777" w:rsidR="00FE291A" w:rsidRDefault="00FE291A">
      <w:pPr>
        <w:widowControl/>
        <w:rPr>
          <w:sz w:val="22"/>
          <w:szCs w:val="22"/>
          <w:lang w:val="de-DE"/>
        </w:rPr>
      </w:pPr>
    </w:p>
    <w:p w14:paraId="7B419D2D" w14:textId="77777777" w:rsidR="00FE291A" w:rsidRDefault="00C8738F">
      <w:pPr>
        <w:keepNext/>
        <w:widowControl/>
        <w:numPr>
          <w:ilvl w:val="0"/>
          <w:numId w:val="3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CHARGENBEZEICHNUNG</w:t>
      </w:r>
    </w:p>
    <w:p w14:paraId="1F37B0B3" w14:textId="77777777" w:rsidR="00FE291A" w:rsidRDefault="00FE291A">
      <w:pPr>
        <w:widowControl/>
        <w:rPr>
          <w:i/>
          <w:sz w:val="22"/>
          <w:szCs w:val="22"/>
          <w:lang w:val="de-DE"/>
        </w:rPr>
      </w:pPr>
    </w:p>
    <w:p w14:paraId="3682857D" w14:textId="77777777" w:rsidR="00FE291A" w:rsidRDefault="00C8738F">
      <w:pPr>
        <w:widowControl/>
        <w:rPr>
          <w:sz w:val="22"/>
          <w:szCs w:val="22"/>
          <w:lang w:val="de-DE"/>
        </w:rPr>
      </w:pPr>
      <w:r>
        <w:rPr>
          <w:sz w:val="22"/>
          <w:szCs w:val="22"/>
          <w:lang w:val="de-DE"/>
        </w:rPr>
        <w:t>Ch.-B.</w:t>
      </w:r>
    </w:p>
    <w:p w14:paraId="4847EAAB" w14:textId="77777777" w:rsidR="00FE291A" w:rsidRDefault="00FE291A">
      <w:pPr>
        <w:widowControl/>
        <w:rPr>
          <w:sz w:val="22"/>
          <w:szCs w:val="22"/>
          <w:lang w:val="de-DE"/>
        </w:rPr>
      </w:pPr>
    </w:p>
    <w:p w14:paraId="0A028F4C" w14:textId="77777777" w:rsidR="00FE291A" w:rsidRDefault="00FE291A">
      <w:pPr>
        <w:widowControl/>
        <w:rPr>
          <w:sz w:val="22"/>
          <w:szCs w:val="22"/>
          <w:lang w:val="de-DE"/>
        </w:rPr>
      </w:pPr>
    </w:p>
    <w:p w14:paraId="1F3FFCAD" w14:textId="77777777" w:rsidR="00FE291A" w:rsidRDefault="00C8738F">
      <w:pPr>
        <w:keepNext/>
        <w:widowControl/>
        <w:numPr>
          <w:ilvl w:val="0"/>
          <w:numId w:val="3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VERKAUFSABGRENZUNG</w:t>
      </w:r>
    </w:p>
    <w:p w14:paraId="74CD36CF" w14:textId="77777777" w:rsidR="00FE291A" w:rsidRDefault="00FE291A">
      <w:pPr>
        <w:widowControl/>
        <w:rPr>
          <w:i/>
          <w:sz w:val="22"/>
          <w:szCs w:val="22"/>
          <w:lang w:val="de-DE"/>
        </w:rPr>
      </w:pPr>
    </w:p>
    <w:p w14:paraId="7FBCABB7" w14:textId="77777777" w:rsidR="00FE291A" w:rsidRDefault="00FE291A">
      <w:pPr>
        <w:widowControl/>
        <w:rPr>
          <w:sz w:val="22"/>
          <w:szCs w:val="22"/>
          <w:lang w:val="de-DE"/>
        </w:rPr>
      </w:pPr>
    </w:p>
    <w:p w14:paraId="041489E3" w14:textId="77777777" w:rsidR="00FE291A" w:rsidRDefault="00C8738F">
      <w:pPr>
        <w:keepNext/>
        <w:widowControl/>
        <w:numPr>
          <w:ilvl w:val="0"/>
          <w:numId w:val="3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HINWEISE FÜR DEN GEBRAUCH</w:t>
      </w:r>
    </w:p>
    <w:p w14:paraId="22FA8D6D" w14:textId="77777777" w:rsidR="00FE291A" w:rsidRDefault="00FE291A">
      <w:pPr>
        <w:widowControl/>
        <w:rPr>
          <w:sz w:val="22"/>
          <w:szCs w:val="22"/>
          <w:lang w:val="de-DE"/>
        </w:rPr>
      </w:pPr>
    </w:p>
    <w:p w14:paraId="01105EC6" w14:textId="77777777" w:rsidR="00FE291A" w:rsidRDefault="00FE291A">
      <w:pPr>
        <w:widowControl/>
        <w:rPr>
          <w:sz w:val="22"/>
          <w:szCs w:val="22"/>
          <w:lang w:val="de-DE"/>
        </w:rPr>
      </w:pPr>
    </w:p>
    <w:p w14:paraId="6C10930A" w14:textId="77777777" w:rsidR="00FE291A" w:rsidRDefault="00C8738F">
      <w:pPr>
        <w:keepNext/>
        <w:widowControl/>
        <w:numPr>
          <w:ilvl w:val="0"/>
          <w:numId w:val="3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ANGABEN IN BLINDENSCHRIFT</w:t>
      </w:r>
    </w:p>
    <w:p w14:paraId="52E5E0EB" w14:textId="77777777" w:rsidR="00FE291A" w:rsidRDefault="00FE291A">
      <w:pPr>
        <w:widowControl/>
        <w:rPr>
          <w:sz w:val="22"/>
          <w:szCs w:val="22"/>
          <w:lang w:val="de-DE"/>
        </w:rPr>
      </w:pPr>
    </w:p>
    <w:p w14:paraId="57F2672B" w14:textId="77777777" w:rsidR="00FE291A" w:rsidRDefault="00C8738F">
      <w:pPr>
        <w:widowControl/>
        <w:rPr>
          <w:sz w:val="22"/>
          <w:szCs w:val="22"/>
          <w:shd w:val="clear" w:color="auto" w:fill="CCCCCC"/>
          <w:lang w:val="de-DE"/>
        </w:rPr>
      </w:pPr>
      <w:r>
        <w:rPr>
          <w:sz w:val="22"/>
          <w:szCs w:val="22"/>
          <w:lang w:val="de-DE"/>
        </w:rPr>
        <w:t>AMGEVITA 40 mg/0,4 ml Pen</w:t>
      </w:r>
    </w:p>
    <w:p w14:paraId="096CC79F" w14:textId="77777777" w:rsidR="00FE291A" w:rsidRDefault="00FE291A">
      <w:pPr>
        <w:widowControl/>
        <w:rPr>
          <w:sz w:val="22"/>
          <w:szCs w:val="22"/>
          <w:shd w:val="clear" w:color="auto" w:fill="CCCCCC"/>
          <w:lang w:val="de-DE"/>
        </w:rPr>
      </w:pPr>
    </w:p>
    <w:p w14:paraId="2D32E0ED" w14:textId="77777777" w:rsidR="00FE291A" w:rsidRDefault="00FE291A">
      <w:pPr>
        <w:widowControl/>
        <w:rPr>
          <w:sz w:val="22"/>
          <w:szCs w:val="22"/>
          <w:shd w:val="clear" w:color="auto" w:fill="CCCCCC"/>
          <w:lang w:val="de-DE"/>
        </w:rPr>
      </w:pPr>
    </w:p>
    <w:p w14:paraId="13EBA67D" w14:textId="77777777" w:rsidR="00FE291A" w:rsidRDefault="00C8738F">
      <w:pPr>
        <w:keepNext/>
        <w:widowControl/>
        <w:numPr>
          <w:ilvl w:val="0"/>
          <w:numId w:val="3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i/>
          <w:sz w:val="22"/>
          <w:szCs w:val="22"/>
          <w:lang w:val="de-DE"/>
        </w:rPr>
      </w:pPr>
      <w:r>
        <w:rPr>
          <w:b/>
          <w:sz w:val="22"/>
          <w:szCs w:val="22"/>
          <w:lang w:val="de-DE"/>
        </w:rPr>
        <w:t>INDIVIDUELLES ERKENNUNGSMERKMAL – 2D-BARCODE</w:t>
      </w:r>
    </w:p>
    <w:p w14:paraId="525EBA56" w14:textId="77777777" w:rsidR="00FE291A" w:rsidRDefault="00FE291A">
      <w:pPr>
        <w:widowControl/>
        <w:rPr>
          <w:sz w:val="22"/>
          <w:szCs w:val="22"/>
          <w:lang w:val="de-DE"/>
        </w:rPr>
      </w:pPr>
    </w:p>
    <w:p w14:paraId="171F6689" w14:textId="77777777" w:rsidR="00FE291A" w:rsidRDefault="00C8738F">
      <w:pPr>
        <w:widowControl/>
        <w:rPr>
          <w:sz w:val="22"/>
          <w:szCs w:val="22"/>
          <w:shd w:val="clear" w:color="auto" w:fill="CCCCCC"/>
          <w:lang w:val="de-DE"/>
        </w:rPr>
      </w:pPr>
      <w:r>
        <w:rPr>
          <w:sz w:val="22"/>
          <w:szCs w:val="22"/>
          <w:highlight w:val="lightGray"/>
          <w:lang w:val="de-DE"/>
        </w:rPr>
        <w:t>2D-Barcode mit individuellem Erkennungsmerkmal.</w:t>
      </w:r>
    </w:p>
    <w:p w14:paraId="2AAD61D3" w14:textId="77777777" w:rsidR="00FE291A" w:rsidRDefault="00FE291A">
      <w:pPr>
        <w:widowControl/>
        <w:rPr>
          <w:sz w:val="22"/>
          <w:szCs w:val="22"/>
          <w:lang w:val="de-DE"/>
        </w:rPr>
      </w:pPr>
    </w:p>
    <w:p w14:paraId="588E9D23" w14:textId="77777777" w:rsidR="00FE291A" w:rsidRDefault="00FE291A">
      <w:pPr>
        <w:widowControl/>
        <w:rPr>
          <w:sz w:val="22"/>
          <w:szCs w:val="22"/>
          <w:lang w:val="de-DE"/>
        </w:rPr>
      </w:pPr>
    </w:p>
    <w:p w14:paraId="722F3E79" w14:textId="77777777" w:rsidR="00FE291A" w:rsidRDefault="00C8738F">
      <w:pPr>
        <w:keepNext/>
        <w:widowControl/>
        <w:numPr>
          <w:ilvl w:val="0"/>
          <w:numId w:val="37"/>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i/>
          <w:sz w:val="22"/>
          <w:szCs w:val="22"/>
          <w:lang w:val="de-DE"/>
        </w:rPr>
      </w:pPr>
      <w:r>
        <w:rPr>
          <w:b/>
          <w:sz w:val="22"/>
          <w:szCs w:val="22"/>
          <w:lang w:val="de-DE"/>
        </w:rPr>
        <w:t>INDIVIDUELLES ERKENNUNGSMERKMAL – VOM MENSCHEN LESBARES FORMAT</w:t>
      </w:r>
    </w:p>
    <w:p w14:paraId="197CA457" w14:textId="77777777" w:rsidR="00FE291A" w:rsidRDefault="00FE291A">
      <w:pPr>
        <w:keepNext/>
        <w:widowControl/>
        <w:rPr>
          <w:sz w:val="22"/>
          <w:szCs w:val="22"/>
          <w:lang w:val="de-DE"/>
        </w:rPr>
      </w:pPr>
    </w:p>
    <w:p w14:paraId="5DB96529" w14:textId="77777777" w:rsidR="00FE291A" w:rsidRDefault="00C8738F">
      <w:pPr>
        <w:keepNext/>
        <w:widowControl/>
        <w:rPr>
          <w:sz w:val="22"/>
          <w:szCs w:val="22"/>
          <w:lang w:val="de-DE"/>
        </w:rPr>
      </w:pPr>
      <w:r>
        <w:rPr>
          <w:sz w:val="22"/>
          <w:szCs w:val="22"/>
          <w:lang w:val="de-DE"/>
        </w:rPr>
        <w:t>PC</w:t>
      </w:r>
    </w:p>
    <w:p w14:paraId="2C6AC1A5" w14:textId="77777777" w:rsidR="00FE291A" w:rsidRDefault="00C8738F">
      <w:pPr>
        <w:keepNext/>
        <w:widowControl/>
        <w:rPr>
          <w:sz w:val="22"/>
          <w:szCs w:val="22"/>
          <w:lang w:val="de-DE"/>
        </w:rPr>
      </w:pPr>
      <w:r>
        <w:rPr>
          <w:sz w:val="22"/>
          <w:szCs w:val="22"/>
          <w:lang w:val="de-DE"/>
        </w:rPr>
        <w:t>SN</w:t>
      </w:r>
    </w:p>
    <w:p w14:paraId="16939210" w14:textId="77777777" w:rsidR="00FE291A" w:rsidRDefault="00C8738F">
      <w:pPr>
        <w:widowControl/>
        <w:rPr>
          <w:sz w:val="22"/>
          <w:szCs w:val="22"/>
          <w:lang w:val="de-DE"/>
        </w:rPr>
      </w:pPr>
      <w:r>
        <w:rPr>
          <w:sz w:val="22"/>
          <w:szCs w:val="22"/>
          <w:lang w:val="de-DE"/>
        </w:rPr>
        <w:t>NN</w:t>
      </w:r>
    </w:p>
    <w:p w14:paraId="36572F5A" w14:textId="77777777" w:rsidR="00FE291A" w:rsidRDefault="00C8738F">
      <w:pPr>
        <w:widowControl/>
        <w:pBdr>
          <w:top w:val="single" w:sz="4" w:space="1" w:color="auto"/>
          <w:left w:val="single" w:sz="4" w:space="4" w:color="auto"/>
          <w:bottom w:val="single" w:sz="4" w:space="1" w:color="auto"/>
          <w:right w:val="single" w:sz="4" w:space="4" w:color="auto"/>
        </w:pBdr>
        <w:autoSpaceDE/>
        <w:autoSpaceDN/>
        <w:adjustRightInd/>
        <w:rPr>
          <w:b/>
          <w:sz w:val="22"/>
          <w:szCs w:val="22"/>
          <w:lang w:val="de-DE"/>
        </w:rPr>
      </w:pPr>
      <w:r>
        <w:rPr>
          <w:sz w:val="22"/>
          <w:szCs w:val="22"/>
          <w:lang w:val="de-DE"/>
        </w:rPr>
        <w:br w:type="page"/>
      </w:r>
      <w:r>
        <w:rPr>
          <w:b/>
          <w:sz w:val="22"/>
          <w:szCs w:val="22"/>
          <w:lang w:val="de-DE"/>
        </w:rPr>
        <w:t>ANGABEN AUF DER ÄUSSEREN UMHÜLLUNG</w:t>
      </w:r>
    </w:p>
    <w:p w14:paraId="49C06ABC" w14:textId="77777777" w:rsidR="00FE291A" w:rsidRDefault="00FE291A">
      <w:pPr>
        <w:pBdr>
          <w:top w:val="single" w:sz="4" w:space="1" w:color="auto"/>
          <w:left w:val="single" w:sz="4" w:space="4" w:color="auto"/>
          <w:bottom w:val="single" w:sz="4" w:space="1" w:color="auto"/>
          <w:right w:val="single" w:sz="4" w:space="4" w:color="auto"/>
        </w:pBdr>
        <w:ind w:left="567" w:hanging="567"/>
        <w:rPr>
          <w:sz w:val="22"/>
          <w:szCs w:val="22"/>
          <w:lang w:val="de-DE"/>
        </w:rPr>
      </w:pPr>
    </w:p>
    <w:p w14:paraId="75CB7C5F" w14:textId="77777777" w:rsidR="00FE291A" w:rsidRDefault="00C8738F">
      <w:pPr>
        <w:pBdr>
          <w:top w:val="single" w:sz="4" w:space="1" w:color="auto"/>
          <w:left w:val="single" w:sz="4" w:space="4" w:color="auto"/>
          <w:bottom w:val="single" w:sz="4" w:space="1" w:color="auto"/>
          <w:right w:val="single" w:sz="4" w:space="4" w:color="auto"/>
        </w:pBdr>
        <w:rPr>
          <w:sz w:val="22"/>
          <w:szCs w:val="22"/>
          <w:lang w:val="de-DE"/>
        </w:rPr>
      </w:pPr>
      <w:r>
        <w:rPr>
          <w:b/>
          <w:sz w:val="22"/>
          <w:szCs w:val="22"/>
          <w:lang w:val="de-DE"/>
        </w:rPr>
        <w:t>INNERER KARTON DER BÜNDELPACKUNG FÜR DEN FERTIGPEN (ohne blue box)</w:t>
      </w:r>
    </w:p>
    <w:p w14:paraId="1A6F2CB2" w14:textId="77777777" w:rsidR="00FE291A" w:rsidRDefault="00FE291A">
      <w:pPr>
        <w:rPr>
          <w:sz w:val="22"/>
          <w:szCs w:val="22"/>
          <w:lang w:val="de-DE"/>
        </w:rPr>
      </w:pPr>
    </w:p>
    <w:p w14:paraId="36125699" w14:textId="77777777" w:rsidR="00FE291A" w:rsidRDefault="00FE291A">
      <w:pPr>
        <w:rPr>
          <w:sz w:val="22"/>
          <w:szCs w:val="22"/>
          <w:lang w:val="de-DE"/>
        </w:rPr>
      </w:pPr>
    </w:p>
    <w:p w14:paraId="7890EC51" w14:textId="77777777" w:rsidR="00FE291A" w:rsidRDefault="00C8738F">
      <w:pPr>
        <w:keepNext/>
        <w:numPr>
          <w:ilvl w:val="0"/>
          <w:numId w:val="38"/>
        </w:numPr>
        <w:pBdr>
          <w:top w:val="single" w:sz="4" w:space="1" w:color="auto"/>
          <w:left w:val="single" w:sz="4" w:space="4" w:color="auto"/>
          <w:bottom w:val="single" w:sz="4" w:space="1" w:color="auto"/>
          <w:right w:val="single" w:sz="4" w:space="4" w:color="auto"/>
        </w:pBdr>
        <w:tabs>
          <w:tab w:val="left" w:pos="567"/>
        </w:tabs>
        <w:ind w:hanging="1650"/>
        <w:outlineLvl w:val="0"/>
        <w:rPr>
          <w:sz w:val="22"/>
          <w:szCs w:val="22"/>
          <w:lang w:val="de-DE"/>
        </w:rPr>
      </w:pPr>
      <w:r>
        <w:rPr>
          <w:b/>
          <w:sz w:val="22"/>
          <w:szCs w:val="22"/>
          <w:lang w:val="de-DE"/>
        </w:rPr>
        <w:t>BEZEICHNUNG DES ARZNEIMITTELS</w:t>
      </w:r>
    </w:p>
    <w:p w14:paraId="6AC6DD3A" w14:textId="77777777" w:rsidR="00FE291A" w:rsidRDefault="00FE291A">
      <w:pPr>
        <w:keepNext/>
        <w:rPr>
          <w:sz w:val="22"/>
          <w:szCs w:val="22"/>
          <w:lang w:val="de-DE"/>
        </w:rPr>
      </w:pPr>
    </w:p>
    <w:p w14:paraId="6A21F95F" w14:textId="77777777" w:rsidR="00FE291A" w:rsidRDefault="00C8738F">
      <w:pPr>
        <w:rPr>
          <w:sz w:val="22"/>
          <w:szCs w:val="22"/>
          <w:lang w:val="de-DE"/>
        </w:rPr>
      </w:pPr>
      <w:r>
        <w:rPr>
          <w:sz w:val="22"/>
          <w:szCs w:val="22"/>
          <w:lang w:val="de-DE"/>
        </w:rPr>
        <w:t>AMGEVITA 40 mg Injektionslösung im Fertigpen</w:t>
      </w:r>
    </w:p>
    <w:p w14:paraId="3468A2BB" w14:textId="77777777" w:rsidR="00FE291A" w:rsidRDefault="00C8738F">
      <w:pPr>
        <w:rPr>
          <w:b/>
          <w:sz w:val="22"/>
          <w:szCs w:val="22"/>
          <w:lang w:val="de-DE"/>
        </w:rPr>
      </w:pPr>
      <w:r>
        <w:rPr>
          <w:sz w:val="22"/>
          <w:szCs w:val="22"/>
          <w:lang w:val="de-DE"/>
        </w:rPr>
        <w:t>Adalimumab</w:t>
      </w:r>
    </w:p>
    <w:p w14:paraId="2D37A505" w14:textId="77777777" w:rsidR="00FE291A" w:rsidRDefault="00FE291A">
      <w:pPr>
        <w:rPr>
          <w:sz w:val="22"/>
          <w:szCs w:val="22"/>
          <w:lang w:val="de-DE"/>
        </w:rPr>
      </w:pPr>
    </w:p>
    <w:p w14:paraId="4AC2766D" w14:textId="77777777" w:rsidR="00FE291A" w:rsidRDefault="00FE291A">
      <w:pPr>
        <w:rPr>
          <w:sz w:val="22"/>
          <w:szCs w:val="22"/>
          <w:lang w:val="de-DE"/>
        </w:rPr>
      </w:pPr>
    </w:p>
    <w:p w14:paraId="214603A0" w14:textId="77777777" w:rsidR="00FE291A" w:rsidRDefault="00C8738F">
      <w:pPr>
        <w:keepNext/>
        <w:numPr>
          <w:ilvl w:val="0"/>
          <w:numId w:val="38"/>
        </w:num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de-DE"/>
        </w:rPr>
      </w:pPr>
      <w:r>
        <w:rPr>
          <w:b/>
          <w:sz w:val="22"/>
          <w:szCs w:val="22"/>
          <w:lang w:val="de-DE"/>
        </w:rPr>
        <w:t>WIRKSTOFF</w:t>
      </w:r>
    </w:p>
    <w:p w14:paraId="1605C44E" w14:textId="77777777" w:rsidR="00FE291A" w:rsidRDefault="00FE291A">
      <w:pPr>
        <w:keepNext/>
        <w:rPr>
          <w:sz w:val="22"/>
          <w:szCs w:val="22"/>
          <w:lang w:val="de-DE"/>
        </w:rPr>
      </w:pPr>
    </w:p>
    <w:p w14:paraId="76489A22" w14:textId="77777777" w:rsidR="00FE291A" w:rsidRDefault="00C8738F">
      <w:pPr>
        <w:rPr>
          <w:sz w:val="22"/>
          <w:szCs w:val="22"/>
          <w:lang w:val="de-DE"/>
        </w:rPr>
      </w:pPr>
      <w:r>
        <w:rPr>
          <w:sz w:val="22"/>
          <w:szCs w:val="22"/>
          <w:lang w:val="de-DE"/>
        </w:rPr>
        <w:t>Jeder Fertigpen enthält 40 mg Adalimumab in 0,4 ml Lösung.</w:t>
      </w:r>
    </w:p>
    <w:p w14:paraId="5A4DF439" w14:textId="77777777" w:rsidR="00FE291A" w:rsidRDefault="00FE291A">
      <w:pPr>
        <w:rPr>
          <w:sz w:val="22"/>
          <w:szCs w:val="22"/>
          <w:lang w:val="de-DE"/>
        </w:rPr>
      </w:pPr>
    </w:p>
    <w:p w14:paraId="7B9F21DE" w14:textId="77777777" w:rsidR="00FE291A" w:rsidRDefault="00FE291A">
      <w:pPr>
        <w:rPr>
          <w:sz w:val="22"/>
          <w:szCs w:val="22"/>
          <w:lang w:val="de-DE"/>
        </w:rPr>
      </w:pPr>
    </w:p>
    <w:p w14:paraId="22E348D2" w14:textId="77777777" w:rsidR="00FE291A" w:rsidRDefault="00C8738F">
      <w:pPr>
        <w:keepNext/>
        <w:numPr>
          <w:ilvl w:val="0"/>
          <w:numId w:val="3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SONSTIGE BESTANDTEILE</w:t>
      </w:r>
    </w:p>
    <w:p w14:paraId="046D6DD8" w14:textId="77777777" w:rsidR="00FE291A" w:rsidRDefault="00FE291A">
      <w:pPr>
        <w:rPr>
          <w:sz w:val="22"/>
          <w:szCs w:val="22"/>
          <w:lang w:val="de-DE"/>
        </w:rPr>
      </w:pPr>
    </w:p>
    <w:p w14:paraId="751BAADE" w14:textId="77777777" w:rsidR="00FE291A" w:rsidRDefault="00C8738F">
      <w:pPr>
        <w:rPr>
          <w:sz w:val="22"/>
          <w:szCs w:val="22"/>
          <w:lang w:val="de-DE"/>
        </w:rPr>
      </w:pPr>
      <w:r>
        <w:rPr>
          <w:sz w:val="22"/>
          <w:szCs w:val="22"/>
          <w:lang w:val="de-DE"/>
        </w:rPr>
        <w:t>(S)-Milchsäure, Saccharose, Polysorbat 80, Natriumhydroxid und Wasser für Injektionszwecke.</w:t>
      </w:r>
    </w:p>
    <w:p w14:paraId="4176F7B7" w14:textId="77777777" w:rsidR="00FE291A" w:rsidRDefault="00FE291A">
      <w:pPr>
        <w:rPr>
          <w:sz w:val="22"/>
          <w:szCs w:val="22"/>
          <w:lang w:val="de-DE"/>
        </w:rPr>
      </w:pPr>
    </w:p>
    <w:p w14:paraId="0C0A0512" w14:textId="77777777" w:rsidR="00FE291A" w:rsidRDefault="00FE291A">
      <w:pPr>
        <w:rPr>
          <w:sz w:val="22"/>
          <w:szCs w:val="22"/>
          <w:lang w:val="de-DE"/>
        </w:rPr>
      </w:pPr>
    </w:p>
    <w:p w14:paraId="777131FE" w14:textId="77777777" w:rsidR="00FE291A" w:rsidRDefault="00C8738F">
      <w:pPr>
        <w:keepNext/>
        <w:numPr>
          <w:ilvl w:val="0"/>
          <w:numId w:val="3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DARREICHUNGSFORM UND INHALT</w:t>
      </w:r>
    </w:p>
    <w:p w14:paraId="4C97CECA" w14:textId="77777777" w:rsidR="00FE291A" w:rsidRDefault="00FE291A">
      <w:pPr>
        <w:rPr>
          <w:sz w:val="22"/>
          <w:szCs w:val="22"/>
          <w:lang w:val="de-DE"/>
        </w:rPr>
      </w:pPr>
    </w:p>
    <w:p w14:paraId="76E4FC69" w14:textId="77777777" w:rsidR="00FE291A" w:rsidRDefault="00C8738F">
      <w:pPr>
        <w:rPr>
          <w:sz w:val="22"/>
          <w:szCs w:val="22"/>
          <w:lang w:val="de-DE"/>
        </w:rPr>
      </w:pPr>
      <w:r>
        <w:rPr>
          <w:sz w:val="22"/>
          <w:szCs w:val="22"/>
          <w:highlight w:val="lightGray"/>
          <w:lang w:val="de-DE"/>
        </w:rPr>
        <w:t>Injektionslösung</w:t>
      </w:r>
    </w:p>
    <w:p w14:paraId="49B450F7" w14:textId="77777777" w:rsidR="00FE291A" w:rsidRDefault="00C8738F">
      <w:pPr>
        <w:rPr>
          <w:sz w:val="22"/>
          <w:szCs w:val="22"/>
          <w:lang w:val="de-DE"/>
        </w:rPr>
      </w:pPr>
      <w:r>
        <w:rPr>
          <w:sz w:val="22"/>
          <w:szCs w:val="22"/>
          <w:lang w:val="de-DE"/>
        </w:rPr>
        <w:t>40 mg/0,4 ml</w:t>
      </w:r>
    </w:p>
    <w:p w14:paraId="2592E148" w14:textId="77777777" w:rsidR="00FE291A" w:rsidRDefault="00C8738F">
      <w:pPr>
        <w:rPr>
          <w:sz w:val="22"/>
          <w:szCs w:val="22"/>
          <w:lang w:val="de-DE"/>
        </w:rPr>
      </w:pPr>
      <w:r>
        <w:rPr>
          <w:sz w:val="22"/>
          <w:szCs w:val="22"/>
          <w:lang w:val="de-DE"/>
        </w:rPr>
        <w:t>2 SureClick Fertigpens. Teil einer Bündelpackung, Einzelverkauf unzulässig.</w:t>
      </w:r>
    </w:p>
    <w:p w14:paraId="0ED960EC" w14:textId="77777777" w:rsidR="00FE291A" w:rsidRDefault="00FE291A">
      <w:pPr>
        <w:rPr>
          <w:sz w:val="22"/>
          <w:szCs w:val="22"/>
          <w:lang w:val="de-DE"/>
        </w:rPr>
      </w:pPr>
    </w:p>
    <w:p w14:paraId="44680870" w14:textId="77777777" w:rsidR="00FE291A" w:rsidRDefault="00FE291A">
      <w:pPr>
        <w:rPr>
          <w:sz w:val="22"/>
          <w:szCs w:val="22"/>
          <w:lang w:val="de-DE"/>
        </w:rPr>
      </w:pPr>
    </w:p>
    <w:p w14:paraId="66188E32" w14:textId="77777777" w:rsidR="00FE291A" w:rsidRDefault="00C8738F">
      <w:pPr>
        <w:keepNext/>
        <w:numPr>
          <w:ilvl w:val="0"/>
          <w:numId w:val="3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HINWEISE ZUR UND ART(EN) DER ANWENDUNG</w:t>
      </w:r>
    </w:p>
    <w:p w14:paraId="57140860" w14:textId="77777777" w:rsidR="00FE291A" w:rsidRDefault="00FE291A">
      <w:pPr>
        <w:keepNext/>
        <w:rPr>
          <w:sz w:val="22"/>
          <w:szCs w:val="22"/>
          <w:lang w:val="de-DE"/>
        </w:rPr>
      </w:pPr>
    </w:p>
    <w:p w14:paraId="36924083" w14:textId="77777777" w:rsidR="00FE291A" w:rsidRDefault="00C8738F">
      <w:pPr>
        <w:rPr>
          <w:sz w:val="22"/>
          <w:szCs w:val="22"/>
          <w:lang w:val="de-DE"/>
        </w:rPr>
      </w:pPr>
      <w:r>
        <w:rPr>
          <w:sz w:val="22"/>
          <w:szCs w:val="22"/>
          <w:lang w:val="de-DE"/>
        </w:rPr>
        <w:t>Zur subkutanen Anwendung.</w:t>
      </w:r>
    </w:p>
    <w:p w14:paraId="23C1C22D" w14:textId="77777777" w:rsidR="00FE291A" w:rsidRDefault="00C8738F">
      <w:pPr>
        <w:rPr>
          <w:sz w:val="22"/>
          <w:szCs w:val="22"/>
          <w:lang w:val="de-DE"/>
        </w:rPr>
      </w:pPr>
      <w:r>
        <w:rPr>
          <w:sz w:val="22"/>
          <w:szCs w:val="22"/>
          <w:lang w:val="de-DE"/>
        </w:rPr>
        <w:t>Packungsbeilage beachten.</w:t>
      </w:r>
    </w:p>
    <w:p w14:paraId="5B42F0FE" w14:textId="77777777" w:rsidR="00FE291A" w:rsidRDefault="00C8738F">
      <w:pPr>
        <w:rPr>
          <w:sz w:val="22"/>
          <w:szCs w:val="22"/>
          <w:lang w:val="de-DE"/>
        </w:rPr>
      </w:pPr>
      <w:r>
        <w:rPr>
          <w:sz w:val="22"/>
          <w:szCs w:val="22"/>
          <w:lang w:val="de-DE"/>
        </w:rPr>
        <w:t>Nur zum Einmalgebrauch.</w:t>
      </w:r>
    </w:p>
    <w:p w14:paraId="32242667" w14:textId="77777777" w:rsidR="00FE291A" w:rsidRDefault="00FE291A">
      <w:pPr>
        <w:rPr>
          <w:sz w:val="22"/>
          <w:szCs w:val="22"/>
          <w:lang w:val="de-DE"/>
        </w:rPr>
      </w:pPr>
    </w:p>
    <w:p w14:paraId="2FE20700" w14:textId="77777777" w:rsidR="00FE291A" w:rsidRDefault="00FE291A">
      <w:pPr>
        <w:rPr>
          <w:sz w:val="22"/>
          <w:szCs w:val="22"/>
          <w:lang w:val="de-DE"/>
        </w:rPr>
      </w:pPr>
    </w:p>
    <w:p w14:paraId="0D334CB7" w14:textId="77777777" w:rsidR="00FE291A" w:rsidRDefault="00C8738F">
      <w:pPr>
        <w:keepNext/>
        <w:numPr>
          <w:ilvl w:val="0"/>
          <w:numId w:val="3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WARNHINWEIS, DASS DAS ARZNEIMITTEL FÜR KINDER UNZUGÄNGLICH AUFZUBEWAHREN IST</w:t>
      </w:r>
    </w:p>
    <w:p w14:paraId="0412C76D" w14:textId="77777777" w:rsidR="00FE291A" w:rsidRDefault="00FE291A">
      <w:pPr>
        <w:keepNext/>
        <w:rPr>
          <w:sz w:val="22"/>
          <w:szCs w:val="22"/>
          <w:lang w:val="de-DE"/>
        </w:rPr>
      </w:pPr>
    </w:p>
    <w:p w14:paraId="5F7943E3" w14:textId="77777777" w:rsidR="00FE291A" w:rsidRDefault="00C8738F">
      <w:pPr>
        <w:outlineLvl w:val="0"/>
        <w:rPr>
          <w:sz w:val="22"/>
          <w:szCs w:val="22"/>
          <w:lang w:val="de-DE"/>
        </w:rPr>
      </w:pPr>
      <w:r>
        <w:rPr>
          <w:sz w:val="22"/>
          <w:szCs w:val="22"/>
          <w:lang w:val="de-DE"/>
        </w:rPr>
        <w:t>Arzneimittel für Kinder unzugänglich aufbewahren.</w:t>
      </w:r>
    </w:p>
    <w:p w14:paraId="4A2E4A82" w14:textId="77777777" w:rsidR="00FE291A" w:rsidRDefault="00FE291A">
      <w:pPr>
        <w:rPr>
          <w:sz w:val="22"/>
          <w:szCs w:val="22"/>
          <w:lang w:val="de-DE"/>
        </w:rPr>
      </w:pPr>
    </w:p>
    <w:p w14:paraId="6CED3E68" w14:textId="77777777" w:rsidR="00FE291A" w:rsidRDefault="00FE291A">
      <w:pPr>
        <w:rPr>
          <w:sz w:val="22"/>
          <w:szCs w:val="22"/>
          <w:lang w:val="de-DE"/>
        </w:rPr>
      </w:pPr>
    </w:p>
    <w:p w14:paraId="64800C2C" w14:textId="77777777" w:rsidR="00FE291A" w:rsidRDefault="00C8738F">
      <w:pPr>
        <w:keepNext/>
        <w:numPr>
          <w:ilvl w:val="0"/>
          <w:numId w:val="3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WEITERE WARNHINWEISE, FALLS ERFORDERLICH</w:t>
      </w:r>
    </w:p>
    <w:p w14:paraId="1F5FDF82" w14:textId="77777777" w:rsidR="00FE291A" w:rsidRDefault="00FE291A">
      <w:pPr>
        <w:rPr>
          <w:sz w:val="22"/>
          <w:szCs w:val="22"/>
          <w:lang w:val="de-DE"/>
        </w:rPr>
      </w:pPr>
    </w:p>
    <w:p w14:paraId="3C0E4ACE" w14:textId="77777777" w:rsidR="00FE291A" w:rsidRDefault="00FE291A">
      <w:pPr>
        <w:tabs>
          <w:tab w:val="left" w:pos="749"/>
        </w:tabs>
        <w:rPr>
          <w:sz w:val="22"/>
          <w:szCs w:val="22"/>
          <w:lang w:val="de-DE"/>
        </w:rPr>
      </w:pPr>
    </w:p>
    <w:p w14:paraId="0B588CBE" w14:textId="77777777" w:rsidR="00FE291A" w:rsidRDefault="00C8738F">
      <w:pPr>
        <w:keepNext/>
        <w:numPr>
          <w:ilvl w:val="0"/>
          <w:numId w:val="3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VERFALLDATUM</w:t>
      </w:r>
    </w:p>
    <w:p w14:paraId="5F1C0893" w14:textId="77777777" w:rsidR="00FE291A" w:rsidRDefault="00FE291A">
      <w:pPr>
        <w:keepNext/>
        <w:rPr>
          <w:sz w:val="22"/>
          <w:szCs w:val="22"/>
          <w:lang w:val="de-DE"/>
        </w:rPr>
      </w:pPr>
    </w:p>
    <w:p w14:paraId="5181C80B" w14:textId="77777777" w:rsidR="00FE291A" w:rsidRDefault="00C8738F">
      <w:pPr>
        <w:rPr>
          <w:sz w:val="22"/>
          <w:szCs w:val="22"/>
          <w:lang w:val="de-DE"/>
        </w:rPr>
      </w:pPr>
      <w:r>
        <w:rPr>
          <w:sz w:val="22"/>
          <w:szCs w:val="22"/>
          <w:lang w:val="de-DE"/>
        </w:rPr>
        <w:t>verwendbar bis</w:t>
      </w:r>
    </w:p>
    <w:p w14:paraId="7AE42343" w14:textId="77777777" w:rsidR="00FE291A" w:rsidRDefault="00FE291A">
      <w:pPr>
        <w:rPr>
          <w:sz w:val="22"/>
          <w:szCs w:val="22"/>
          <w:lang w:val="de-DE"/>
        </w:rPr>
      </w:pPr>
    </w:p>
    <w:p w14:paraId="1D29B64E" w14:textId="77777777" w:rsidR="00FE291A" w:rsidRDefault="00FE291A">
      <w:pPr>
        <w:rPr>
          <w:sz w:val="22"/>
          <w:szCs w:val="22"/>
          <w:lang w:val="de-DE"/>
        </w:rPr>
      </w:pPr>
    </w:p>
    <w:p w14:paraId="644396A4" w14:textId="77777777" w:rsidR="00FE291A" w:rsidRDefault="00C8738F">
      <w:pPr>
        <w:keepNext/>
        <w:keepLines/>
        <w:numPr>
          <w:ilvl w:val="0"/>
          <w:numId w:val="3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BESONDERE VORSICHTSMASSNAHMEN FÜR DIE AUFBEWAHRUNG</w:t>
      </w:r>
    </w:p>
    <w:p w14:paraId="0FF6F649" w14:textId="77777777" w:rsidR="00FE291A" w:rsidRDefault="00FE291A">
      <w:pPr>
        <w:keepNext/>
        <w:keepLines/>
        <w:rPr>
          <w:sz w:val="22"/>
          <w:szCs w:val="22"/>
          <w:lang w:val="de-DE"/>
        </w:rPr>
      </w:pPr>
    </w:p>
    <w:p w14:paraId="105306CB" w14:textId="77777777" w:rsidR="00FE291A" w:rsidRDefault="00C8738F">
      <w:pPr>
        <w:keepNext/>
        <w:keepLines/>
        <w:ind w:left="567" w:hanging="567"/>
        <w:rPr>
          <w:sz w:val="22"/>
          <w:szCs w:val="22"/>
          <w:lang w:val="de-DE"/>
        </w:rPr>
      </w:pPr>
      <w:r>
        <w:rPr>
          <w:sz w:val="22"/>
          <w:szCs w:val="22"/>
          <w:lang w:val="de-DE"/>
        </w:rPr>
        <w:t>Im Kühlschrank lagern.</w:t>
      </w:r>
    </w:p>
    <w:p w14:paraId="5C385D08" w14:textId="77777777" w:rsidR="00FE291A" w:rsidRDefault="00C8738F">
      <w:pPr>
        <w:keepNext/>
        <w:keepLines/>
        <w:ind w:left="567" w:hanging="567"/>
        <w:rPr>
          <w:sz w:val="22"/>
          <w:szCs w:val="22"/>
          <w:lang w:val="de-DE"/>
        </w:rPr>
      </w:pPr>
      <w:r>
        <w:rPr>
          <w:sz w:val="22"/>
          <w:szCs w:val="22"/>
          <w:lang w:val="de-DE"/>
        </w:rPr>
        <w:t>Nicht einfrieren.</w:t>
      </w:r>
    </w:p>
    <w:p w14:paraId="7955DA17" w14:textId="77777777" w:rsidR="00FE291A" w:rsidRDefault="00C8738F">
      <w:pPr>
        <w:ind w:left="567" w:hanging="567"/>
        <w:rPr>
          <w:sz w:val="22"/>
          <w:szCs w:val="22"/>
          <w:lang w:val="de-DE"/>
        </w:rPr>
      </w:pPr>
      <w:r>
        <w:rPr>
          <w:sz w:val="22"/>
          <w:szCs w:val="22"/>
          <w:lang w:val="de-DE"/>
        </w:rPr>
        <w:t>Im Originalkarton aufbewahren, um den Inhalt vor Licht zu schützen.</w:t>
      </w:r>
    </w:p>
    <w:p w14:paraId="6D9C8A8E" w14:textId="77777777" w:rsidR="00FE291A" w:rsidRDefault="00FE291A">
      <w:pPr>
        <w:ind w:left="567" w:hanging="567"/>
        <w:rPr>
          <w:sz w:val="22"/>
          <w:szCs w:val="22"/>
          <w:lang w:val="de-DE"/>
        </w:rPr>
      </w:pPr>
    </w:p>
    <w:p w14:paraId="297C6080" w14:textId="77777777" w:rsidR="00FE291A" w:rsidRDefault="00FE291A">
      <w:pPr>
        <w:ind w:left="567" w:hanging="567"/>
        <w:rPr>
          <w:sz w:val="22"/>
          <w:szCs w:val="22"/>
          <w:lang w:val="de-DE"/>
        </w:rPr>
      </w:pPr>
    </w:p>
    <w:p w14:paraId="238ECC2B" w14:textId="77777777" w:rsidR="00FE291A" w:rsidRDefault="00C8738F">
      <w:pPr>
        <w:keepNext/>
        <w:numPr>
          <w:ilvl w:val="0"/>
          <w:numId w:val="38"/>
        </w:num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de-DE"/>
        </w:rPr>
      </w:pPr>
      <w:r>
        <w:rPr>
          <w:b/>
          <w:sz w:val="22"/>
          <w:szCs w:val="22"/>
          <w:lang w:val="de-DE"/>
        </w:rPr>
        <w:t>GEGEBENENFALLS BESONDERE VORSICHTSMASSNAHMEN FÜR DIE BESEITIGUNG VON NICHT VERWENDETEM ARZNEIMITTEL ODER DAVON STAMMENDEN ABFALLMATERIALIEN</w:t>
      </w:r>
    </w:p>
    <w:p w14:paraId="383B53E8" w14:textId="77777777" w:rsidR="00FE291A" w:rsidRDefault="00FE291A">
      <w:pPr>
        <w:rPr>
          <w:sz w:val="22"/>
          <w:szCs w:val="22"/>
          <w:lang w:val="de-DE"/>
        </w:rPr>
      </w:pPr>
    </w:p>
    <w:p w14:paraId="570EAD4B" w14:textId="77777777" w:rsidR="00FE291A" w:rsidRDefault="00FE291A">
      <w:pPr>
        <w:rPr>
          <w:sz w:val="22"/>
          <w:szCs w:val="22"/>
          <w:lang w:val="de-DE"/>
        </w:rPr>
      </w:pPr>
    </w:p>
    <w:p w14:paraId="691AF10F" w14:textId="77777777" w:rsidR="00FE291A" w:rsidRDefault="00C8738F">
      <w:pPr>
        <w:keepNext/>
        <w:numPr>
          <w:ilvl w:val="0"/>
          <w:numId w:val="38"/>
        </w:num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de-DE"/>
        </w:rPr>
      </w:pPr>
      <w:r>
        <w:rPr>
          <w:b/>
          <w:sz w:val="22"/>
          <w:szCs w:val="22"/>
          <w:lang w:val="de-DE"/>
        </w:rPr>
        <w:t>NAME UND ANSCHRIFT DES PHARMAZEUTISCHEN UNTERNEHMERS</w:t>
      </w:r>
    </w:p>
    <w:p w14:paraId="499EABFC" w14:textId="77777777" w:rsidR="00FE291A" w:rsidRDefault="00FE291A">
      <w:pPr>
        <w:rPr>
          <w:sz w:val="22"/>
          <w:szCs w:val="22"/>
          <w:lang w:val="de-DE"/>
        </w:rPr>
      </w:pPr>
    </w:p>
    <w:p w14:paraId="6738ACB9" w14:textId="77777777" w:rsidR="00FE291A" w:rsidRDefault="00C8738F">
      <w:pPr>
        <w:rPr>
          <w:rFonts w:eastAsia="SimSun"/>
          <w:sz w:val="22"/>
          <w:szCs w:val="22"/>
          <w:lang w:val="de-DE" w:eastAsia="en-GB"/>
        </w:rPr>
      </w:pPr>
      <w:r>
        <w:rPr>
          <w:rFonts w:eastAsia="SimSun"/>
          <w:sz w:val="22"/>
          <w:szCs w:val="22"/>
          <w:lang w:val="de-DE" w:eastAsia="en-GB"/>
        </w:rPr>
        <w:t>Amgen Europe B.V.</w:t>
      </w:r>
    </w:p>
    <w:p w14:paraId="04472EAB" w14:textId="77777777" w:rsidR="00FE291A" w:rsidRDefault="00C8738F">
      <w:pPr>
        <w:rPr>
          <w:rFonts w:eastAsia="SimSun"/>
          <w:sz w:val="22"/>
          <w:szCs w:val="22"/>
          <w:lang w:val="de-DE" w:eastAsia="en-GB"/>
        </w:rPr>
      </w:pPr>
      <w:r>
        <w:rPr>
          <w:rFonts w:eastAsia="SimSun"/>
          <w:sz w:val="22"/>
          <w:szCs w:val="22"/>
          <w:lang w:val="de-DE" w:eastAsia="en-GB"/>
        </w:rPr>
        <w:t>Minervum 7061,</w:t>
      </w:r>
    </w:p>
    <w:p w14:paraId="39D61A75" w14:textId="77777777" w:rsidR="00FE291A" w:rsidRDefault="00C8738F">
      <w:pPr>
        <w:rPr>
          <w:rFonts w:eastAsia="SimSun"/>
          <w:sz w:val="22"/>
          <w:szCs w:val="22"/>
          <w:lang w:val="de-DE" w:eastAsia="en-GB"/>
        </w:rPr>
      </w:pPr>
      <w:r>
        <w:rPr>
          <w:rFonts w:eastAsia="SimSun"/>
          <w:sz w:val="22"/>
          <w:szCs w:val="22"/>
          <w:lang w:val="de-DE" w:eastAsia="en-GB"/>
        </w:rPr>
        <w:t>4817 ZK Breda,</w:t>
      </w:r>
    </w:p>
    <w:p w14:paraId="65C1C727" w14:textId="77777777" w:rsidR="00FE291A" w:rsidRDefault="00C8738F">
      <w:pPr>
        <w:rPr>
          <w:rFonts w:eastAsia="SimSun"/>
          <w:sz w:val="22"/>
          <w:szCs w:val="22"/>
          <w:lang w:val="de-DE" w:eastAsia="en-GB"/>
        </w:rPr>
      </w:pPr>
      <w:r>
        <w:rPr>
          <w:rFonts w:eastAsia="SimSun"/>
          <w:sz w:val="22"/>
          <w:szCs w:val="22"/>
          <w:lang w:val="de-DE" w:eastAsia="en-GB"/>
        </w:rPr>
        <w:t>Niederlande</w:t>
      </w:r>
    </w:p>
    <w:p w14:paraId="56021C67" w14:textId="77777777" w:rsidR="00FE291A" w:rsidRDefault="00FE291A">
      <w:pPr>
        <w:rPr>
          <w:sz w:val="22"/>
          <w:szCs w:val="22"/>
          <w:lang w:val="de-DE"/>
        </w:rPr>
      </w:pPr>
    </w:p>
    <w:p w14:paraId="2A087136" w14:textId="77777777" w:rsidR="00FE291A" w:rsidRDefault="00FE291A">
      <w:pPr>
        <w:rPr>
          <w:sz w:val="22"/>
          <w:szCs w:val="22"/>
          <w:lang w:val="de-DE"/>
        </w:rPr>
      </w:pPr>
    </w:p>
    <w:p w14:paraId="20EBFDA2" w14:textId="77777777" w:rsidR="00FE291A" w:rsidRDefault="00C8738F">
      <w:pPr>
        <w:keepNext/>
        <w:numPr>
          <w:ilvl w:val="0"/>
          <w:numId w:val="3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ZULASSUNGSNUMMER</w:t>
      </w:r>
    </w:p>
    <w:p w14:paraId="186E019A" w14:textId="77777777" w:rsidR="00FE291A" w:rsidRDefault="00FE291A">
      <w:pPr>
        <w:rPr>
          <w:sz w:val="22"/>
          <w:szCs w:val="22"/>
          <w:lang w:val="de-DE"/>
        </w:rPr>
      </w:pPr>
    </w:p>
    <w:p w14:paraId="4F402AF0" w14:textId="77777777" w:rsidR="00FE291A" w:rsidRDefault="00C8738F">
      <w:pPr>
        <w:outlineLvl w:val="0"/>
        <w:rPr>
          <w:sz w:val="22"/>
          <w:szCs w:val="22"/>
          <w:lang w:val="de-DE"/>
        </w:rPr>
      </w:pPr>
      <w:r>
        <w:rPr>
          <w:sz w:val="22"/>
          <w:szCs w:val="22"/>
          <w:lang w:val="de-DE"/>
        </w:rPr>
        <w:t>EU/1/16/1164/016</w:t>
      </w:r>
    </w:p>
    <w:p w14:paraId="6BBC29A7" w14:textId="77777777" w:rsidR="00FE291A" w:rsidRDefault="00FE291A">
      <w:pPr>
        <w:rPr>
          <w:sz w:val="22"/>
          <w:szCs w:val="22"/>
          <w:lang w:val="de-DE"/>
        </w:rPr>
      </w:pPr>
    </w:p>
    <w:p w14:paraId="2C96DE29" w14:textId="77777777" w:rsidR="00FE291A" w:rsidRDefault="00FE291A">
      <w:pPr>
        <w:rPr>
          <w:sz w:val="22"/>
          <w:szCs w:val="22"/>
          <w:lang w:val="de-DE"/>
        </w:rPr>
      </w:pPr>
    </w:p>
    <w:p w14:paraId="32D5935A" w14:textId="77777777" w:rsidR="00FE291A" w:rsidRDefault="00C8738F">
      <w:pPr>
        <w:keepNext/>
        <w:numPr>
          <w:ilvl w:val="0"/>
          <w:numId w:val="3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CHARGENBEZEICHNUNG</w:t>
      </w:r>
    </w:p>
    <w:p w14:paraId="4682AFF9" w14:textId="77777777" w:rsidR="00FE291A" w:rsidRDefault="00FE291A">
      <w:pPr>
        <w:rPr>
          <w:i/>
          <w:sz w:val="22"/>
          <w:szCs w:val="22"/>
          <w:lang w:val="de-DE"/>
        </w:rPr>
      </w:pPr>
    </w:p>
    <w:p w14:paraId="1EA5B9DA" w14:textId="77777777" w:rsidR="00FE291A" w:rsidRDefault="00C8738F">
      <w:pPr>
        <w:rPr>
          <w:sz w:val="22"/>
          <w:szCs w:val="22"/>
          <w:lang w:val="de-DE"/>
        </w:rPr>
      </w:pPr>
      <w:r>
        <w:rPr>
          <w:sz w:val="22"/>
          <w:szCs w:val="22"/>
          <w:lang w:val="de-DE"/>
        </w:rPr>
        <w:t>Ch.-B.</w:t>
      </w:r>
    </w:p>
    <w:p w14:paraId="56D7A43B" w14:textId="77777777" w:rsidR="00FE291A" w:rsidRDefault="00FE291A">
      <w:pPr>
        <w:rPr>
          <w:sz w:val="22"/>
          <w:szCs w:val="22"/>
          <w:lang w:val="de-DE"/>
        </w:rPr>
      </w:pPr>
    </w:p>
    <w:p w14:paraId="29C44294" w14:textId="77777777" w:rsidR="00FE291A" w:rsidRDefault="00FE291A">
      <w:pPr>
        <w:rPr>
          <w:sz w:val="22"/>
          <w:szCs w:val="22"/>
          <w:lang w:val="de-DE"/>
        </w:rPr>
      </w:pPr>
    </w:p>
    <w:p w14:paraId="693AE4C1" w14:textId="77777777" w:rsidR="00FE291A" w:rsidRDefault="00C8738F">
      <w:pPr>
        <w:keepNext/>
        <w:numPr>
          <w:ilvl w:val="0"/>
          <w:numId w:val="3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VERKAUFSABGRENZUNG</w:t>
      </w:r>
    </w:p>
    <w:p w14:paraId="1366BAC6" w14:textId="77777777" w:rsidR="00FE291A" w:rsidRDefault="00FE291A">
      <w:pPr>
        <w:rPr>
          <w:i/>
          <w:sz w:val="22"/>
          <w:szCs w:val="22"/>
          <w:lang w:val="de-DE"/>
        </w:rPr>
      </w:pPr>
    </w:p>
    <w:p w14:paraId="6717FEAA" w14:textId="77777777" w:rsidR="00FE291A" w:rsidRDefault="00FE291A">
      <w:pPr>
        <w:rPr>
          <w:sz w:val="22"/>
          <w:szCs w:val="22"/>
          <w:lang w:val="de-DE"/>
        </w:rPr>
      </w:pPr>
    </w:p>
    <w:p w14:paraId="1E91BD91" w14:textId="77777777" w:rsidR="00FE291A" w:rsidRDefault="00C8738F">
      <w:pPr>
        <w:keepNext/>
        <w:numPr>
          <w:ilvl w:val="0"/>
          <w:numId w:val="3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HINWEISE FÜR DEN GEBRAUCH</w:t>
      </w:r>
    </w:p>
    <w:p w14:paraId="5822162D" w14:textId="77777777" w:rsidR="00FE291A" w:rsidRDefault="00FE291A">
      <w:pPr>
        <w:rPr>
          <w:sz w:val="22"/>
          <w:szCs w:val="22"/>
          <w:lang w:val="de-DE"/>
        </w:rPr>
      </w:pPr>
    </w:p>
    <w:p w14:paraId="2EB9A686" w14:textId="77777777" w:rsidR="00FE291A" w:rsidRDefault="00FE291A">
      <w:pPr>
        <w:rPr>
          <w:sz w:val="22"/>
          <w:szCs w:val="22"/>
          <w:lang w:val="de-DE"/>
        </w:rPr>
      </w:pPr>
    </w:p>
    <w:p w14:paraId="233624EB" w14:textId="77777777" w:rsidR="00FE291A" w:rsidRDefault="00C8738F">
      <w:pPr>
        <w:keepNext/>
        <w:numPr>
          <w:ilvl w:val="0"/>
          <w:numId w:val="38"/>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ANGABEN IN BLINDENSCHRIFT</w:t>
      </w:r>
    </w:p>
    <w:p w14:paraId="6F3314B9" w14:textId="77777777" w:rsidR="00FE291A" w:rsidRDefault="00FE291A">
      <w:pPr>
        <w:rPr>
          <w:sz w:val="22"/>
          <w:szCs w:val="22"/>
          <w:lang w:val="de-DE"/>
        </w:rPr>
      </w:pPr>
    </w:p>
    <w:p w14:paraId="15AEF6BE" w14:textId="77777777" w:rsidR="00FE291A" w:rsidRDefault="00C8738F">
      <w:pPr>
        <w:rPr>
          <w:sz w:val="22"/>
          <w:szCs w:val="22"/>
          <w:shd w:val="clear" w:color="auto" w:fill="CCCCCC"/>
          <w:lang w:val="de-DE"/>
        </w:rPr>
      </w:pPr>
      <w:r>
        <w:rPr>
          <w:sz w:val="22"/>
          <w:szCs w:val="22"/>
          <w:lang w:val="de-DE"/>
        </w:rPr>
        <w:t>AMGEVITA 40 mg/0,4 ml Pen</w:t>
      </w:r>
    </w:p>
    <w:p w14:paraId="743CA279" w14:textId="77777777" w:rsidR="00FE291A" w:rsidRDefault="00FE291A">
      <w:pPr>
        <w:rPr>
          <w:sz w:val="22"/>
          <w:szCs w:val="22"/>
          <w:shd w:val="clear" w:color="auto" w:fill="CCCCCC"/>
          <w:lang w:val="de-DE"/>
        </w:rPr>
      </w:pPr>
    </w:p>
    <w:p w14:paraId="5531F8C9" w14:textId="77777777" w:rsidR="00FE291A" w:rsidRDefault="00FE291A">
      <w:pPr>
        <w:rPr>
          <w:sz w:val="22"/>
          <w:szCs w:val="22"/>
          <w:shd w:val="clear" w:color="auto" w:fill="CCCCCC"/>
          <w:lang w:val="de-DE"/>
        </w:rPr>
      </w:pPr>
    </w:p>
    <w:p w14:paraId="79222888" w14:textId="77777777" w:rsidR="00FE291A" w:rsidRDefault="00C8738F">
      <w:pPr>
        <w:pBdr>
          <w:top w:val="single" w:sz="4" w:space="1" w:color="auto"/>
          <w:left w:val="single" w:sz="4" w:space="4" w:color="auto"/>
          <w:bottom w:val="single" w:sz="4" w:space="0" w:color="auto"/>
          <w:right w:val="single" w:sz="4" w:space="4" w:color="auto"/>
        </w:pBdr>
        <w:ind w:left="567" w:hanging="567"/>
        <w:rPr>
          <w:i/>
          <w:sz w:val="22"/>
          <w:szCs w:val="22"/>
          <w:lang w:val="de-DE"/>
        </w:rPr>
      </w:pPr>
      <w:r>
        <w:rPr>
          <w:b/>
          <w:sz w:val="22"/>
          <w:szCs w:val="22"/>
          <w:lang w:val="de-DE"/>
        </w:rPr>
        <w:t>17.</w:t>
      </w:r>
      <w:r>
        <w:rPr>
          <w:b/>
          <w:sz w:val="22"/>
          <w:szCs w:val="22"/>
          <w:lang w:val="de-DE"/>
        </w:rPr>
        <w:tab/>
        <w:t>INDIVIDUELLES ERKENNUNGSMERKMAL – 2D-BARCODE</w:t>
      </w:r>
    </w:p>
    <w:p w14:paraId="2E79F0BA" w14:textId="77777777" w:rsidR="00FE291A" w:rsidRDefault="00FE291A">
      <w:pPr>
        <w:rPr>
          <w:sz w:val="22"/>
          <w:szCs w:val="22"/>
          <w:lang w:val="de-DE"/>
        </w:rPr>
      </w:pPr>
    </w:p>
    <w:p w14:paraId="1714EB36" w14:textId="77777777" w:rsidR="00FE291A" w:rsidRDefault="00FE291A">
      <w:pPr>
        <w:rPr>
          <w:sz w:val="22"/>
          <w:szCs w:val="22"/>
          <w:lang w:val="de-DE"/>
        </w:rPr>
      </w:pPr>
    </w:p>
    <w:p w14:paraId="18902FB7" w14:textId="77777777" w:rsidR="00FE291A" w:rsidRDefault="00C8738F">
      <w:pPr>
        <w:pBdr>
          <w:top w:val="single" w:sz="4" w:space="1" w:color="auto"/>
          <w:left w:val="single" w:sz="4" w:space="4" w:color="auto"/>
          <w:bottom w:val="single" w:sz="4" w:space="0" w:color="auto"/>
          <w:right w:val="single" w:sz="4" w:space="4" w:color="auto"/>
        </w:pBdr>
        <w:ind w:left="567" w:hanging="567"/>
        <w:rPr>
          <w:i/>
          <w:sz w:val="22"/>
          <w:szCs w:val="22"/>
          <w:lang w:val="de-DE"/>
        </w:rPr>
      </w:pPr>
      <w:r>
        <w:rPr>
          <w:b/>
          <w:sz w:val="22"/>
          <w:szCs w:val="22"/>
          <w:lang w:val="de-DE"/>
        </w:rPr>
        <w:t>18.</w:t>
      </w:r>
      <w:r>
        <w:rPr>
          <w:b/>
          <w:sz w:val="22"/>
          <w:szCs w:val="22"/>
          <w:lang w:val="de-DE"/>
        </w:rPr>
        <w:tab/>
        <w:t>INDIVIDUELLES ERKENNUNGSMERKMAL – VOM MENSCHEN LESBARES FORMAT</w:t>
      </w:r>
    </w:p>
    <w:p w14:paraId="6E8342B0" w14:textId="77777777" w:rsidR="00FE291A" w:rsidRDefault="00FE291A">
      <w:pPr>
        <w:rPr>
          <w:sz w:val="22"/>
          <w:szCs w:val="22"/>
          <w:shd w:val="clear" w:color="auto" w:fill="CCCCCC"/>
          <w:lang w:val="de-DE"/>
        </w:rPr>
      </w:pPr>
    </w:p>
    <w:p w14:paraId="3CA25785" w14:textId="77777777" w:rsidR="00FE291A" w:rsidRDefault="00FE291A">
      <w:pPr>
        <w:widowControl/>
        <w:rPr>
          <w:sz w:val="22"/>
          <w:szCs w:val="22"/>
          <w:shd w:val="clear" w:color="auto" w:fill="CCCCCC"/>
          <w:lang w:val="de-DE"/>
        </w:rPr>
      </w:pPr>
    </w:p>
    <w:p w14:paraId="3B044D47" w14:textId="77777777" w:rsidR="00FE291A" w:rsidRDefault="00FE291A">
      <w:pPr>
        <w:pageBreakBefore/>
        <w:widowControl/>
        <w:rPr>
          <w:sz w:val="22"/>
          <w:lang w:val="de-D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FE291A" w:rsidRPr="00723069" w14:paraId="3C58B29C" w14:textId="77777777">
        <w:tc>
          <w:tcPr>
            <w:tcW w:w="9464" w:type="dxa"/>
          </w:tcPr>
          <w:p w14:paraId="2F156CF8" w14:textId="77777777" w:rsidR="00FE291A" w:rsidRDefault="00C8738F">
            <w:pPr>
              <w:widowControl/>
              <w:rPr>
                <w:b/>
                <w:sz w:val="22"/>
                <w:szCs w:val="22"/>
                <w:lang w:val="de-DE"/>
              </w:rPr>
            </w:pPr>
            <w:r>
              <w:rPr>
                <w:b/>
                <w:sz w:val="22"/>
                <w:szCs w:val="22"/>
                <w:lang w:val="de-DE"/>
              </w:rPr>
              <w:t>MINDESTANGABEN AUF KLEINEN BEHÄLTNISSEN</w:t>
            </w:r>
          </w:p>
          <w:p w14:paraId="64022734" w14:textId="77777777" w:rsidR="00FE291A" w:rsidRDefault="00FE291A">
            <w:pPr>
              <w:widowControl/>
              <w:rPr>
                <w:b/>
                <w:sz w:val="22"/>
                <w:szCs w:val="22"/>
                <w:lang w:val="de-DE"/>
              </w:rPr>
            </w:pPr>
          </w:p>
          <w:p w14:paraId="41A6F02C" w14:textId="77777777" w:rsidR="00FE291A" w:rsidRDefault="00C8738F">
            <w:pPr>
              <w:widowControl/>
              <w:rPr>
                <w:sz w:val="22"/>
                <w:lang w:val="de-DE"/>
              </w:rPr>
            </w:pPr>
            <w:r>
              <w:rPr>
                <w:b/>
                <w:sz w:val="22"/>
                <w:lang w:val="de-DE"/>
              </w:rPr>
              <w:t>ETIKETT DES FERTIGPENS</w:t>
            </w:r>
          </w:p>
        </w:tc>
      </w:tr>
    </w:tbl>
    <w:p w14:paraId="31C8D05B" w14:textId="77777777" w:rsidR="00FE291A" w:rsidRDefault="00FE291A">
      <w:pPr>
        <w:widowControl/>
        <w:rPr>
          <w:sz w:val="22"/>
          <w:lang w:val="de-DE"/>
        </w:rPr>
      </w:pPr>
    </w:p>
    <w:p w14:paraId="7FEE0A0C" w14:textId="77777777" w:rsidR="00FE291A" w:rsidRDefault="00FE291A">
      <w:pPr>
        <w:widowControl/>
        <w:rPr>
          <w:sz w:val="22"/>
          <w:lang w:val="de-DE"/>
        </w:rPr>
      </w:pPr>
    </w:p>
    <w:p w14:paraId="6A046A23" w14:textId="77777777" w:rsidR="00FE291A" w:rsidRDefault="00C8738F">
      <w:pPr>
        <w:widowControl/>
        <w:numPr>
          <w:ilvl w:val="0"/>
          <w:numId w:val="39"/>
        </w:numPr>
        <w:pBdr>
          <w:top w:val="single" w:sz="4" w:space="1" w:color="auto"/>
          <w:left w:val="single" w:sz="4" w:space="4" w:color="auto"/>
          <w:bottom w:val="single" w:sz="4" w:space="1" w:color="auto"/>
          <w:right w:val="single" w:sz="4" w:space="7" w:color="auto"/>
        </w:pBdr>
        <w:tabs>
          <w:tab w:val="left" w:pos="567"/>
        </w:tabs>
        <w:autoSpaceDE/>
        <w:autoSpaceDN/>
        <w:adjustRightInd/>
        <w:ind w:hanging="930"/>
        <w:outlineLvl w:val="0"/>
        <w:rPr>
          <w:b/>
          <w:sz w:val="22"/>
          <w:lang w:val="de-DE"/>
        </w:rPr>
      </w:pPr>
      <w:r>
        <w:rPr>
          <w:b/>
          <w:sz w:val="22"/>
          <w:lang w:val="de-DE"/>
        </w:rPr>
        <w:t>BEZEICHNUNG DES ARZNEIMITTELS SOWIE ART(EN) DER ANWENDUNG</w:t>
      </w:r>
    </w:p>
    <w:p w14:paraId="4668C39D" w14:textId="77777777" w:rsidR="00FE291A" w:rsidRDefault="00FE291A">
      <w:pPr>
        <w:widowControl/>
        <w:ind w:left="567" w:hanging="567"/>
        <w:rPr>
          <w:sz w:val="22"/>
          <w:lang w:val="de-DE"/>
        </w:rPr>
      </w:pPr>
    </w:p>
    <w:p w14:paraId="3C254463" w14:textId="77777777" w:rsidR="00FE291A" w:rsidRPr="00C85130" w:rsidRDefault="00C8738F">
      <w:pPr>
        <w:widowControl/>
        <w:rPr>
          <w:sz w:val="22"/>
          <w:szCs w:val="22"/>
          <w:lang w:val="de-DE"/>
          <w:rPrChange w:id="99" w:author="Author">
            <w:rPr>
              <w:sz w:val="22"/>
              <w:szCs w:val="22"/>
              <w:lang w:val="es-ES"/>
            </w:rPr>
          </w:rPrChange>
        </w:rPr>
      </w:pPr>
      <w:r w:rsidRPr="00C85130">
        <w:rPr>
          <w:sz w:val="22"/>
          <w:szCs w:val="22"/>
          <w:lang w:val="de-DE"/>
          <w:rPrChange w:id="100" w:author="Author">
            <w:rPr>
              <w:sz w:val="22"/>
              <w:szCs w:val="22"/>
              <w:lang w:val="es-ES"/>
            </w:rPr>
          </w:rPrChange>
        </w:rPr>
        <w:t>AMGEVITA 40 mg Injektion</w:t>
      </w:r>
    </w:p>
    <w:p w14:paraId="7CBD6872" w14:textId="77777777" w:rsidR="00FE291A" w:rsidRPr="00C85130" w:rsidRDefault="00C8738F">
      <w:pPr>
        <w:widowControl/>
        <w:rPr>
          <w:sz w:val="22"/>
          <w:szCs w:val="22"/>
          <w:lang w:val="de-DE"/>
          <w:rPrChange w:id="101" w:author="Author">
            <w:rPr>
              <w:sz w:val="22"/>
              <w:szCs w:val="22"/>
              <w:lang w:val="es-ES"/>
            </w:rPr>
          </w:rPrChange>
        </w:rPr>
      </w:pPr>
      <w:r w:rsidRPr="00C85130">
        <w:rPr>
          <w:sz w:val="22"/>
          <w:szCs w:val="22"/>
          <w:lang w:val="de-DE"/>
          <w:rPrChange w:id="102" w:author="Author">
            <w:rPr>
              <w:sz w:val="22"/>
              <w:szCs w:val="22"/>
              <w:lang w:val="es-ES"/>
            </w:rPr>
          </w:rPrChange>
        </w:rPr>
        <w:t>Adalimumab</w:t>
      </w:r>
    </w:p>
    <w:p w14:paraId="095CDF7E" w14:textId="77777777" w:rsidR="00FE291A" w:rsidRPr="00C85130" w:rsidRDefault="00C8738F">
      <w:pPr>
        <w:widowControl/>
        <w:rPr>
          <w:sz w:val="22"/>
          <w:lang w:val="de-DE"/>
          <w:rPrChange w:id="103" w:author="Author">
            <w:rPr>
              <w:sz w:val="22"/>
              <w:lang w:val="es-ES"/>
            </w:rPr>
          </w:rPrChange>
        </w:rPr>
      </w:pPr>
      <w:r w:rsidRPr="00C85130">
        <w:rPr>
          <w:sz w:val="22"/>
          <w:lang w:val="de-DE"/>
          <w:rPrChange w:id="104" w:author="Author">
            <w:rPr>
              <w:sz w:val="22"/>
              <w:lang w:val="es-ES"/>
            </w:rPr>
          </w:rPrChange>
        </w:rPr>
        <w:t>s.c.</w:t>
      </w:r>
    </w:p>
    <w:p w14:paraId="4AF6A4D6" w14:textId="77777777" w:rsidR="00FE291A" w:rsidRPr="00C85130" w:rsidRDefault="00FE291A">
      <w:pPr>
        <w:widowControl/>
        <w:rPr>
          <w:sz w:val="22"/>
          <w:lang w:val="de-DE"/>
          <w:rPrChange w:id="105" w:author="Author">
            <w:rPr>
              <w:sz w:val="22"/>
              <w:lang w:val="es-ES"/>
            </w:rPr>
          </w:rPrChange>
        </w:rPr>
      </w:pPr>
    </w:p>
    <w:p w14:paraId="731E8B31" w14:textId="77777777" w:rsidR="00FE291A" w:rsidRPr="00C85130" w:rsidRDefault="00FE291A">
      <w:pPr>
        <w:widowControl/>
        <w:rPr>
          <w:sz w:val="22"/>
          <w:lang w:val="de-DE"/>
          <w:rPrChange w:id="106" w:author="Author">
            <w:rPr>
              <w:sz w:val="22"/>
              <w:lang w:val="es-ES"/>
            </w:rPr>
          </w:rPrChange>
        </w:rPr>
      </w:pPr>
    </w:p>
    <w:p w14:paraId="75CED4C1" w14:textId="77777777" w:rsidR="00FE291A" w:rsidRDefault="00C8738F">
      <w:pPr>
        <w:widowControl/>
        <w:numPr>
          <w:ilvl w:val="0"/>
          <w:numId w:val="39"/>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HINWEISE ZUR ANWENDUNG</w:t>
      </w:r>
    </w:p>
    <w:p w14:paraId="1AC4D6FE" w14:textId="77777777" w:rsidR="00FE291A" w:rsidRDefault="00FE291A">
      <w:pPr>
        <w:widowControl/>
        <w:rPr>
          <w:sz w:val="22"/>
          <w:lang w:val="de-DE"/>
        </w:rPr>
      </w:pPr>
    </w:p>
    <w:p w14:paraId="0C7890E3" w14:textId="77777777" w:rsidR="00FE291A" w:rsidRDefault="00FE291A">
      <w:pPr>
        <w:widowControl/>
        <w:rPr>
          <w:sz w:val="22"/>
          <w:lang w:val="de-DE"/>
        </w:rPr>
      </w:pPr>
    </w:p>
    <w:p w14:paraId="085B1A4D" w14:textId="77777777" w:rsidR="00FE291A" w:rsidRDefault="00C8738F">
      <w:pPr>
        <w:widowControl/>
        <w:numPr>
          <w:ilvl w:val="0"/>
          <w:numId w:val="39"/>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VERFALLDATUM</w:t>
      </w:r>
    </w:p>
    <w:p w14:paraId="2A0CBA8A" w14:textId="77777777" w:rsidR="00FE291A" w:rsidRDefault="00FE291A">
      <w:pPr>
        <w:widowControl/>
        <w:rPr>
          <w:sz w:val="22"/>
          <w:lang w:val="de-DE"/>
        </w:rPr>
      </w:pPr>
    </w:p>
    <w:p w14:paraId="455D0D4F" w14:textId="77777777" w:rsidR="00FE291A" w:rsidRDefault="00C8738F">
      <w:pPr>
        <w:widowControl/>
        <w:rPr>
          <w:sz w:val="22"/>
          <w:lang w:val="de-DE"/>
        </w:rPr>
      </w:pPr>
      <w:r>
        <w:rPr>
          <w:sz w:val="22"/>
          <w:lang w:val="de-DE"/>
        </w:rPr>
        <w:t>EXP</w:t>
      </w:r>
    </w:p>
    <w:p w14:paraId="1DD46CFD" w14:textId="77777777" w:rsidR="00FE291A" w:rsidRDefault="00FE291A">
      <w:pPr>
        <w:widowControl/>
        <w:rPr>
          <w:sz w:val="22"/>
          <w:lang w:val="de-DE"/>
        </w:rPr>
      </w:pPr>
    </w:p>
    <w:p w14:paraId="7965DEDA" w14:textId="77777777" w:rsidR="00FE291A" w:rsidRDefault="00FE291A">
      <w:pPr>
        <w:widowControl/>
        <w:rPr>
          <w:sz w:val="22"/>
          <w:lang w:val="de-DE"/>
        </w:rPr>
      </w:pPr>
    </w:p>
    <w:p w14:paraId="54235332" w14:textId="77777777" w:rsidR="00FE291A" w:rsidRDefault="00C8738F">
      <w:pPr>
        <w:widowControl/>
        <w:numPr>
          <w:ilvl w:val="0"/>
          <w:numId w:val="39"/>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CHARGENBEZEICHNUNG</w:t>
      </w:r>
    </w:p>
    <w:p w14:paraId="6A3B84B2" w14:textId="77777777" w:rsidR="00FE291A" w:rsidRDefault="00FE291A">
      <w:pPr>
        <w:widowControl/>
        <w:ind w:right="113"/>
        <w:rPr>
          <w:sz w:val="22"/>
          <w:lang w:val="de-DE"/>
        </w:rPr>
      </w:pPr>
    </w:p>
    <w:p w14:paraId="085E9136" w14:textId="77777777" w:rsidR="00FE291A" w:rsidRDefault="00C8738F">
      <w:pPr>
        <w:widowControl/>
        <w:ind w:right="113"/>
        <w:rPr>
          <w:sz w:val="22"/>
          <w:lang w:val="de-DE"/>
        </w:rPr>
      </w:pPr>
      <w:r>
        <w:rPr>
          <w:sz w:val="22"/>
          <w:lang w:val="de-DE"/>
        </w:rPr>
        <w:t>Lot</w:t>
      </w:r>
    </w:p>
    <w:p w14:paraId="2EF5715A" w14:textId="77777777" w:rsidR="00FE291A" w:rsidRDefault="00FE291A">
      <w:pPr>
        <w:widowControl/>
        <w:ind w:right="113"/>
        <w:rPr>
          <w:sz w:val="22"/>
          <w:lang w:val="de-DE"/>
        </w:rPr>
      </w:pPr>
    </w:p>
    <w:p w14:paraId="190A4E08" w14:textId="77777777" w:rsidR="00FE291A" w:rsidRDefault="00FE291A">
      <w:pPr>
        <w:widowControl/>
        <w:ind w:right="113"/>
        <w:rPr>
          <w:sz w:val="22"/>
          <w:lang w:val="de-DE"/>
        </w:rPr>
      </w:pPr>
    </w:p>
    <w:p w14:paraId="3B60558F" w14:textId="77777777" w:rsidR="00FE291A" w:rsidRDefault="00C8738F">
      <w:pPr>
        <w:widowControl/>
        <w:numPr>
          <w:ilvl w:val="0"/>
          <w:numId w:val="39"/>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INHALT NACH GEWICHT, VOLUMEN ODER EINHEITEN</w:t>
      </w:r>
    </w:p>
    <w:p w14:paraId="79BF21D1" w14:textId="77777777" w:rsidR="00FE291A" w:rsidRDefault="00FE291A">
      <w:pPr>
        <w:widowControl/>
        <w:ind w:right="113"/>
        <w:rPr>
          <w:sz w:val="22"/>
          <w:lang w:val="de-DE"/>
        </w:rPr>
      </w:pPr>
    </w:p>
    <w:p w14:paraId="34814B15" w14:textId="77777777" w:rsidR="00FE291A" w:rsidRDefault="00C8738F">
      <w:pPr>
        <w:widowControl/>
        <w:ind w:right="113"/>
        <w:rPr>
          <w:sz w:val="22"/>
          <w:lang w:val="de-DE"/>
        </w:rPr>
      </w:pPr>
      <w:r>
        <w:rPr>
          <w:sz w:val="22"/>
          <w:lang w:val="de-DE"/>
        </w:rPr>
        <w:t>0,4 ml</w:t>
      </w:r>
    </w:p>
    <w:p w14:paraId="5F2A3DB8" w14:textId="77777777" w:rsidR="00FE291A" w:rsidRDefault="00FE291A">
      <w:pPr>
        <w:widowControl/>
        <w:ind w:right="113"/>
        <w:rPr>
          <w:sz w:val="22"/>
          <w:lang w:val="de-DE"/>
        </w:rPr>
      </w:pPr>
    </w:p>
    <w:p w14:paraId="728E948E" w14:textId="77777777" w:rsidR="00FE291A" w:rsidRDefault="00FE291A">
      <w:pPr>
        <w:widowControl/>
        <w:ind w:right="113"/>
        <w:rPr>
          <w:sz w:val="22"/>
          <w:lang w:val="de-DE"/>
        </w:rPr>
      </w:pPr>
    </w:p>
    <w:p w14:paraId="62E60E2F" w14:textId="77777777" w:rsidR="00FE291A" w:rsidRDefault="00C8738F">
      <w:pPr>
        <w:widowControl/>
        <w:numPr>
          <w:ilvl w:val="0"/>
          <w:numId w:val="39"/>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WEITERE ANGABEN</w:t>
      </w:r>
    </w:p>
    <w:p w14:paraId="2EBB11FE" w14:textId="77777777" w:rsidR="00FE291A" w:rsidRDefault="00FE291A">
      <w:pPr>
        <w:widowControl/>
        <w:ind w:right="113"/>
        <w:rPr>
          <w:sz w:val="22"/>
          <w:lang w:val="de-DE"/>
        </w:rPr>
      </w:pPr>
    </w:p>
    <w:p w14:paraId="59AE0CD9" w14:textId="77777777" w:rsidR="00FE291A" w:rsidRDefault="00FE291A">
      <w:pPr>
        <w:widowControl/>
        <w:ind w:right="113"/>
        <w:rPr>
          <w:sz w:val="22"/>
          <w:lang w:val="de-DE"/>
        </w:rPr>
      </w:pPr>
    </w:p>
    <w:p w14:paraId="052FB6EE" w14:textId="77777777" w:rsidR="00FE291A" w:rsidRDefault="00C8738F">
      <w:pPr>
        <w:widowControl/>
        <w:pBdr>
          <w:top w:val="single" w:sz="4" w:space="1" w:color="auto"/>
          <w:left w:val="single" w:sz="4" w:space="4" w:color="auto"/>
          <w:bottom w:val="single" w:sz="4" w:space="1" w:color="auto"/>
          <w:right w:val="single" w:sz="4" w:space="4" w:color="auto"/>
        </w:pBdr>
        <w:rPr>
          <w:b/>
          <w:sz w:val="22"/>
          <w:szCs w:val="22"/>
          <w:lang w:val="de-DE"/>
        </w:rPr>
      </w:pPr>
      <w:r>
        <w:rPr>
          <w:b/>
          <w:sz w:val="22"/>
          <w:szCs w:val="22"/>
          <w:lang w:val="de-DE"/>
        </w:rPr>
        <w:br w:type="page"/>
        <w:t>ANGABEN AUF DER ÄUSSEREN UMHÜLLUNG</w:t>
      </w:r>
    </w:p>
    <w:p w14:paraId="128970A0" w14:textId="77777777" w:rsidR="00FE291A" w:rsidRDefault="00FE291A">
      <w:pPr>
        <w:widowControl/>
        <w:pBdr>
          <w:top w:val="single" w:sz="4" w:space="1" w:color="auto"/>
          <w:left w:val="single" w:sz="4" w:space="4" w:color="auto"/>
          <w:bottom w:val="single" w:sz="4" w:space="1" w:color="auto"/>
          <w:right w:val="single" w:sz="4" w:space="4" w:color="auto"/>
        </w:pBdr>
        <w:ind w:left="567" w:hanging="567"/>
        <w:rPr>
          <w:sz w:val="22"/>
          <w:szCs w:val="22"/>
          <w:lang w:val="de-DE"/>
        </w:rPr>
      </w:pPr>
    </w:p>
    <w:p w14:paraId="3DB26B63" w14:textId="77777777" w:rsidR="00FE291A" w:rsidRDefault="00C8738F">
      <w:pPr>
        <w:widowControl/>
        <w:pBdr>
          <w:top w:val="single" w:sz="4" w:space="1" w:color="auto"/>
          <w:left w:val="single" w:sz="4" w:space="4" w:color="auto"/>
          <w:bottom w:val="single" w:sz="4" w:space="1" w:color="auto"/>
          <w:right w:val="single" w:sz="4" w:space="4" w:color="auto"/>
        </w:pBdr>
        <w:rPr>
          <w:sz w:val="22"/>
          <w:szCs w:val="22"/>
          <w:lang w:val="de-DE"/>
        </w:rPr>
      </w:pPr>
      <w:r>
        <w:rPr>
          <w:b/>
          <w:sz w:val="22"/>
          <w:szCs w:val="22"/>
          <w:lang w:val="de-DE"/>
        </w:rPr>
        <w:t>KARTON FÜR DIE FERTIGSPRITZE</w:t>
      </w:r>
    </w:p>
    <w:p w14:paraId="00CE96D3" w14:textId="77777777" w:rsidR="00FE291A" w:rsidRDefault="00FE291A">
      <w:pPr>
        <w:widowControl/>
        <w:rPr>
          <w:sz w:val="22"/>
          <w:szCs w:val="22"/>
          <w:lang w:val="de-DE"/>
        </w:rPr>
      </w:pPr>
    </w:p>
    <w:p w14:paraId="107CD8AC" w14:textId="77777777" w:rsidR="00FE291A" w:rsidRDefault="00FE291A">
      <w:pPr>
        <w:widowControl/>
        <w:rPr>
          <w:sz w:val="22"/>
          <w:szCs w:val="22"/>
          <w:lang w:val="de-DE"/>
        </w:rPr>
      </w:pPr>
    </w:p>
    <w:p w14:paraId="209104EC" w14:textId="77777777" w:rsidR="00FE291A" w:rsidRDefault="00C8738F">
      <w:pPr>
        <w:keepNext/>
        <w:widowControl/>
        <w:numPr>
          <w:ilvl w:val="0"/>
          <w:numId w:val="40"/>
        </w:numPr>
        <w:pBdr>
          <w:top w:val="single" w:sz="4" w:space="1" w:color="auto"/>
          <w:left w:val="single" w:sz="4" w:space="4" w:color="auto"/>
          <w:bottom w:val="single" w:sz="4" w:space="1" w:color="auto"/>
          <w:right w:val="single" w:sz="4" w:space="4" w:color="auto"/>
        </w:pBdr>
        <w:tabs>
          <w:tab w:val="left" w:pos="567"/>
        </w:tabs>
        <w:autoSpaceDE/>
        <w:autoSpaceDN/>
        <w:adjustRightInd/>
        <w:ind w:hanging="1650"/>
        <w:outlineLvl w:val="0"/>
        <w:rPr>
          <w:sz w:val="22"/>
          <w:szCs w:val="22"/>
          <w:lang w:val="de-DE"/>
        </w:rPr>
      </w:pPr>
      <w:r>
        <w:rPr>
          <w:b/>
          <w:sz w:val="22"/>
          <w:szCs w:val="22"/>
          <w:lang w:val="de-DE"/>
        </w:rPr>
        <w:t>BEZEICHNUNG DES ARZNEIMITTELS</w:t>
      </w:r>
    </w:p>
    <w:p w14:paraId="767686D1" w14:textId="77777777" w:rsidR="00FE291A" w:rsidRDefault="00FE291A">
      <w:pPr>
        <w:keepNext/>
        <w:widowControl/>
        <w:rPr>
          <w:sz w:val="22"/>
          <w:szCs w:val="22"/>
          <w:lang w:val="de-DE"/>
        </w:rPr>
      </w:pPr>
    </w:p>
    <w:p w14:paraId="3C1F0782" w14:textId="77777777" w:rsidR="00FE291A" w:rsidRDefault="00C8738F">
      <w:pPr>
        <w:widowControl/>
        <w:rPr>
          <w:sz w:val="22"/>
          <w:szCs w:val="22"/>
          <w:lang w:val="de-DE"/>
        </w:rPr>
      </w:pPr>
      <w:r>
        <w:rPr>
          <w:sz w:val="22"/>
          <w:szCs w:val="22"/>
          <w:lang w:val="de-DE"/>
        </w:rPr>
        <w:t>AMGEVITA 80 mg Injektionslösung in einer Fertigspritze</w:t>
      </w:r>
    </w:p>
    <w:p w14:paraId="0D6FE6F6" w14:textId="77777777" w:rsidR="00FE291A" w:rsidRDefault="00C8738F">
      <w:pPr>
        <w:widowControl/>
        <w:rPr>
          <w:b/>
          <w:sz w:val="22"/>
          <w:szCs w:val="22"/>
          <w:lang w:val="de-DE"/>
        </w:rPr>
      </w:pPr>
      <w:r>
        <w:rPr>
          <w:sz w:val="22"/>
          <w:szCs w:val="22"/>
          <w:lang w:val="de-DE"/>
        </w:rPr>
        <w:t>Adalimumab</w:t>
      </w:r>
    </w:p>
    <w:p w14:paraId="18FC31F4" w14:textId="77777777" w:rsidR="00FE291A" w:rsidRDefault="00FE291A">
      <w:pPr>
        <w:widowControl/>
        <w:rPr>
          <w:sz w:val="22"/>
          <w:szCs w:val="22"/>
          <w:lang w:val="de-DE"/>
        </w:rPr>
      </w:pPr>
    </w:p>
    <w:p w14:paraId="1E15152A" w14:textId="77777777" w:rsidR="00FE291A" w:rsidRDefault="00FE291A">
      <w:pPr>
        <w:widowControl/>
        <w:rPr>
          <w:sz w:val="22"/>
          <w:szCs w:val="22"/>
          <w:lang w:val="de-DE"/>
        </w:rPr>
      </w:pPr>
    </w:p>
    <w:p w14:paraId="29D9B697" w14:textId="77777777" w:rsidR="00FE291A" w:rsidRDefault="00C8738F">
      <w:pPr>
        <w:keepNext/>
        <w:widowControl/>
        <w:numPr>
          <w:ilvl w:val="0"/>
          <w:numId w:val="40"/>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WIRKSTOFF</w:t>
      </w:r>
    </w:p>
    <w:p w14:paraId="203E7987" w14:textId="77777777" w:rsidR="00FE291A" w:rsidRDefault="00FE291A">
      <w:pPr>
        <w:keepNext/>
        <w:widowControl/>
        <w:rPr>
          <w:sz w:val="22"/>
          <w:szCs w:val="22"/>
          <w:lang w:val="de-DE"/>
        </w:rPr>
      </w:pPr>
    </w:p>
    <w:p w14:paraId="17C8EC23" w14:textId="77777777" w:rsidR="00FE291A" w:rsidRDefault="00C8738F">
      <w:pPr>
        <w:widowControl/>
        <w:rPr>
          <w:sz w:val="22"/>
          <w:szCs w:val="22"/>
          <w:lang w:val="de-DE"/>
        </w:rPr>
      </w:pPr>
      <w:r>
        <w:rPr>
          <w:sz w:val="22"/>
          <w:szCs w:val="22"/>
          <w:lang w:val="de-DE"/>
        </w:rPr>
        <w:t>Jede Fertigspritze enthält 80 mg Adalimumab in 0,8 ml Lösung.</w:t>
      </w:r>
    </w:p>
    <w:p w14:paraId="1217C81E" w14:textId="77777777" w:rsidR="00FE291A" w:rsidRDefault="00FE291A">
      <w:pPr>
        <w:widowControl/>
        <w:rPr>
          <w:sz w:val="22"/>
          <w:szCs w:val="22"/>
          <w:lang w:val="de-DE"/>
        </w:rPr>
      </w:pPr>
    </w:p>
    <w:p w14:paraId="3564F2BA" w14:textId="77777777" w:rsidR="00FE291A" w:rsidRDefault="00FE291A">
      <w:pPr>
        <w:widowControl/>
        <w:rPr>
          <w:sz w:val="22"/>
          <w:szCs w:val="22"/>
          <w:lang w:val="de-DE"/>
        </w:rPr>
      </w:pPr>
    </w:p>
    <w:p w14:paraId="7CC09C83" w14:textId="77777777" w:rsidR="00FE291A" w:rsidRDefault="00C8738F">
      <w:pPr>
        <w:keepNext/>
        <w:widowControl/>
        <w:numPr>
          <w:ilvl w:val="0"/>
          <w:numId w:val="40"/>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SONSTIGE BESTANDTEILE</w:t>
      </w:r>
    </w:p>
    <w:p w14:paraId="044150B8" w14:textId="77777777" w:rsidR="00FE291A" w:rsidRDefault="00FE291A">
      <w:pPr>
        <w:widowControl/>
        <w:rPr>
          <w:sz w:val="22"/>
          <w:szCs w:val="22"/>
          <w:lang w:val="de-DE"/>
        </w:rPr>
      </w:pPr>
    </w:p>
    <w:p w14:paraId="58C25186" w14:textId="77777777" w:rsidR="00FE291A" w:rsidRDefault="00C8738F">
      <w:pPr>
        <w:widowControl/>
        <w:rPr>
          <w:sz w:val="22"/>
          <w:szCs w:val="22"/>
          <w:lang w:val="de-DE"/>
        </w:rPr>
      </w:pPr>
      <w:r>
        <w:rPr>
          <w:sz w:val="22"/>
          <w:szCs w:val="22"/>
          <w:lang w:val="de-DE"/>
        </w:rPr>
        <w:t>(S)-Milchsäure, Saccharose, Polysorbat 80, Natriumhydroxid und Wasser für Injektionszwecke.</w:t>
      </w:r>
    </w:p>
    <w:p w14:paraId="31BE61BD" w14:textId="77777777" w:rsidR="00FE291A" w:rsidRDefault="00FE291A">
      <w:pPr>
        <w:widowControl/>
        <w:rPr>
          <w:sz w:val="22"/>
          <w:szCs w:val="22"/>
          <w:lang w:val="de-DE"/>
        </w:rPr>
      </w:pPr>
    </w:p>
    <w:p w14:paraId="6FB86440" w14:textId="77777777" w:rsidR="00FE291A" w:rsidRDefault="00FE291A">
      <w:pPr>
        <w:widowControl/>
        <w:rPr>
          <w:sz w:val="22"/>
          <w:szCs w:val="22"/>
          <w:lang w:val="de-DE"/>
        </w:rPr>
      </w:pPr>
    </w:p>
    <w:p w14:paraId="0FEAEE3A" w14:textId="77777777" w:rsidR="00FE291A" w:rsidRDefault="00C8738F">
      <w:pPr>
        <w:keepNext/>
        <w:widowControl/>
        <w:numPr>
          <w:ilvl w:val="0"/>
          <w:numId w:val="40"/>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DARREICHUNGSFORM UND INHALT</w:t>
      </w:r>
    </w:p>
    <w:p w14:paraId="42C1EE07" w14:textId="77777777" w:rsidR="00FE291A" w:rsidRDefault="00FE291A">
      <w:pPr>
        <w:widowControl/>
        <w:rPr>
          <w:sz w:val="22"/>
          <w:szCs w:val="22"/>
          <w:lang w:val="de-DE"/>
        </w:rPr>
      </w:pPr>
    </w:p>
    <w:p w14:paraId="24D55CE9" w14:textId="77777777" w:rsidR="00FE291A" w:rsidRDefault="00C8738F">
      <w:pPr>
        <w:widowControl/>
        <w:rPr>
          <w:sz w:val="22"/>
          <w:szCs w:val="22"/>
          <w:lang w:val="de-DE"/>
        </w:rPr>
      </w:pPr>
      <w:r>
        <w:rPr>
          <w:sz w:val="22"/>
          <w:szCs w:val="22"/>
          <w:highlight w:val="lightGray"/>
          <w:lang w:val="de-DE"/>
        </w:rPr>
        <w:t>Injektionslösung</w:t>
      </w:r>
    </w:p>
    <w:p w14:paraId="285A0C5F" w14:textId="77777777" w:rsidR="00FE291A" w:rsidRDefault="00C8738F">
      <w:pPr>
        <w:widowControl/>
        <w:rPr>
          <w:sz w:val="22"/>
          <w:szCs w:val="22"/>
          <w:lang w:val="de-DE"/>
        </w:rPr>
      </w:pPr>
      <w:r>
        <w:rPr>
          <w:sz w:val="22"/>
          <w:szCs w:val="22"/>
          <w:lang w:val="de-DE"/>
        </w:rPr>
        <w:t>80 mg/0,8 ml</w:t>
      </w:r>
    </w:p>
    <w:p w14:paraId="2199550E" w14:textId="77777777" w:rsidR="00FE291A" w:rsidRDefault="00C8738F">
      <w:pPr>
        <w:widowControl/>
        <w:rPr>
          <w:sz w:val="22"/>
          <w:szCs w:val="22"/>
          <w:lang w:val="de-DE"/>
        </w:rPr>
      </w:pPr>
      <w:r>
        <w:rPr>
          <w:sz w:val="22"/>
          <w:szCs w:val="22"/>
          <w:lang w:val="de-DE"/>
        </w:rPr>
        <w:t>1 Fertigspritze.</w:t>
      </w:r>
    </w:p>
    <w:p w14:paraId="1260CAF0" w14:textId="77777777" w:rsidR="00FE291A" w:rsidRDefault="00C8738F">
      <w:pPr>
        <w:widowControl/>
        <w:rPr>
          <w:sz w:val="22"/>
          <w:szCs w:val="22"/>
          <w:highlight w:val="lightGray"/>
          <w:lang w:val="de-DE"/>
        </w:rPr>
      </w:pPr>
      <w:r>
        <w:rPr>
          <w:sz w:val="22"/>
          <w:szCs w:val="22"/>
          <w:highlight w:val="lightGray"/>
          <w:lang w:val="de-DE"/>
        </w:rPr>
        <w:t>2 Fertigspritzen.</w:t>
      </w:r>
    </w:p>
    <w:p w14:paraId="26560C4A" w14:textId="77777777" w:rsidR="00FE291A" w:rsidRDefault="00FE291A">
      <w:pPr>
        <w:widowControl/>
        <w:rPr>
          <w:sz w:val="22"/>
          <w:szCs w:val="22"/>
          <w:lang w:val="de-DE"/>
        </w:rPr>
      </w:pPr>
    </w:p>
    <w:p w14:paraId="4E224813" w14:textId="77777777" w:rsidR="00FE291A" w:rsidRDefault="00FE291A">
      <w:pPr>
        <w:widowControl/>
        <w:rPr>
          <w:sz w:val="22"/>
          <w:szCs w:val="22"/>
          <w:lang w:val="de-DE"/>
        </w:rPr>
      </w:pPr>
    </w:p>
    <w:p w14:paraId="1433EEE6" w14:textId="77777777" w:rsidR="00FE291A" w:rsidRDefault="00C8738F">
      <w:pPr>
        <w:keepNext/>
        <w:widowControl/>
        <w:numPr>
          <w:ilvl w:val="0"/>
          <w:numId w:val="40"/>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HINWEISE ZUR UND ART(EN) DER ANWENDUNG</w:t>
      </w:r>
    </w:p>
    <w:p w14:paraId="2760B9E9" w14:textId="77777777" w:rsidR="00FE291A" w:rsidRDefault="00FE291A">
      <w:pPr>
        <w:keepNext/>
        <w:widowControl/>
        <w:rPr>
          <w:sz w:val="22"/>
          <w:szCs w:val="22"/>
          <w:lang w:val="de-DE"/>
        </w:rPr>
      </w:pPr>
    </w:p>
    <w:p w14:paraId="44C8D6A4" w14:textId="77777777" w:rsidR="00FE291A" w:rsidRDefault="00C8738F">
      <w:pPr>
        <w:widowControl/>
        <w:rPr>
          <w:sz w:val="22"/>
          <w:szCs w:val="22"/>
          <w:lang w:val="de-DE"/>
        </w:rPr>
      </w:pPr>
      <w:r>
        <w:rPr>
          <w:sz w:val="22"/>
          <w:szCs w:val="22"/>
          <w:lang w:val="de-DE"/>
        </w:rPr>
        <w:t>Zur subkutanen Anwendung.</w:t>
      </w:r>
    </w:p>
    <w:p w14:paraId="67DF37DA" w14:textId="77777777" w:rsidR="00FE291A" w:rsidRDefault="00C8738F">
      <w:pPr>
        <w:widowControl/>
        <w:rPr>
          <w:sz w:val="22"/>
          <w:szCs w:val="22"/>
          <w:lang w:val="de-DE"/>
        </w:rPr>
      </w:pPr>
      <w:r>
        <w:rPr>
          <w:sz w:val="22"/>
          <w:szCs w:val="22"/>
          <w:lang w:val="de-DE"/>
        </w:rPr>
        <w:t>Packungsbeilage beachten.</w:t>
      </w:r>
    </w:p>
    <w:p w14:paraId="796EA412" w14:textId="77777777" w:rsidR="00FE291A" w:rsidRDefault="00C8738F">
      <w:pPr>
        <w:widowControl/>
        <w:rPr>
          <w:sz w:val="22"/>
          <w:szCs w:val="22"/>
          <w:lang w:val="de-DE"/>
        </w:rPr>
      </w:pPr>
      <w:r>
        <w:rPr>
          <w:sz w:val="22"/>
          <w:szCs w:val="22"/>
          <w:lang w:val="de-DE"/>
        </w:rPr>
        <w:t>Nur zum Einmalgebrauch.</w:t>
      </w:r>
    </w:p>
    <w:p w14:paraId="24994CBD" w14:textId="77777777" w:rsidR="00FE291A" w:rsidRDefault="00FE291A">
      <w:pPr>
        <w:widowControl/>
        <w:rPr>
          <w:sz w:val="22"/>
          <w:szCs w:val="22"/>
          <w:lang w:val="de-DE"/>
        </w:rPr>
      </w:pPr>
    </w:p>
    <w:p w14:paraId="2821AE6D" w14:textId="77777777" w:rsidR="00FE291A" w:rsidRDefault="00FE291A">
      <w:pPr>
        <w:widowControl/>
        <w:rPr>
          <w:sz w:val="22"/>
          <w:szCs w:val="22"/>
          <w:lang w:val="de-DE"/>
        </w:rPr>
      </w:pPr>
    </w:p>
    <w:p w14:paraId="2F2D552E" w14:textId="77777777" w:rsidR="00FE291A" w:rsidRDefault="00C8738F">
      <w:pPr>
        <w:keepNext/>
        <w:widowControl/>
        <w:numPr>
          <w:ilvl w:val="0"/>
          <w:numId w:val="40"/>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WARNHINWEIS, DASS DAS ARZNEIMITTEL FÜR KINDER UNZUGÄNGLICH AUFZUBEWAHREN IST</w:t>
      </w:r>
    </w:p>
    <w:p w14:paraId="7929876B" w14:textId="77777777" w:rsidR="00FE291A" w:rsidRDefault="00FE291A">
      <w:pPr>
        <w:keepNext/>
        <w:widowControl/>
        <w:rPr>
          <w:sz w:val="22"/>
          <w:szCs w:val="22"/>
          <w:lang w:val="de-DE"/>
        </w:rPr>
      </w:pPr>
    </w:p>
    <w:p w14:paraId="493D1F8A" w14:textId="77777777" w:rsidR="00FE291A" w:rsidRDefault="00C8738F">
      <w:pPr>
        <w:widowControl/>
        <w:outlineLvl w:val="0"/>
        <w:rPr>
          <w:sz w:val="22"/>
          <w:szCs w:val="22"/>
          <w:lang w:val="de-DE"/>
        </w:rPr>
      </w:pPr>
      <w:r>
        <w:rPr>
          <w:sz w:val="22"/>
          <w:szCs w:val="22"/>
          <w:lang w:val="de-DE"/>
        </w:rPr>
        <w:t>Arzneimittel für Kinder unzugänglich aufbewahren.</w:t>
      </w:r>
    </w:p>
    <w:p w14:paraId="48EFBAC9" w14:textId="77777777" w:rsidR="00FE291A" w:rsidRDefault="00FE291A">
      <w:pPr>
        <w:widowControl/>
        <w:rPr>
          <w:sz w:val="22"/>
          <w:szCs w:val="22"/>
          <w:lang w:val="de-DE"/>
        </w:rPr>
      </w:pPr>
    </w:p>
    <w:p w14:paraId="2FDDA011" w14:textId="77777777" w:rsidR="00FE291A" w:rsidRDefault="00FE291A">
      <w:pPr>
        <w:widowControl/>
        <w:rPr>
          <w:sz w:val="22"/>
          <w:szCs w:val="22"/>
          <w:lang w:val="de-DE"/>
        </w:rPr>
      </w:pPr>
    </w:p>
    <w:p w14:paraId="645266FE" w14:textId="77777777" w:rsidR="00FE291A" w:rsidRDefault="00C8738F">
      <w:pPr>
        <w:keepNext/>
        <w:widowControl/>
        <w:numPr>
          <w:ilvl w:val="0"/>
          <w:numId w:val="40"/>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WEITERE WARNHINWEISE, FALLS ERFORDERLICH</w:t>
      </w:r>
    </w:p>
    <w:p w14:paraId="48460EAA" w14:textId="77777777" w:rsidR="00FE291A" w:rsidRDefault="00FE291A">
      <w:pPr>
        <w:keepNext/>
        <w:widowControl/>
        <w:rPr>
          <w:sz w:val="22"/>
          <w:szCs w:val="22"/>
          <w:lang w:val="de-DE"/>
        </w:rPr>
      </w:pPr>
    </w:p>
    <w:p w14:paraId="42AD7B48" w14:textId="77777777" w:rsidR="00FE291A" w:rsidRDefault="00FE291A">
      <w:pPr>
        <w:widowControl/>
        <w:tabs>
          <w:tab w:val="left" w:pos="749"/>
        </w:tabs>
        <w:rPr>
          <w:sz w:val="22"/>
          <w:szCs w:val="22"/>
          <w:lang w:val="de-DE"/>
        </w:rPr>
      </w:pPr>
    </w:p>
    <w:p w14:paraId="145F45BC" w14:textId="77777777" w:rsidR="00FE291A" w:rsidRDefault="00C8738F">
      <w:pPr>
        <w:keepNext/>
        <w:widowControl/>
        <w:numPr>
          <w:ilvl w:val="0"/>
          <w:numId w:val="40"/>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VERFALLDATUM</w:t>
      </w:r>
    </w:p>
    <w:p w14:paraId="26030933" w14:textId="77777777" w:rsidR="00FE291A" w:rsidRDefault="00FE291A">
      <w:pPr>
        <w:keepNext/>
        <w:widowControl/>
        <w:rPr>
          <w:sz w:val="22"/>
          <w:szCs w:val="22"/>
          <w:lang w:val="de-DE"/>
        </w:rPr>
      </w:pPr>
    </w:p>
    <w:p w14:paraId="5D84C371" w14:textId="77777777" w:rsidR="00FE291A" w:rsidRDefault="00C8738F">
      <w:pPr>
        <w:widowControl/>
        <w:rPr>
          <w:sz w:val="22"/>
          <w:szCs w:val="22"/>
          <w:lang w:val="de-DE"/>
        </w:rPr>
      </w:pPr>
      <w:r>
        <w:rPr>
          <w:sz w:val="22"/>
          <w:szCs w:val="22"/>
          <w:lang w:val="de-DE"/>
        </w:rPr>
        <w:t>verwendbar bis</w:t>
      </w:r>
    </w:p>
    <w:p w14:paraId="494A9EB1" w14:textId="77777777" w:rsidR="00FE291A" w:rsidRDefault="00FE291A">
      <w:pPr>
        <w:widowControl/>
        <w:rPr>
          <w:sz w:val="22"/>
          <w:szCs w:val="22"/>
          <w:lang w:val="de-DE"/>
        </w:rPr>
      </w:pPr>
    </w:p>
    <w:p w14:paraId="4EB6C192" w14:textId="77777777" w:rsidR="00FE291A" w:rsidRDefault="00FE291A">
      <w:pPr>
        <w:widowControl/>
        <w:rPr>
          <w:sz w:val="22"/>
          <w:szCs w:val="22"/>
          <w:lang w:val="de-DE"/>
        </w:rPr>
      </w:pPr>
    </w:p>
    <w:p w14:paraId="542CCCA3" w14:textId="77777777" w:rsidR="00FE291A" w:rsidRDefault="00C8738F">
      <w:pPr>
        <w:widowControl/>
        <w:numPr>
          <w:ilvl w:val="0"/>
          <w:numId w:val="40"/>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BESONDERE VORSICHTSMASSNAHMEN FÜR DIE AUFBEWAHRUNG</w:t>
      </w:r>
    </w:p>
    <w:p w14:paraId="55B377CF" w14:textId="77777777" w:rsidR="00FE291A" w:rsidRDefault="00FE291A">
      <w:pPr>
        <w:widowControl/>
        <w:rPr>
          <w:sz w:val="22"/>
          <w:szCs w:val="22"/>
          <w:lang w:val="de-DE"/>
        </w:rPr>
      </w:pPr>
    </w:p>
    <w:p w14:paraId="61081DEF" w14:textId="77777777" w:rsidR="00FE291A" w:rsidRDefault="00C8738F">
      <w:pPr>
        <w:widowControl/>
        <w:ind w:left="567" w:hanging="567"/>
        <w:rPr>
          <w:sz w:val="22"/>
          <w:szCs w:val="22"/>
          <w:lang w:val="de-DE"/>
        </w:rPr>
      </w:pPr>
      <w:r>
        <w:rPr>
          <w:sz w:val="22"/>
          <w:szCs w:val="22"/>
          <w:lang w:val="de-DE"/>
        </w:rPr>
        <w:t>Im Kühlschrank lagern.</w:t>
      </w:r>
    </w:p>
    <w:p w14:paraId="0F713C95" w14:textId="77777777" w:rsidR="00FE291A" w:rsidRDefault="00C8738F">
      <w:pPr>
        <w:widowControl/>
        <w:ind w:left="567" w:hanging="567"/>
        <w:rPr>
          <w:sz w:val="22"/>
          <w:szCs w:val="22"/>
          <w:lang w:val="de-DE"/>
        </w:rPr>
      </w:pPr>
      <w:r>
        <w:rPr>
          <w:sz w:val="22"/>
          <w:szCs w:val="22"/>
          <w:lang w:val="de-DE"/>
        </w:rPr>
        <w:t>Nicht einfrieren.</w:t>
      </w:r>
    </w:p>
    <w:p w14:paraId="062DE30B" w14:textId="77777777" w:rsidR="00FE291A" w:rsidRDefault="00C8738F">
      <w:pPr>
        <w:widowControl/>
        <w:ind w:left="567" w:hanging="567"/>
        <w:rPr>
          <w:sz w:val="22"/>
          <w:szCs w:val="22"/>
          <w:lang w:val="de-DE"/>
        </w:rPr>
      </w:pPr>
      <w:r>
        <w:rPr>
          <w:sz w:val="22"/>
          <w:szCs w:val="22"/>
          <w:lang w:val="de-DE"/>
        </w:rPr>
        <w:t>Im Originalkarton aufbewahren, um den Inhalt vor Licht zu schützen.</w:t>
      </w:r>
    </w:p>
    <w:p w14:paraId="296BD857" w14:textId="77777777" w:rsidR="00FE291A" w:rsidRDefault="00FE291A">
      <w:pPr>
        <w:widowControl/>
        <w:ind w:left="567" w:hanging="567"/>
        <w:rPr>
          <w:sz w:val="22"/>
          <w:szCs w:val="22"/>
          <w:lang w:val="de-DE"/>
        </w:rPr>
      </w:pPr>
    </w:p>
    <w:p w14:paraId="2957560D" w14:textId="77777777" w:rsidR="00FE291A" w:rsidRDefault="00FE291A">
      <w:pPr>
        <w:widowControl/>
        <w:ind w:left="567" w:hanging="567"/>
        <w:rPr>
          <w:sz w:val="22"/>
          <w:szCs w:val="22"/>
          <w:lang w:val="de-DE"/>
        </w:rPr>
      </w:pPr>
    </w:p>
    <w:p w14:paraId="168CFF66" w14:textId="77777777" w:rsidR="00FE291A" w:rsidRDefault="00C8738F">
      <w:pPr>
        <w:keepNext/>
        <w:widowControl/>
        <w:numPr>
          <w:ilvl w:val="0"/>
          <w:numId w:val="40"/>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GEGEBENENFALLS BESONDERE VORSICHTSMASSNAHMEN FÜR DIE BESEITIGUNG VON NICHT VERWENDETEM ARZNEIMITTEL ODER DAVON STAMMENDEN ABFALLMATERIALIEN</w:t>
      </w:r>
    </w:p>
    <w:p w14:paraId="3A2EBB41" w14:textId="77777777" w:rsidR="00FE291A" w:rsidRDefault="00FE291A">
      <w:pPr>
        <w:widowControl/>
        <w:rPr>
          <w:sz w:val="22"/>
          <w:szCs w:val="22"/>
          <w:lang w:val="de-DE"/>
        </w:rPr>
      </w:pPr>
    </w:p>
    <w:p w14:paraId="2DD2863B" w14:textId="77777777" w:rsidR="00FE291A" w:rsidRDefault="00FE291A">
      <w:pPr>
        <w:widowControl/>
        <w:rPr>
          <w:sz w:val="22"/>
          <w:szCs w:val="22"/>
          <w:lang w:val="de-DE"/>
        </w:rPr>
      </w:pPr>
    </w:p>
    <w:p w14:paraId="00744234" w14:textId="77777777" w:rsidR="00FE291A" w:rsidRDefault="00C8738F">
      <w:pPr>
        <w:keepNext/>
        <w:widowControl/>
        <w:numPr>
          <w:ilvl w:val="0"/>
          <w:numId w:val="40"/>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NAME UND ANSCHRIFT DES PHARMAZEUTISCHEN UNTERNEHMERS</w:t>
      </w:r>
    </w:p>
    <w:p w14:paraId="071C8449" w14:textId="77777777" w:rsidR="00FE291A" w:rsidRDefault="00FE291A">
      <w:pPr>
        <w:widowControl/>
        <w:rPr>
          <w:sz w:val="22"/>
          <w:szCs w:val="22"/>
          <w:lang w:val="de-DE"/>
        </w:rPr>
      </w:pPr>
    </w:p>
    <w:p w14:paraId="6C0B8B42" w14:textId="77777777" w:rsidR="00FE291A" w:rsidRDefault="00C8738F">
      <w:pPr>
        <w:widowControl/>
        <w:rPr>
          <w:rFonts w:eastAsia="SimSun"/>
          <w:sz w:val="22"/>
          <w:szCs w:val="22"/>
          <w:lang w:val="de-DE" w:eastAsia="en-GB"/>
        </w:rPr>
      </w:pPr>
      <w:r>
        <w:rPr>
          <w:rFonts w:eastAsia="SimSun"/>
          <w:sz w:val="22"/>
          <w:szCs w:val="22"/>
          <w:lang w:val="de-DE" w:eastAsia="en-GB"/>
        </w:rPr>
        <w:t>Amgen Europe B.V.</w:t>
      </w:r>
    </w:p>
    <w:p w14:paraId="11EA44CC" w14:textId="77777777" w:rsidR="00FE291A" w:rsidRDefault="00C8738F">
      <w:pPr>
        <w:widowControl/>
        <w:rPr>
          <w:rFonts w:eastAsia="SimSun"/>
          <w:sz w:val="22"/>
          <w:szCs w:val="22"/>
          <w:lang w:val="de-DE" w:eastAsia="en-GB"/>
        </w:rPr>
      </w:pPr>
      <w:r>
        <w:rPr>
          <w:rFonts w:eastAsia="SimSun"/>
          <w:sz w:val="22"/>
          <w:szCs w:val="22"/>
          <w:lang w:val="de-DE" w:eastAsia="en-GB"/>
        </w:rPr>
        <w:t>Minervum 7061,</w:t>
      </w:r>
    </w:p>
    <w:p w14:paraId="635E11DC" w14:textId="77777777" w:rsidR="00FE291A" w:rsidRDefault="00C8738F">
      <w:pPr>
        <w:widowControl/>
        <w:rPr>
          <w:rFonts w:eastAsia="SimSun"/>
          <w:sz w:val="22"/>
          <w:szCs w:val="22"/>
          <w:lang w:val="de-DE" w:eastAsia="en-GB"/>
        </w:rPr>
      </w:pPr>
      <w:r>
        <w:rPr>
          <w:rFonts w:eastAsia="SimSun"/>
          <w:sz w:val="22"/>
          <w:szCs w:val="22"/>
          <w:lang w:val="de-DE" w:eastAsia="en-GB"/>
        </w:rPr>
        <w:t>4817 ZK Breda,</w:t>
      </w:r>
    </w:p>
    <w:p w14:paraId="2AE01744" w14:textId="77777777" w:rsidR="00FE291A" w:rsidRDefault="00C8738F">
      <w:pPr>
        <w:widowControl/>
        <w:rPr>
          <w:rFonts w:eastAsia="SimSun"/>
          <w:sz w:val="22"/>
          <w:szCs w:val="22"/>
          <w:lang w:val="de-DE" w:eastAsia="en-GB"/>
        </w:rPr>
      </w:pPr>
      <w:r>
        <w:rPr>
          <w:rFonts w:eastAsia="SimSun"/>
          <w:sz w:val="22"/>
          <w:szCs w:val="22"/>
          <w:lang w:val="de-DE" w:eastAsia="en-GB"/>
        </w:rPr>
        <w:t>Niederlande</w:t>
      </w:r>
    </w:p>
    <w:p w14:paraId="71E94638" w14:textId="77777777" w:rsidR="00FE291A" w:rsidRDefault="00FE291A">
      <w:pPr>
        <w:widowControl/>
        <w:rPr>
          <w:sz w:val="22"/>
          <w:szCs w:val="22"/>
          <w:lang w:val="de-DE"/>
        </w:rPr>
      </w:pPr>
    </w:p>
    <w:p w14:paraId="1D37CD3B" w14:textId="77777777" w:rsidR="00FE291A" w:rsidRDefault="00FE291A">
      <w:pPr>
        <w:widowControl/>
        <w:rPr>
          <w:sz w:val="22"/>
          <w:szCs w:val="22"/>
          <w:lang w:val="de-DE"/>
        </w:rPr>
      </w:pPr>
    </w:p>
    <w:p w14:paraId="00C8FFB8" w14:textId="77777777" w:rsidR="00FE291A" w:rsidRDefault="00C8738F">
      <w:pPr>
        <w:keepNext/>
        <w:widowControl/>
        <w:numPr>
          <w:ilvl w:val="0"/>
          <w:numId w:val="40"/>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ZULASSUNGSNUMMERN</w:t>
      </w:r>
    </w:p>
    <w:p w14:paraId="3A06DA8F" w14:textId="77777777" w:rsidR="00FE291A" w:rsidRDefault="00FE291A">
      <w:pPr>
        <w:widowControl/>
        <w:rPr>
          <w:sz w:val="22"/>
          <w:szCs w:val="22"/>
          <w:lang w:val="de-DE"/>
        </w:rPr>
      </w:pPr>
    </w:p>
    <w:p w14:paraId="33FB79F1" w14:textId="77777777" w:rsidR="00FE291A" w:rsidRDefault="00C8738F">
      <w:pPr>
        <w:widowControl/>
        <w:outlineLvl w:val="0"/>
        <w:rPr>
          <w:sz w:val="22"/>
          <w:szCs w:val="22"/>
          <w:lang w:val="de-DE"/>
        </w:rPr>
      </w:pPr>
      <w:r>
        <w:rPr>
          <w:sz w:val="22"/>
          <w:szCs w:val="22"/>
          <w:lang w:val="de-DE"/>
        </w:rPr>
        <w:t xml:space="preserve">EU/1/16/1164/017 </w:t>
      </w:r>
      <w:r>
        <w:rPr>
          <w:sz w:val="22"/>
          <w:szCs w:val="22"/>
          <w:highlight w:val="lightGray"/>
          <w:lang w:val="de-DE"/>
        </w:rPr>
        <w:t>1er Packung</w:t>
      </w:r>
    </w:p>
    <w:p w14:paraId="5181D742" w14:textId="77777777" w:rsidR="00FE291A" w:rsidRDefault="00C8738F">
      <w:pPr>
        <w:widowControl/>
        <w:outlineLvl w:val="0"/>
        <w:rPr>
          <w:sz w:val="22"/>
          <w:szCs w:val="22"/>
          <w:highlight w:val="lightGray"/>
          <w:lang w:val="de-DE"/>
        </w:rPr>
      </w:pPr>
      <w:r>
        <w:rPr>
          <w:sz w:val="22"/>
          <w:szCs w:val="22"/>
          <w:highlight w:val="lightGray"/>
          <w:lang w:val="de-DE"/>
        </w:rPr>
        <w:t>EU/1/16/1164/018 2er Packung</w:t>
      </w:r>
    </w:p>
    <w:p w14:paraId="7D2BEE77" w14:textId="77777777" w:rsidR="00FE291A" w:rsidRDefault="00FE291A">
      <w:pPr>
        <w:widowControl/>
        <w:rPr>
          <w:sz w:val="22"/>
          <w:szCs w:val="22"/>
          <w:lang w:val="de-DE"/>
        </w:rPr>
      </w:pPr>
    </w:p>
    <w:p w14:paraId="1968563A" w14:textId="77777777" w:rsidR="00FE291A" w:rsidRDefault="00FE291A">
      <w:pPr>
        <w:widowControl/>
        <w:rPr>
          <w:sz w:val="22"/>
          <w:szCs w:val="22"/>
          <w:lang w:val="de-DE"/>
        </w:rPr>
      </w:pPr>
    </w:p>
    <w:p w14:paraId="52C0A072" w14:textId="77777777" w:rsidR="00FE291A" w:rsidRDefault="00C8738F">
      <w:pPr>
        <w:keepNext/>
        <w:widowControl/>
        <w:numPr>
          <w:ilvl w:val="0"/>
          <w:numId w:val="40"/>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CHARGENBEZEICHNUNG</w:t>
      </w:r>
    </w:p>
    <w:p w14:paraId="42D82A27" w14:textId="77777777" w:rsidR="00FE291A" w:rsidRDefault="00FE291A">
      <w:pPr>
        <w:widowControl/>
        <w:rPr>
          <w:i/>
          <w:sz w:val="22"/>
          <w:szCs w:val="22"/>
          <w:lang w:val="de-DE"/>
        </w:rPr>
      </w:pPr>
    </w:p>
    <w:p w14:paraId="79D5F3DB" w14:textId="77777777" w:rsidR="00FE291A" w:rsidRDefault="00C8738F">
      <w:pPr>
        <w:widowControl/>
        <w:rPr>
          <w:sz w:val="22"/>
          <w:szCs w:val="22"/>
          <w:lang w:val="de-DE"/>
        </w:rPr>
      </w:pPr>
      <w:r>
        <w:rPr>
          <w:sz w:val="22"/>
          <w:szCs w:val="22"/>
          <w:lang w:val="de-DE"/>
        </w:rPr>
        <w:t>Ch.-B.</w:t>
      </w:r>
    </w:p>
    <w:p w14:paraId="1FF902A9" w14:textId="77777777" w:rsidR="00FE291A" w:rsidRDefault="00FE291A">
      <w:pPr>
        <w:widowControl/>
        <w:rPr>
          <w:sz w:val="22"/>
          <w:szCs w:val="22"/>
          <w:lang w:val="de-DE"/>
        </w:rPr>
      </w:pPr>
    </w:p>
    <w:p w14:paraId="2EE7C8AA" w14:textId="77777777" w:rsidR="00FE291A" w:rsidRDefault="00FE291A">
      <w:pPr>
        <w:widowControl/>
        <w:rPr>
          <w:sz w:val="22"/>
          <w:szCs w:val="22"/>
          <w:lang w:val="de-DE"/>
        </w:rPr>
      </w:pPr>
    </w:p>
    <w:p w14:paraId="0D09EF3D" w14:textId="77777777" w:rsidR="00FE291A" w:rsidRDefault="00C8738F">
      <w:pPr>
        <w:keepNext/>
        <w:widowControl/>
        <w:numPr>
          <w:ilvl w:val="0"/>
          <w:numId w:val="40"/>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VERKAUFSABGRENZUNG</w:t>
      </w:r>
    </w:p>
    <w:p w14:paraId="512BA398" w14:textId="77777777" w:rsidR="00FE291A" w:rsidRDefault="00FE291A">
      <w:pPr>
        <w:widowControl/>
        <w:rPr>
          <w:i/>
          <w:sz w:val="22"/>
          <w:szCs w:val="22"/>
          <w:lang w:val="de-DE"/>
        </w:rPr>
      </w:pPr>
    </w:p>
    <w:p w14:paraId="122FCD0C" w14:textId="77777777" w:rsidR="00FE291A" w:rsidRDefault="00FE291A">
      <w:pPr>
        <w:widowControl/>
        <w:rPr>
          <w:sz w:val="22"/>
          <w:szCs w:val="22"/>
          <w:lang w:val="de-DE"/>
        </w:rPr>
      </w:pPr>
    </w:p>
    <w:p w14:paraId="4ED9FC22" w14:textId="77777777" w:rsidR="00FE291A" w:rsidRDefault="00C8738F">
      <w:pPr>
        <w:keepNext/>
        <w:widowControl/>
        <w:numPr>
          <w:ilvl w:val="0"/>
          <w:numId w:val="40"/>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HINWEISE FÜR DEN GEBRAUCH</w:t>
      </w:r>
    </w:p>
    <w:p w14:paraId="1BAA75BA" w14:textId="77777777" w:rsidR="00FE291A" w:rsidRDefault="00FE291A">
      <w:pPr>
        <w:widowControl/>
        <w:rPr>
          <w:sz w:val="22"/>
          <w:szCs w:val="22"/>
          <w:lang w:val="de-DE"/>
        </w:rPr>
      </w:pPr>
    </w:p>
    <w:p w14:paraId="75731E15" w14:textId="77777777" w:rsidR="00FE291A" w:rsidRDefault="00FE291A">
      <w:pPr>
        <w:widowControl/>
        <w:rPr>
          <w:sz w:val="22"/>
          <w:szCs w:val="22"/>
          <w:lang w:val="de-DE"/>
        </w:rPr>
      </w:pPr>
    </w:p>
    <w:p w14:paraId="5C5610B3" w14:textId="77777777" w:rsidR="00FE291A" w:rsidRDefault="00C8738F">
      <w:pPr>
        <w:keepNext/>
        <w:widowControl/>
        <w:numPr>
          <w:ilvl w:val="0"/>
          <w:numId w:val="40"/>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ANGABEN IN BLINDENSCHRIFT</w:t>
      </w:r>
    </w:p>
    <w:p w14:paraId="6CCB93A4" w14:textId="77777777" w:rsidR="00FE291A" w:rsidRDefault="00FE291A">
      <w:pPr>
        <w:widowControl/>
        <w:rPr>
          <w:sz w:val="22"/>
          <w:szCs w:val="22"/>
          <w:lang w:val="de-DE"/>
        </w:rPr>
      </w:pPr>
    </w:p>
    <w:p w14:paraId="58EBFB01" w14:textId="77777777" w:rsidR="00FE291A" w:rsidRDefault="00C8738F">
      <w:pPr>
        <w:widowControl/>
        <w:rPr>
          <w:sz w:val="22"/>
          <w:szCs w:val="22"/>
          <w:shd w:val="clear" w:color="auto" w:fill="CCCCCC"/>
          <w:lang w:val="de-DE"/>
        </w:rPr>
      </w:pPr>
      <w:r>
        <w:rPr>
          <w:sz w:val="22"/>
          <w:szCs w:val="22"/>
          <w:lang w:val="de-DE"/>
        </w:rPr>
        <w:t>AMGEVITA 80 mg/0,8 ml Spritze</w:t>
      </w:r>
    </w:p>
    <w:p w14:paraId="70093C16" w14:textId="77777777" w:rsidR="00FE291A" w:rsidRDefault="00FE291A">
      <w:pPr>
        <w:widowControl/>
        <w:rPr>
          <w:sz w:val="22"/>
          <w:szCs w:val="22"/>
          <w:shd w:val="clear" w:color="auto" w:fill="CCCCCC"/>
          <w:lang w:val="de-DE"/>
        </w:rPr>
      </w:pPr>
    </w:p>
    <w:p w14:paraId="2D531952" w14:textId="77777777" w:rsidR="00FE291A" w:rsidRDefault="00FE291A">
      <w:pPr>
        <w:widowControl/>
        <w:rPr>
          <w:sz w:val="22"/>
          <w:szCs w:val="22"/>
          <w:shd w:val="clear" w:color="auto" w:fill="CCCCCC"/>
          <w:lang w:val="de-DE"/>
        </w:rPr>
      </w:pPr>
    </w:p>
    <w:p w14:paraId="67FF260B" w14:textId="77777777" w:rsidR="00FE291A" w:rsidRDefault="00C8738F">
      <w:pPr>
        <w:keepNext/>
        <w:widowControl/>
        <w:numPr>
          <w:ilvl w:val="0"/>
          <w:numId w:val="40"/>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i/>
          <w:sz w:val="22"/>
          <w:szCs w:val="22"/>
          <w:lang w:val="de-DE"/>
        </w:rPr>
      </w:pPr>
      <w:r>
        <w:rPr>
          <w:b/>
          <w:sz w:val="22"/>
          <w:szCs w:val="22"/>
          <w:lang w:val="de-DE"/>
        </w:rPr>
        <w:t>INDIVIDUELLES ERKENNUNGSMERKMAL – 2D-BARCODE</w:t>
      </w:r>
    </w:p>
    <w:p w14:paraId="42636A3C" w14:textId="77777777" w:rsidR="00FE291A" w:rsidRDefault="00FE291A">
      <w:pPr>
        <w:widowControl/>
        <w:rPr>
          <w:sz w:val="22"/>
          <w:szCs w:val="22"/>
          <w:lang w:val="de-DE"/>
        </w:rPr>
      </w:pPr>
    </w:p>
    <w:p w14:paraId="7AEF4B65" w14:textId="77777777" w:rsidR="00FE291A" w:rsidRDefault="00C8738F">
      <w:pPr>
        <w:widowControl/>
        <w:rPr>
          <w:sz w:val="22"/>
          <w:szCs w:val="22"/>
          <w:shd w:val="clear" w:color="auto" w:fill="CCCCCC"/>
          <w:lang w:val="de-DE"/>
        </w:rPr>
      </w:pPr>
      <w:r>
        <w:rPr>
          <w:sz w:val="22"/>
          <w:szCs w:val="22"/>
          <w:highlight w:val="lightGray"/>
          <w:lang w:val="de-DE"/>
        </w:rPr>
        <w:t>2D-Barcode mit individuellem Erkennungsmerkmal.</w:t>
      </w:r>
    </w:p>
    <w:p w14:paraId="492C6C75" w14:textId="77777777" w:rsidR="00FE291A" w:rsidRDefault="00FE291A">
      <w:pPr>
        <w:widowControl/>
        <w:rPr>
          <w:sz w:val="22"/>
          <w:szCs w:val="22"/>
          <w:lang w:val="de-DE"/>
        </w:rPr>
      </w:pPr>
    </w:p>
    <w:p w14:paraId="4849ADA1" w14:textId="77777777" w:rsidR="00FE291A" w:rsidRDefault="00FE291A">
      <w:pPr>
        <w:widowControl/>
        <w:rPr>
          <w:sz w:val="22"/>
          <w:szCs w:val="22"/>
          <w:lang w:val="de-DE"/>
        </w:rPr>
      </w:pPr>
    </w:p>
    <w:p w14:paraId="4D96CD42" w14:textId="77777777" w:rsidR="00FE291A" w:rsidRDefault="00C8738F">
      <w:pPr>
        <w:keepNext/>
        <w:widowControl/>
        <w:numPr>
          <w:ilvl w:val="0"/>
          <w:numId w:val="40"/>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i/>
          <w:sz w:val="22"/>
          <w:szCs w:val="22"/>
          <w:lang w:val="de-DE"/>
        </w:rPr>
      </w:pPr>
      <w:r>
        <w:rPr>
          <w:b/>
          <w:sz w:val="22"/>
          <w:szCs w:val="22"/>
          <w:lang w:val="de-DE"/>
        </w:rPr>
        <w:t>INDIVIDUELLES ERKENNUNGSMERKMAL – VOM MENSCHEN LESBARES FORMAT</w:t>
      </w:r>
    </w:p>
    <w:p w14:paraId="2D4D39AA" w14:textId="77777777" w:rsidR="00FE291A" w:rsidRDefault="00FE291A">
      <w:pPr>
        <w:keepNext/>
        <w:widowControl/>
        <w:rPr>
          <w:sz w:val="22"/>
          <w:szCs w:val="22"/>
          <w:lang w:val="de-DE"/>
        </w:rPr>
      </w:pPr>
    </w:p>
    <w:p w14:paraId="06A9FCB0" w14:textId="77777777" w:rsidR="00FE291A" w:rsidRDefault="00C8738F">
      <w:pPr>
        <w:keepNext/>
        <w:widowControl/>
        <w:rPr>
          <w:sz w:val="22"/>
          <w:szCs w:val="22"/>
          <w:lang w:val="de-DE"/>
        </w:rPr>
      </w:pPr>
      <w:r>
        <w:rPr>
          <w:sz w:val="22"/>
          <w:szCs w:val="22"/>
          <w:lang w:val="de-DE"/>
        </w:rPr>
        <w:t>PC</w:t>
      </w:r>
    </w:p>
    <w:p w14:paraId="424F9BD1" w14:textId="77777777" w:rsidR="00FE291A" w:rsidRDefault="00C8738F">
      <w:pPr>
        <w:keepNext/>
        <w:widowControl/>
        <w:rPr>
          <w:sz w:val="22"/>
          <w:szCs w:val="22"/>
          <w:lang w:val="de-DE"/>
        </w:rPr>
      </w:pPr>
      <w:r>
        <w:rPr>
          <w:sz w:val="22"/>
          <w:szCs w:val="22"/>
          <w:lang w:val="de-DE"/>
        </w:rPr>
        <w:t>SN</w:t>
      </w:r>
    </w:p>
    <w:p w14:paraId="03197D64" w14:textId="77777777" w:rsidR="00FE291A" w:rsidRDefault="00C8738F">
      <w:pPr>
        <w:widowControl/>
        <w:rPr>
          <w:sz w:val="22"/>
          <w:szCs w:val="22"/>
          <w:shd w:val="clear" w:color="auto" w:fill="CCCCCC"/>
          <w:lang w:val="de-DE"/>
        </w:rPr>
      </w:pPr>
      <w:r>
        <w:rPr>
          <w:sz w:val="22"/>
          <w:szCs w:val="22"/>
          <w:lang w:val="de-DE"/>
        </w:rPr>
        <w:t>NN</w:t>
      </w:r>
    </w:p>
    <w:p w14:paraId="03EC1E5A" w14:textId="77777777" w:rsidR="00FE291A" w:rsidRDefault="00C8738F">
      <w:pPr>
        <w:widowControl/>
        <w:pBdr>
          <w:top w:val="single" w:sz="4" w:space="1" w:color="auto"/>
          <w:left w:val="single" w:sz="4" w:space="4" w:color="auto"/>
          <w:bottom w:val="single" w:sz="4" w:space="1" w:color="auto"/>
          <w:right w:val="single" w:sz="4" w:space="4" w:color="auto"/>
        </w:pBdr>
        <w:outlineLvl w:val="0"/>
        <w:rPr>
          <w:b/>
          <w:sz w:val="22"/>
          <w:szCs w:val="22"/>
          <w:lang w:val="de-DE"/>
        </w:rPr>
      </w:pPr>
      <w:r>
        <w:rPr>
          <w:sz w:val="22"/>
          <w:lang w:val="de-DE"/>
        </w:rPr>
        <w:br w:type="page"/>
      </w:r>
      <w:r>
        <w:rPr>
          <w:b/>
          <w:sz w:val="22"/>
          <w:szCs w:val="22"/>
          <w:lang w:val="de-DE"/>
        </w:rPr>
        <w:t>ANGABEN AUF DER ÄUSSEREN UMHÜLLUNG</w:t>
      </w:r>
    </w:p>
    <w:p w14:paraId="14551EF1" w14:textId="77777777" w:rsidR="00FE291A" w:rsidRDefault="00FE291A">
      <w:pPr>
        <w:widowControl/>
        <w:pBdr>
          <w:top w:val="single" w:sz="4" w:space="1" w:color="auto"/>
          <w:left w:val="single" w:sz="4" w:space="4" w:color="auto"/>
          <w:bottom w:val="single" w:sz="4" w:space="1" w:color="auto"/>
          <w:right w:val="single" w:sz="4" w:space="4" w:color="auto"/>
        </w:pBdr>
        <w:ind w:left="567" w:hanging="567"/>
        <w:rPr>
          <w:sz w:val="22"/>
          <w:szCs w:val="22"/>
          <w:lang w:val="de-DE"/>
        </w:rPr>
      </w:pPr>
    </w:p>
    <w:p w14:paraId="2090CF85" w14:textId="77777777" w:rsidR="00FE291A" w:rsidRDefault="00C8738F">
      <w:pPr>
        <w:widowControl/>
        <w:pBdr>
          <w:top w:val="single" w:sz="4" w:space="1" w:color="auto"/>
          <w:left w:val="single" w:sz="4" w:space="4" w:color="auto"/>
          <w:bottom w:val="single" w:sz="4" w:space="1" w:color="auto"/>
          <w:right w:val="single" w:sz="4" w:space="4" w:color="auto"/>
        </w:pBdr>
        <w:rPr>
          <w:sz w:val="22"/>
          <w:szCs w:val="22"/>
          <w:lang w:val="de-DE"/>
        </w:rPr>
      </w:pPr>
      <w:r>
        <w:rPr>
          <w:b/>
          <w:sz w:val="22"/>
          <w:szCs w:val="22"/>
          <w:lang w:val="de-DE"/>
        </w:rPr>
        <w:t>UMKARTON DER BÜNDELPACKUNG FÜR DIE FERTIGSPRITZE (mit blue box)</w:t>
      </w:r>
    </w:p>
    <w:p w14:paraId="6E75F2F3" w14:textId="77777777" w:rsidR="00FE291A" w:rsidRDefault="00FE291A">
      <w:pPr>
        <w:widowControl/>
        <w:rPr>
          <w:sz w:val="22"/>
          <w:szCs w:val="22"/>
          <w:lang w:val="de-DE"/>
        </w:rPr>
      </w:pPr>
    </w:p>
    <w:p w14:paraId="3DF63D5D" w14:textId="77777777" w:rsidR="00FE291A" w:rsidRDefault="00FE291A">
      <w:pPr>
        <w:widowControl/>
        <w:rPr>
          <w:sz w:val="22"/>
          <w:szCs w:val="22"/>
          <w:lang w:val="de-DE"/>
        </w:rPr>
      </w:pPr>
    </w:p>
    <w:p w14:paraId="2A9CFC5E" w14:textId="77777777" w:rsidR="00FE291A" w:rsidRDefault="00C8738F">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adjustRightInd/>
        <w:ind w:hanging="1650"/>
        <w:outlineLvl w:val="0"/>
        <w:rPr>
          <w:sz w:val="22"/>
          <w:szCs w:val="22"/>
          <w:lang w:val="de-DE"/>
        </w:rPr>
      </w:pPr>
      <w:r>
        <w:rPr>
          <w:b/>
          <w:sz w:val="22"/>
          <w:szCs w:val="22"/>
          <w:lang w:val="de-DE"/>
        </w:rPr>
        <w:t>BEZEICHNUNG DES ARZNEIMITTELS</w:t>
      </w:r>
    </w:p>
    <w:p w14:paraId="638A64FC" w14:textId="77777777" w:rsidR="00FE291A" w:rsidRDefault="00FE291A">
      <w:pPr>
        <w:keepNext/>
        <w:widowControl/>
        <w:rPr>
          <w:sz w:val="22"/>
          <w:szCs w:val="22"/>
          <w:lang w:val="de-DE"/>
        </w:rPr>
      </w:pPr>
    </w:p>
    <w:p w14:paraId="4F50F249" w14:textId="77777777" w:rsidR="00FE291A" w:rsidRDefault="00C8738F">
      <w:pPr>
        <w:widowControl/>
        <w:rPr>
          <w:sz w:val="22"/>
          <w:szCs w:val="22"/>
          <w:lang w:val="de-DE"/>
        </w:rPr>
      </w:pPr>
      <w:r>
        <w:rPr>
          <w:sz w:val="22"/>
          <w:szCs w:val="22"/>
          <w:lang w:val="de-DE"/>
        </w:rPr>
        <w:t>AMGEVITA 80 mg Injektionslösung in einer Fertigspritze</w:t>
      </w:r>
    </w:p>
    <w:p w14:paraId="6F6BB315" w14:textId="77777777" w:rsidR="00FE291A" w:rsidRDefault="00C8738F">
      <w:pPr>
        <w:widowControl/>
        <w:rPr>
          <w:b/>
          <w:sz w:val="22"/>
          <w:szCs w:val="22"/>
          <w:lang w:val="de-DE"/>
        </w:rPr>
      </w:pPr>
      <w:r>
        <w:rPr>
          <w:sz w:val="22"/>
          <w:szCs w:val="22"/>
          <w:lang w:val="de-DE"/>
        </w:rPr>
        <w:t>Adalimumab</w:t>
      </w:r>
    </w:p>
    <w:p w14:paraId="11C2214C" w14:textId="77777777" w:rsidR="00FE291A" w:rsidRDefault="00FE291A">
      <w:pPr>
        <w:widowControl/>
        <w:rPr>
          <w:sz w:val="22"/>
          <w:szCs w:val="22"/>
          <w:lang w:val="de-DE"/>
        </w:rPr>
      </w:pPr>
    </w:p>
    <w:p w14:paraId="5F840D0A" w14:textId="77777777" w:rsidR="00FE291A" w:rsidRDefault="00FE291A">
      <w:pPr>
        <w:widowControl/>
        <w:rPr>
          <w:sz w:val="22"/>
          <w:szCs w:val="22"/>
          <w:lang w:val="de-DE"/>
        </w:rPr>
      </w:pPr>
    </w:p>
    <w:p w14:paraId="67F52DD2" w14:textId="77777777" w:rsidR="00FE291A" w:rsidRDefault="00C8738F">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WIRKSTOFF</w:t>
      </w:r>
    </w:p>
    <w:p w14:paraId="43EBAE6D" w14:textId="77777777" w:rsidR="00FE291A" w:rsidRDefault="00FE291A">
      <w:pPr>
        <w:keepNext/>
        <w:widowControl/>
        <w:rPr>
          <w:sz w:val="22"/>
          <w:szCs w:val="22"/>
          <w:lang w:val="de-DE"/>
        </w:rPr>
      </w:pPr>
    </w:p>
    <w:p w14:paraId="438F5CF8" w14:textId="77777777" w:rsidR="00FE291A" w:rsidRDefault="00C8738F">
      <w:pPr>
        <w:widowControl/>
        <w:rPr>
          <w:sz w:val="22"/>
          <w:szCs w:val="22"/>
          <w:lang w:val="de-DE"/>
        </w:rPr>
      </w:pPr>
      <w:r>
        <w:rPr>
          <w:sz w:val="22"/>
          <w:szCs w:val="22"/>
          <w:lang w:val="de-DE"/>
        </w:rPr>
        <w:t>Jede Fertigspritze enthält 80 mg Adalimumab in 0,8 ml Lösung.</w:t>
      </w:r>
    </w:p>
    <w:p w14:paraId="6DEE79F8" w14:textId="77777777" w:rsidR="00FE291A" w:rsidRDefault="00FE291A">
      <w:pPr>
        <w:widowControl/>
        <w:rPr>
          <w:sz w:val="22"/>
          <w:szCs w:val="22"/>
          <w:lang w:val="de-DE"/>
        </w:rPr>
      </w:pPr>
    </w:p>
    <w:p w14:paraId="70CA242A" w14:textId="77777777" w:rsidR="00FE291A" w:rsidRDefault="00FE291A">
      <w:pPr>
        <w:widowControl/>
        <w:rPr>
          <w:sz w:val="22"/>
          <w:szCs w:val="22"/>
          <w:lang w:val="de-DE"/>
        </w:rPr>
      </w:pPr>
    </w:p>
    <w:p w14:paraId="15DA4FE1" w14:textId="77777777" w:rsidR="00FE291A" w:rsidRDefault="00C8738F">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SONSTIGE BESTANDTEILE</w:t>
      </w:r>
    </w:p>
    <w:p w14:paraId="73371E83" w14:textId="77777777" w:rsidR="00FE291A" w:rsidRDefault="00FE291A">
      <w:pPr>
        <w:widowControl/>
        <w:rPr>
          <w:sz w:val="22"/>
          <w:szCs w:val="22"/>
          <w:lang w:val="de-DE"/>
        </w:rPr>
      </w:pPr>
    </w:p>
    <w:p w14:paraId="249A7523" w14:textId="77777777" w:rsidR="00FE291A" w:rsidRDefault="00C8738F">
      <w:pPr>
        <w:widowControl/>
        <w:rPr>
          <w:sz w:val="22"/>
          <w:szCs w:val="22"/>
          <w:lang w:val="de-DE"/>
        </w:rPr>
      </w:pPr>
      <w:r>
        <w:rPr>
          <w:sz w:val="22"/>
          <w:szCs w:val="22"/>
          <w:lang w:val="de-DE"/>
        </w:rPr>
        <w:t>(S)-Milchsäure, Saccharose, Polysorbat 80, Natriumhydroxid und Wasser für Injektionszwecke.</w:t>
      </w:r>
    </w:p>
    <w:p w14:paraId="548C88C5" w14:textId="77777777" w:rsidR="00FE291A" w:rsidRDefault="00FE291A">
      <w:pPr>
        <w:widowControl/>
        <w:rPr>
          <w:sz w:val="22"/>
          <w:szCs w:val="22"/>
          <w:lang w:val="de-DE"/>
        </w:rPr>
      </w:pPr>
    </w:p>
    <w:p w14:paraId="2E67CB3A" w14:textId="77777777" w:rsidR="00FE291A" w:rsidRDefault="00FE291A">
      <w:pPr>
        <w:widowControl/>
        <w:rPr>
          <w:sz w:val="22"/>
          <w:szCs w:val="22"/>
          <w:lang w:val="de-DE"/>
        </w:rPr>
      </w:pPr>
    </w:p>
    <w:p w14:paraId="5EEC4BDB" w14:textId="77777777" w:rsidR="00FE291A" w:rsidRDefault="00C8738F">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DARREICHUNGSFORM UND INHALT</w:t>
      </w:r>
    </w:p>
    <w:p w14:paraId="2A26FDF5" w14:textId="77777777" w:rsidR="00FE291A" w:rsidRDefault="00FE291A">
      <w:pPr>
        <w:widowControl/>
        <w:rPr>
          <w:sz w:val="22"/>
          <w:szCs w:val="22"/>
          <w:lang w:val="de-DE"/>
        </w:rPr>
      </w:pPr>
    </w:p>
    <w:p w14:paraId="34E95AF9" w14:textId="77777777" w:rsidR="00FE291A" w:rsidRDefault="00C8738F">
      <w:pPr>
        <w:widowControl/>
        <w:rPr>
          <w:sz w:val="22"/>
          <w:szCs w:val="22"/>
          <w:lang w:val="de-DE"/>
        </w:rPr>
      </w:pPr>
      <w:r>
        <w:rPr>
          <w:sz w:val="22"/>
          <w:szCs w:val="22"/>
          <w:highlight w:val="lightGray"/>
          <w:lang w:val="de-DE"/>
        </w:rPr>
        <w:t>Injektionslösung</w:t>
      </w:r>
    </w:p>
    <w:p w14:paraId="7753DA6B" w14:textId="77777777" w:rsidR="00FE291A" w:rsidRDefault="00C8738F">
      <w:pPr>
        <w:widowControl/>
        <w:rPr>
          <w:sz w:val="22"/>
          <w:szCs w:val="22"/>
          <w:lang w:val="de-DE"/>
        </w:rPr>
      </w:pPr>
      <w:r>
        <w:rPr>
          <w:sz w:val="22"/>
          <w:szCs w:val="22"/>
          <w:lang w:val="de-DE"/>
        </w:rPr>
        <w:t>80 mg/0,8 ml</w:t>
      </w:r>
    </w:p>
    <w:p w14:paraId="66EF4483" w14:textId="77777777" w:rsidR="00FE291A" w:rsidRDefault="00C8738F">
      <w:pPr>
        <w:widowControl/>
        <w:rPr>
          <w:sz w:val="22"/>
          <w:szCs w:val="22"/>
          <w:lang w:val="de-DE"/>
        </w:rPr>
      </w:pPr>
      <w:r>
        <w:rPr>
          <w:sz w:val="22"/>
          <w:szCs w:val="22"/>
          <w:lang w:val="de-DE"/>
        </w:rPr>
        <w:t>Bündelpackung: 3 (3 Packungen mit 1) Fertigspritzen.</w:t>
      </w:r>
    </w:p>
    <w:p w14:paraId="0424495C" w14:textId="77777777" w:rsidR="00FE291A" w:rsidRDefault="00FE291A">
      <w:pPr>
        <w:widowControl/>
        <w:rPr>
          <w:sz w:val="22"/>
          <w:szCs w:val="22"/>
          <w:lang w:val="de-DE"/>
        </w:rPr>
      </w:pPr>
    </w:p>
    <w:p w14:paraId="7F1EF3E2" w14:textId="77777777" w:rsidR="00FE291A" w:rsidRDefault="00FE291A">
      <w:pPr>
        <w:widowControl/>
        <w:rPr>
          <w:sz w:val="22"/>
          <w:szCs w:val="22"/>
          <w:lang w:val="de-DE"/>
        </w:rPr>
      </w:pPr>
    </w:p>
    <w:p w14:paraId="617F1E69" w14:textId="77777777" w:rsidR="00FE291A" w:rsidRDefault="00C8738F">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HINWEISE ZUR UND ART(EN) DER ANWENDUNG</w:t>
      </w:r>
    </w:p>
    <w:p w14:paraId="64BE7EFB" w14:textId="77777777" w:rsidR="00FE291A" w:rsidRDefault="00FE291A">
      <w:pPr>
        <w:keepNext/>
        <w:widowControl/>
        <w:rPr>
          <w:sz w:val="22"/>
          <w:szCs w:val="22"/>
          <w:lang w:val="de-DE"/>
        </w:rPr>
      </w:pPr>
    </w:p>
    <w:p w14:paraId="7B1A3F0B" w14:textId="77777777" w:rsidR="00FE291A" w:rsidRDefault="00C8738F">
      <w:pPr>
        <w:widowControl/>
        <w:rPr>
          <w:sz w:val="22"/>
          <w:szCs w:val="22"/>
          <w:lang w:val="de-DE"/>
        </w:rPr>
      </w:pPr>
      <w:r>
        <w:rPr>
          <w:sz w:val="22"/>
          <w:szCs w:val="22"/>
          <w:lang w:val="de-DE"/>
        </w:rPr>
        <w:t>Zur subkutanen Anwendung.</w:t>
      </w:r>
    </w:p>
    <w:p w14:paraId="38F17D5C" w14:textId="77777777" w:rsidR="00FE291A" w:rsidRDefault="00C8738F">
      <w:pPr>
        <w:widowControl/>
        <w:rPr>
          <w:sz w:val="22"/>
          <w:szCs w:val="22"/>
          <w:lang w:val="de-DE"/>
        </w:rPr>
      </w:pPr>
      <w:r>
        <w:rPr>
          <w:sz w:val="22"/>
          <w:szCs w:val="22"/>
          <w:lang w:val="de-DE"/>
        </w:rPr>
        <w:t>Packungsbeilage beachten.</w:t>
      </w:r>
    </w:p>
    <w:p w14:paraId="23630FB6" w14:textId="77777777" w:rsidR="00FE291A" w:rsidRDefault="00C8738F">
      <w:pPr>
        <w:widowControl/>
        <w:rPr>
          <w:sz w:val="22"/>
          <w:szCs w:val="22"/>
          <w:lang w:val="de-DE"/>
        </w:rPr>
      </w:pPr>
      <w:r>
        <w:rPr>
          <w:sz w:val="22"/>
          <w:szCs w:val="22"/>
          <w:lang w:val="de-DE"/>
        </w:rPr>
        <w:t>Nur zum Einmalgebrauch.</w:t>
      </w:r>
    </w:p>
    <w:p w14:paraId="2A5E7210" w14:textId="77777777" w:rsidR="00FE291A" w:rsidRDefault="00FE291A">
      <w:pPr>
        <w:widowControl/>
        <w:rPr>
          <w:sz w:val="22"/>
          <w:szCs w:val="22"/>
          <w:lang w:val="de-DE"/>
        </w:rPr>
      </w:pPr>
    </w:p>
    <w:p w14:paraId="044AAB74" w14:textId="77777777" w:rsidR="00FE291A" w:rsidRDefault="00FE291A">
      <w:pPr>
        <w:widowControl/>
        <w:rPr>
          <w:sz w:val="22"/>
          <w:szCs w:val="22"/>
          <w:lang w:val="de-DE"/>
        </w:rPr>
      </w:pPr>
    </w:p>
    <w:p w14:paraId="3FA03A3D" w14:textId="77777777" w:rsidR="00FE291A" w:rsidRDefault="00C8738F">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WARNHINWEIS, DASS DAS ARZNEIMITTEL FÜR KINDER UNZUGÄNGLICH AUFZUBEWAHREN IST</w:t>
      </w:r>
    </w:p>
    <w:p w14:paraId="00E6F960" w14:textId="77777777" w:rsidR="00FE291A" w:rsidRDefault="00FE291A">
      <w:pPr>
        <w:keepNext/>
        <w:widowControl/>
        <w:rPr>
          <w:sz w:val="22"/>
          <w:szCs w:val="22"/>
          <w:lang w:val="de-DE"/>
        </w:rPr>
      </w:pPr>
    </w:p>
    <w:p w14:paraId="37F988BB" w14:textId="77777777" w:rsidR="00FE291A" w:rsidRDefault="00C8738F">
      <w:pPr>
        <w:widowControl/>
        <w:outlineLvl w:val="0"/>
        <w:rPr>
          <w:sz w:val="22"/>
          <w:szCs w:val="22"/>
          <w:lang w:val="de-DE"/>
        </w:rPr>
      </w:pPr>
      <w:r>
        <w:rPr>
          <w:sz w:val="22"/>
          <w:szCs w:val="22"/>
          <w:lang w:val="de-DE"/>
        </w:rPr>
        <w:t>Arzneimittel für Kinder unzugänglich aufbewahren.</w:t>
      </w:r>
    </w:p>
    <w:p w14:paraId="7AFF31E4" w14:textId="77777777" w:rsidR="00FE291A" w:rsidRDefault="00FE291A">
      <w:pPr>
        <w:widowControl/>
        <w:rPr>
          <w:sz w:val="22"/>
          <w:szCs w:val="22"/>
          <w:lang w:val="de-DE"/>
        </w:rPr>
      </w:pPr>
    </w:p>
    <w:p w14:paraId="2B29F9D5" w14:textId="77777777" w:rsidR="00FE291A" w:rsidRDefault="00FE291A">
      <w:pPr>
        <w:widowControl/>
        <w:rPr>
          <w:sz w:val="22"/>
          <w:szCs w:val="22"/>
          <w:lang w:val="de-DE"/>
        </w:rPr>
      </w:pPr>
    </w:p>
    <w:p w14:paraId="0462198E" w14:textId="77777777" w:rsidR="00FE291A" w:rsidRDefault="00C8738F">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WEITERE WARNHINWEISE, FALLS ERFORDERLICH</w:t>
      </w:r>
    </w:p>
    <w:p w14:paraId="427B0067" w14:textId="77777777" w:rsidR="00FE291A" w:rsidRDefault="00FE291A">
      <w:pPr>
        <w:keepNext/>
        <w:widowControl/>
        <w:rPr>
          <w:sz w:val="22"/>
          <w:szCs w:val="22"/>
          <w:lang w:val="de-DE"/>
        </w:rPr>
      </w:pPr>
    </w:p>
    <w:p w14:paraId="03CB4284" w14:textId="77777777" w:rsidR="00FE291A" w:rsidRDefault="00FE291A">
      <w:pPr>
        <w:widowControl/>
        <w:tabs>
          <w:tab w:val="left" w:pos="749"/>
        </w:tabs>
        <w:rPr>
          <w:sz w:val="22"/>
          <w:szCs w:val="22"/>
          <w:lang w:val="de-DE"/>
        </w:rPr>
      </w:pPr>
    </w:p>
    <w:p w14:paraId="27C3864A" w14:textId="77777777" w:rsidR="00FE291A" w:rsidRDefault="00C8738F">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VERFALLDATUM</w:t>
      </w:r>
    </w:p>
    <w:p w14:paraId="1303918A" w14:textId="77777777" w:rsidR="00FE291A" w:rsidRDefault="00FE291A">
      <w:pPr>
        <w:keepNext/>
        <w:widowControl/>
        <w:rPr>
          <w:sz w:val="22"/>
          <w:szCs w:val="22"/>
          <w:lang w:val="de-DE"/>
        </w:rPr>
      </w:pPr>
    </w:p>
    <w:p w14:paraId="0AF307A5" w14:textId="77777777" w:rsidR="00FE291A" w:rsidRDefault="00C8738F">
      <w:pPr>
        <w:widowControl/>
        <w:rPr>
          <w:sz w:val="22"/>
          <w:szCs w:val="22"/>
          <w:lang w:val="de-DE"/>
        </w:rPr>
      </w:pPr>
      <w:r>
        <w:rPr>
          <w:sz w:val="22"/>
          <w:szCs w:val="22"/>
          <w:lang w:val="de-DE"/>
        </w:rPr>
        <w:t>verwendbar bis</w:t>
      </w:r>
    </w:p>
    <w:p w14:paraId="2878F45F" w14:textId="77777777" w:rsidR="00FE291A" w:rsidRDefault="00FE291A">
      <w:pPr>
        <w:widowControl/>
        <w:rPr>
          <w:sz w:val="22"/>
          <w:szCs w:val="22"/>
          <w:lang w:val="de-DE"/>
        </w:rPr>
      </w:pPr>
    </w:p>
    <w:p w14:paraId="4343B987" w14:textId="77777777" w:rsidR="00FE291A" w:rsidRDefault="00FE291A">
      <w:pPr>
        <w:widowControl/>
        <w:rPr>
          <w:sz w:val="22"/>
          <w:szCs w:val="22"/>
          <w:lang w:val="de-DE"/>
        </w:rPr>
      </w:pPr>
    </w:p>
    <w:p w14:paraId="183141CB" w14:textId="77777777" w:rsidR="00FE291A" w:rsidRDefault="00C8738F">
      <w:pPr>
        <w:keepNext/>
        <w:keepLines/>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BESONDERE VORSICHTSMASSNAHMEN FÜR DIE AUFBEWAHRUNG</w:t>
      </w:r>
    </w:p>
    <w:p w14:paraId="34B5C2BE" w14:textId="77777777" w:rsidR="00FE291A" w:rsidRDefault="00FE291A">
      <w:pPr>
        <w:keepNext/>
        <w:keepLines/>
        <w:widowControl/>
        <w:rPr>
          <w:sz w:val="22"/>
          <w:szCs w:val="22"/>
          <w:lang w:val="de-DE"/>
        </w:rPr>
      </w:pPr>
    </w:p>
    <w:p w14:paraId="3BFCBD21" w14:textId="77777777" w:rsidR="00FE291A" w:rsidRDefault="00C8738F">
      <w:pPr>
        <w:keepNext/>
        <w:keepLines/>
        <w:widowControl/>
        <w:ind w:left="567" w:hanging="567"/>
        <w:rPr>
          <w:sz w:val="22"/>
          <w:szCs w:val="22"/>
          <w:lang w:val="de-DE"/>
        </w:rPr>
      </w:pPr>
      <w:r>
        <w:rPr>
          <w:sz w:val="22"/>
          <w:szCs w:val="22"/>
          <w:lang w:val="de-DE"/>
        </w:rPr>
        <w:t>Im Kühlschrank lagern.</w:t>
      </w:r>
    </w:p>
    <w:p w14:paraId="69F0671D" w14:textId="77777777" w:rsidR="00FE291A" w:rsidRDefault="00C8738F">
      <w:pPr>
        <w:keepNext/>
        <w:keepLines/>
        <w:widowControl/>
        <w:ind w:left="567" w:hanging="567"/>
        <w:rPr>
          <w:sz w:val="22"/>
          <w:szCs w:val="22"/>
          <w:lang w:val="de-DE"/>
        </w:rPr>
      </w:pPr>
      <w:r>
        <w:rPr>
          <w:sz w:val="22"/>
          <w:szCs w:val="22"/>
          <w:lang w:val="de-DE"/>
        </w:rPr>
        <w:t>Nicht einfrieren.</w:t>
      </w:r>
    </w:p>
    <w:p w14:paraId="46B0B25B" w14:textId="77777777" w:rsidR="00FE291A" w:rsidRDefault="00C8738F">
      <w:pPr>
        <w:widowControl/>
        <w:ind w:left="567" w:hanging="567"/>
        <w:rPr>
          <w:sz w:val="22"/>
          <w:szCs w:val="22"/>
          <w:lang w:val="de-DE"/>
        </w:rPr>
      </w:pPr>
      <w:r>
        <w:rPr>
          <w:sz w:val="22"/>
          <w:szCs w:val="22"/>
          <w:lang w:val="de-DE"/>
        </w:rPr>
        <w:t>Im Originalkarton aufbewahren, um den Inhalt vor Licht zu schützen.</w:t>
      </w:r>
    </w:p>
    <w:p w14:paraId="03B71957" w14:textId="77777777" w:rsidR="00FE291A" w:rsidRDefault="00FE291A">
      <w:pPr>
        <w:widowControl/>
        <w:ind w:left="567" w:hanging="567"/>
        <w:rPr>
          <w:sz w:val="22"/>
          <w:szCs w:val="22"/>
          <w:lang w:val="de-DE"/>
        </w:rPr>
      </w:pPr>
    </w:p>
    <w:p w14:paraId="2253CEA3" w14:textId="77777777" w:rsidR="00FE291A" w:rsidRDefault="00FE291A">
      <w:pPr>
        <w:widowControl/>
        <w:ind w:left="567" w:hanging="567"/>
        <w:rPr>
          <w:sz w:val="22"/>
          <w:szCs w:val="22"/>
          <w:lang w:val="de-DE"/>
        </w:rPr>
      </w:pPr>
    </w:p>
    <w:p w14:paraId="042B0741" w14:textId="77777777" w:rsidR="00FE291A" w:rsidRDefault="00C8738F">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GEGEBENENFALLS BESONDERE VORSICHTSMASSNAHMEN FÜR DIE BESEITIGUNG VON NICHT VERWENDETEM ARZNEIMITTEL ODER DAVON STAMMENDEN ABFALLMATERIALIEN</w:t>
      </w:r>
    </w:p>
    <w:p w14:paraId="01C1F965" w14:textId="77777777" w:rsidR="00FE291A" w:rsidRDefault="00FE291A">
      <w:pPr>
        <w:widowControl/>
        <w:rPr>
          <w:sz w:val="22"/>
          <w:szCs w:val="22"/>
          <w:lang w:val="de-DE"/>
        </w:rPr>
      </w:pPr>
    </w:p>
    <w:p w14:paraId="098954B0" w14:textId="77777777" w:rsidR="00FE291A" w:rsidRDefault="00FE291A">
      <w:pPr>
        <w:widowControl/>
        <w:rPr>
          <w:sz w:val="22"/>
          <w:szCs w:val="22"/>
          <w:lang w:val="de-DE"/>
        </w:rPr>
      </w:pPr>
    </w:p>
    <w:p w14:paraId="748291DE" w14:textId="77777777" w:rsidR="00FE291A" w:rsidRDefault="00C8738F">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NAME UND ANSCHRIFT DES PHARMAZEUTISCHEN UNTERNEHMERS</w:t>
      </w:r>
    </w:p>
    <w:p w14:paraId="5022EFBE" w14:textId="77777777" w:rsidR="00FE291A" w:rsidRDefault="00FE291A">
      <w:pPr>
        <w:widowControl/>
        <w:rPr>
          <w:sz w:val="22"/>
          <w:szCs w:val="22"/>
          <w:lang w:val="de-DE"/>
        </w:rPr>
      </w:pPr>
    </w:p>
    <w:p w14:paraId="6754318D" w14:textId="77777777" w:rsidR="00FE291A" w:rsidRDefault="00C8738F">
      <w:pPr>
        <w:widowControl/>
        <w:rPr>
          <w:rFonts w:eastAsia="SimSun"/>
          <w:sz w:val="22"/>
          <w:szCs w:val="22"/>
          <w:lang w:val="de-DE" w:eastAsia="en-GB"/>
        </w:rPr>
      </w:pPr>
      <w:r>
        <w:rPr>
          <w:rFonts w:eastAsia="SimSun"/>
          <w:sz w:val="22"/>
          <w:szCs w:val="22"/>
          <w:lang w:val="de-DE" w:eastAsia="en-GB"/>
        </w:rPr>
        <w:t>Amgen Europe B.V.</w:t>
      </w:r>
    </w:p>
    <w:p w14:paraId="23FDCCC9" w14:textId="77777777" w:rsidR="00FE291A" w:rsidRDefault="00C8738F">
      <w:pPr>
        <w:widowControl/>
        <w:rPr>
          <w:rFonts w:eastAsia="SimSun"/>
          <w:sz w:val="22"/>
          <w:szCs w:val="22"/>
          <w:lang w:val="de-DE" w:eastAsia="en-GB"/>
        </w:rPr>
      </w:pPr>
      <w:r>
        <w:rPr>
          <w:rFonts w:eastAsia="SimSun"/>
          <w:sz w:val="22"/>
          <w:szCs w:val="22"/>
          <w:lang w:val="de-DE" w:eastAsia="en-GB"/>
        </w:rPr>
        <w:t>Minervum 7061,</w:t>
      </w:r>
    </w:p>
    <w:p w14:paraId="5AA5F756" w14:textId="77777777" w:rsidR="00FE291A" w:rsidRDefault="00C8738F">
      <w:pPr>
        <w:widowControl/>
        <w:rPr>
          <w:rFonts w:eastAsia="SimSun"/>
          <w:sz w:val="22"/>
          <w:szCs w:val="22"/>
          <w:lang w:val="de-DE" w:eastAsia="en-GB"/>
        </w:rPr>
      </w:pPr>
      <w:r>
        <w:rPr>
          <w:rFonts w:eastAsia="SimSun"/>
          <w:sz w:val="22"/>
          <w:szCs w:val="22"/>
          <w:lang w:val="de-DE" w:eastAsia="en-GB"/>
        </w:rPr>
        <w:t>4817 ZK Breda,</w:t>
      </w:r>
    </w:p>
    <w:p w14:paraId="2C0E808D" w14:textId="77777777" w:rsidR="00FE291A" w:rsidRDefault="00C8738F">
      <w:pPr>
        <w:widowControl/>
        <w:rPr>
          <w:rFonts w:eastAsia="SimSun"/>
          <w:sz w:val="22"/>
          <w:szCs w:val="22"/>
          <w:lang w:val="de-DE" w:eastAsia="en-GB"/>
        </w:rPr>
      </w:pPr>
      <w:r>
        <w:rPr>
          <w:rFonts w:eastAsia="SimSun"/>
          <w:sz w:val="22"/>
          <w:szCs w:val="22"/>
          <w:lang w:val="de-DE" w:eastAsia="en-GB"/>
        </w:rPr>
        <w:t>Niederlande</w:t>
      </w:r>
    </w:p>
    <w:p w14:paraId="436660B0" w14:textId="77777777" w:rsidR="00FE291A" w:rsidRDefault="00FE291A">
      <w:pPr>
        <w:widowControl/>
        <w:rPr>
          <w:sz w:val="22"/>
          <w:szCs w:val="22"/>
          <w:lang w:val="de-DE"/>
        </w:rPr>
      </w:pPr>
    </w:p>
    <w:p w14:paraId="49981402" w14:textId="77777777" w:rsidR="00FE291A" w:rsidRDefault="00FE291A">
      <w:pPr>
        <w:widowControl/>
        <w:rPr>
          <w:sz w:val="22"/>
          <w:szCs w:val="22"/>
          <w:lang w:val="de-DE"/>
        </w:rPr>
      </w:pPr>
    </w:p>
    <w:p w14:paraId="6A4462EC" w14:textId="77777777" w:rsidR="00FE291A" w:rsidRDefault="00C8738F">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ZULASSUNGSNUMMER</w:t>
      </w:r>
    </w:p>
    <w:p w14:paraId="5C93DB8A" w14:textId="77777777" w:rsidR="00FE291A" w:rsidRDefault="00FE291A">
      <w:pPr>
        <w:widowControl/>
        <w:rPr>
          <w:sz w:val="22"/>
          <w:szCs w:val="22"/>
          <w:lang w:val="de-DE"/>
        </w:rPr>
      </w:pPr>
    </w:p>
    <w:p w14:paraId="2F5A14E0" w14:textId="77777777" w:rsidR="00FE291A" w:rsidRDefault="00C8738F">
      <w:pPr>
        <w:widowControl/>
        <w:outlineLvl w:val="0"/>
        <w:rPr>
          <w:sz w:val="22"/>
          <w:szCs w:val="22"/>
          <w:lang w:val="de-DE"/>
        </w:rPr>
      </w:pPr>
      <w:r>
        <w:rPr>
          <w:sz w:val="22"/>
          <w:szCs w:val="22"/>
          <w:lang w:val="de-DE"/>
        </w:rPr>
        <w:t>EU/1/16/1164/019</w:t>
      </w:r>
    </w:p>
    <w:p w14:paraId="2DDFA3C0" w14:textId="77777777" w:rsidR="00FE291A" w:rsidRDefault="00FE291A">
      <w:pPr>
        <w:widowControl/>
        <w:rPr>
          <w:sz w:val="22"/>
          <w:szCs w:val="22"/>
          <w:lang w:val="de-DE"/>
        </w:rPr>
      </w:pPr>
    </w:p>
    <w:p w14:paraId="7799D670" w14:textId="77777777" w:rsidR="00FE291A" w:rsidRDefault="00FE291A">
      <w:pPr>
        <w:widowControl/>
        <w:rPr>
          <w:sz w:val="22"/>
          <w:szCs w:val="22"/>
          <w:lang w:val="de-DE"/>
        </w:rPr>
      </w:pPr>
    </w:p>
    <w:p w14:paraId="63C470C9" w14:textId="77777777" w:rsidR="00FE291A" w:rsidRDefault="00C8738F">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CHARGENBEZEICHNUNG</w:t>
      </w:r>
    </w:p>
    <w:p w14:paraId="0227B0A8" w14:textId="77777777" w:rsidR="00FE291A" w:rsidRDefault="00FE291A">
      <w:pPr>
        <w:widowControl/>
        <w:rPr>
          <w:i/>
          <w:sz w:val="22"/>
          <w:szCs w:val="22"/>
          <w:lang w:val="de-DE"/>
        </w:rPr>
      </w:pPr>
    </w:p>
    <w:p w14:paraId="47B0C425" w14:textId="77777777" w:rsidR="00FE291A" w:rsidRDefault="00C8738F">
      <w:pPr>
        <w:widowControl/>
        <w:rPr>
          <w:sz w:val="22"/>
          <w:szCs w:val="22"/>
          <w:lang w:val="de-DE"/>
        </w:rPr>
      </w:pPr>
      <w:r>
        <w:rPr>
          <w:sz w:val="22"/>
          <w:szCs w:val="22"/>
          <w:lang w:val="de-DE"/>
        </w:rPr>
        <w:t>Ch.-B.</w:t>
      </w:r>
    </w:p>
    <w:p w14:paraId="6361923D" w14:textId="77777777" w:rsidR="00FE291A" w:rsidRDefault="00FE291A">
      <w:pPr>
        <w:widowControl/>
        <w:rPr>
          <w:sz w:val="22"/>
          <w:szCs w:val="22"/>
          <w:lang w:val="de-DE"/>
        </w:rPr>
      </w:pPr>
    </w:p>
    <w:p w14:paraId="313413FD" w14:textId="77777777" w:rsidR="00FE291A" w:rsidRDefault="00FE291A">
      <w:pPr>
        <w:widowControl/>
        <w:rPr>
          <w:sz w:val="22"/>
          <w:szCs w:val="22"/>
          <w:lang w:val="de-DE"/>
        </w:rPr>
      </w:pPr>
    </w:p>
    <w:p w14:paraId="35EFA4FB" w14:textId="77777777" w:rsidR="00FE291A" w:rsidRDefault="00C8738F">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VERKAUFSABGRENZUNG</w:t>
      </w:r>
    </w:p>
    <w:p w14:paraId="45990361" w14:textId="77777777" w:rsidR="00FE291A" w:rsidRDefault="00FE291A">
      <w:pPr>
        <w:widowControl/>
        <w:rPr>
          <w:i/>
          <w:sz w:val="22"/>
          <w:szCs w:val="22"/>
          <w:lang w:val="de-DE"/>
        </w:rPr>
      </w:pPr>
    </w:p>
    <w:p w14:paraId="1A23840C" w14:textId="77777777" w:rsidR="00FE291A" w:rsidRDefault="00FE291A">
      <w:pPr>
        <w:widowControl/>
        <w:rPr>
          <w:sz w:val="22"/>
          <w:szCs w:val="22"/>
          <w:lang w:val="de-DE"/>
        </w:rPr>
      </w:pPr>
    </w:p>
    <w:p w14:paraId="5F8D71BC" w14:textId="77777777" w:rsidR="00FE291A" w:rsidRDefault="00C8738F">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HINWEISE FÜR DEN GEBRAUCH</w:t>
      </w:r>
    </w:p>
    <w:p w14:paraId="50512E09" w14:textId="77777777" w:rsidR="00FE291A" w:rsidRDefault="00FE291A">
      <w:pPr>
        <w:widowControl/>
        <w:rPr>
          <w:sz w:val="22"/>
          <w:szCs w:val="22"/>
          <w:lang w:val="de-DE"/>
        </w:rPr>
      </w:pPr>
    </w:p>
    <w:p w14:paraId="555FE8F5" w14:textId="77777777" w:rsidR="00FE291A" w:rsidRDefault="00FE291A">
      <w:pPr>
        <w:widowControl/>
        <w:rPr>
          <w:sz w:val="22"/>
          <w:szCs w:val="22"/>
          <w:lang w:val="de-DE"/>
        </w:rPr>
      </w:pPr>
    </w:p>
    <w:p w14:paraId="5B78E91A" w14:textId="77777777" w:rsidR="00FE291A" w:rsidRDefault="00C8738F">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ANGABEN IN BLINDENSCHRIFT</w:t>
      </w:r>
    </w:p>
    <w:p w14:paraId="48936C14" w14:textId="77777777" w:rsidR="00FE291A" w:rsidRDefault="00FE291A">
      <w:pPr>
        <w:widowControl/>
        <w:rPr>
          <w:sz w:val="22"/>
          <w:szCs w:val="22"/>
          <w:lang w:val="de-DE"/>
        </w:rPr>
      </w:pPr>
    </w:p>
    <w:p w14:paraId="5AA608BD" w14:textId="77777777" w:rsidR="00FE291A" w:rsidRDefault="00C8738F">
      <w:pPr>
        <w:widowControl/>
        <w:rPr>
          <w:sz w:val="22"/>
          <w:szCs w:val="22"/>
          <w:shd w:val="clear" w:color="auto" w:fill="CCCCCC"/>
          <w:lang w:val="de-DE"/>
        </w:rPr>
      </w:pPr>
      <w:r>
        <w:rPr>
          <w:sz w:val="22"/>
          <w:szCs w:val="22"/>
          <w:lang w:val="de-DE"/>
        </w:rPr>
        <w:t>AMGEVITA 80 mg/0,8 ml Spritze</w:t>
      </w:r>
    </w:p>
    <w:p w14:paraId="2EAA33D2" w14:textId="77777777" w:rsidR="00FE291A" w:rsidRDefault="00FE291A">
      <w:pPr>
        <w:widowControl/>
        <w:rPr>
          <w:sz w:val="22"/>
          <w:szCs w:val="22"/>
          <w:shd w:val="clear" w:color="auto" w:fill="CCCCCC"/>
          <w:lang w:val="de-DE"/>
        </w:rPr>
      </w:pPr>
    </w:p>
    <w:p w14:paraId="5292CE1D" w14:textId="77777777" w:rsidR="00FE291A" w:rsidRDefault="00FE291A">
      <w:pPr>
        <w:widowControl/>
        <w:rPr>
          <w:sz w:val="22"/>
          <w:szCs w:val="22"/>
          <w:shd w:val="clear" w:color="auto" w:fill="CCCCCC"/>
          <w:lang w:val="de-DE"/>
        </w:rPr>
      </w:pPr>
    </w:p>
    <w:p w14:paraId="64FA0BAB" w14:textId="77777777" w:rsidR="00FE291A" w:rsidRDefault="00C8738F">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i/>
          <w:sz w:val="22"/>
          <w:szCs w:val="22"/>
          <w:lang w:val="de-DE"/>
        </w:rPr>
      </w:pPr>
      <w:r>
        <w:rPr>
          <w:b/>
          <w:sz w:val="22"/>
          <w:szCs w:val="22"/>
          <w:lang w:val="de-DE"/>
        </w:rPr>
        <w:t>INDIVIDUELLES ERKENNUNGSMERKMAL – 2D-BARCODE</w:t>
      </w:r>
    </w:p>
    <w:p w14:paraId="679E96DB" w14:textId="77777777" w:rsidR="00FE291A" w:rsidRDefault="00FE291A">
      <w:pPr>
        <w:widowControl/>
        <w:rPr>
          <w:sz w:val="22"/>
          <w:szCs w:val="22"/>
          <w:lang w:val="de-DE"/>
        </w:rPr>
      </w:pPr>
    </w:p>
    <w:p w14:paraId="4A0E3370" w14:textId="77777777" w:rsidR="00FE291A" w:rsidRDefault="00C8738F">
      <w:pPr>
        <w:widowControl/>
        <w:rPr>
          <w:sz w:val="22"/>
          <w:szCs w:val="22"/>
          <w:shd w:val="clear" w:color="auto" w:fill="CCCCCC"/>
          <w:lang w:val="de-DE"/>
        </w:rPr>
      </w:pPr>
      <w:r>
        <w:rPr>
          <w:sz w:val="22"/>
          <w:szCs w:val="22"/>
          <w:highlight w:val="lightGray"/>
          <w:lang w:val="de-DE"/>
        </w:rPr>
        <w:t>2D-Barcode mit individuellem Erkennungsmerkmal.</w:t>
      </w:r>
    </w:p>
    <w:p w14:paraId="1DD82E66" w14:textId="77777777" w:rsidR="00FE291A" w:rsidRDefault="00FE291A">
      <w:pPr>
        <w:widowControl/>
        <w:rPr>
          <w:sz w:val="22"/>
          <w:szCs w:val="22"/>
          <w:lang w:val="de-DE"/>
        </w:rPr>
      </w:pPr>
    </w:p>
    <w:p w14:paraId="0978C950" w14:textId="77777777" w:rsidR="00FE291A" w:rsidRDefault="00FE291A">
      <w:pPr>
        <w:widowControl/>
        <w:rPr>
          <w:sz w:val="22"/>
          <w:szCs w:val="22"/>
          <w:lang w:val="de-DE"/>
        </w:rPr>
      </w:pPr>
    </w:p>
    <w:p w14:paraId="79CFB5C3" w14:textId="77777777" w:rsidR="00FE291A" w:rsidRDefault="00C8738F">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i/>
          <w:sz w:val="22"/>
          <w:szCs w:val="22"/>
          <w:lang w:val="de-DE"/>
        </w:rPr>
      </w:pPr>
      <w:r>
        <w:rPr>
          <w:b/>
          <w:sz w:val="22"/>
          <w:szCs w:val="22"/>
          <w:lang w:val="de-DE"/>
        </w:rPr>
        <w:t>INDIVIDUELLES ERKENNUNGSMERKMAL – VOM MENSCHEN LESBARES FORMAT</w:t>
      </w:r>
    </w:p>
    <w:p w14:paraId="307CE06B" w14:textId="77777777" w:rsidR="00FE291A" w:rsidRDefault="00FE291A">
      <w:pPr>
        <w:keepNext/>
        <w:widowControl/>
        <w:rPr>
          <w:sz w:val="22"/>
          <w:szCs w:val="22"/>
          <w:lang w:val="de-DE"/>
        </w:rPr>
      </w:pPr>
    </w:p>
    <w:p w14:paraId="41BA35F9" w14:textId="77777777" w:rsidR="00FE291A" w:rsidRDefault="00C8738F">
      <w:pPr>
        <w:keepNext/>
        <w:widowControl/>
        <w:rPr>
          <w:sz w:val="22"/>
          <w:szCs w:val="22"/>
          <w:lang w:val="de-DE"/>
        </w:rPr>
      </w:pPr>
      <w:r>
        <w:rPr>
          <w:sz w:val="22"/>
          <w:szCs w:val="22"/>
          <w:lang w:val="de-DE"/>
        </w:rPr>
        <w:t>PC</w:t>
      </w:r>
    </w:p>
    <w:p w14:paraId="1FB567C7" w14:textId="77777777" w:rsidR="00FE291A" w:rsidRDefault="00C8738F">
      <w:pPr>
        <w:keepNext/>
        <w:widowControl/>
        <w:rPr>
          <w:sz w:val="22"/>
          <w:szCs w:val="22"/>
          <w:lang w:val="de-DE"/>
        </w:rPr>
      </w:pPr>
      <w:r>
        <w:rPr>
          <w:sz w:val="22"/>
          <w:szCs w:val="22"/>
          <w:lang w:val="de-DE"/>
        </w:rPr>
        <w:t>SN</w:t>
      </w:r>
    </w:p>
    <w:p w14:paraId="0D5AFA5D" w14:textId="77777777" w:rsidR="00FE291A" w:rsidRDefault="00C8738F">
      <w:pPr>
        <w:widowControl/>
        <w:rPr>
          <w:sz w:val="22"/>
          <w:szCs w:val="22"/>
          <w:lang w:val="de-DE"/>
        </w:rPr>
      </w:pPr>
      <w:r>
        <w:rPr>
          <w:sz w:val="22"/>
          <w:szCs w:val="22"/>
          <w:lang w:val="de-DE"/>
        </w:rPr>
        <w:t>NN</w:t>
      </w:r>
    </w:p>
    <w:p w14:paraId="764376AE" w14:textId="77777777" w:rsidR="00FE291A" w:rsidRDefault="00C8738F">
      <w:pPr>
        <w:widowControl/>
        <w:pBdr>
          <w:top w:val="single" w:sz="4" w:space="1" w:color="auto"/>
          <w:left w:val="single" w:sz="4" w:space="4" w:color="auto"/>
          <w:bottom w:val="single" w:sz="4" w:space="1" w:color="auto"/>
          <w:right w:val="single" w:sz="4" w:space="4" w:color="auto"/>
        </w:pBdr>
        <w:rPr>
          <w:b/>
          <w:sz w:val="22"/>
          <w:szCs w:val="22"/>
          <w:lang w:val="de-DE"/>
        </w:rPr>
      </w:pPr>
      <w:r>
        <w:rPr>
          <w:sz w:val="22"/>
          <w:lang w:val="de-DE"/>
        </w:rPr>
        <w:br w:type="page"/>
      </w:r>
      <w:r>
        <w:rPr>
          <w:b/>
          <w:sz w:val="22"/>
          <w:szCs w:val="22"/>
          <w:lang w:val="de-DE"/>
        </w:rPr>
        <w:t>ANGABEN AUF DER ÄUSSEREN UMHÜLLUNG</w:t>
      </w:r>
    </w:p>
    <w:p w14:paraId="152CFA8F" w14:textId="77777777" w:rsidR="00FE291A" w:rsidRDefault="00FE291A">
      <w:pPr>
        <w:pBdr>
          <w:top w:val="single" w:sz="4" w:space="1" w:color="auto"/>
          <w:left w:val="single" w:sz="4" w:space="4" w:color="auto"/>
          <w:bottom w:val="single" w:sz="4" w:space="1" w:color="auto"/>
          <w:right w:val="single" w:sz="4" w:space="4" w:color="auto"/>
        </w:pBdr>
        <w:ind w:left="567" w:hanging="567"/>
        <w:rPr>
          <w:sz w:val="22"/>
          <w:szCs w:val="22"/>
          <w:lang w:val="de-DE"/>
        </w:rPr>
      </w:pPr>
    </w:p>
    <w:p w14:paraId="7994F179" w14:textId="77777777" w:rsidR="00FE291A" w:rsidRDefault="00C8738F">
      <w:pPr>
        <w:pBdr>
          <w:top w:val="single" w:sz="4" w:space="1" w:color="auto"/>
          <w:left w:val="single" w:sz="4" w:space="4" w:color="auto"/>
          <w:bottom w:val="single" w:sz="4" w:space="1" w:color="auto"/>
          <w:right w:val="single" w:sz="4" w:space="4" w:color="auto"/>
        </w:pBdr>
        <w:rPr>
          <w:sz w:val="22"/>
          <w:szCs w:val="22"/>
          <w:lang w:val="de-DE"/>
        </w:rPr>
      </w:pPr>
      <w:r>
        <w:rPr>
          <w:b/>
          <w:sz w:val="22"/>
          <w:szCs w:val="22"/>
          <w:lang w:val="de-DE"/>
        </w:rPr>
        <w:t>INNERER KARTON DER BÜNDELPACKUNG FÜR DIE FERTIGSPRITZE (ohne blue box)</w:t>
      </w:r>
    </w:p>
    <w:p w14:paraId="6200B1A1" w14:textId="77777777" w:rsidR="00FE291A" w:rsidRDefault="00FE291A">
      <w:pPr>
        <w:rPr>
          <w:sz w:val="22"/>
          <w:szCs w:val="22"/>
          <w:lang w:val="de-DE"/>
        </w:rPr>
      </w:pPr>
    </w:p>
    <w:p w14:paraId="4FAB654C" w14:textId="77777777" w:rsidR="00FE291A" w:rsidRDefault="00FE291A">
      <w:pPr>
        <w:rPr>
          <w:sz w:val="22"/>
          <w:szCs w:val="22"/>
          <w:lang w:val="de-DE"/>
        </w:rPr>
      </w:pPr>
    </w:p>
    <w:p w14:paraId="7D59FF74" w14:textId="77777777" w:rsidR="00FE291A" w:rsidRDefault="00C8738F">
      <w:pPr>
        <w:keepNext/>
        <w:numPr>
          <w:ilvl w:val="0"/>
          <w:numId w:val="42"/>
        </w:numPr>
        <w:pBdr>
          <w:top w:val="single" w:sz="4" w:space="1" w:color="auto"/>
          <w:left w:val="single" w:sz="4" w:space="4" w:color="auto"/>
          <w:bottom w:val="single" w:sz="4" w:space="1" w:color="auto"/>
          <w:right w:val="single" w:sz="4" w:space="4" w:color="auto"/>
        </w:pBdr>
        <w:tabs>
          <w:tab w:val="left" w:pos="567"/>
        </w:tabs>
        <w:ind w:hanging="1650"/>
        <w:outlineLvl w:val="0"/>
        <w:rPr>
          <w:sz w:val="22"/>
          <w:szCs w:val="22"/>
          <w:lang w:val="de-DE"/>
        </w:rPr>
      </w:pPr>
      <w:r>
        <w:rPr>
          <w:b/>
          <w:sz w:val="22"/>
          <w:szCs w:val="22"/>
          <w:lang w:val="de-DE"/>
        </w:rPr>
        <w:t>BEZEICHNUNG DES ARZNEIMITTELS</w:t>
      </w:r>
    </w:p>
    <w:p w14:paraId="00AA0619" w14:textId="77777777" w:rsidR="00FE291A" w:rsidRDefault="00FE291A">
      <w:pPr>
        <w:keepNext/>
        <w:rPr>
          <w:sz w:val="22"/>
          <w:szCs w:val="22"/>
          <w:lang w:val="de-DE"/>
        </w:rPr>
      </w:pPr>
    </w:p>
    <w:p w14:paraId="15B8916D" w14:textId="77777777" w:rsidR="00FE291A" w:rsidRDefault="00C8738F">
      <w:pPr>
        <w:rPr>
          <w:sz w:val="22"/>
          <w:szCs w:val="22"/>
          <w:lang w:val="de-DE"/>
        </w:rPr>
      </w:pPr>
      <w:r>
        <w:rPr>
          <w:sz w:val="22"/>
          <w:szCs w:val="22"/>
          <w:lang w:val="de-DE"/>
        </w:rPr>
        <w:t>AMGEVITA 80 mg Injektionslösung in einer Fertigspritze</w:t>
      </w:r>
    </w:p>
    <w:p w14:paraId="64AFB9BF" w14:textId="77777777" w:rsidR="00FE291A" w:rsidRDefault="00C8738F">
      <w:pPr>
        <w:rPr>
          <w:b/>
          <w:sz w:val="22"/>
          <w:szCs w:val="22"/>
          <w:lang w:val="de-DE"/>
        </w:rPr>
      </w:pPr>
      <w:r>
        <w:rPr>
          <w:sz w:val="22"/>
          <w:szCs w:val="22"/>
          <w:lang w:val="de-DE"/>
        </w:rPr>
        <w:t>Adalimumab</w:t>
      </w:r>
    </w:p>
    <w:p w14:paraId="4475ADBD" w14:textId="77777777" w:rsidR="00FE291A" w:rsidRDefault="00FE291A">
      <w:pPr>
        <w:rPr>
          <w:sz w:val="22"/>
          <w:szCs w:val="22"/>
          <w:lang w:val="de-DE"/>
        </w:rPr>
      </w:pPr>
    </w:p>
    <w:p w14:paraId="7197099E" w14:textId="77777777" w:rsidR="00FE291A" w:rsidRDefault="00FE291A">
      <w:pPr>
        <w:rPr>
          <w:sz w:val="22"/>
          <w:szCs w:val="22"/>
          <w:lang w:val="de-DE"/>
        </w:rPr>
      </w:pPr>
    </w:p>
    <w:p w14:paraId="4A58EA0F" w14:textId="77777777" w:rsidR="00FE291A" w:rsidRDefault="00C8738F">
      <w:pPr>
        <w:keepNext/>
        <w:numPr>
          <w:ilvl w:val="0"/>
          <w:numId w:val="42"/>
        </w:num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de-DE"/>
        </w:rPr>
      </w:pPr>
      <w:r>
        <w:rPr>
          <w:b/>
          <w:sz w:val="22"/>
          <w:szCs w:val="22"/>
          <w:lang w:val="de-DE"/>
        </w:rPr>
        <w:t>WIRKSTOFF</w:t>
      </w:r>
    </w:p>
    <w:p w14:paraId="50181E6F" w14:textId="77777777" w:rsidR="00FE291A" w:rsidRDefault="00FE291A">
      <w:pPr>
        <w:keepNext/>
        <w:rPr>
          <w:sz w:val="22"/>
          <w:szCs w:val="22"/>
          <w:lang w:val="de-DE"/>
        </w:rPr>
      </w:pPr>
    </w:p>
    <w:p w14:paraId="4854721F" w14:textId="77777777" w:rsidR="00FE291A" w:rsidRDefault="00C8738F">
      <w:pPr>
        <w:rPr>
          <w:sz w:val="22"/>
          <w:szCs w:val="22"/>
          <w:lang w:val="de-DE"/>
        </w:rPr>
      </w:pPr>
      <w:r>
        <w:rPr>
          <w:sz w:val="22"/>
          <w:szCs w:val="22"/>
          <w:lang w:val="de-DE"/>
        </w:rPr>
        <w:t>Jede Fertigspritze enthält 80 mg Adalimumab in 0,8 ml Lösung.</w:t>
      </w:r>
    </w:p>
    <w:p w14:paraId="6AAAFB62" w14:textId="77777777" w:rsidR="00FE291A" w:rsidRDefault="00FE291A">
      <w:pPr>
        <w:rPr>
          <w:sz w:val="22"/>
          <w:szCs w:val="22"/>
          <w:lang w:val="de-DE"/>
        </w:rPr>
      </w:pPr>
    </w:p>
    <w:p w14:paraId="3C7ABC90" w14:textId="77777777" w:rsidR="00FE291A" w:rsidRDefault="00FE291A">
      <w:pPr>
        <w:rPr>
          <w:sz w:val="22"/>
          <w:szCs w:val="22"/>
          <w:lang w:val="de-DE"/>
        </w:rPr>
      </w:pPr>
    </w:p>
    <w:p w14:paraId="4BA0B19C" w14:textId="77777777" w:rsidR="00FE291A" w:rsidRDefault="00C8738F">
      <w:pPr>
        <w:keepNext/>
        <w:numPr>
          <w:ilvl w:val="0"/>
          <w:numId w:val="42"/>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SONSTIGE BESTANDTEILE</w:t>
      </w:r>
    </w:p>
    <w:p w14:paraId="6ECA8A95" w14:textId="77777777" w:rsidR="00FE291A" w:rsidRDefault="00FE291A">
      <w:pPr>
        <w:rPr>
          <w:sz w:val="22"/>
          <w:szCs w:val="22"/>
          <w:lang w:val="de-DE"/>
        </w:rPr>
      </w:pPr>
    </w:p>
    <w:p w14:paraId="6B3358F5" w14:textId="77777777" w:rsidR="00FE291A" w:rsidRDefault="00C8738F">
      <w:pPr>
        <w:rPr>
          <w:sz w:val="22"/>
          <w:szCs w:val="22"/>
          <w:lang w:val="de-DE"/>
        </w:rPr>
      </w:pPr>
      <w:r>
        <w:rPr>
          <w:sz w:val="22"/>
          <w:szCs w:val="22"/>
          <w:lang w:val="de-DE"/>
        </w:rPr>
        <w:t>(S)-Milchsäure, Saccharose, Polysorbat 80, Natriumhydroxid und Wasser für Injektionszwecke.</w:t>
      </w:r>
    </w:p>
    <w:p w14:paraId="2BE89F53" w14:textId="77777777" w:rsidR="00FE291A" w:rsidRDefault="00FE291A">
      <w:pPr>
        <w:rPr>
          <w:sz w:val="22"/>
          <w:szCs w:val="22"/>
          <w:lang w:val="de-DE"/>
        </w:rPr>
      </w:pPr>
    </w:p>
    <w:p w14:paraId="1634F16C" w14:textId="77777777" w:rsidR="00FE291A" w:rsidRDefault="00FE291A">
      <w:pPr>
        <w:rPr>
          <w:sz w:val="22"/>
          <w:szCs w:val="22"/>
          <w:lang w:val="de-DE"/>
        </w:rPr>
      </w:pPr>
    </w:p>
    <w:p w14:paraId="081E6D8A" w14:textId="77777777" w:rsidR="00FE291A" w:rsidRDefault="00C8738F">
      <w:pPr>
        <w:keepNext/>
        <w:numPr>
          <w:ilvl w:val="0"/>
          <w:numId w:val="42"/>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DARREICHUNGSFORM UND INHALT</w:t>
      </w:r>
    </w:p>
    <w:p w14:paraId="125D0E8B" w14:textId="77777777" w:rsidR="00FE291A" w:rsidRDefault="00FE291A">
      <w:pPr>
        <w:rPr>
          <w:sz w:val="22"/>
          <w:szCs w:val="22"/>
          <w:lang w:val="de-DE"/>
        </w:rPr>
      </w:pPr>
    </w:p>
    <w:p w14:paraId="1703A1F2" w14:textId="77777777" w:rsidR="00FE291A" w:rsidRDefault="00C8738F">
      <w:pPr>
        <w:rPr>
          <w:sz w:val="22"/>
          <w:szCs w:val="22"/>
          <w:lang w:val="de-DE"/>
        </w:rPr>
      </w:pPr>
      <w:r>
        <w:rPr>
          <w:sz w:val="22"/>
          <w:szCs w:val="22"/>
          <w:highlight w:val="lightGray"/>
          <w:lang w:val="de-DE"/>
        </w:rPr>
        <w:t>Injektionslösung</w:t>
      </w:r>
    </w:p>
    <w:p w14:paraId="01688447" w14:textId="77777777" w:rsidR="00FE291A" w:rsidRDefault="00C8738F">
      <w:pPr>
        <w:rPr>
          <w:sz w:val="22"/>
          <w:szCs w:val="22"/>
          <w:lang w:val="de-DE"/>
        </w:rPr>
      </w:pPr>
      <w:r>
        <w:rPr>
          <w:sz w:val="22"/>
          <w:szCs w:val="22"/>
          <w:lang w:val="de-DE"/>
        </w:rPr>
        <w:t>80 mg/0,8 ml</w:t>
      </w:r>
    </w:p>
    <w:p w14:paraId="21A75696" w14:textId="77777777" w:rsidR="00FE291A" w:rsidRDefault="00C8738F">
      <w:pPr>
        <w:rPr>
          <w:sz w:val="22"/>
          <w:szCs w:val="22"/>
          <w:lang w:val="de-DE"/>
        </w:rPr>
      </w:pPr>
      <w:r>
        <w:rPr>
          <w:sz w:val="22"/>
          <w:szCs w:val="22"/>
          <w:lang w:val="de-DE"/>
        </w:rPr>
        <w:t>1 Fertigspritze. Teil einer Bündelpackung, Einzelverkauf unzulässig.</w:t>
      </w:r>
    </w:p>
    <w:p w14:paraId="2BB17436" w14:textId="77777777" w:rsidR="00FE291A" w:rsidRDefault="00FE291A">
      <w:pPr>
        <w:rPr>
          <w:sz w:val="22"/>
          <w:szCs w:val="22"/>
          <w:lang w:val="de-DE"/>
        </w:rPr>
      </w:pPr>
    </w:p>
    <w:p w14:paraId="51C4180A" w14:textId="77777777" w:rsidR="00FE291A" w:rsidRDefault="00FE291A">
      <w:pPr>
        <w:rPr>
          <w:sz w:val="22"/>
          <w:szCs w:val="22"/>
          <w:lang w:val="de-DE"/>
        </w:rPr>
      </w:pPr>
    </w:p>
    <w:p w14:paraId="6ADB26B6" w14:textId="77777777" w:rsidR="00FE291A" w:rsidRDefault="00C8738F">
      <w:pPr>
        <w:keepNext/>
        <w:numPr>
          <w:ilvl w:val="0"/>
          <w:numId w:val="42"/>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HINWEISE ZUR UND ART(EN) DER ANWENDUNG</w:t>
      </w:r>
    </w:p>
    <w:p w14:paraId="74690C00" w14:textId="77777777" w:rsidR="00FE291A" w:rsidRDefault="00FE291A">
      <w:pPr>
        <w:keepNext/>
        <w:rPr>
          <w:sz w:val="22"/>
          <w:szCs w:val="22"/>
          <w:lang w:val="de-DE"/>
        </w:rPr>
      </w:pPr>
    </w:p>
    <w:p w14:paraId="7CFE4DD0" w14:textId="77777777" w:rsidR="00FE291A" w:rsidRDefault="00C8738F">
      <w:pPr>
        <w:rPr>
          <w:sz w:val="22"/>
          <w:szCs w:val="22"/>
          <w:lang w:val="de-DE"/>
        </w:rPr>
      </w:pPr>
      <w:r>
        <w:rPr>
          <w:sz w:val="22"/>
          <w:szCs w:val="22"/>
          <w:lang w:val="de-DE"/>
        </w:rPr>
        <w:t>Zur subkutanen Anwendung.</w:t>
      </w:r>
    </w:p>
    <w:p w14:paraId="42FC2178" w14:textId="77777777" w:rsidR="00FE291A" w:rsidRDefault="00C8738F">
      <w:pPr>
        <w:rPr>
          <w:sz w:val="22"/>
          <w:szCs w:val="22"/>
          <w:lang w:val="de-DE"/>
        </w:rPr>
      </w:pPr>
      <w:r>
        <w:rPr>
          <w:sz w:val="22"/>
          <w:szCs w:val="22"/>
          <w:lang w:val="de-DE"/>
        </w:rPr>
        <w:t>Packungsbeilage beachten.</w:t>
      </w:r>
    </w:p>
    <w:p w14:paraId="5D9CCAA4" w14:textId="77777777" w:rsidR="00FE291A" w:rsidRDefault="00C8738F">
      <w:pPr>
        <w:rPr>
          <w:sz w:val="22"/>
          <w:szCs w:val="22"/>
          <w:lang w:val="de-DE"/>
        </w:rPr>
      </w:pPr>
      <w:r>
        <w:rPr>
          <w:sz w:val="22"/>
          <w:szCs w:val="22"/>
          <w:lang w:val="de-DE"/>
        </w:rPr>
        <w:t>Nur zum Einmalgebrauch.</w:t>
      </w:r>
    </w:p>
    <w:p w14:paraId="6316CB72" w14:textId="77777777" w:rsidR="00FE291A" w:rsidRDefault="00FE291A">
      <w:pPr>
        <w:rPr>
          <w:sz w:val="22"/>
          <w:szCs w:val="22"/>
          <w:lang w:val="de-DE"/>
        </w:rPr>
      </w:pPr>
    </w:p>
    <w:p w14:paraId="7C87B465" w14:textId="77777777" w:rsidR="00FE291A" w:rsidRDefault="00FE291A">
      <w:pPr>
        <w:rPr>
          <w:sz w:val="22"/>
          <w:szCs w:val="22"/>
          <w:lang w:val="de-DE"/>
        </w:rPr>
      </w:pPr>
    </w:p>
    <w:p w14:paraId="7D207AAD" w14:textId="77777777" w:rsidR="00FE291A" w:rsidRDefault="00C8738F">
      <w:pPr>
        <w:keepNext/>
        <w:numPr>
          <w:ilvl w:val="0"/>
          <w:numId w:val="42"/>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WARNHINWEIS, DASS DAS ARZNEIMITTEL FÜR KINDER UNZUGÄNGLICH AUFZUBEWAHREN IST</w:t>
      </w:r>
    </w:p>
    <w:p w14:paraId="620F45F1" w14:textId="77777777" w:rsidR="00FE291A" w:rsidRDefault="00FE291A">
      <w:pPr>
        <w:keepNext/>
        <w:rPr>
          <w:sz w:val="22"/>
          <w:szCs w:val="22"/>
          <w:lang w:val="de-DE"/>
        </w:rPr>
      </w:pPr>
    </w:p>
    <w:p w14:paraId="7EFB1B91" w14:textId="77777777" w:rsidR="00FE291A" w:rsidRDefault="00C8738F">
      <w:pPr>
        <w:outlineLvl w:val="0"/>
        <w:rPr>
          <w:sz w:val="22"/>
          <w:szCs w:val="22"/>
          <w:lang w:val="de-DE"/>
        </w:rPr>
      </w:pPr>
      <w:r>
        <w:rPr>
          <w:sz w:val="22"/>
          <w:szCs w:val="22"/>
          <w:lang w:val="de-DE"/>
        </w:rPr>
        <w:t>Arzneimittel für Kinder unzugänglich aufbewahren.</w:t>
      </w:r>
    </w:p>
    <w:p w14:paraId="025D94E6" w14:textId="77777777" w:rsidR="00FE291A" w:rsidRDefault="00FE291A">
      <w:pPr>
        <w:rPr>
          <w:sz w:val="22"/>
          <w:szCs w:val="22"/>
          <w:lang w:val="de-DE"/>
        </w:rPr>
      </w:pPr>
    </w:p>
    <w:p w14:paraId="5B25DB8C" w14:textId="77777777" w:rsidR="00FE291A" w:rsidRDefault="00FE291A">
      <w:pPr>
        <w:rPr>
          <w:sz w:val="22"/>
          <w:szCs w:val="22"/>
          <w:lang w:val="de-DE"/>
        </w:rPr>
      </w:pPr>
    </w:p>
    <w:p w14:paraId="56647934" w14:textId="77777777" w:rsidR="00FE291A" w:rsidRDefault="00C8738F">
      <w:pPr>
        <w:keepNext/>
        <w:numPr>
          <w:ilvl w:val="0"/>
          <w:numId w:val="42"/>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WEITERE WARNHINWEISE, FALLS ERFORDERLICH</w:t>
      </w:r>
    </w:p>
    <w:p w14:paraId="678AAD95" w14:textId="77777777" w:rsidR="00FE291A" w:rsidRDefault="00FE291A">
      <w:pPr>
        <w:keepNext/>
        <w:rPr>
          <w:sz w:val="22"/>
          <w:szCs w:val="22"/>
          <w:lang w:val="de-DE"/>
        </w:rPr>
      </w:pPr>
    </w:p>
    <w:p w14:paraId="4E322A55" w14:textId="77777777" w:rsidR="00FE291A" w:rsidRDefault="00FE291A">
      <w:pPr>
        <w:tabs>
          <w:tab w:val="left" w:pos="749"/>
        </w:tabs>
        <w:rPr>
          <w:sz w:val="22"/>
          <w:szCs w:val="22"/>
          <w:lang w:val="de-DE"/>
        </w:rPr>
      </w:pPr>
    </w:p>
    <w:p w14:paraId="758EECB9" w14:textId="77777777" w:rsidR="00FE291A" w:rsidRDefault="00C8738F">
      <w:pPr>
        <w:keepNext/>
        <w:numPr>
          <w:ilvl w:val="0"/>
          <w:numId w:val="42"/>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VERFALLDATUM</w:t>
      </w:r>
    </w:p>
    <w:p w14:paraId="071C59FD" w14:textId="77777777" w:rsidR="00FE291A" w:rsidRDefault="00FE291A">
      <w:pPr>
        <w:keepNext/>
        <w:rPr>
          <w:sz w:val="22"/>
          <w:szCs w:val="22"/>
          <w:lang w:val="de-DE"/>
        </w:rPr>
      </w:pPr>
    </w:p>
    <w:p w14:paraId="65B4FE39" w14:textId="77777777" w:rsidR="00FE291A" w:rsidRDefault="00C8738F">
      <w:pPr>
        <w:rPr>
          <w:sz w:val="22"/>
          <w:szCs w:val="22"/>
          <w:lang w:val="de-DE"/>
        </w:rPr>
      </w:pPr>
      <w:r>
        <w:rPr>
          <w:sz w:val="22"/>
          <w:szCs w:val="22"/>
          <w:lang w:val="de-DE"/>
        </w:rPr>
        <w:t>verwendbar bis</w:t>
      </w:r>
    </w:p>
    <w:p w14:paraId="6B89BD33" w14:textId="77777777" w:rsidR="00FE291A" w:rsidRDefault="00FE291A">
      <w:pPr>
        <w:rPr>
          <w:sz w:val="22"/>
          <w:szCs w:val="22"/>
          <w:lang w:val="de-DE"/>
        </w:rPr>
      </w:pPr>
    </w:p>
    <w:p w14:paraId="1E2C4E55" w14:textId="77777777" w:rsidR="00FE291A" w:rsidRDefault="00FE291A">
      <w:pPr>
        <w:rPr>
          <w:sz w:val="22"/>
          <w:szCs w:val="22"/>
          <w:lang w:val="de-DE"/>
        </w:rPr>
      </w:pPr>
    </w:p>
    <w:p w14:paraId="24C5CFA6" w14:textId="77777777" w:rsidR="00FE291A" w:rsidRDefault="00C8738F">
      <w:pPr>
        <w:keepNext/>
        <w:numPr>
          <w:ilvl w:val="0"/>
          <w:numId w:val="42"/>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BESONDERE VORSICHTSMASSNAHMEN FÜR DIE AUFBEWAHRUNG</w:t>
      </w:r>
    </w:p>
    <w:p w14:paraId="53BBD2B1" w14:textId="77777777" w:rsidR="00FE291A" w:rsidRDefault="00FE291A">
      <w:pPr>
        <w:keepNext/>
        <w:rPr>
          <w:sz w:val="22"/>
          <w:szCs w:val="22"/>
          <w:lang w:val="de-DE"/>
        </w:rPr>
      </w:pPr>
    </w:p>
    <w:p w14:paraId="678EC3C3" w14:textId="77777777" w:rsidR="00FE291A" w:rsidRDefault="00C8738F">
      <w:pPr>
        <w:keepNext/>
        <w:ind w:left="567" w:hanging="567"/>
        <w:rPr>
          <w:sz w:val="22"/>
          <w:szCs w:val="22"/>
          <w:lang w:val="de-DE"/>
        </w:rPr>
      </w:pPr>
      <w:r>
        <w:rPr>
          <w:sz w:val="22"/>
          <w:szCs w:val="22"/>
          <w:lang w:val="de-DE"/>
        </w:rPr>
        <w:t>Im Kühlschrank lagern.</w:t>
      </w:r>
    </w:p>
    <w:p w14:paraId="6AF90C85" w14:textId="77777777" w:rsidR="00FE291A" w:rsidRDefault="00C8738F">
      <w:pPr>
        <w:keepNext/>
        <w:ind w:left="567" w:hanging="567"/>
        <w:rPr>
          <w:sz w:val="22"/>
          <w:szCs w:val="22"/>
          <w:lang w:val="de-DE"/>
        </w:rPr>
      </w:pPr>
      <w:r>
        <w:rPr>
          <w:sz w:val="22"/>
          <w:szCs w:val="22"/>
          <w:lang w:val="de-DE"/>
        </w:rPr>
        <w:t>Nicht einfrieren.</w:t>
      </w:r>
    </w:p>
    <w:p w14:paraId="6F622DBE" w14:textId="77777777" w:rsidR="00FE291A" w:rsidRDefault="00C8738F">
      <w:pPr>
        <w:keepNext/>
        <w:ind w:left="567" w:hanging="567"/>
        <w:rPr>
          <w:sz w:val="22"/>
          <w:szCs w:val="22"/>
          <w:lang w:val="de-DE"/>
        </w:rPr>
      </w:pPr>
      <w:r>
        <w:rPr>
          <w:sz w:val="22"/>
          <w:szCs w:val="22"/>
          <w:lang w:val="de-DE"/>
        </w:rPr>
        <w:t>Im Originalkarton aufbewahren, um den Inhalt vor Licht zu schützen.</w:t>
      </w:r>
    </w:p>
    <w:p w14:paraId="2481D3BA" w14:textId="77777777" w:rsidR="00FE291A" w:rsidRDefault="00FE291A">
      <w:pPr>
        <w:ind w:left="567" w:hanging="567"/>
        <w:rPr>
          <w:sz w:val="22"/>
          <w:szCs w:val="22"/>
          <w:lang w:val="de-DE"/>
        </w:rPr>
      </w:pPr>
    </w:p>
    <w:p w14:paraId="23A44A3C" w14:textId="77777777" w:rsidR="00FE291A" w:rsidRDefault="00FE291A">
      <w:pPr>
        <w:ind w:left="567" w:hanging="567"/>
        <w:rPr>
          <w:sz w:val="22"/>
          <w:szCs w:val="22"/>
          <w:lang w:val="de-DE"/>
        </w:rPr>
      </w:pPr>
    </w:p>
    <w:p w14:paraId="70C09418" w14:textId="77777777" w:rsidR="00FE291A" w:rsidRDefault="00C8738F">
      <w:pPr>
        <w:keepNext/>
        <w:numPr>
          <w:ilvl w:val="0"/>
          <w:numId w:val="42"/>
        </w:num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de-DE"/>
        </w:rPr>
      </w:pPr>
      <w:r>
        <w:rPr>
          <w:b/>
          <w:sz w:val="22"/>
          <w:szCs w:val="22"/>
          <w:lang w:val="de-DE"/>
        </w:rPr>
        <w:t>GEGEBENENFALLS BESONDERE VORSICHTSMASSNAHMEN FÜR DIE BESEITIGUNG VON NICHT VERWENDETEM ARZNEIMITTEL ODER DAVON STAMMENDEN ABFALLMATERIALIEN</w:t>
      </w:r>
    </w:p>
    <w:p w14:paraId="26FE54AE" w14:textId="77777777" w:rsidR="00FE291A" w:rsidRDefault="00FE291A">
      <w:pPr>
        <w:rPr>
          <w:sz w:val="22"/>
          <w:szCs w:val="22"/>
          <w:lang w:val="de-DE"/>
        </w:rPr>
      </w:pPr>
    </w:p>
    <w:p w14:paraId="060369B6" w14:textId="77777777" w:rsidR="00FE291A" w:rsidRDefault="00FE291A">
      <w:pPr>
        <w:rPr>
          <w:sz w:val="22"/>
          <w:szCs w:val="22"/>
          <w:lang w:val="de-DE"/>
        </w:rPr>
      </w:pPr>
    </w:p>
    <w:p w14:paraId="4BFB1E11" w14:textId="77777777" w:rsidR="00FE291A" w:rsidRDefault="00C8738F">
      <w:pPr>
        <w:keepNext/>
        <w:numPr>
          <w:ilvl w:val="0"/>
          <w:numId w:val="42"/>
        </w:num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de-DE"/>
        </w:rPr>
      </w:pPr>
      <w:r>
        <w:rPr>
          <w:b/>
          <w:sz w:val="22"/>
          <w:szCs w:val="22"/>
          <w:lang w:val="de-DE"/>
        </w:rPr>
        <w:t>NAME UND ANSCHRIFT DES PHARMAZEUTISCHEN UNTERNEHMERS</w:t>
      </w:r>
    </w:p>
    <w:p w14:paraId="7BBD5FCB" w14:textId="77777777" w:rsidR="00FE291A" w:rsidRDefault="00FE291A">
      <w:pPr>
        <w:rPr>
          <w:sz w:val="22"/>
          <w:szCs w:val="22"/>
          <w:lang w:val="de-DE"/>
        </w:rPr>
      </w:pPr>
    </w:p>
    <w:p w14:paraId="2B10E4FC" w14:textId="77777777" w:rsidR="00FE291A" w:rsidRDefault="00C8738F">
      <w:pPr>
        <w:rPr>
          <w:rFonts w:eastAsia="SimSun"/>
          <w:sz w:val="22"/>
          <w:szCs w:val="22"/>
          <w:lang w:val="de-DE" w:eastAsia="en-GB"/>
        </w:rPr>
      </w:pPr>
      <w:r>
        <w:rPr>
          <w:rFonts w:eastAsia="SimSun"/>
          <w:sz w:val="22"/>
          <w:szCs w:val="22"/>
          <w:lang w:val="de-DE" w:eastAsia="en-GB"/>
        </w:rPr>
        <w:t>Amgen Europe B.V.</w:t>
      </w:r>
    </w:p>
    <w:p w14:paraId="422D634D" w14:textId="77777777" w:rsidR="00FE291A" w:rsidRDefault="00C8738F">
      <w:pPr>
        <w:rPr>
          <w:rFonts w:eastAsia="SimSun"/>
          <w:sz w:val="22"/>
          <w:szCs w:val="22"/>
          <w:lang w:val="de-DE" w:eastAsia="en-GB"/>
        </w:rPr>
      </w:pPr>
      <w:r>
        <w:rPr>
          <w:rFonts w:eastAsia="SimSun"/>
          <w:sz w:val="22"/>
          <w:szCs w:val="22"/>
          <w:lang w:val="de-DE" w:eastAsia="en-GB"/>
        </w:rPr>
        <w:t>Minervum 7061,</w:t>
      </w:r>
    </w:p>
    <w:p w14:paraId="62474CF3" w14:textId="77777777" w:rsidR="00FE291A" w:rsidRDefault="00C8738F">
      <w:pPr>
        <w:rPr>
          <w:rFonts w:eastAsia="SimSun"/>
          <w:sz w:val="22"/>
          <w:szCs w:val="22"/>
          <w:lang w:val="de-DE" w:eastAsia="en-GB"/>
        </w:rPr>
      </w:pPr>
      <w:r>
        <w:rPr>
          <w:rFonts w:eastAsia="SimSun"/>
          <w:sz w:val="22"/>
          <w:szCs w:val="22"/>
          <w:lang w:val="de-DE" w:eastAsia="en-GB"/>
        </w:rPr>
        <w:t>4817 ZK Breda,</w:t>
      </w:r>
    </w:p>
    <w:p w14:paraId="645FE728" w14:textId="77777777" w:rsidR="00FE291A" w:rsidRDefault="00C8738F">
      <w:pPr>
        <w:rPr>
          <w:rFonts w:eastAsia="SimSun"/>
          <w:sz w:val="22"/>
          <w:szCs w:val="22"/>
          <w:lang w:val="de-DE" w:eastAsia="en-GB"/>
        </w:rPr>
      </w:pPr>
      <w:r>
        <w:rPr>
          <w:rFonts w:eastAsia="SimSun"/>
          <w:sz w:val="22"/>
          <w:szCs w:val="22"/>
          <w:lang w:val="de-DE" w:eastAsia="en-GB"/>
        </w:rPr>
        <w:t>Niederlande</w:t>
      </w:r>
    </w:p>
    <w:p w14:paraId="4E33E46A" w14:textId="77777777" w:rsidR="00FE291A" w:rsidRDefault="00FE291A">
      <w:pPr>
        <w:rPr>
          <w:sz w:val="22"/>
          <w:szCs w:val="22"/>
          <w:lang w:val="de-DE"/>
        </w:rPr>
      </w:pPr>
    </w:p>
    <w:p w14:paraId="37CE8C27" w14:textId="77777777" w:rsidR="00FE291A" w:rsidRDefault="00FE291A">
      <w:pPr>
        <w:rPr>
          <w:sz w:val="22"/>
          <w:szCs w:val="22"/>
          <w:lang w:val="de-DE"/>
        </w:rPr>
      </w:pPr>
    </w:p>
    <w:p w14:paraId="09E37F40" w14:textId="77777777" w:rsidR="00FE291A" w:rsidRDefault="00C8738F">
      <w:pPr>
        <w:keepNext/>
        <w:numPr>
          <w:ilvl w:val="0"/>
          <w:numId w:val="42"/>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ZULASSUNGSNUMMER</w:t>
      </w:r>
    </w:p>
    <w:p w14:paraId="77956DDF" w14:textId="77777777" w:rsidR="00FE291A" w:rsidRDefault="00FE291A">
      <w:pPr>
        <w:rPr>
          <w:sz w:val="22"/>
          <w:szCs w:val="22"/>
          <w:lang w:val="de-DE"/>
        </w:rPr>
      </w:pPr>
    </w:p>
    <w:p w14:paraId="3AA509FC" w14:textId="77777777" w:rsidR="00FE291A" w:rsidRDefault="00C8738F">
      <w:pPr>
        <w:outlineLvl w:val="0"/>
        <w:rPr>
          <w:sz w:val="22"/>
          <w:szCs w:val="22"/>
          <w:lang w:val="de-DE"/>
        </w:rPr>
      </w:pPr>
      <w:r>
        <w:rPr>
          <w:sz w:val="22"/>
          <w:szCs w:val="22"/>
          <w:lang w:val="de-DE"/>
        </w:rPr>
        <w:t>EU/1/16/1164/019</w:t>
      </w:r>
    </w:p>
    <w:p w14:paraId="687CD9B1" w14:textId="77777777" w:rsidR="00FE291A" w:rsidRDefault="00FE291A">
      <w:pPr>
        <w:outlineLvl w:val="0"/>
        <w:rPr>
          <w:sz w:val="22"/>
          <w:szCs w:val="22"/>
          <w:lang w:val="de-DE"/>
        </w:rPr>
      </w:pPr>
    </w:p>
    <w:p w14:paraId="18B850A4" w14:textId="77777777" w:rsidR="00FE291A" w:rsidRDefault="00FE291A">
      <w:pPr>
        <w:rPr>
          <w:sz w:val="22"/>
          <w:szCs w:val="22"/>
          <w:lang w:val="de-DE"/>
        </w:rPr>
      </w:pPr>
    </w:p>
    <w:p w14:paraId="71FA6849" w14:textId="77777777" w:rsidR="00FE291A" w:rsidRDefault="00C8738F">
      <w:pPr>
        <w:keepNext/>
        <w:numPr>
          <w:ilvl w:val="0"/>
          <w:numId w:val="42"/>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CHARGENBEZEICHNUNG</w:t>
      </w:r>
    </w:p>
    <w:p w14:paraId="2E7FA804" w14:textId="77777777" w:rsidR="00FE291A" w:rsidRDefault="00FE291A">
      <w:pPr>
        <w:rPr>
          <w:i/>
          <w:sz w:val="22"/>
          <w:szCs w:val="22"/>
          <w:lang w:val="de-DE"/>
        </w:rPr>
      </w:pPr>
    </w:p>
    <w:p w14:paraId="725D5FB7" w14:textId="77777777" w:rsidR="00FE291A" w:rsidRDefault="00C8738F">
      <w:pPr>
        <w:rPr>
          <w:sz w:val="22"/>
          <w:szCs w:val="22"/>
          <w:lang w:val="de-DE"/>
        </w:rPr>
      </w:pPr>
      <w:r>
        <w:rPr>
          <w:sz w:val="22"/>
          <w:szCs w:val="22"/>
          <w:lang w:val="de-DE"/>
        </w:rPr>
        <w:t>Ch.-B.</w:t>
      </w:r>
    </w:p>
    <w:p w14:paraId="032DED84" w14:textId="77777777" w:rsidR="00FE291A" w:rsidRDefault="00FE291A">
      <w:pPr>
        <w:rPr>
          <w:sz w:val="22"/>
          <w:szCs w:val="22"/>
          <w:lang w:val="de-DE"/>
        </w:rPr>
      </w:pPr>
    </w:p>
    <w:p w14:paraId="13FD8226" w14:textId="77777777" w:rsidR="00FE291A" w:rsidRDefault="00FE291A">
      <w:pPr>
        <w:rPr>
          <w:sz w:val="22"/>
          <w:szCs w:val="22"/>
          <w:lang w:val="de-DE"/>
        </w:rPr>
      </w:pPr>
    </w:p>
    <w:p w14:paraId="7F76B130" w14:textId="77777777" w:rsidR="00FE291A" w:rsidRDefault="00C8738F">
      <w:pPr>
        <w:keepNext/>
        <w:numPr>
          <w:ilvl w:val="0"/>
          <w:numId w:val="42"/>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VERKAUFSABGRENZUNG</w:t>
      </w:r>
    </w:p>
    <w:p w14:paraId="077876ED" w14:textId="77777777" w:rsidR="00FE291A" w:rsidRDefault="00FE291A">
      <w:pPr>
        <w:rPr>
          <w:i/>
          <w:sz w:val="22"/>
          <w:szCs w:val="22"/>
          <w:lang w:val="de-DE"/>
        </w:rPr>
      </w:pPr>
    </w:p>
    <w:p w14:paraId="33771892" w14:textId="77777777" w:rsidR="00FE291A" w:rsidRDefault="00FE291A">
      <w:pPr>
        <w:rPr>
          <w:sz w:val="22"/>
          <w:szCs w:val="22"/>
          <w:lang w:val="de-DE"/>
        </w:rPr>
      </w:pPr>
    </w:p>
    <w:p w14:paraId="7AF674E6" w14:textId="77777777" w:rsidR="00FE291A" w:rsidRDefault="00C8738F">
      <w:pPr>
        <w:keepNext/>
        <w:numPr>
          <w:ilvl w:val="0"/>
          <w:numId w:val="42"/>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HINWEISE FÜR DEN GEBRAUCH</w:t>
      </w:r>
    </w:p>
    <w:p w14:paraId="5BEF8FEB" w14:textId="77777777" w:rsidR="00FE291A" w:rsidRDefault="00FE291A">
      <w:pPr>
        <w:rPr>
          <w:sz w:val="22"/>
          <w:szCs w:val="22"/>
          <w:lang w:val="de-DE"/>
        </w:rPr>
      </w:pPr>
    </w:p>
    <w:p w14:paraId="107107A9" w14:textId="77777777" w:rsidR="00FE291A" w:rsidRDefault="00FE291A">
      <w:pPr>
        <w:rPr>
          <w:sz w:val="22"/>
          <w:szCs w:val="22"/>
          <w:lang w:val="de-DE"/>
        </w:rPr>
      </w:pPr>
    </w:p>
    <w:p w14:paraId="5B3F9757" w14:textId="77777777" w:rsidR="00FE291A" w:rsidRDefault="00C8738F">
      <w:pPr>
        <w:keepNext/>
        <w:numPr>
          <w:ilvl w:val="0"/>
          <w:numId w:val="42"/>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ANGABEN IN BLINDENSCHRIFT</w:t>
      </w:r>
    </w:p>
    <w:p w14:paraId="319DC03E" w14:textId="77777777" w:rsidR="00FE291A" w:rsidRDefault="00FE291A">
      <w:pPr>
        <w:rPr>
          <w:sz w:val="22"/>
          <w:szCs w:val="22"/>
          <w:lang w:val="de-DE"/>
        </w:rPr>
      </w:pPr>
    </w:p>
    <w:p w14:paraId="0BE4E9FC" w14:textId="77777777" w:rsidR="00FE291A" w:rsidRDefault="00C8738F">
      <w:pPr>
        <w:rPr>
          <w:sz w:val="22"/>
          <w:szCs w:val="22"/>
          <w:shd w:val="clear" w:color="auto" w:fill="CCCCCC"/>
          <w:lang w:val="de-DE"/>
        </w:rPr>
      </w:pPr>
      <w:r>
        <w:rPr>
          <w:sz w:val="22"/>
          <w:szCs w:val="22"/>
          <w:lang w:val="de-DE"/>
        </w:rPr>
        <w:t>AMGEVITA 80 mg/0,8 ml Spritze</w:t>
      </w:r>
    </w:p>
    <w:p w14:paraId="67F12BC1" w14:textId="77777777" w:rsidR="00FE291A" w:rsidRDefault="00FE291A">
      <w:pPr>
        <w:rPr>
          <w:sz w:val="22"/>
          <w:szCs w:val="22"/>
          <w:shd w:val="clear" w:color="auto" w:fill="CCCCCC"/>
          <w:lang w:val="de-DE"/>
        </w:rPr>
      </w:pPr>
    </w:p>
    <w:p w14:paraId="2A2888B2" w14:textId="77777777" w:rsidR="00FE291A" w:rsidRDefault="00FE291A">
      <w:pPr>
        <w:rPr>
          <w:sz w:val="22"/>
          <w:szCs w:val="22"/>
          <w:shd w:val="clear" w:color="auto" w:fill="CCCCCC"/>
          <w:lang w:val="de-DE"/>
        </w:rPr>
      </w:pPr>
    </w:p>
    <w:p w14:paraId="7010D89F" w14:textId="77777777" w:rsidR="00FE291A" w:rsidRDefault="00C8738F">
      <w:pPr>
        <w:pBdr>
          <w:top w:val="single" w:sz="4" w:space="1" w:color="auto"/>
          <w:left w:val="single" w:sz="4" w:space="4" w:color="auto"/>
          <w:bottom w:val="single" w:sz="4" w:space="0" w:color="auto"/>
          <w:right w:val="single" w:sz="4" w:space="4" w:color="auto"/>
        </w:pBdr>
        <w:ind w:left="567" w:hanging="567"/>
        <w:rPr>
          <w:i/>
          <w:sz w:val="22"/>
          <w:szCs w:val="22"/>
          <w:lang w:val="de-DE"/>
        </w:rPr>
      </w:pPr>
      <w:r>
        <w:rPr>
          <w:b/>
          <w:sz w:val="22"/>
          <w:szCs w:val="22"/>
          <w:lang w:val="de-DE"/>
        </w:rPr>
        <w:t>17.</w:t>
      </w:r>
      <w:r>
        <w:rPr>
          <w:b/>
          <w:sz w:val="22"/>
          <w:szCs w:val="22"/>
          <w:lang w:val="de-DE"/>
        </w:rPr>
        <w:tab/>
        <w:t>INDIVIDUELLES ERKENNUNGSMERKMAL – 2D-BARCODE</w:t>
      </w:r>
    </w:p>
    <w:p w14:paraId="5153424C" w14:textId="77777777" w:rsidR="00FE291A" w:rsidRDefault="00FE291A">
      <w:pPr>
        <w:rPr>
          <w:sz w:val="22"/>
          <w:szCs w:val="22"/>
          <w:lang w:val="de-DE"/>
        </w:rPr>
      </w:pPr>
    </w:p>
    <w:p w14:paraId="0223453D" w14:textId="77777777" w:rsidR="00FE291A" w:rsidRDefault="00FE291A">
      <w:pPr>
        <w:rPr>
          <w:sz w:val="22"/>
          <w:szCs w:val="22"/>
          <w:lang w:val="de-DE"/>
        </w:rPr>
      </w:pPr>
    </w:p>
    <w:p w14:paraId="1E23F0A8" w14:textId="77777777" w:rsidR="00FE291A" w:rsidRDefault="00C8738F">
      <w:pPr>
        <w:pBdr>
          <w:top w:val="single" w:sz="4" w:space="1" w:color="auto"/>
          <w:left w:val="single" w:sz="4" w:space="4" w:color="auto"/>
          <w:bottom w:val="single" w:sz="4" w:space="0" w:color="auto"/>
          <w:right w:val="single" w:sz="4" w:space="4" w:color="auto"/>
        </w:pBdr>
        <w:ind w:left="567" w:hanging="567"/>
        <w:rPr>
          <w:i/>
          <w:sz w:val="22"/>
          <w:szCs w:val="22"/>
          <w:lang w:val="de-DE"/>
        </w:rPr>
      </w:pPr>
      <w:r>
        <w:rPr>
          <w:b/>
          <w:sz w:val="22"/>
          <w:szCs w:val="22"/>
          <w:lang w:val="de-DE"/>
        </w:rPr>
        <w:t>18.</w:t>
      </w:r>
      <w:r>
        <w:rPr>
          <w:b/>
          <w:sz w:val="22"/>
          <w:szCs w:val="22"/>
          <w:lang w:val="de-DE"/>
        </w:rPr>
        <w:tab/>
        <w:t>INDIVIDUELLES ERKENNUNGSMERKMAL – VOM MENSCHEN LESBARES FORMAT</w:t>
      </w:r>
    </w:p>
    <w:p w14:paraId="63D4190D" w14:textId="77777777" w:rsidR="00FE291A" w:rsidRDefault="00FE291A">
      <w:pPr>
        <w:rPr>
          <w:shd w:val="clear" w:color="auto" w:fill="CCCCCC"/>
          <w:lang w:val="de-DE"/>
        </w:rPr>
      </w:pPr>
    </w:p>
    <w:p w14:paraId="5AD1E528" w14:textId="77777777" w:rsidR="00FE291A" w:rsidRDefault="00FE291A">
      <w:pPr>
        <w:rPr>
          <w:shd w:val="clear" w:color="auto" w:fill="CCCCCC"/>
          <w:lang w:val="de-DE"/>
        </w:rPr>
      </w:pPr>
    </w:p>
    <w:p w14:paraId="41511CC7" w14:textId="77777777" w:rsidR="00FE291A" w:rsidRDefault="00C8738F">
      <w:pPr>
        <w:widowControl/>
        <w:pBdr>
          <w:top w:val="single" w:sz="4" w:space="1" w:color="auto"/>
          <w:left w:val="single" w:sz="4" w:space="4" w:color="auto"/>
          <w:bottom w:val="single" w:sz="4" w:space="1" w:color="auto"/>
          <w:right w:val="single" w:sz="4" w:space="4" w:color="auto"/>
        </w:pBdr>
        <w:autoSpaceDE/>
        <w:autoSpaceDN/>
        <w:adjustRightInd/>
        <w:rPr>
          <w:b/>
          <w:sz w:val="22"/>
          <w:szCs w:val="22"/>
          <w:lang w:val="de-DE"/>
        </w:rPr>
      </w:pPr>
      <w:r>
        <w:rPr>
          <w:b/>
          <w:sz w:val="22"/>
          <w:szCs w:val="22"/>
          <w:lang w:val="de-DE"/>
        </w:rPr>
        <w:br w:type="page"/>
        <w:t>MINDESTANGABEN AUF KLEINEN BEHÄLTNISSEN</w:t>
      </w:r>
    </w:p>
    <w:p w14:paraId="5FC9D1B0" w14:textId="77777777" w:rsidR="00FE291A" w:rsidRDefault="00FE291A">
      <w:pPr>
        <w:widowControl/>
        <w:pBdr>
          <w:top w:val="single" w:sz="4" w:space="1" w:color="auto"/>
          <w:left w:val="single" w:sz="4" w:space="4" w:color="auto"/>
          <w:bottom w:val="single" w:sz="4" w:space="1" w:color="auto"/>
          <w:right w:val="single" w:sz="4" w:space="4" w:color="auto"/>
        </w:pBdr>
        <w:rPr>
          <w:b/>
          <w:sz w:val="22"/>
          <w:szCs w:val="22"/>
          <w:lang w:val="de-DE"/>
        </w:rPr>
      </w:pPr>
    </w:p>
    <w:p w14:paraId="5C7E2D25" w14:textId="77777777" w:rsidR="00FE291A" w:rsidRDefault="00C8738F">
      <w:pPr>
        <w:widowControl/>
        <w:pBdr>
          <w:top w:val="single" w:sz="4" w:space="1" w:color="auto"/>
          <w:left w:val="single" w:sz="4" w:space="4" w:color="auto"/>
          <w:bottom w:val="single" w:sz="4" w:space="1" w:color="auto"/>
          <w:right w:val="single" w:sz="4" w:space="4" w:color="auto"/>
        </w:pBdr>
        <w:rPr>
          <w:b/>
          <w:sz w:val="22"/>
          <w:szCs w:val="22"/>
          <w:lang w:val="de-DE"/>
        </w:rPr>
      </w:pPr>
      <w:r>
        <w:rPr>
          <w:b/>
          <w:sz w:val="22"/>
          <w:szCs w:val="22"/>
          <w:lang w:val="de-DE"/>
        </w:rPr>
        <w:t>ETIKETT DER SPRITZE</w:t>
      </w:r>
    </w:p>
    <w:p w14:paraId="6F96C6F8" w14:textId="77777777" w:rsidR="00FE291A" w:rsidRDefault="00FE291A">
      <w:pPr>
        <w:widowControl/>
        <w:rPr>
          <w:sz w:val="22"/>
          <w:szCs w:val="22"/>
          <w:lang w:val="de-DE"/>
        </w:rPr>
      </w:pPr>
    </w:p>
    <w:p w14:paraId="065C12D5" w14:textId="77777777" w:rsidR="00FE291A" w:rsidRDefault="00FE291A">
      <w:pPr>
        <w:widowControl/>
        <w:rPr>
          <w:sz w:val="22"/>
          <w:szCs w:val="22"/>
          <w:lang w:val="de-DE"/>
        </w:rPr>
      </w:pPr>
    </w:p>
    <w:p w14:paraId="154B16E0" w14:textId="77777777" w:rsidR="00FE291A" w:rsidRDefault="00C8738F">
      <w:pPr>
        <w:widowControl/>
        <w:numPr>
          <w:ilvl w:val="0"/>
          <w:numId w:val="43"/>
        </w:numPr>
        <w:pBdr>
          <w:top w:val="single" w:sz="4" w:space="1" w:color="auto"/>
          <w:left w:val="single" w:sz="4" w:space="4" w:color="auto"/>
          <w:bottom w:val="single" w:sz="4" w:space="1" w:color="auto"/>
          <w:right w:val="single" w:sz="4" w:space="4" w:color="auto"/>
        </w:pBdr>
        <w:tabs>
          <w:tab w:val="left" w:pos="567"/>
        </w:tabs>
        <w:autoSpaceDE/>
        <w:autoSpaceDN/>
        <w:adjustRightInd/>
        <w:ind w:hanging="930"/>
        <w:outlineLvl w:val="0"/>
        <w:rPr>
          <w:b/>
          <w:sz w:val="22"/>
          <w:szCs w:val="22"/>
          <w:lang w:val="de-DE"/>
        </w:rPr>
      </w:pPr>
      <w:r>
        <w:rPr>
          <w:b/>
          <w:sz w:val="22"/>
          <w:szCs w:val="22"/>
          <w:lang w:val="de-DE"/>
        </w:rPr>
        <w:t>BEZEICHNUNG DES ARZNEIMITTELS SOWIE ART(EN) DER ANWENDUNG</w:t>
      </w:r>
    </w:p>
    <w:p w14:paraId="7CB94A44" w14:textId="77777777" w:rsidR="00FE291A" w:rsidRDefault="00FE291A">
      <w:pPr>
        <w:widowControl/>
        <w:ind w:left="567" w:hanging="567"/>
        <w:rPr>
          <w:sz w:val="22"/>
          <w:szCs w:val="22"/>
          <w:lang w:val="de-DE"/>
        </w:rPr>
      </w:pPr>
    </w:p>
    <w:p w14:paraId="6B630A10" w14:textId="77777777" w:rsidR="00FE291A" w:rsidRPr="00C85130" w:rsidRDefault="00C8738F">
      <w:pPr>
        <w:widowControl/>
        <w:rPr>
          <w:sz w:val="22"/>
          <w:szCs w:val="22"/>
          <w:lang w:val="de-DE"/>
          <w:rPrChange w:id="107" w:author="Author">
            <w:rPr>
              <w:sz w:val="22"/>
              <w:szCs w:val="22"/>
              <w:lang w:val="es-ES"/>
            </w:rPr>
          </w:rPrChange>
        </w:rPr>
      </w:pPr>
      <w:r w:rsidRPr="00C85130">
        <w:rPr>
          <w:sz w:val="22"/>
          <w:szCs w:val="22"/>
          <w:lang w:val="de-DE"/>
          <w:rPrChange w:id="108" w:author="Author">
            <w:rPr>
              <w:sz w:val="22"/>
              <w:szCs w:val="22"/>
              <w:lang w:val="es-ES"/>
            </w:rPr>
          </w:rPrChange>
        </w:rPr>
        <w:t>AMGEVITA 80 mg Injektion</w:t>
      </w:r>
    </w:p>
    <w:p w14:paraId="5185EF4A" w14:textId="77777777" w:rsidR="00FE291A" w:rsidRPr="00C85130" w:rsidRDefault="00C8738F">
      <w:pPr>
        <w:widowControl/>
        <w:rPr>
          <w:sz w:val="22"/>
          <w:szCs w:val="22"/>
          <w:lang w:val="de-DE"/>
          <w:rPrChange w:id="109" w:author="Author">
            <w:rPr>
              <w:sz w:val="22"/>
              <w:szCs w:val="22"/>
              <w:lang w:val="es-ES"/>
            </w:rPr>
          </w:rPrChange>
        </w:rPr>
      </w:pPr>
      <w:r w:rsidRPr="00C85130">
        <w:rPr>
          <w:sz w:val="22"/>
          <w:szCs w:val="22"/>
          <w:lang w:val="de-DE"/>
          <w:rPrChange w:id="110" w:author="Author">
            <w:rPr>
              <w:sz w:val="22"/>
              <w:szCs w:val="22"/>
              <w:lang w:val="es-ES"/>
            </w:rPr>
          </w:rPrChange>
        </w:rPr>
        <w:t>Adalimumab</w:t>
      </w:r>
    </w:p>
    <w:p w14:paraId="1A39BDE1" w14:textId="77777777" w:rsidR="00FE291A" w:rsidRPr="00C85130" w:rsidRDefault="00C8738F">
      <w:pPr>
        <w:widowControl/>
        <w:rPr>
          <w:sz w:val="22"/>
          <w:szCs w:val="22"/>
          <w:lang w:val="de-DE"/>
          <w:rPrChange w:id="111" w:author="Author">
            <w:rPr>
              <w:sz w:val="22"/>
              <w:szCs w:val="22"/>
              <w:lang w:val="es-ES"/>
            </w:rPr>
          </w:rPrChange>
        </w:rPr>
      </w:pPr>
      <w:r w:rsidRPr="00C85130">
        <w:rPr>
          <w:sz w:val="22"/>
          <w:szCs w:val="22"/>
          <w:lang w:val="de-DE"/>
          <w:rPrChange w:id="112" w:author="Author">
            <w:rPr>
              <w:sz w:val="22"/>
              <w:szCs w:val="22"/>
              <w:lang w:val="es-ES"/>
            </w:rPr>
          </w:rPrChange>
        </w:rPr>
        <w:t>s.c.</w:t>
      </w:r>
    </w:p>
    <w:p w14:paraId="34362BF8" w14:textId="77777777" w:rsidR="00FE291A" w:rsidRPr="00C85130" w:rsidRDefault="00FE291A">
      <w:pPr>
        <w:widowControl/>
        <w:rPr>
          <w:sz w:val="22"/>
          <w:szCs w:val="22"/>
          <w:lang w:val="de-DE"/>
          <w:rPrChange w:id="113" w:author="Author">
            <w:rPr>
              <w:sz w:val="22"/>
              <w:szCs w:val="22"/>
              <w:lang w:val="es-ES"/>
            </w:rPr>
          </w:rPrChange>
        </w:rPr>
      </w:pPr>
    </w:p>
    <w:p w14:paraId="1D418AA9" w14:textId="77777777" w:rsidR="00FE291A" w:rsidRPr="00C85130" w:rsidRDefault="00FE291A">
      <w:pPr>
        <w:widowControl/>
        <w:rPr>
          <w:sz w:val="22"/>
          <w:szCs w:val="22"/>
          <w:lang w:val="de-DE"/>
          <w:rPrChange w:id="114" w:author="Author">
            <w:rPr>
              <w:sz w:val="22"/>
              <w:szCs w:val="22"/>
              <w:lang w:val="es-ES"/>
            </w:rPr>
          </w:rPrChange>
        </w:rPr>
      </w:pPr>
    </w:p>
    <w:p w14:paraId="76712665" w14:textId="77777777" w:rsidR="00FE291A" w:rsidRDefault="00C8738F">
      <w:pPr>
        <w:widowControl/>
        <w:numPr>
          <w:ilvl w:val="0"/>
          <w:numId w:val="43"/>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HINWEISE ZUR ANWENDUNG</w:t>
      </w:r>
    </w:p>
    <w:p w14:paraId="6DDAE8F3" w14:textId="77777777" w:rsidR="00FE291A" w:rsidRDefault="00FE291A">
      <w:pPr>
        <w:widowControl/>
        <w:rPr>
          <w:sz w:val="22"/>
          <w:szCs w:val="22"/>
          <w:lang w:val="de-DE"/>
        </w:rPr>
      </w:pPr>
    </w:p>
    <w:p w14:paraId="0227A0A7" w14:textId="77777777" w:rsidR="00FE291A" w:rsidRDefault="00FE291A">
      <w:pPr>
        <w:widowControl/>
        <w:rPr>
          <w:sz w:val="22"/>
          <w:szCs w:val="22"/>
          <w:lang w:val="de-DE"/>
        </w:rPr>
      </w:pPr>
    </w:p>
    <w:p w14:paraId="454AC936" w14:textId="77777777" w:rsidR="00FE291A" w:rsidRDefault="00C8738F">
      <w:pPr>
        <w:widowControl/>
        <w:numPr>
          <w:ilvl w:val="0"/>
          <w:numId w:val="43"/>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VERFALLDATUM</w:t>
      </w:r>
    </w:p>
    <w:p w14:paraId="6115EC57" w14:textId="77777777" w:rsidR="00FE291A" w:rsidRDefault="00FE291A">
      <w:pPr>
        <w:widowControl/>
        <w:rPr>
          <w:sz w:val="22"/>
          <w:szCs w:val="22"/>
          <w:lang w:val="de-DE"/>
        </w:rPr>
      </w:pPr>
    </w:p>
    <w:p w14:paraId="2118C0A4" w14:textId="77777777" w:rsidR="00FE291A" w:rsidRDefault="00C8738F">
      <w:pPr>
        <w:widowControl/>
        <w:rPr>
          <w:sz w:val="22"/>
          <w:szCs w:val="22"/>
          <w:lang w:val="de-DE"/>
        </w:rPr>
      </w:pPr>
      <w:r>
        <w:rPr>
          <w:sz w:val="22"/>
          <w:szCs w:val="22"/>
          <w:lang w:val="de-DE"/>
        </w:rPr>
        <w:t>EXP</w:t>
      </w:r>
    </w:p>
    <w:p w14:paraId="4DA310CB" w14:textId="77777777" w:rsidR="00FE291A" w:rsidRDefault="00FE291A">
      <w:pPr>
        <w:widowControl/>
        <w:rPr>
          <w:sz w:val="22"/>
          <w:szCs w:val="22"/>
          <w:lang w:val="de-DE"/>
        </w:rPr>
      </w:pPr>
    </w:p>
    <w:p w14:paraId="03C824F3" w14:textId="77777777" w:rsidR="00FE291A" w:rsidRDefault="00FE291A">
      <w:pPr>
        <w:widowControl/>
        <w:rPr>
          <w:sz w:val="22"/>
          <w:szCs w:val="22"/>
          <w:lang w:val="de-DE"/>
        </w:rPr>
      </w:pPr>
    </w:p>
    <w:p w14:paraId="303E32A7" w14:textId="77777777" w:rsidR="00FE291A" w:rsidRDefault="00C8738F">
      <w:pPr>
        <w:widowControl/>
        <w:numPr>
          <w:ilvl w:val="0"/>
          <w:numId w:val="43"/>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CHARGENBEZEICHNUNG</w:t>
      </w:r>
    </w:p>
    <w:p w14:paraId="5D2A093B" w14:textId="77777777" w:rsidR="00FE291A" w:rsidRDefault="00FE291A">
      <w:pPr>
        <w:widowControl/>
        <w:ind w:right="113"/>
        <w:rPr>
          <w:sz w:val="22"/>
          <w:szCs w:val="22"/>
          <w:lang w:val="de-DE"/>
        </w:rPr>
      </w:pPr>
    </w:p>
    <w:p w14:paraId="30B11119" w14:textId="77777777" w:rsidR="00FE291A" w:rsidRDefault="00C8738F">
      <w:pPr>
        <w:widowControl/>
        <w:ind w:right="113"/>
        <w:rPr>
          <w:sz w:val="22"/>
          <w:szCs w:val="22"/>
          <w:lang w:val="de-DE"/>
        </w:rPr>
      </w:pPr>
      <w:r>
        <w:rPr>
          <w:sz w:val="22"/>
          <w:szCs w:val="22"/>
          <w:lang w:val="de-DE"/>
        </w:rPr>
        <w:t>Lot</w:t>
      </w:r>
    </w:p>
    <w:p w14:paraId="13E9BECE" w14:textId="77777777" w:rsidR="00FE291A" w:rsidRDefault="00FE291A">
      <w:pPr>
        <w:widowControl/>
        <w:ind w:right="113"/>
        <w:rPr>
          <w:sz w:val="22"/>
          <w:szCs w:val="22"/>
          <w:lang w:val="de-DE"/>
        </w:rPr>
      </w:pPr>
    </w:p>
    <w:p w14:paraId="0949ACB2" w14:textId="77777777" w:rsidR="00FE291A" w:rsidRDefault="00FE291A">
      <w:pPr>
        <w:widowControl/>
        <w:ind w:right="113"/>
        <w:rPr>
          <w:sz w:val="22"/>
          <w:szCs w:val="22"/>
          <w:lang w:val="de-DE"/>
        </w:rPr>
      </w:pPr>
    </w:p>
    <w:p w14:paraId="6A72E38E" w14:textId="77777777" w:rsidR="00FE291A" w:rsidRDefault="00C8738F">
      <w:pPr>
        <w:widowControl/>
        <w:numPr>
          <w:ilvl w:val="0"/>
          <w:numId w:val="43"/>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INHALT NACH GEWICHT, VOLUMEN ODER EINHEITEN</w:t>
      </w:r>
    </w:p>
    <w:p w14:paraId="5490B5F2" w14:textId="77777777" w:rsidR="00FE291A" w:rsidRDefault="00FE291A">
      <w:pPr>
        <w:widowControl/>
        <w:ind w:right="113"/>
        <w:rPr>
          <w:sz w:val="22"/>
          <w:szCs w:val="22"/>
          <w:lang w:val="de-DE"/>
        </w:rPr>
      </w:pPr>
    </w:p>
    <w:p w14:paraId="4EA0EC51" w14:textId="77777777" w:rsidR="00FE291A" w:rsidRDefault="00C8738F">
      <w:pPr>
        <w:widowControl/>
        <w:ind w:right="113"/>
        <w:rPr>
          <w:sz w:val="22"/>
          <w:szCs w:val="22"/>
          <w:lang w:val="de-DE"/>
        </w:rPr>
      </w:pPr>
      <w:r>
        <w:rPr>
          <w:sz w:val="22"/>
          <w:szCs w:val="22"/>
          <w:lang w:val="de-DE"/>
        </w:rPr>
        <w:t>0,8 ml</w:t>
      </w:r>
    </w:p>
    <w:p w14:paraId="0E96AC61" w14:textId="77777777" w:rsidR="00FE291A" w:rsidRDefault="00FE291A">
      <w:pPr>
        <w:widowControl/>
        <w:ind w:right="113"/>
        <w:rPr>
          <w:sz w:val="22"/>
          <w:szCs w:val="22"/>
          <w:lang w:val="de-DE"/>
        </w:rPr>
      </w:pPr>
    </w:p>
    <w:p w14:paraId="455FCD9E" w14:textId="77777777" w:rsidR="00FE291A" w:rsidRDefault="00FE291A">
      <w:pPr>
        <w:widowControl/>
        <w:ind w:right="113"/>
        <w:rPr>
          <w:sz w:val="22"/>
          <w:szCs w:val="22"/>
          <w:lang w:val="de-DE"/>
        </w:rPr>
      </w:pPr>
    </w:p>
    <w:p w14:paraId="07601213" w14:textId="77777777" w:rsidR="00FE291A" w:rsidRDefault="00C8738F">
      <w:pPr>
        <w:widowControl/>
        <w:numPr>
          <w:ilvl w:val="0"/>
          <w:numId w:val="43"/>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szCs w:val="22"/>
          <w:lang w:val="de-DE"/>
        </w:rPr>
      </w:pPr>
      <w:r>
        <w:rPr>
          <w:b/>
          <w:sz w:val="22"/>
          <w:szCs w:val="22"/>
          <w:lang w:val="de-DE"/>
        </w:rPr>
        <w:t>WEITERE ANGABEN</w:t>
      </w:r>
    </w:p>
    <w:p w14:paraId="0BA2170E" w14:textId="77777777" w:rsidR="00FE291A" w:rsidRDefault="00FE291A">
      <w:pPr>
        <w:widowControl/>
        <w:ind w:right="113"/>
        <w:rPr>
          <w:sz w:val="22"/>
          <w:szCs w:val="22"/>
          <w:lang w:val="de-DE"/>
        </w:rPr>
      </w:pPr>
    </w:p>
    <w:p w14:paraId="645B37BF" w14:textId="77777777" w:rsidR="00FE291A" w:rsidRDefault="00FE291A">
      <w:pPr>
        <w:widowControl/>
        <w:ind w:right="113"/>
        <w:rPr>
          <w:sz w:val="22"/>
          <w:szCs w:val="22"/>
          <w:lang w:val="de-DE"/>
        </w:rPr>
      </w:pPr>
    </w:p>
    <w:p w14:paraId="1A76750D" w14:textId="77777777" w:rsidR="00FE291A" w:rsidRDefault="00C8738F">
      <w:pPr>
        <w:widowControl/>
        <w:pBdr>
          <w:top w:val="single" w:sz="4" w:space="1" w:color="auto"/>
          <w:left w:val="single" w:sz="4" w:space="4" w:color="auto"/>
          <w:bottom w:val="single" w:sz="4" w:space="1" w:color="auto"/>
          <w:right w:val="single" w:sz="4" w:space="4" w:color="auto"/>
        </w:pBdr>
        <w:outlineLvl w:val="0"/>
        <w:rPr>
          <w:b/>
          <w:sz w:val="22"/>
          <w:szCs w:val="22"/>
          <w:lang w:val="de-DE"/>
        </w:rPr>
      </w:pPr>
      <w:r>
        <w:rPr>
          <w:sz w:val="22"/>
          <w:szCs w:val="22"/>
          <w:lang w:val="de-DE"/>
        </w:rPr>
        <w:br w:type="page"/>
      </w:r>
      <w:r>
        <w:rPr>
          <w:b/>
          <w:sz w:val="22"/>
          <w:szCs w:val="22"/>
          <w:lang w:val="de-DE"/>
        </w:rPr>
        <w:t>ANGABEN AUF DER ÄUSSEREN UMHÜLLUNG</w:t>
      </w:r>
    </w:p>
    <w:p w14:paraId="4D754552" w14:textId="77777777" w:rsidR="00FE291A" w:rsidRDefault="00FE291A">
      <w:pPr>
        <w:widowControl/>
        <w:pBdr>
          <w:top w:val="single" w:sz="4" w:space="1" w:color="auto"/>
          <w:left w:val="single" w:sz="4" w:space="4" w:color="auto"/>
          <w:bottom w:val="single" w:sz="4" w:space="1" w:color="auto"/>
          <w:right w:val="single" w:sz="4" w:space="4" w:color="auto"/>
        </w:pBdr>
        <w:ind w:left="567" w:hanging="567"/>
        <w:rPr>
          <w:sz w:val="22"/>
          <w:szCs w:val="22"/>
          <w:lang w:val="de-DE"/>
        </w:rPr>
      </w:pPr>
    </w:p>
    <w:p w14:paraId="26F12D36" w14:textId="77777777" w:rsidR="00FE291A" w:rsidRDefault="00C8738F">
      <w:pPr>
        <w:widowControl/>
        <w:pBdr>
          <w:top w:val="single" w:sz="4" w:space="1" w:color="auto"/>
          <w:left w:val="single" w:sz="4" w:space="4" w:color="auto"/>
          <w:bottom w:val="single" w:sz="4" w:space="1" w:color="auto"/>
          <w:right w:val="single" w:sz="4" w:space="4" w:color="auto"/>
        </w:pBdr>
        <w:rPr>
          <w:sz w:val="22"/>
          <w:szCs w:val="22"/>
          <w:lang w:val="de-DE"/>
        </w:rPr>
      </w:pPr>
      <w:r>
        <w:rPr>
          <w:b/>
          <w:sz w:val="22"/>
          <w:szCs w:val="22"/>
          <w:lang w:val="de-DE"/>
        </w:rPr>
        <w:t>KARTON FÜR DEN FERTIGPEN</w:t>
      </w:r>
    </w:p>
    <w:p w14:paraId="0D6042F7" w14:textId="77777777" w:rsidR="00FE291A" w:rsidRDefault="00FE291A">
      <w:pPr>
        <w:widowControl/>
        <w:rPr>
          <w:sz w:val="22"/>
          <w:szCs w:val="22"/>
          <w:lang w:val="de-DE"/>
        </w:rPr>
      </w:pPr>
    </w:p>
    <w:p w14:paraId="40F5C91C" w14:textId="77777777" w:rsidR="00FE291A" w:rsidRDefault="00FE291A">
      <w:pPr>
        <w:widowControl/>
        <w:rPr>
          <w:sz w:val="22"/>
          <w:szCs w:val="22"/>
          <w:lang w:val="de-DE"/>
        </w:rPr>
      </w:pPr>
    </w:p>
    <w:p w14:paraId="303106AC" w14:textId="77777777" w:rsidR="00FE291A" w:rsidRDefault="00C8738F">
      <w:pPr>
        <w:keepNext/>
        <w:widowControl/>
        <w:numPr>
          <w:ilvl w:val="0"/>
          <w:numId w:val="44"/>
        </w:numPr>
        <w:pBdr>
          <w:top w:val="single" w:sz="4" w:space="1" w:color="auto"/>
          <w:left w:val="single" w:sz="4" w:space="4" w:color="auto"/>
          <w:bottom w:val="single" w:sz="4" w:space="1" w:color="auto"/>
          <w:right w:val="single" w:sz="4" w:space="4" w:color="auto"/>
        </w:pBdr>
        <w:tabs>
          <w:tab w:val="left" w:pos="567"/>
        </w:tabs>
        <w:autoSpaceDE/>
        <w:autoSpaceDN/>
        <w:adjustRightInd/>
        <w:ind w:hanging="1650"/>
        <w:outlineLvl w:val="0"/>
        <w:rPr>
          <w:sz w:val="22"/>
          <w:szCs w:val="22"/>
          <w:lang w:val="de-DE"/>
        </w:rPr>
      </w:pPr>
      <w:r>
        <w:rPr>
          <w:b/>
          <w:sz w:val="22"/>
          <w:szCs w:val="22"/>
          <w:lang w:val="de-DE"/>
        </w:rPr>
        <w:t>BEZEICHNUNG DES ARZNEIMITTELS</w:t>
      </w:r>
    </w:p>
    <w:p w14:paraId="63D9C39B" w14:textId="77777777" w:rsidR="00FE291A" w:rsidRDefault="00FE291A">
      <w:pPr>
        <w:keepNext/>
        <w:widowControl/>
        <w:rPr>
          <w:sz w:val="22"/>
          <w:szCs w:val="22"/>
          <w:lang w:val="de-DE"/>
        </w:rPr>
      </w:pPr>
    </w:p>
    <w:p w14:paraId="34320A52" w14:textId="77777777" w:rsidR="00FE291A" w:rsidRDefault="00C8738F">
      <w:pPr>
        <w:widowControl/>
        <w:rPr>
          <w:sz w:val="22"/>
          <w:szCs w:val="22"/>
          <w:lang w:val="de-DE"/>
        </w:rPr>
      </w:pPr>
      <w:r>
        <w:rPr>
          <w:sz w:val="22"/>
          <w:szCs w:val="22"/>
          <w:lang w:val="de-DE"/>
        </w:rPr>
        <w:t>AMGEVITA 80 mg Injektionslösung im Fertigpen</w:t>
      </w:r>
    </w:p>
    <w:p w14:paraId="7EC2ACAC" w14:textId="77777777" w:rsidR="00FE291A" w:rsidRDefault="00C8738F">
      <w:pPr>
        <w:widowControl/>
        <w:rPr>
          <w:b/>
          <w:sz w:val="22"/>
          <w:szCs w:val="22"/>
          <w:lang w:val="de-DE"/>
        </w:rPr>
      </w:pPr>
      <w:r>
        <w:rPr>
          <w:sz w:val="22"/>
          <w:szCs w:val="22"/>
          <w:lang w:val="de-DE"/>
        </w:rPr>
        <w:t>Adalimumab</w:t>
      </w:r>
    </w:p>
    <w:p w14:paraId="0D674E3B" w14:textId="77777777" w:rsidR="00FE291A" w:rsidRDefault="00FE291A">
      <w:pPr>
        <w:widowControl/>
        <w:rPr>
          <w:sz w:val="22"/>
          <w:szCs w:val="22"/>
          <w:lang w:val="de-DE"/>
        </w:rPr>
      </w:pPr>
    </w:p>
    <w:p w14:paraId="4F30D7C4" w14:textId="77777777" w:rsidR="00FE291A" w:rsidRDefault="00FE291A">
      <w:pPr>
        <w:widowControl/>
        <w:rPr>
          <w:sz w:val="22"/>
          <w:szCs w:val="22"/>
          <w:lang w:val="de-DE"/>
        </w:rPr>
      </w:pPr>
    </w:p>
    <w:p w14:paraId="1FD26C19" w14:textId="77777777" w:rsidR="00FE291A" w:rsidRDefault="00C8738F">
      <w:pPr>
        <w:keepNext/>
        <w:widowControl/>
        <w:numPr>
          <w:ilvl w:val="0"/>
          <w:numId w:val="44"/>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WIRKSTOFF</w:t>
      </w:r>
    </w:p>
    <w:p w14:paraId="6689B227" w14:textId="77777777" w:rsidR="00FE291A" w:rsidRDefault="00FE291A">
      <w:pPr>
        <w:keepNext/>
        <w:widowControl/>
        <w:rPr>
          <w:sz w:val="22"/>
          <w:szCs w:val="22"/>
          <w:lang w:val="de-DE"/>
        </w:rPr>
      </w:pPr>
    </w:p>
    <w:p w14:paraId="4B846F6A" w14:textId="77777777" w:rsidR="00FE291A" w:rsidRDefault="00C8738F">
      <w:pPr>
        <w:widowControl/>
        <w:rPr>
          <w:sz w:val="22"/>
          <w:szCs w:val="22"/>
          <w:lang w:val="de-DE"/>
        </w:rPr>
      </w:pPr>
      <w:r>
        <w:rPr>
          <w:sz w:val="22"/>
          <w:szCs w:val="22"/>
          <w:lang w:val="de-DE"/>
        </w:rPr>
        <w:t>Jeder Fertigpen enthält 80 mg Adalimumab in 0,8 ml Lösung.</w:t>
      </w:r>
    </w:p>
    <w:p w14:paraId="32B308E7" w14:textId="77777777" w:rsidR="00FE291A" w:rsidRDefault="00FE291A">
      <w:pPr>
        <w:widowControl/>
        <w:rPr>
          <w:sz w:val="22"/>
          <w:szCs w:val="22"/>
          <w:lang w:val="de-DE"/>
        </w:rPr>
      </w:pPr>
    </w:p>
    <w:p w14:paraId="19696621" w14:textId="77777777" w:rsidR="00FE291A" w:rsidRDefault="00FE291A">
      <w:pPr>
        <w:widowControl/>
        <w:rPr>
          <w:sz w:val="22"/>
          <w:szCs w:val="22"/>
          <w:lang w:val="de-DE"/>
        </w:rPr>
      </w:pPr>
    </w:p>
    <w:p w14:paraId="7B7FBC27" w14:textId="77777777" w:rsidR="00FE291A" w:rsidRDefault="00C8738F">
      <w:pPr>
        <w:keepNext/>
        <w:widowControl/>
        <w:numPr>
          <w:ilvl w:val="0"/>
          <w:numId w:val="44"/>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SONSTIGE BESTANDTEILE</w:t>
      </w:r>
    </w:p>
    <w:p w14:paraId="6E621EE6" w14:textId="77777777" w:rsidR="00FE291A" w:rsidRDefault="00FE291A">
      <w:pPr>
        <w:widowControl/>
        <w:rPr>
          <w:sz w:val="22"/>
          <w:szCs w:val="22"/>
          <w:lang w:val="de-DE"/>
        </w:rPr>
      </w:pPr>
    </w:p>
    <w:p w14:paraId="45484BC6" w14:textId="77777777" w:rsidR="00FE291A" w:rsidRDefault="00C8738F">
      <w:pPr>
        <w:widowControl/>
        <w:rPr>
          <w:sz w:val="22"/>
          <w:szCs w:val="22"/>
          <w:lang w:val="de-DE"/>
        </w:rPr>
      </w:pPr>
      <w:r>
        <w:rPr>
          <w:sz w:val="22"/>
          <w:szCs w:val="22"/>
          <w:lang w:val="de-DE"/>
        </w:rPr>
        <w:t>(S)-Milchsäure, Saccharose, Polysorbat 80, Natriumhydroxid und Wasser für Injektionszwecke.</w:t>
      </w:r>
    </w:p>
    <w:p w14:paraId="018FCC44" w14:textId="77777777" w:rsidR="00FE291A" w:rsidRDefault="00FE291A">
      <w:pPr>
        <w:widowControl/>
        <w:rPr>
          <w:sz w:val="22"/>
          <w:szCs w:val="22"/>
          <w:lang w:val="de-DE"/>
        </w:rPr>
      </w:pPr>
    </w:p>
    <w:p w14:paraId="049BFE4F" w14:textId="77777777" w:rsidR="00FE291A" w:rsidRDefault="00FE291A">
      <w:pPr>
        <w:widowControl/>
        <w:rPr>
          <w:sz w:val="22"/>
          <w:szCs w:val="22"/>
          <w:lang w:val="de-DE"/>
        </w:rPr>
      </w:pPr>
    </w:p>
    <w:p w14:paraId="6F77D99D" w14:textId="77777777" w:rsidR="00FE291A" w:rsidRDefault="00C8738F">
      <w:pPr>
        <w:keepNext/>
        <w:widowControl/>
        <w:numPr>
          <w:ilvl w:val="0"/>
          <w:numId w:val="44"/>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DARREICHUNGSFORM UND INHALT</w:t>
      </w:r>
    </w:p>
    <w:p w14:paraId="63E45B38" w14:textId="77777777" w:rsidR="00FE291A" w:rsidRDefault="00FE291A">
      <w:pPr>
        <w:widowControl/>
        <w:rPr>
          <w:sz w:val="22"/>
          <w:szCs w:val="22"/>
          <w:lang w:val="de-DE"/>
        </w:rPr>
      </w:pPr>
    </w:p>
    <w:p w14:paraId="4A8C659C" w14:textId="77777777" w:rsidR="00FE291A" w:rsidRDefault="00C8738F">
      <w:pPr>
        <w:widowControl/>
        <w:rPr>
          <w:sz w:val="22"/>
          <w:szCs w:val="22"/>
          <w:lang w:val="de-DE"/>
        </w:rPr>
      </w:pPr>
      <w:r>
        <w:rPr>
          <w:sz w:val="22"/>
          <w:szCs w:val="22"/>
          <w:highlight w:val="lightGray"/>
          <w:lang w:val="de-DE"/>
        </w:rPr>
        <w:t>Injektionslösung</w:t>
      </w:r>
    </w:p>
    <w:p w14:paraId="0722EB97" w14:textId="77777777" w:rsidR="00FE291A" w:rsidRDefault="00C8738F">
      <w:pPr>
        <w:widowControl/>
        <w:rPr>
          <w:sz w:val="22"/>
          <w:szCs w:val="22"/>
          <w:lang w:val="de-DE"/>
        </w:rPr>
      </w:pPr>
      <w:r>
        <w:rPr>
          <w:sz w:val="22"/>
          <w:szCs w:val="22"/>
          <w:lang w:val="de-DE"/>
        </w:rPr>
        <w:t>80 mg/0,8 ml</w:t>
      </w:r>
    </w:p>
    <w:p w14:paraId="61B4B221" w14:textId="77777777" w:rsidR="00FE291A" w:rsidRDefault="00C8738F">
      <w:pPr>
        <w:widowControl/>
        <w:rPr>
          <w:sz w:val="22"/>
          <w:szCs w:val="22"/>
          <w:lang w:val="de-DE"/>
        </w:rPr>
      </w:pPr>
      <w:r>
        <w:rPr>
          <w:sz w:val="22"/>
          <w:szCs w:val="22"/>
          <w:lang w:val="de-DE"/>
        </w:rPr>
        <w:t>1 SureClick Fertigpen.</w:t>
      </w:r>
    </w:p>
    <w:p w14:paraId="6C22979E" w14:textId="77777777" w:rsidR="00FE291A" w:rsidRDefault="00C8738F">
      <w:pPr>
        <w:widowControl/>
        <w:rPr>
          <w:sz w:val="22"/>
          <w:szCs w:val="22"/>
          <w:highlight w:val="lightGray"/>
          <w:lang w:val="de-DE"/>
        </w:rPr>
      </w:pPr>
      <w:r>
        <w:rPr>
          <w:sz w:val="22"/>
          <w:szCs w:val="22"/>
          <w:highlight w:val="lightGray"/>
          <w:lang w:val="de-DE"/>
        </w:rPr>
        <w:t>2 SureClick Fertigpens.</w:t>
      </w:r>
    </w:p>
    <w:p w14:paraId="061F7D5E" w14:textId="77777777" w:rsidR="00FE291A" w:rsidRDefault="00FE291A">
      <w:pPr>
        <w:widowControl/>
        <w:rPr>
          <w:sz w:val="22"/>
          <w:szCs w:val="22"/>
          <w:lang w:val="de-DE"/>
        </w:rPr>
      </w:pPr>
    </w:p>
    <w:p w14:paraId="01192118" w14:textId="77777777" w:rsidR="00FE291A" w:rsidRDefault="00FE291A">
      <w:pPr>
        <w:widowControl/>
        <w:rPr>
          <w:sz w:val="22"/>
          <w:szCs w:val="22"/>
          <w:lang w:val="de-DE"/>
        </w:rPr>
      </w:pPr>
    </w:p>
    <w:p w14:paraId="3C17540F" w14:textId="77777777" w:rsidR="00FE291A" w:rsidRDefault="00C8738F">
      <w:pPr>
        <w:keepNext/>
        <w:widowControl/>
        <w:numPr>
          <w:ilvl w:val="0"/>
          <w:numId w:val="44"/>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HINWEISE ZUR UND ART(EN) DER ANWENDUNG</w:t>
      </w:r>
    </w:p>
    <w:p w14:paraId="6600A215" w14:textId="77777777" w:rsidR="00FE291A" w:rsidRDefault="00FE291A">
      <w:pPr>
        <w:keepNext/>
        <w:widowControl/>
        <w:rPr>
          <w:sz w:val="22"/>
          <w:szCs w:val="22"/>
          <w:lang w:val="de-DE"/>
        </w:rPr>
      </w:pPr>
    </w:p>
    <w:p w14:paraId="4156F4BE" w14:textId="77777777" w:rsidR="00FE291A" w:rsidRDefault="00C8738F">
      <w:pPr>
        <w:widowControl/>
        <w:rPr>
          <w:sz w:val="22"/>
          <w:szCs w:val="22"/>
          <w:lang w:val="de-DE"/>
        </w:rPr>
      </w:pPr>
      <w:r>
        <w:rPr>
          <w:sz w:val="22"/>
          <w:szCs w:val="22"/>
          <w:lang w:val="de-DE"/>
        </w:rPr>
        <w:t>Zur subkutanen Anwendung.</w:t>
      </w:r>
    </w:p>
    <w:p w14:paraId="3FF7F331" w14:textId="77777777" w:rsidR="00FE291A" w:rsidRDefault="00C8738F">
      <w:pPr>
        <w:widowControl/>
        <w:rPr>
          <w:sz w:val="22"/>
          <w:szCs w:val="22"/>
          <w:lang w:val="de-DE"/>
        </w:rPr>
      </w:pPr>
      <w:r>
        <w:rPr>
          <w:sz w:val="22"/>
          <w:szCs w:val="22"/>
          <w:lang w:val="de-DE"/>
        </w:rPr>
        <w:t>Packungsbeilage beachten.</w:t>
      </w:r>
    </w:p>
    <w:p w14:paraId="2639744C" w14:textId="77777777" w:rsidR="00FE291A" w:rsidRDefault="00C8738F">
      <w:pPr>
        <w:widowControl/>
        <w:rPr>
          <w:sz w:val="22"/>
          <w:szCs w:val="22"/>
          <w:lang w:val="de-DE"/>
        </w:rPr>
      </w:pPr>
      <w:r>
        <w:rPr>
          <w:sz w:val="22"/>
          <w:szCs w:val="22"/>
          <w:lang w:val="de-DE"/>
        </w:rPr>
        <w:t>Nur zum Einmalgebrauch.</w:t>
      </w:r>
    </w:p>
    <w:p w14:paraId="052F44C1" w14:textId="77777777" w:rsidR="00FE291A" w:rsidRDefault="00FE291A">
      <w:pPr>
        <w:widowControl/>
        <w:rPr>
          <w:sz w:val="22"/>
          <w:szCs w:val="22"/>
          <w:lang w:val="de-DE"/>
        </w:rPr>
      </w:pPr>
    </w:p>
    <w:p w14:paraId="016D5BFC" w14:textId="77777777" w:rsidR="00FE291A" w:rsidRDefault="00FE291A">
      <w:pPr>
        <w:widowControl/>
        <w:rPr>
          <w:sz w:val="22"/>
          <w:szCs w:val="22"/>
          <w:lang w:val="de-DE"/>
        </w:rPr>
      </w:pPr>
    </w:p>
    <w:p w14:paraId="5B6E8B0B" w14:textId="77777777" w:rsidR="00FE291A" w:rsidRDefault="00C8738F">
      <w:pPr>
        <w:keepNext/>
        <w:widowControl/>
        <w:numPr>
          <w:ilvl w:val="0"/>
          <w:numId w:val="44"/>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WARNHINWEIS, DASS DAS ARZNEIMITTEL FÜR KINDER UNZUGÄNGLICH AUFZUBEWAHREN IST</w:t>
      </w:r>
    </w:p>
    <w:p w14:paraId="3AD8FD30" w14:textId="77777777" w:rsidR="00FE291A" w:rsidRDefault="00FE291A">
      <w:pPr>
        <w:keepNext/>
        <w:widowControl/>
        <w:rPr>
          <w:sz w:val="22"/>
          <w:szCs w:val="22"/>
          <w:lang w:val="de-DE"/>
        </w:rPr>
      </w:pPr>
    </w:p>
    <w:p w14:paraId="3175F7B9" w14:textId="77777777" w:rsidR="00FE291A" w:rsidRDefault="00C8738F">
      <w:pPr>
        <w:widowControl/>
        <w:outlineLvl w:val="0"/>
        <w:rPr>
          <w:sz w:val="22"/>
          <w:szCs w:val="22"/>
          <w:lang w:val="de-DE"/>
        </w:rPr>
      </w:pPr>
      <w:r>
        <w:rPr>
          <w:sz w:val="22"/>
          <w:szCs w:val="22"/>
          <w:lang w:val="de-DE"/>
        </w:rPr>
        <w:t>Arzneimittel für Kinder unzugänglich aufbewahren.</w:t>
      </w:r>
    </w:p>
    <w:p w14:paraId="15AD5385" w14:textId="77777777" w:rsidR="00FE291A" w:rsidRDefault="00FE291A">
      <w:pPr>
        <w:widowControl/>
        <w:rPr>
          <w:sz w:val="22"/>
          <w:szCs w:val="22"/>
          <w:lang w:val="de-DE"/>
        </w:rPr>
      </w:pPr>
    </w:p>
    <w:p w14:paraId="3569CA97" w14:textId="77777777" w:rsidR="00FE291A" w:rsidRDefault="00FE291A">
      <w:pPr>
        <w:widowControl/>
        <w:rPr>
          <w:sz w:val="22"/>
          <w:szCs w:val="22"/>
          <w:lang w:val="de-DE"/>
        </w:rPr>
      </w:pPr>
    </w:p>
    <w:p w14:paraId="368DE251" w14:textId="77777777" w:rsidR="00FE291A" w:rsidRDefault="00C8738F">
      <w:pPr>
        <w:keepNext/>
        <w:widowControl/>
        <w:numPr>
          <w:ilvl w:val="0"/>
          <w:numId w:val="44"/>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WEITERE WARNHINWEISE, FALLS ERFORDERLICH</w:t>
      </w:r>
    </w:p>
    <w:p w14:paraId="7C3000A2" w14:textId="77777777" w:rsidR="00FE291A" w:rsidRDefault="00FE291A">
      <w:pPr>
        <w:keepNext/>
        <w:widowControl/>
        <w:rPr>
          <w:sz w:val="22"/>
          <w:szCs w:val="22"/>
          <w:lang w:val="de-DE"/>
        </w:rPr>
      </w:pPr>
    </w:p>
    <w:p w14:paraId="5895446E" w14:textId="77777777" w:rsidR="00FE291A" w:rsidRDefault="00FE291A">
      <w:pPr>
        <w:widowControl/>
        <w:tabs>
          <w:tab w:val="left" w:pos="749"/>
        </w:tabs>
        <w:rPr>
          <w:sz w:val="22"/>
          <w:szCs w:val="22"/>
          <w:lang w:val="de-DE"/>
        </w:rPr>
      </w:pPr>
    </w:p>
    <w:p w14:paraId="716F1A48" w14:textId="77777777" w:rsidR="00FE291A" w:rsidRDefault="00C8738F">
      <w:pPr>
        <w:keepNext/>
        <w:widowControl/>
        <w:numPr>
          <w:ilvl w:val="0"/>
          <w:numId w:val="44"/>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VERFALLDATUM</w:t>
      </w:r>
    </w:p>
    <w:p w14:paraId="4E5032B1" w14:textId="77777777" w:rsidR="00FE291A" w:rsidRDefault="00FE291A">
      <w:pPr>
        <w:keepNext/>
        <w:widowControl/>
        <w:rPr>
          <w:sz w:val="22"/>
          <w:szCs w:val="22"/>
          <w:lang w:val="de-DE"/>
        </w:rPr>
      </w:pPr>
    </w:p>
    <w:p w14:paraId="75B597EC" w14:textId="77777777" w:rsidR="00FE291A" w:rsidRDefault="00C8738F">
      <w:pPr>
        <w:widowControl/>
        <w:rPr>
          <w:sz w:val="22"/>
          <w:szCs w:val="22"/>
          <w:lang w:val="de-DE"/>
        </w:rPr>
      </w:pPr>
      <w:r>
        <w:rPr>
          <w:sz w:val="22"/>
          <w:szCs w:val="22"/>
          <w:lang w:val="de-DE"/>
        </w:rPr>
        <w:t>verwendbar bis</w:t>
      </w:r>
    </w:p>
    <w:p w14:paraId="529240F4" w14:textId="77777777" w:rsidR="00FE291A" w:rsidRDefault="00FE291A">
      <w:pPr>
        <w:widowControl/>
        <w:rPr>
          <w:sz w:val="22"/>
          <w:szCs w:val="22"/>
          <w:lang w:val="de-DE"/>
        </w:rPr>
      </w:pPr>
    </w:p>
    <w:p w14:paraId="4FD2B32C" w14:textId="77777777" w:rsidR="00FE291A" w:rsidRDefault="00FE291A">
      <w:pPr>
        <w:widowControl/>
        <w:rPr>
          <w:sz w:val="22"/>
          <w:szCs w:val="22"/>
          <w:lang w:val="de-DE"/>
        </w:rPr>
      </w:pPr>
    </w:p>
    <w:p w14:paraId="6130735A" w14:textId="77777777" w:rsidR="00FE291A" w:rsidRDefault="00C8738F">
      <w:pPr>
        <w:widowControl/>
        <w:numPr>
          <w:ilvl w:val="0"/>
          <w:numId w:val="44"/>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BESONDERE VORSICHTSMASSNAHMEN FÜR DIE AUFBEWAHRUNG</w:t>
      </w:r>
    </w:p>
    <w:p w14:paraId="1AC631C4" w14:textId="77777777" w:rsidR="00FE291A" w:rsidRDefault="00FE291A">
      <w:pPr>
        <w:widowControl/>
        <w:rPr>
          <w:sz w:val="22"/>
          <w:szCs w:val="22"/>
          <w:lang w:val="de-DE"/>
        </w:rPr>
      </w:pPr>
    </w:p>
    <w:p w14:paraId="406FFF86" w14:textId="77777777" w:rsidR="00FE291A" w:rsidRDefault="00C8738F">
      <w:pPr>
        <w:widowControl/>
        <w:ind w:left="567" w:hanging="567"/>
        <w:rPr>
          <w:sz w:val="22"/>
          <w:szCs w:val="22"/>
          <w:lang w:val="de-DE"/>
        </w:rPr>
      </w:pPr>
      <w:r>
        <w:rPr>
          <w:sz w:val="22"/>
          <w:szCs w:val="22"/>
          <w:lang w:val="de-DE"/>
        </w:rPr>
        <w:t>Im Kühlschrank lagern.</w:t>
      </w:r>
    </w:p>
    <w:p w14:paraId="23AA90EC" w14:textId="77777777" w:rsidR="00FE291A" w:rsidRDefault="00C8738F">
      <w:pPr>
        <w:widowControl/>
        <w:ind w:left="567" w:hanging="567"/>
        <w:rPr>
          <w:sz w:val="22"/>
          <w:szCs w:val="22"/>
          <w:lang w:val="de-DE"/>
        </w:rPr>
      </w:pPr>
      <w:r>
        <w:rPr>
          <w:sz w:val="22"/>
          <w:szCs w:val="22"/>
          <w:lang w:val="de-DE"/>
        </w:rPr>
        <w:t>Nicht einfrieren.</w:t>
      </w:r>
    </w:p>
    <w:p w14:paraId="61866E05" w14:textId="77777777" w:rsidR="00FE291A" w:rsidRDefault="00C8738F">
      <w:pPr>
        <w:widowControl/>
        <w:ind w:left="567" w:hanging="567"/>
        <w:rPr>
          <w:sz w:val="22"/>
          <w:szCs w:val="22"/>
          <w:lang w:val="de-DE"/>
        </w:rPr>
      </w:pPr>
      <w:r>
        <w:rPr>
          <w:sz w:val="22"/>
          <w:szCs w:val="22"/>
          <w:lang w:val="de-DE"/>
        </w:rPr>
        <w:t>Im Originalkarton aufbewahren, um den Inhalt vor Licht zu schützen.</w:t>
      </w:r>
    </w:p>
    <w:p w14:paraId="7D37B02C" w14:textId="77777777" w:rsidR="00FE291A" w:rsidRDefault="00FE291A">
      <w:pPr>
        <w:widowControl/>
        <w:ind w:left="567" w:hanging="567"/>
        <w:rPr>
          <w:sz w:val="22"/>
          <w:szCs w:val="22"/>
          <w:lang w:val="de-DE"/>
        </w:rPr>
      </w:pPr>
    </w:p>
    <w:p w14:paraId="5C6E7993" w14:textId="77777777" w:rsidR="00FE291A" w:rsidRDefault="00FE291A">
      <w:pPr>
        <w:widowControl/>
        <w:ind w:left="567" w:hanging="567"/>
        <w:rPr>
          <w:sz w:val="22"/>
          <w:szCs w:val="22"/>
          <w:lang w:val="de-DE"/>
        </w:rPr>
      </w:pPr>
    </w:p>
    <w:p w14:paraId="153AE455" w14:textId="77777777" w:rsidR="00FE291A" w:rsidRDefault="00C8738F">
      <w:pPr>
        <w:keepNext/>
        <w:widowControl/>
        <w:numPr>
          <w:ilvl w:val="0"/>
          <w:numId w:val="44"/>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GEGEBENENFALLS BESONDERE VORSICHTSMASSNAHMEN FÜR DIE BESEITIGUNG VON NICHT VERWENDETEM ARZNEIMITTEL ODER DAVON STAMMENDEN ABFALLMATERIALIEN</w:t>
      </w:r>
    </w:p>
    <w:p w14:paraId="0F5641E3" w14:textId="77777777" w:rsidR="00FE291A" w:rsidRDefault="00FE291A">
      <w:pPr>
        <w:widowControl/>
        <w:rPr>
          <w:sz w:val="22"/>
          <w:szCs w:val="22"/>
          <w:lang w:val="de-DE"/>
        </w:rPr>
      </w:pPr>
    </w:p>
    <w:p w14:paraId="7B2A4CFF" w14:textId="77777777" w:rsidR="00FE291A" w:rsidRDefault="00FE291A">
      <w:pPr>
        <w:widowControl/>
        <w:rPr>
          <w:sz w:val="22"/>
          <w:szCs w:val="22"/>
          <w:lang w:val="de-DE"/>
        </w:rPr>
      </w:pPr>
    </w:p>
    <w:p w14:paraId="20D8C0EF" w14:textId="77777777" w:rsidR="00FE291A" w:rsidRDefault="00C8738F">
      <w:pPr>
        <w:keepNext/>
        <w:widowControl/>
        <w:numPr>
          <w:ilvl w:val="0"/>
          <w:numId w:val="44"/>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NAME UND ANSCHRIFT DES PHARMAZEUTISCHEN UNTERNEHMERS</w:t>
      </w:r>
    </w:p>
    <w:p w14:paraId="366E52B0" w14:textId="77777777" w:rsidR="00FE291A" w:rsidRDefault="00FE291A">
      <w:pPr>
        <w:widowControl/>
        <w:rPr>
          <w:sz w:val="22"/>
          <w:szCs w:val="22"/>
          <w:lang w:val="de-DE"/>
        </w:rPr>
      </w:pPr>
    </w:p>
    <w:p w14:paraId="4166F6D0" w14:textId="77777777" w:rsidR="00FE291A" w:rsidRDefault="00C8738F">
      <w:pPr>
        <w:widowControl/>
        <w:rPr>
          <w:rFonts w:eastAsia="SimSun"/>
          <w:sz w:val="22"/>
          <w:szCs w:val="22"/>
          <w:lang w:val="de-DE" w:eastAsia="en-GB"/>
        </w:rPr>
      </w:pPr>
      <w:r>
        <w:rPr>
          <w:rFonts w:eastAsia="SimSun"/>
          <w:sz w:val="22"/>
          <w:szCs w:val="22"/>
          <w:lang w:val="de-DE" w:eastAsia="en-GB"/>
        </w:rPr>
        <w:t>Amgen Europe B.V.</w:t>
      </w:r>
    </w:p>
    <w:p w14:paraId="26177157" w14:textId="77777777" w:rsidR="00FE291A" w:rsidRDefault="00C8738F">
      <w:pPr>
        <w:widowControl/>
        <w:rPr>
          <w:rFonts w:eastAsia="SimSun"/>
          <w:sz w:val="22"/>
          <w:szCs w:val="22"/>
          <w:lang w:val="de-DE" w:eastAsia="en-GB"/>
        </w:rPr>
      </w:pPr>
      <w:r>
        <w:rPr>
          <w:rFonts w:eastAsia="SimSun"/>
          <w:sz w:val="22"/>
          <w:szCs w:val="22"/>
          <w:lang w:val="de-DE" w:eastAsia="en-GB"/>
        </w:rPr>
        <w:t>Minervum 7061,</w:t>
      </w:r>
    </w:p>
    <w:p w14:paraId="6C63E008" w14:textId="77777777" w:rsidR="00FE291A" w:rsidRDefault="00C8738F">
      <w:pPr>
        <w:widowControl/>
        <w:rPr>
          <w:rFonts w:eastAsia="SimSun"/>
          <w:sz w:val="22"/>
          <w:szCs w:val="22"/>
          <w:lang w:val="de-DE" w:eastAsia="en-GB"/>
        </w:rPr>
      </w:pPr>
      <w:r>
        <w:rPr>
          <w:rFonts w:eastAsia="SimSun"/>
          <w:sz w:val="22"/>
          <w:szCs w:val="22"/>
          <w:lang w:val="de-DE" w:eastAsia="en-GB"/>
        </w:rPr>
        <w:t>4817 ZK Breda,</w:t>
      </w:r>
    </w:p>
    <w:p w14:paraId="4E969368" w14:textId="77777777" w:rsidR="00FE291A" w:rsidRDefault="00C8738F">
      <w:pPr>
        <w:widowControl/>
        <w:rPr>
          <w:rFonts w:eastAsia="SimSun"/>
          <w:sz w:val="22"/>
          <w:szCs w:val="22"/>
          <w:lang w:val="de-DE" w:eastAsia="en-GB"/>
        </w:rPr>
      </w:pPr>
      <w:r>
        <w:rPr>
          <w:rFonts w:eastAsia="SimSun"/>
          <w:sz w:val="22"/>
          <w:szCs w:val="22"/>
          <w:lang w:val="de-DE" w:eastAsia="en-GB"/>
        </w:rPr>
        <w:t>Niederlande</w:t>
      </w:r>
    </w:p>
    <w:p w14:paraId="01A1EA68" w14:textId="77777777" w:rsidR="00FE291A" w:rsidRDefault="00FE291A">
      <w:pPr>
        <w:widowControl/>
        <w:rPr>
          <w:sz w:val="22"/>
          <w:szCs w:val="22"/>
          <w:lang w:val="de-DE"/>
        </w:rPr>
      </w:pPr>
    </w:p>
    <w:p w14:paraId="3BAA414B" w14:textId="77777777" w:rsidR="00FE291A" w:rsidRDefault="00FE291A">
      <w:pPr>
        <w:widowControl/>
        <w:rPr>
          <w:sz w:val="22"/>
          <w:szCs w:val="22"/>
          <w:lang w:val="de-DE"/>
        </w:rPr>
      </w:pPr>
    </w:p>
    <w:p w14:paraId="0D97A5DA" w14:textId="77777777" w:rsidR="00FE291A" w:rsidRDefault="00C8738F">
      <w:pPr>
        <w:keepNext/>
        <w:widowControl/>
        <w:numPr>
          <w:ilvl w:val="0"/>
          <w:numId w:val="44"/>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ZULASSUNGSNUMMERN</w:t>
      </w:r>
    </w:p>
    <w:p w14:paraId="0DC265B4" w14:textId="77777777" w:rsidR="00FE291A" w:rsidRDefault="00FE291A">
      <w:pPr>
        <w:widowControl/>
        <w:rPr>
          <w:sz w:val="22"/>
          <w:szCs w:val="22"/>
          <w:lang w:val="de-DE"/>
        </w:rPr>
      </w:pPr>
    </w:p>
    <w:p w14:paraId="75C46522" w14:textId="77777777" w:rsidR="00FE291A" w:rsidRDefault="00C8738F">
      <w:pPr>
        <w:widowControl/>
        <w:outlineLvl w:val="0"/>
        <w:rPr>
          <w:sz w:val="22"/>
          <w:szCs w:val="22"/>
          <w:lang w:val="de-DE"/>
        </w:rPr>
      </w:pPr>
      <w:r>
        <w:rPr>
          <w:sz w:val="22"/>
          <w:szCs w:val="22"/>
          <w:lang w:val="de-DE"/>
        </w:rPr>
        <w:t xml:space="preserve">EU/1/16/1164/020 </w:t>
      </w:r>
      <w:r>
        <w:rPr>
          <w:sz w:val="22"/>
          <w:szCs w:val="22"/>
          <w:highlight w:val="lightGray"/>
          <w:lang w:val="de-DE"/>
        </w:rPr>
        <w:t>1er Packung</w:t>
      </w:r>
    </w:p>
    <w:p w14:paraId="0A68B2C7" w14:textId="77777777" w:rsidR="00FE291A" w:rsidRDefault="00C8738F">
      <w:pPr>
        <w:widowControl/>
        <w:outlineLvl w:val="0"/>
        <w:rPr>
          <w:sz w:val="22"/>
          <w:szCs w:val="22"/>
          <w:highlight w:val="lightGray"/>
          <w:lang w:val="de-DE"/>
        </w:rPr>
      </w:pPr>
      <w:r>
        <w:rPr>
          <w:sz w:val="22"/>
          <w:szCs w:val="22"/>
          <w:highlight w:val="lightGray"/>
          <w:lang w:val="de-DE"/>
        </w:rPr>
        <w:t>EU/1/16/1164/021 2er Packung</w:t>
      </w:r>
    </w:p>
    <w:p w14:paraId="6D9F45A5" w14:textId="77777777" w:rsidR="00FE291A" w:rsidRDefault="00FE291A">
      <w:pPr>
        <w:widowControl/>
        <w:rPr>
          <w:sz w:val="22"/>
          <w:szCs w:val="22"/>
          <w:lang w:val="de-DE"/>
        </w:rPr>
      </w:pPr>
    </w:p>
    <w:p w14:paraId="123FC47A" w14:textId="77777777" w:rsidR="00FE291A" w:rsidRDefault="00FE291A">
      <w:pPr>
        <w:widowControl/>
        <w:rPr>
          <w:sz w:val="22"/>
          <w:szCs w:val="22"/>
          <w:lang w:val="de-DE"/>
        </w:rPr>
      </w:pPr>
    </w:p>
    <w:p w14:paraId="336147C6" w14:textId="77777777" w:rsidR="00FE291A" w:rsidRDefault="00C8738F">
      <w:pPr>
        <w:keepNext/>
        <w:widowControl/>
        <w:numPr>
          <w:ilvl w:val="0"/>
          <w:numId w:val="44"/>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CHARGENBEZEICHNUNG</w:t>
      </w:r>
    </w:p>
    <w:p w14:paraId="360B4D66" w14:textId="77777777" w:rsidR="00FE291A" w:rsidRDefault="00FE291A">
      <w:pPr>
        <w:widowControl/>
        <w:rPr>
          <w:i/>
          <w:sz w:val="22"/>
          <w:szCs w:val="22"/>
          <w:lang w:val="de-DE"/>
        </w:rPr>
      </w:pPr>
    </w:p>
    <w:p w14:paraId="6AA50D0E" w14:textId="77777777" w:rsidR="00FE291A" w:rsidRDefault="00C8738F">
      <w:pPr>
        <w:widowControl/>
        <w:rPr>
          <w:sz w:val="22"/>
          <w:szCs w:val="22"/>
          <w:lang w:val="de-DE"/>
        </w:rPr>
      </w:pPr>
      <w:r>
        <w:rPr>
          <w:sz w:val="22"/>
          <w:szCs w:val="22"/>
          <w:lang w:val="de-DE"/>
        </w:rPr>
        <w:t>Ch.-B.</w:t>
      </w:r>
    </w:p>
    <w:p w14:paraId="58F2CB78" w14:textId="77777777" w:rsidR="00FE291A" w:rsidRDefault="00FE291A">
      <w:pPr>
        <w:widowControl/>
        <w:rPr>
          <w:sz w:val="22"/>
          <w:szCs w:val="22"/>
          <w:lang w:val="de-DE"/>
        </w:rPr>
      </w:pPr>
    </w:p>
    <w:p w14:paraId="75749E52" w14:textId="77777777" w:rsidR="00FE291A" w:rsidRDefault="00FE291A">
      <w:pPr>
        <w:widowControl/>
        <w:rPr>
          <w:sz w:val="22"/>
          <w:szCs w:val="22"/>
          <w:lang w:val="de-DE"/>
        </w:rPr>
      </w:pPr>
    </w:p>
    <w:p w14:paraId="15EAA6EE" w14:textId="77777777" w:rsidR="00FE291A" w:rsidRDefault="00C8738F">
      <w:pPr>
        <w:keepNext/>
        <w:widowControl/>
        <w:numPr>
          <w:ilvl w:val="0"/>
          <w:numId w:val="44"/>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VERKAUFSABGRENZUNG</w:t>
      </w:r>
    </w:p>
    <w:p w14:paraId="6612A4BE" w14:textId="77777777" w:rsidR="00FE291A" w:rsidRDefault="00FE291A">
      <w:pPr>
        <w:widowControl/>
        <w:rPr>
          <w:i/>
          <w:sz w:val="22"/>
          <w:szCs w:val="22"/>
          <w:lang w:val="de-DE"/>
        </w:rPr>
      </w:pPr>
    </w:p>
    <w:p w14:paraId="7446F446" w14:textId="77777777" w:rsidR="00FE291A" w:rsidRDefault="00FE291A">
      <w:pPr>
        <w:widowControl/>
        <w:rPr>
          <w:sz w:val="22"/>
          <w:szCs w:val="22"/>
          <w:lang w:val="de-DE"/>
        </w:rPr>
      </w:pPr>
    </w:p>
    <w:p w14:paraId="611606CE" w14:textId="77777777" w:rsidR="00FE291A" w:rsidRDefault="00C8738F">
      <w:pPr>
        <w:keepNext/>
        <w:widowControl/>
        <w:numPr>
          <w:ilvl w:val="0"/>
          <w:numId w:val="44"/>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HINWEISE FÜR DEN GEBRAUCH</w:t>
      </w:r>
    </w:p>
    <w:p w14:paraId="251003E6" w14:textId="77777777" w:rsidR="00FE291A" w:rsidRDefault="00FE291A">
      <w:pPr>
        <w:widowControl/>
        <w:rPr>
          <w:sz w:val="22"/>
          <w:szCs w:val="22"/>
          <w:lang w:val="de-DE"/>
        </w:rPr>
      </w:pPr>
    </w:p>
    <w:p w14:paraId="72725A14" w14:textId="77777777" w:rsidR="00FE291A" w:rsidRDefault="00FE291A">
      <w:pPr>
        <w:widowControl/>
        <w:rPr>
          <w:sz w:val="22"/>
          <w:szCs w:val="22"/>
          <w:lang w:val="de-DE"/>
        </w:rPr>
      </w:pPr>
    </w:p>
    <w:p w14:paraId="27F6B511" w14:textId="77777777" w:rsidR="00FE291A" w:rsidRDefault="00C8738F">
      <w:pPr>
        <w:keepNext/>
        <w:widowControl/>
        <w:numPr>
          <w:ilvl w:val="0"/>
          <w:numId w:val="44"/>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ANGABEN IN BLINDENSCHRIFT</w:t>
      </w:r>
    </w:p>
    <w:p w14:paraId="3E8D1422" w14:textId="77777777" w:rsidR="00FE291A" w:rsidRDefault="00FE291A">
      <w:pPr>
        <w:widowControl/>
        <w:rPr>
          <w:sz w:val="22"/>
          <w:szCs w:val="22"/>
          <w:lang w:val="de-DE"/>
        </w:rPr>
      </w:pPr>
    </w:p>
    <w:p w14:paraId="454A36B7" w14:textId="77777777" w:rsidR="00FE291A" w:rsidRDefault="00C8738F">
      <w:pPr>
        <w:widowControl/>
        <w:rPr>
          <w:sz w:val="22"/>
          <w:szCs w:val="22"/>
          <w:shd w:val="clear" w:color="auto" w:fill="CCCCCC"/>
          <w:lang w:val="de-DE"/>
        </w:rPr>
      </w:pPr>
      <w:r>
        <w:rPr>
          <w:sz w:val="22"/>
          <w:szCs w:val="22"/>
          <w:lang w:val="de-DE"/>
        </w:rPr>
        <w:t>AMGEVITA 80 mg/0,8 ml Pen</w:t>
      </w:r>
    </w:p>
    <w:p w14:paraId="4B21E691" w14:textId="77777777" w:rsidR="00FE291A" w:rsidRDefault="00FE291A">
      <w:pPr>
        <w:widowControl/>
        <w:rPr>
          <w:sz w:val="22"/>
          <w:szCs w:val="22"/>
          <w:shd w:val="clear" w:color="auto" w:fill="CCCCCC"/>
          <w:lang w:val="de-DE"/>
        </w:rPr>
      </w:pPr>
    </w:p>
    <w:p w14:paraId="6E972B94" w14:textId="77777777" w:rsidR="00FE291A" w:rsidRDefault="00FE291A">
      <w:pPr>
        <w:widowControl/>
        <w:rPr>
          <w:sz w:val="22"/>
          <w:szCs w:val="22"/>
          <w:shd w:val="clear" w:color="auto" w:fill="CCCCCC"/>
          <w:lang w:val="de-DE"/>
        </w:rPr>
      </w:pPr>
    </w:p>
    <w:p w14:paraId="386FC3FA" w14:textId="77777777" w:rsidR="00FE291A" w:rsidRDefault="00C8738F">
      <w:pPr>
        <w:keepNext/>
        <w:widowControl/>
        <w:numPr>
          <w:ilvl w:val="0"/>
          <w:numId w:val="44"/>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i/>
          <w:sz w:val="22"/>
          <w:szCs w:val="22"/>
          <w:lang w:val="de-DE"/>
        </w:rPr>
      </w:pPr>
      <w:r>
        <w:rPr>
          <w:b/>
          <w:sz w:val="22"/>
          <w:szCs w:val="22"/>
          <w:lang w:val="de-DE"/>
        </w:rPr>
        <w:t>INDIVIDUELLES ERKENNUNGSMERKMAL – 2D-BARCODE</w:t>
      </w:r>
    </w:p>
    <w:p w14:paraId="32BE275C" w14:textId="77777777" w:rsidR="00FE291A" w:rsidRDefault="00FE291A">
      <w:pPr>
        <w:widowControl/>
        <w:rPr>
          <w:sz w:val="22"/>
          <w:szCs w:val="22"/>
          <w:lang w:val="de-DE"/>
        </w:rPr>
      </w:pPr>
    </w:p>
    <w:p w14:paraId="43F8D095" w14:textId="77777777" w:rsidR="00FE291A" w:rsidRDefault="00C8738F">
      <w:pPr>
        <w:widowControl/>
        <w:rPr>
          <w:sz w:val="22"/>
          <w:szCs w:val="22"/>
          <w:shd w:val="clear" w:color="auto" w:fill="CCCCCC"/>
          <w:lang w:val="de-DE"/>
        </w:rPr>
      </w:pPr>
      <w:r>
        <w:rPr>
          <w:sz w:val="22"/>
          <w:szCs w:val="22"/>
          <w:highlight w:val="lightGray"/>
          <w:lang w:val="de-DE"/>
        </w:rPr>
        <w:t>2D-Barcode mit individuellem Erkennungsmerkmal.</w:t>
      </w:r>
    </w:p>
    <w:p w14:paraId="3B66CE01" w14:textId="77777777" w:rsidR="00FE291A" w:rsidRDefault="00FE291A">
      <w:pPr>
        <w:widowControl/>
        <w:rPr>
          <w:sz w:val="22"/>
          <w:szCs w:val="22"/>
          <w:lang w:val="de-DE"/>
        </w:rPr>
      </w:pPr>
    </w:p>
    <w:p w14:paraId="71F9C916" w14:textId="77777777" w:rsidR="00FE291A" w:rsidRDefault="00FE291A">
      <w:pPr>
        <w:widowControl/>
        <w:rPr>
          <w:sz w:val="22"/>
          <w:szCs w:val="22"/>
          <w:lang w:val="de-DE"/>
        </w:rPr>
      </w:pPr>
    </w:p>
    <w:p w14:paraId="16A45133" w14:textId="77777777" w:rsidR="00FE291A" w:rsidRDefault="00C8738F">
      <w:pPr>
        <w:keepNext/>
        <w:widowControl/>
        <w:numPr>
          <w:ilvl w:val="0"/>
          <w:numId w:val="44"/>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i/>
          <w:sz w:val="22"/>
          <w:szCs w:val="22"/>
          <w:lang w:val="de-DE"/>
        </w:rPr>
      </w:pPr>
      <w:r>
        <w:rPr>
          <w:b/>
          <w:sz w:val="22"/>
          <w:szCs w:val="22"/>
          <w:lang w:val="de-DE"/>
        </w:rPr>
        <w:t>INDIVIDUELLES ERKENNUNGSMERKMAL – VOM MENSCHEN LESBARES FORMAT</w:t>
      </w:r>
    </w:p>
    <w:p w14:paraId="38CBBCE9" w14:textId="77777777" w:rsidR="00FE291A" w:rsidRDefault="00FE291A">
      <w:pPr>
        <w:keepNext/>
        <w:widowControl/>
        <w:rPr>
          <w:sz w:val="22"/>
          <w:szCs w:val="22"/>
          <w:lang w:val="de-DE"/>
        </w:rPr>
      </w:pPr>
    </w:p>
    <w:p w14:paraId="7B1B1700" w14:textId="77777777" w:rsidR="00FE291A" w:rsidRDefault="00C8738F">
      <w:pPr>
        <w:keepNext/>
        <w:widowControl/>
        <w:rPr>
          <w:sz w:val="22"/>
          <w:szCs w:val="22"/>
          <w:lang w:val="de-DE"/>
        </w:rPr>
      </w:pPr>
      <w:r>
        <w:rPr>
          <w:sz w:val="22"/>
          <w:szCs w:val="22"/>
          <w:lang w:val="de-DE"/>
        </w:rPr>
        <w:t>PC</w:t>
      </w:r>
    </w:p>
    <w:p w14:paraId="594E4B77" w14:textId="77777777" w:rsidR="00FE291A" w:rsidRDefault="00C8738F">
      <w:pPr>
        <w:keepNext/>
        <w:widowControl/>
        <w:rPr>
          <w:sz w:val="22"/>
          <w:szCs w:val="22"/>
          <w:lang w:val="de-DE"/>
        </w:rPr>
      </w:pPr>
      <w:r>
        <w:rPr>
          <w:sz w:val="22"/>
          <w:szCs w:val="22"/>
          <w:lang w:val="de-DE"/>
        </w:rPr>
        <w:t>SN</w:t>
      </w:r>
    </w:p>
    <w:p w14:paraId="2BB206CC" w14:textId="77777777" w:rsidR="00FE291A" w:rsidRDefault="00C8738F">
      <w:pPr>
        <w:widowControl/>
        <w:rPr>
          <w:sz w:val="22"/>
          <w:szCs w:val="22"/>
          <w:lang w:val="de-DE"/>
        </w:rPr>
      </w:pPr>
      <w:r>
        <w:rPr>
          <w:sz w:val="22"/>
          <w:szCs w:val="22"/>
          <w:lang w:val="de-DE"/>
        </w:rPr>
        <w:t>NN</w:t>
      </w:r>
    </w:p>
    <w:p w14:paraId="67BB8F88" w14:textId="77777777" w:rsidR="00FE291A" w:rsidRDefault="00C8738F">
      <w:pPr>
        <w:widowControl/>
        <w:pBdr>
          <w:top w:val="single" w:sz="4" w:space="1" w:color="auto"/>
          <w:left w:val="single" w:sz="4" w:space="4" w:color="auto"/>
          <w:bottom w:val="single" w:sz="4" w:space="1" w:color="auto"/>
          <w:right w:val="single" w:sz="4" w:space="4" w:color="auto"/>
        </w:pBdr>
        <w:outlineLvl w:val="0"/>
        <w:rPr>
          <w:b/>
          <w:sz w:val="22"/>
          <w:szCs w:val="22"/>
          <w:lang w:val="de-DE"/>
        </w:rPr>
      </w:pPr>
      <w:r>
        <w:rPr>
          <w:sz w:val="22"/>
          <w:lang w:val="de-DE"/>
        </w:rPr>
        <w:br w:type="page"/>
      </w:r>
      <w:r>
        <w:rPr>
          <w:b/>
          <w:sz w:val="22"/>
          <w:szCs w:val="22"/>
          <w:lang w:val="de-DE"/>
        </w:rPr>
        <w:t>ANGABEN AUF DER ÄUSSEREN UMHÜLLUNG</w:t>
      </w:r>
    </w:p>
    <w:p w14:paraId="217E42ED" w14:textId="77777777" w:rsidR="00FE291A" w:rsidRDefault="00FE291A">
      <w:pPr>
        <w:widowControl/>
        <w:pBdr>
          <w:top w:val="single" w:sz="4" w:space="1" w:color="auto"/>
          <w:left w:val="single" w:sz="4" w:space="4" w:color="auto"/>
          <w:bottom w:val="single" w:sz="4" w:space="1" w:color="auto"/>
          <w:right w:val="single" w:sz="4" w:space="4" w:color="auto"/>
        </w:pBdr>
        <w:ind w:left="567" w:hanging="567"/>
        <w:rPr>
          <w:sz w:val="22"/>
          <w:szCs w:val="22"/>
          <w:lang w:val="de-DE"/>
        </w:rPr>
      </w:pPr>
    </w:p>
    <w:p w14:paraId="03DA54DE" w14:textId="77777777" w:rsidR="00FE291A" w:rsidRDefault="00C8738F">
      <w:pPr>
        <w:widowControl/>
        <w:pBdr>
          <w:top w:val="single" w:sz="4" w:space="1" w:color="auto"/>
          <w:left w:val="single" w:sz="4" w:space="4" w:color="auto"/>
          <w:bottom w:val="single" w:sz="4" w:space="1" w:color="auto"/>
          <w:right w:val="single" w:sz="4" w:space="4" w:color="auto"/>
        </w:pBdr>
        <w:rPr>
          <w:sz w:val="22"/>
          <w:szCs w:val="22"/>
          <w:lang w:val="de-DE"/>
        </w:rPr>
      </w:pPr>
      <w:r>
        <w:rPr>
          <w:b/>
          <w:sz w:val="22"/>
          <w:szCs w:val="22"/>
          <w:lang w:val="de-DE"/>
        </w:rPr>
        <w:t>UMKARTON DER BÜNDELPACKUNG FÜR DEN FERTIGPEN (mit blue box)</w:t>
      </w:r>
    </w:p>
    <w:p w14:paraId="69F68929" w14:textId="77777777" w:rsidR="00FE291A" w:rsidRDefault="00FE291A">
      <w:pPr>
        <w:widowControl/>
        <w:rPr>
          <w:sz w:val="22"/>
          <w:szCs w:val="22"/>
          <w:lang w:val="de-DE"/>
        </w:rPr>
      </w:pPr>
    </w:p>
    <w:p w14:paraId="31F8D2CC" w14:textId="77777777" w:rsidR="00FE291A" w:rsidRDefault="00FE291A">
      <w:pPr>
        <w:widowControl/>
        <w:rPr>
          <w:sz w:val="22"/>
          <w:szCs w:val="22"/>
          <w:lang w:val="de-DE"/>
        </w:rPr>
      </w:pPr>
    </w:p>
    <w:p w14:paraId="31BB9AFA" w14:textId="77777777" w:rsidR="00FE291A" w:rsidRDefault="00C8738F">
      <w:pPr>
        <w:keepNext/>
        <w:widowControl/>
        <w:numPr>
          <w:ilvl w:val="0"/>
          <w:numId w:val="45"/>
        </w:numPr>
        <w:pBdr>
          <w:top w:val="single" w:sz="4" w:space="1" w:color="auto"/>
          <w:left w:val="single" w:sz="4" w:space="4" w:color="auto"/>
          <w:bottom w:val="single" w:sz="4" w:space="1" w:color="auto"/>
          <w:right w:val="single" w:sz="4" w:space="4" w:color="auto"/>
        </w:pBdr>
        <w:tabs>
          <w:tab w:val="left" w:pos="567"/>
        </w:tabs>
        <w:autoSpaceDE/>
        <w:autoSpaceDN/>
        <w:adjustRightInd/>
        <w:ind w:hanging="1650"/>
        <w:outlineLvl w:val="0"/>
        <w:rPr>
          <w:sz w:val="22"/>
          <w:szCs w:val="22"/>
          <w:lang w:val="de-DE"/>
        </w:rPr>
      </w:pPr>
      <w:r>
        <w:rPr>
          <w:b/>
          <w:sz w:val="22"/>
          <w:szCs w:val="22"/>
          <w:lang w:val="de-DE"/>
        </w:rPr>
        <w:t>BEZEICHNUNG DES ARZNEIMITTELS</w:t>
      </w:r>
    </w:p>
    <w:p w14:paraId="05352B83" w14:textId="77777777" w:rsidR="00FE291A" w:rsidRDefault="00FE291A">
      <w:pPr>
        <w:keepNext/>
        <w:widowControl/>
        <w:rPr>
          <w:sz w:val="22"/>
          <w:szCs w:val="22"/>
          <w:lang w:val="de-DE"/>
        </w:rPr>
      </w:pPr>
    </w:p>
    <w:p w14:paraId="63D2E707" w14:textId="77777777" w:rsidR="00FE291A" w:rsidRDefault="00C8738F">
      <w:pPr>
        <w:widowControl/>
        <w:rPr>
          <w:sz w:val="22"/>
          <w:szCs w:val="22"/>
          <w:lang w:val="de-DE"/>
        </w:rPr>
      </w:pPr>
      <w:r>
        <w:rPr>
          <w:sz w:val="22"/>
          <w:szCs w:val="22"/>
          <w:lang w:val="de-DE"/>
        </w:rPr>
        <w:t>AMGEVITA 80 mg Injektionslösung im Fertigpen</w:t>
      </w:r>
    </w:p>
    <w:p w14:paraId="2CF5D85A" w14:textId="77777777" w:rsidR="00FE291A" w:rsidRDefault="00C8738F">
      <w:pPr>
        <w:widowControl/>
        <w:rPr>
          <w:b/>
          <w:sz w:val="22"/>
          <w:szCs w:val="22"/>
          <w:lang w:val="de-DE"/>
        </w:rPr>
      </w:pPr>
      <w:r>
        <w:rPr>
          <w:sz w:val="22"/>
          <w:szCs w:val="22"/>
          <w:lang w:val="de-DE"/>
        </w:rPr>
        <w:t>Adalimumab</w:t>
      </w:r>
    </w:p>
    <w:p w14:paraId="6E79C23E" w14:textId="77777777" w:rsidR="00FE291A" w:rsidRDefault="00FE291A">
      <w:pPr>
        <w:widowControl/>
        <w:rPr>
          <w:sz w:val="22"/>
          <w:szCs w:val="22"/>
          <w:lang w:val="de-DE"/>
        </w:rPr>
      </w:pPr>
    </w:p>
    <w:p w14:paraId="501DC4A6" w14:textId="77777777" w:rsidR="00FE291A" w:rsidRDefault="00FE291A">
      <w:pPr>
        <w:widowControl/>
        <w:rPr>
          <w:sz w:val="22"/>
          <w:szCs w:val="22"/>
          <w:lang w:val="de-DE"/>
        </w:rPr>
      </w:pPr>
    </w:p>
    <w:p w14:paraId="210E0586" w14:textId="77777777" w:rsidR="00FE291A" w:rsidRDefault="00C8738F">
      <w:pPr>
        <w:keepNext/>
        <w:widowControl/>
        <w:numPr>
          <w:ilvl w:val="0"/>
          <w:numId w:val="45"/>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WIRKSTOFF</w:t>
      </w:r>
    </w:p>
    <w:p w14:paraId="31F6AAC4" w14:textId="77777777" w:rsidR="00FE291A" w:rsidRDefault="00FE291A">
      <w:pPr>
        <w:keepNext/>
        <w:widowControl/>
        <w:rPr>
          <w:sz w:val="22"/>
          <w:szCs w:val="22"/>
          <w:lang w:val="de-DE"/>
        </w:rPr>
      </w:pPr>
    </w:p>
    <w:p w14:paraId="5F01E6CF" w14:textId="77777777" w:rsidR="00FE291A" w:rsidRDefault="00C8738F">
      <w:pPr>
        <w:widowControl/>
        <w:rPr>
          <w:sz w:val="22"/>
          <w:szCs w:val="22"/>
          <w:lang w:val="de-DE"/>
        </w:rPr>
      </w:pPr>
      <w:r>
        <w:rPr>
          <w:sz w:val="22"/>
          <w:szCs w:val="22"/>
          <w:lang w:val="de-DE"/>
        </w:rPr>
        <w:t>Jeder Fertigpen enthält 80 mg Adalimumab in 0,8 ml Lösung.</w:t>
      </w:r>
    </w:p>
    <w:p w14:paraId="67008995" w14:textId="77777777" w:rsidR="00FE291A" w:rsidRDefault="00FE291A">
      <w:pPr>
        <w:widowControl/>
        <w:rPr>
          <w:sz w:val="22"/>
          <w:szCs w:val="22"/>
          <w:lang w:val="de-DE"/>
        </w:rPr>
      </w:pPr>
    </w:p>
    <w:p w14:paraId="1AAB1909" w14:textId="77777777" w:rsidR="00FE291A" w:rsidRDefault="00FE291A">
      <w:pPr>
        <w:widowControl/>
        <w:rPr>
          <w:sz w:val="22"/>
          <w:szCs w:val="22"/>
          <w:lang w:val="de-DE"/>
        </w:rPr>
      </w:pPr>
    </w:p>
    <w:p w14:paraId="30EC2412" w14:textId="77777777" w:rsidR="00FE291A" w:rsidRDefault="00C8738F">
      <w:pPr>
        <w:keepNext/>
        <w:widowControl/>
        <w:numPr>
          <w:ilvl w:val="0"/>
          <w:numId w:val="45"/>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SONSTIGE BESTANDTEILE</w:t>
      </w:r>
    </w:p>
    <w:p w14:paraId="6E308A0C" w14:textId="77777777" w:rsidR="00FE291A" w:rsidRDefault="00FE291A">
      <w:pPr>
        <w:widowControl/>
        <w:rPr>
          <w:sz w:val="22"/>
          <w:szCs w:val="22"/>
          <w:lang w:val="de-DE"/>
        </w:rPr>
      </w:pPr>
    </w:p>
    <w:p w14:paraId="572CE173" w14:textId="77777777" w:rsidR="00FE291A" w:rsidRDefault="00C8738F">
      <w:pPr>
        <w:widowControl/>
        <w:rPr>
          <w:sz w:val="22"/>
          <w:szCs w:val="22"/>
          <w:lang w:val="de-DE"/>
        </w:rPr>
      </w:pPr>
      <w:r>
        <w:rPr>
          <w:sz w:val="22"/>
          <w:szCs w:val="22"/>
          <w:lang w:val="de-DE"/>
        </w:rPr>
        <w:t>(S)-Milchsäure, Saccharose, Polysorbat 80, Natriumhydroxid und Wasser für Injektionszwecke.</w:t>
      </w:r>
    </w:p>
    <w:p w14:paraId="6FD1D29D" w14:textId="77777777" w:rsidR="00FE291A" w:rsidRDefault="00FE291A">
      <w:pPr>
        <w:widowControl/>
        <w:rPr>
          <w:sz w:val="22"/>
          <w:szCs w:val="22"/>
          <w:lang w:val="de-DE"/>
        </w:rPr>
      </w:pPr>
    </w:p>
    <w:p w14:paraId="5F89C912" w14:textId="77777777" w:rsidR="00FE291A" w:rsidRDefault="00FE291A">
      <w:pPr>
        <w:widowControl/>
        <w:rPr>
          <w:sz w:val="22"/>
          <w:szCs w:val="22"/>
          <w:lang w:val="de-DE"/>
        </w:rPr>
      </w:pPr>
    </w:p>
    <w:p w14:paraId="43F39114" w14:textId="77777777" w:rsidR="00FE291A" w:rsidRDefault="00C8738F">
      <w:pPr>
        <w:keepNext/>
        <w:widowControl/>
        <w:numPr>
          <w:ilvl w:val="0"/>
          <w:numId w:val="45"/>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DARREICHUNGSFORM UND INHALT</w:t>
      </w:r>
    </w:p>
    <w:p w14:paraId="7211886D" w14:textId="77777777" w:rsidR="00FE291A" w:rsidRDefault="00FE291A">
      <w:pPr>
        <w:widowControl/>
        <w:rPr>
          <w:sz w:val="22"/>
          <w:szCs w:val="22"/>
          <w:lang w:val="de-DE"/>
        </w:rPr>
      </w:pPr>
    </w:p>
    <w:p w14:paraId="25ABA779" w14:textId="77777777" w:rsidR="00FE291A" w:rsidRDefault="00C8738F">
      <w:pPr>
        <w:widowControl/>
        <w:rPr>
          <w:sz w:val="22"/>
          <w:szCs w:val="22"/>
          <w:lang w:val="de-DE"/>
        </w:rPr>
      </w:pPr>
      <w:r>
        <w:rPr>
          <w:sz w:val="22"/>
          <w:szCs w:val="22"/>
          <w:highlight w:val="lightGray"/>
          <w:lang w:val="de-DE"/>
        </w:rPr>
        <w:t>Injektionslösung</w:t>
      </w:r>
    </w:p>
    <w:p w14:paraId="454499C2" w14:textId="77777777" w:rsidR="00FE291A" w:rsidRDefault="00C8738F">
      <w:pPr>
        <w:widowControl/>
        <w:rPr>
          <w:sz w:val="22"/>
          <w:szCs w:val="22"/>
          <w:lang w:val="de-DE"/>
        </w:rPr>
      </w:pPr>
      <w:r>
        <w:rPr>
          <w:sz w:val="22"/>
          <w:szCs w:val="22"/>
          <w:lang w:val="de-DE"/>
        </w:rPr>
        <w:t>80 mg/0,8 ml</w:t>
      </w:r>
    </w:p>
    <w:p w14:paraId="73CB8848" w14:textId="77777777" w:rsidR="00FE291A" w:rsidRDefault="00C8738F">
      <w:pPr>
        <w:widowControl/>
        <w:rPr>
          <w:sz w:val="22"/>
          <w:szCs w:val="22"/>
          <w:lang w:val="de-DE"/>
        </w:rPr>
      </w:pPr>
      <w:r>
        <w:rPr>
          <w:sz w:val="22"/>
          <w:szCs w:val="22"/>
          <w:lang w:val="de-DE"/>
        </w:rPr>
        <w:t>Bündelpackung: 3 (3 Packungen mit 1) SureClick Fertigpens.</w:t>
      </w:r>
    </w:p>
    <w:p w14:paraId="62382612" w14:textId="77777777" w:rsidR="00FE291A" w:rsidRDefault="00FE291A">
      <w:pPr>
        <w:widowControl/>
        <w:rPr>
          <w:sz w:val="22"/>
          <w:szCs w:val="22"/>
          <w:lang w:val="de-DE"/>
        </w:rPr>
      </w:pPr>
    </w:p>
    <w:p w14:paraId="1F195A61" w14:textId="77777777" w:rsidR="00FE291A" w:rsidRDefault="00FE291A">
      <w:pPr>
        <w:widowControl/>
        <w:rPr>
          <w:sz w:val="22"/>
          <w:szCs w:val="22"/>
          <w:lang w:val="de-DE"/>
        </w:rPr>
      </w:pPr>
    </w:p>
    <w:p w14:paraId="2AAD0CE9" w14:textId="77777777" w:rsidR="00FE291A" w:rsidRDefault="00C8738F">
      <w:pPr>
        <w:keepNext/>
        <w:widowControl/>
        <w:numPr>
          <w:ilvl w:val="0"/>
          <w:numId w:val="45"/>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HINWEISE ZUR UND ART(EN) DER ANWENDUNG</w:t>
      </w:r>
    </w:p>
    <w:p w14:paraId="4BD52009" w14:textId="77777777" w:rsidR="00FE291A" w:rsidRDefault="00FE291A">
      <w:pPr>
        <w:keepNext/>
        <w:widowControl/>
        <w:rPr>
          <w:sz w:val="22"/>
          <w:szCs w:val="22"/>
          <w:lang w:val="de-DE"/>
        </w:rPr>
      </w:pPr>
    </w:p>
    <w:p w14:paraId="4A3AC77F" w14:textId="77777777" w:rsidR="00FE291A" w:rsidRDefault="00C8738F">
      <w:pPr>
        <w:widowControl/>
        <w:rPr>
          <w:sz w:val="22"/>
          <w:szCs w:val="22"/>
          <w:lang w:val="de-DE"/>
        </w:rPr>
      </w:pPr>
      <w:r>
        <w:rPr>
          <w:sz w:val="22"/>
          <w:szCs w:val="22"/>
          <w:lang w:val="de-DE"/>
        </w:rPr>
        <w:t>Zur subkutanen Anwendung.</w:t>
      </w:r>
    </w:p>
    <w:p w14:paraId="4C041EE4" w14:textId="77777777" w:rsidR="00FE291A" w:rsidRDefault="00C8738F">
      <w:pPr>
        <w:widowControl/>
        <w:rPr>
          <w:sz w:val="22"/>
          <w:szCs w:val="22"/>
          <w:lang w:val="de-DE"/>
        </w:rPr>
      </w:pPr>
      <w:r>
        <w:rPr>
          <w:sz w:val="22"/>
          <w:szCs w:val="22"/>
          <w:lang w:val="de-DE"/>
        </w:rPr>
        <w:t>Packungsbeilage beachten.</w:t>
      </w:r>
    </w:p>
    <w:p w14:paraId="5521DCCE" w14:textId="77777777" w:rsidR="00FE291A" w:rsidRDefault="00C8738F">
      <w:pPr>
        <w:widowControl/>
        <w:rPr>
          <w:sz w:val="22"/>
          <w:szCs w:val="22"/>
          <w:lang w:val="de-DE"/>
        </w:rPr>
      </w:pPr>
      <w:r>
        <w:rPr>
          <w:sz w:val="22"/>
          <w:szCs w:val="22"/>
          <w:lang w:val="de-DE"/>
        </w:rPr>
        <w:t>Nur zum Einmalgebrauch.</w:t>
      </w:r>
    </w:p>
    <w:p w14:paraId="0F20ABB9" w14:textId="77777777" w:rsidR="00FE291A" w:rsidRDefault="00FE291A">
      <w:pPr>
        <w:widowControl/>
        <w:rPr>
          <w:sz w:val="22"/>
          <w:szCs w:val="22"/>
          <w:lang w:val="de-DE"/>
        </w:rPr>
      </w:pPr>
    </w:p>
    <w:p w14:paraId="7368865C" w14:textId="77777777" w:rsidR="00FE291A" w:rsidRDefault="00FE291A">
      <w:pPr>
        <w:widowControl/>
        <w:rPr>
          <w:sz w:val="22"/>
          <w:szCs w:val="22"/>
          <w:lang w:val="de-DE"/>
        </w:rPr>
      </w:pPr>
    </w:p>
    <w:p w14:paraId="0BF7736F" w14:textId="77777777" w:rsidR="00FE291A" w:rsidRDefault="00C8738F">
      <w:pPr>
        <w:keepNext/>
        <w:widowControl/>
        <w:numPr>
          <w:ilvl w:val="0"/>
          <w:numId w:val="45"/>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WARNHINWEIS, DASS DAS ARZNEIMITTEL FÜR KINDER UNZUGÄNGLICH AUFZUBEWAHREN IST</w:t>
      </w:r>
    </w:p>
    <w:p w14:paraId="2F140E1E" w14:textId="77777777" w:rsidR="00FE291A" w:rsidRDefault="00FE291A">
      <w:pPr>
        <w:keepNext/>
        <w:widowControl/>
        <w:rPr>
          <w:sz w:val="22"/>
          <w:szCs w:val="22"/>
          <w:lang w:val="de-DE"/>
        </w:rPr>
      </w:pPr>
    </w:p>
    <w:p w14:paraId="2F6E4F7E" w14:textId="77777777" w:rsidR="00FE291A" w:rsidRDefault="00C8738F">
      <w:pPr>
        <w:widowControl/>
        <w:outlineLvl w:val="0"/>
        <w:rPr>
          <w:sz w:val="22"/>
          <w:szCs w:val="22"/>
          <w:lang w:val="de-DE"/>
        </w:rPr>
      </w:pPr>
      <w:r>
        <w:rPr>
          <w:sz w:val="22"/>
          <w:szCs w:val="22"/>
          <w:lang w:val="de-DE"/>
        </w:rPr>
        <w:t>Arzneimittel für Kinder unzugänglich aufbewahren.</w:t>
      </w:r>
    </w:p>
    <w:p w14:paraId="35EC7043" w14:textId="77777777" w:rsidR="00FE291A" w:rsidRDefault="00FE291A">
      <w:pPr>
        <w:widowControl/>
        <w:rPr>
          <w:sz w:val="22"/>
          <w:szCs w:val="22"/>
          <w:lang w:val="de-DE"/>
        </w:rPr>
      </w:pPr>
    </w:p>
    <w:p w14:paraId="4A9B8BDD" w14:textId="77777777" w:rsidR="00FE291A" w:rsidRDefault="00FE291A">
      <w:pPr>
        <w:widowControl/>
        <w:rPr>
          <w:sz w:val="22"/>
          <w:szCs w:val="22"/>
          <w:lang w:val="de-DE"/>
        </w:rPr>
      </w:pPr>
    </w:p>
    <w:p w14:paraId="4C5168BD" w14:textId="77777777" w:rsidR="00FE291A" w:rsidRDefault="00C8738F">
      <w:pPr>
        <w:keepNext/>
        <w:widowControl/>
        <w:numPr>
          <w:ilvl w:val="0"/>
          <w:numId w:val="45"/>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WEITERE WARNHINWEISE, FALLS ERFORDERLICH</w:t>
      </w:r>
    </w:p>
    <w:p w14:paraId="6A2BF120" w14:textId="77777777" w:rsidR="00FE291A" w:rsidRDefault="00FE291A">
      <w:pPr>
        <w:keepNext/>
        <w:widowControl/>
        <w:rPr>
          <w:sz w:val="22"/>
          <w:szCs w:val="22"/>
          <w:lang w:val="de-DE"/>
        </w:rPr>
      </w:pPr>
    </w:p>
    <w:p w14:paraId="32CE49FE" w14:textId="77777777" w:rsidR="00FE291A" w:rsidRDefault="00FE291A">
      <w:pPr>
        <w:widowControl/>
        <w:tabs>
          <w:tab w:val="left" w:pos="749"/>
        </w:tabs>
        <w:rPr>
          <w:sz w:val="22"/>
          <w:szCs w:val="22"/>
          <w:lang w:val="de-DE"/>
        </w:rPr>
      </w:pPr>
    </w:p>
    <w:p w14:paraId="2EF9684C" w14:textId="77777777" w:rsidR="00FE291A" w:rsidRDefault="00C8738F">
      <w:pPr>
        <w:keepNext/>
        <w:widowControl/>
        <w:numPr>
          <w:ilvl w:val="0"/>
          <w:numId w:val="45"/>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VERFALLDATUM</w:t>
      </w:r>
    </w:p>
    <w:p w14:paraId="3122E8FA" w14:textId="77777777" w:rsidR="00FE291A" w:rsidRDefault="00FE291A">
      <w:pPr>
        <w:keepNext/>
        <w:widowControl/>
        <w:rPr>
          <w:sz w:val="22"/>
          <w:szCs w:val="22"/>
          <w:lang w:val="de-DE"/>
        </w:rPr>
      </w:pPr>
    </w:p>
    <w:p w14:paraId="23508F98" w14:textId="77777777" w:rsidR="00FE291A" w:rsidRDefault="00C8738F">
      <w:pPr>
        <w:widowControl/>
        <w:rPr>
          <w:sz w:val="22"/>
          <w:szCs w:val="22"/>
          <w:lang w:val="de-DE"/>
        </w:rPr>
      </w:pPr>
      <w:r>
        <w:rPr>
          <w:sz w:val="22"/>
          <w:szCs w:val="22"/>
          <w:lang w:val="de-DE"/>
        </w:rPr>
        <w:t>verwendbar bis</w:t>
      </w:r>
    </w:p>
    <w:p w14:paraId="64A18CB6" w14:textId="77777777" w:rsidR="00FE291A" w:rsidRDefault="00FE291A">
      <w:pPr>
        <w:widowControl/>
        <w:rPr>
          <w:sz w:val="22"/>
          <w:szCs w:val="22"/>
          <w:lang w:val="de-DE"/>
        </w:rPr>
      </w:pPr>
    </w:p>
    <w:p w14:paraId="24A021CC" w14:textId="77777777" w:rsidR="00FE291A" w:rsidRDefault="00FE291A">
      <w:pPr>
        <w:widowControl/>
        <w:rPr>
          <w:sz w:val="22"/>
          <w:szCs w:val="22"/>
          <w:lang w:val="de-DE"/>
        </w:rPr>
      </w:pPr>
    </w:p>
    <w:p w14:paraId="2E3D565E" w14:textId="77777777" w:rsidR="00FE291A" w:rsidRDefault="00C8738F">
      <w:pPr>
        <w:widowControl/>
        <w:numPr>
          <w:ilvl w:val="0"/>
          <w:numId w:val="45"/>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BESONDERE VORSICHTSMASSNAHMEN FÜR DIE AUFBEWAHRUNG</w:t>
      </w:r>
    </w:p>
    <w:p w14:paraId="02272407" w14:textId="77777777" w:rsidR="00FE291A" w:rsidRDefault="00FE291A">
      <w:pPr>
        <w:widowControl/>
        <w:rPr>
          <w:sz w:val="22"/>
          <w:szCs w:val="22"/>
          <w:lang w:val="de-DE"/>
        </w:rPr>
      </w:pPr>
    </w:p>
    <w:p w14:paraId="329DC5C9" w14:textId="77777777" w:rsidR="00FE291A" w:rsidRDefault="00C8738F">
      <w:pPr>
        <w:widowControl/>
        <w:ind w:left="567" w:hanging="567"/>
        <w:rPr>
          <w:sz w:val="22"/>
          <w:szCs w:val="22"/>
          <w:lang w:val="de-DE"/>
        </w:rPr>
      </w:pPr>
      <w:r>
        <w:rPr>
          <w:sz w:val="22"/>
          <w:szCs w:val="22"/>
          <w:lang w:val="de-DE"/>
        </w:rPr>
        <w:t>Im Kühlschrank lagern.</w:t>
      </w:r>
    </w:p>
    <w:p w14:paraId="69B96E0F" w14:textId="77777777" w:rsidR="00FE291A" w:rsidRDefault="00C8738F">
      <w:pPr>
        <w:widowControl/>
        <w:ind w:left="567" w:hanging="567"/>
        <w:rPr>
          <w:sz w:val="22"/>
          <w:szCs w:val="22"/>
          <w:lang w:val="de-DE"/>
        </w:rPr>
      </w:pPr>
      <w:r>
        <w:rPr>
          <w:sz w:val="22"/>
          <w:szCs w:val="22"/>
          <w:lang w:val="de-DE"/>
        </w:rPr>
        <w:t>Nicht einfrieren.</w:t>
      </w:r>
    </w:p>
    <w:p w14:paraId="09C03595" w14:textId="77777777" w:rsidR="00FE291A" w:rsidRDefault="00C8738F">
      <w:pPr>
        <w:widowControl/>
        <w:ind w:left="567" w:hanging="567"/>
        <w:rPr>
          <w:sz w:val="22"/>
          <w:szCs w:val="22"/>
          <w:lang w:val="de-DE"/>
        </w:rPr>
      </w:pPr>
      <w:r>
        <w:rPr>
          <w:sz w:val="22"/>
          <w:szCs w:val="22"/>
          <w:lang w:val="de-DE"/>
        </w:rPr>
        <w:t>Im Originalkarton aufbewahren, um den Inhalt vor Licht zu schützen.</w:t>
      </w:r>
    </w:p>
    <w:p w14:paraId="2DD43978" w14:textId="77777777" w:rsidR="00FE291A" w:rsidRDefault="00FE291A">
      <w:pPr>
        <w:widowControl/>
        <w:ind w:left="567" w:hanging="567"/>
        <w:rPr>
          <w:sz w:val="22"/>
          <w:szCs w:val="22"/>
          <w:lang w:val="de-DE"/>
        </w:rPr>
      </w:pPr>
    </w:p>
    <w:p w14:paraId="41AD8E1B" w14:textId="77777777" w:rsidR="00FE291A" w:rsidRDefault="00FE291A">
      <w:pPr>
        <w:widowControl/>
        <w:ind w:left="567" w:hanging="567"/>
        <w:rPr>
          <w:sz w:val="22"/>
          <w:szCs w:val="22"/>
          <w:lang w:val="de-DE"/>
        </w:rPr>
      </w:pPr>
    </w:p>
    <w:p w14:paraId="3A316FA9" w14:textId="77777777" w:rsidR="00FE291A" w:rsidRDefault="00C8738F">
      <w:pPr>
        <w:keepNext/>
        <w:widowControl/>
        <w:numPr>
          <w:ilvl w:val="0"/>
          <w:numId w:val="45"/>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GEGEBENENFALLS BESONDERE VORSICHTSMASSNAHMEN FÜR DIE BESEITIGUNG VON NICHT VERWENDETEM ARZNEIMITTEL ODER DAVON STAMMENDEN ABFALLMATERIALIEN</w:t>
      </w:r>
    </w:p>
    <w:p w14:paraId="159575AC" w14:textId="77777777" w:rsidR="00FE291A" w:rsidRDefault="00FE291A">
      <w:pPr>
        <w:widowControl/>
        <w:rPr>
          <w:sz w:val="22"/>
          <w:szCs w:val="22"/>
          <w:lang w:val="de-DE"/>
        </w:rPr>
      </w:pPr>
    </w:p>
    <w:p w14:paraId="21D001B5" w14:textId="77777777" w:rsidR="00FE291A" w:rsidRDefault="00FE291A">
      <w:pPr>
        <w:widowControl/>
        <w:rPr>
          <w:sz w:val="22"/>
          <w:szCs w:val="22"/>
          <w:lang w:val="de-DE"/>
        </w:rPr>
      </w:pPr>
    </w:p>
    <w:p w14:paraId="43DE3566" w14:textId="77777777" w:rsidR="00FE291A" w:rsidRDefault="00C8738F">
      <w:pPr>
        <w:keepNext/>
        <w:widowControl/>
        <w:numPr>
          <w:ilvl w:val="0"/>
          <w:numId w:val="45"/>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b/>
          <w:sz w:val="22"/>
          <w:szCs w:val="22"/>
          <w:lang w:val="de-DE"/>
        </w:rPr>
      </w:pPr>
      <w:r>
        <w:rPr>
          <w:b/>
          <w:sz w:val="22"/>
          <w:szCs w:val="22"/>
          <w:lang w:val="de-DE"/>
        </w:rPr>
        <w:t>NAME UND ANSCHRIFT DES PHARMAZEUTISCHEN UNTERNEHMERS</w:t>
      </w:r>
    </w:p>
    <w:p w14:paraId="3EB3702F" w14:textId="77777777" w:rsidR="00FE291A" w:rsidRDefault="00FE291A">
      <w:pPr>
        <w:widowControl/>
        <w:rPr>
          <w:sz w:val="22"/>
          <w:szCs w:val="22"/>
          <w:lang w:val="de-DE"/>
        </w:rPr>
      </w:pPr>
    </w:p>
    <w:p w14:paraId="04E384A8" w14:textId="77777777" w:rsidR="00FE291A" w:rsidRDefault="00C8738F">
      <w:pPr>
        <w:widowControl/>
        <w:rPr>
          <w:rFonts w:eastAsia="SimSun"/>
          <w:sz w:val="22"/>
          <w:szCs w:val="22"/>
          <w:lang w:val="de-DE" w:eastAsia="en-GB"/>
        </w:rPr>
      </w:pPr>
      <w:r>
        <w:rPr>
          <w:rFonts w:eastAsia="SimSun"/>
          <w:sz w:val="22"/>
          <w:szCs w:val="22"/>
          <w:lang w:val="de-DE" w:eastAsia="en-GB"/>
        </w:rPr>
        <w:t>Amgen Europe B.V.</w:t>
      </w:r>
    </w:p>
    <w:p w14:paraId="2764E2BF" w14:textId="77777777" w:rsidR="00FE291A" w:rsidRDefault="00C8738F">
      <w:pPr>
        <w:widowControl/>
        <w:rPr>
          <w:rFonts w:eastAsia="SimSun"/>
          <w:sz w:val="22"/>
          <w:szCs w:val="22"/>
          <w:lang w:val="de-DE" w:eastAsia="en-GB"/>
        </w:rPr>
      </w:pPr>
      <w:r>
        <w:rPr>
          <w:rFonts w:eastAsia="SimSun"/>
          <w:sz w:val="22"/>
          <w:szCs w:val="22"/>
          <w:lang w:val="de-DE" w:eastAsia="en-GB"/>
        </w:rPr>
        <w:t>Minervum 7061,</w:t>
      </w:r>
    </w:p>
    <w:p w14:paraId="645B7853" w14:textId="77777777" w:rsidR="00FE291A" w:rsidRDefault="00C8738F">
      <w:pPr>
        <w:widowControl/>
        <w:rPr>
          <w:rFonts w:eastAsia="SimSun"/>
          <w:sz w:val="22"/>
          <w:szCs w:val="22"/>
          <w:lang w:val="de-DE" w:eastAsia="en-GB"/>
        </w:rPr>
      </w:pPr>
      <w:r>
        <w:rPr>
          <w:rFonts w:eastAsia="SimSun"/>
          <w:sz w:val="22"/>
          <w:szCs w:val="22"/>
          <w:lang w:val="de-DE" w:eastAsia="en-GB"/>
        </w:rPr>
        <w:t>4817 ZK Breda,</w:t>
      </w:r>
    </w:p>
    <w:p w14:paraId="2423F82C" w14:textId="77777777" w:rsidR="00FE291A" w:rsidRDefault="00C8738F">
      <w:pPr>
        <w:widowControl/>
        <w:rPr>
          <w:rFonts w:eastAsia="SimSun"/>
          <w:sz w:val="22"/>
          <w:szCs w:val="22"/>
          <w:lang w:val="de-DE" w:eastAsia="en-GB"/>
        </w:rPr>
      </w:pPr>
      <w:r>
        <w:rPr>
          <w:rFonts w:eastAsia="SimSun"/>
          <w:sz w:val="22"/>
          <w:szCs w:val="22"/>
          <w:lang w:val="de-DE" w:eastAsia="en-GB"/>
        </w:rPr>
        <w:t>Niederlande</w:t>
      </w:r>
    </w:p>
    <w:p w14:paraId="12F478AB" w14:textId="77777777" w:rsidR="00FE291A" w:rsidRDefault="00FE291A">
      <w:pPr>
        <w:widowControl/>
        <w:rPr>
          <w:sz w:val="22"/>
          <w:szCs w:val="22"/>
          <w:lang w:val="de-DE"/>
        </w:rPr>
      </w:pPr>
    </w:p>
    <w:p w14:paraId="47C5F2F1" w14:textId="77777777" w:rsidR="00FE291A" w:rsidRDefault="00FE291A">
      <w:pPr>
        <w:widowControl/>
        <w:rPr>
          <w:sz w:val="22"/>
          <w:szCs w:val="22"/>
          <w:lang w:val="de-DE"/>
        </w:rPr>
      </w:pPr>
    </w:p>
    <w:p w14:paraId="1005D195" w14:textId="77777777" w:rsidR="00FE291A" w:rsidRDefault="00C8738F">
      <w:pPr>
        <w:keepNext/>
        <w:widowControl/>
        <w:numPr>
          <w:ilvl w:val="0"/>
          <w:numId w:val="45"/>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ZULASSUNGSNUMMER</w:t>
      </w:r>
    </w:p>
    <w:p w14:paraId="4A46064A" w14:textId="77777777" w:rsidR="00FE291A" w:rsidRDefault="00FE291A">
      <w:pPr>
        <w:widowControl/>
        <w:rPr>
          <w:sz w:val="22"/>
          <w:szCs w:val="22"/>
          <w:lang w:val="de-DE"/>
        </w:rPr>
      </w:pPr>
    </w:p>
    <w:p w14:paraId="7B6C1175" w14:textId="77777777" w:rsidR="00FE291A" w:rsidRDefault="00C8738F">
      <w:pPr>
        <w:widowControl/>
        <w:outlineLvl w:val="0"/>
        <w:rPr>
          <w:sz w:val="22"/>
          <w:szCs w:val="22"/>
          <w:highlight w:val="lightGray"/>
          <w:lang w:val="de-DE"/>
        </w:rPr>
      </w:pPr>
      <w:r>
        <w:rPr>
          <w:sz w:val="22"/>
          <w:szCs w:val="22"/>
          <w:lang w:val="de-DE"/>
        </w:rPr>
        <w:t>EU/1/16/1164/022</w:t>
      </w:r>
    </w:p>
    <w:p w14:paraId="7BE6A7C4" w14:textId="77777777" w:rsidR="00FE291A" w:rsidRDefault="00FE291A">
      <w:pPr>
        <w:widowControl/>
        <w:rPr>
          <w:sz w:val="22"/>
          <w:szCs w:val="22"/>
          <w:lang w:val="de-DE"/>
        </w:rPr>
      </w:pPr>
    </w:p>
    <w:p w14:paraId="5ABF0A8E" w14:textId="77777777" w:rsidR="00FE291A" w:rsidRDefault="00FE291A">
      <w:pPr>
        <w:widowControl/>
        <w:rPr>
          <w:sz w:val="22"/>
          <w:szCs w:val="22"/>
          <w:lang w:val="de-DE"/>
        </w:rPr>
      </w:pPr>
    </w:p>
    <w:p w14:paraId="6E04C944" w14:textId="77777777" w:rsidR="00FE291A" w:rsidRDefault="00C8738F">
      <w:pPr>
        <w:keepNext/>
        <w:widowControl/>
        <w:numPr>
          <w:ilvl w:val="0"/>
          <w:numId w:val="45"/>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CHARGENBEZEICHNUNG</w:t>
      </w:r>
    </w:p>
    <w:p w14:paraId="48AA342F" w14:textId="77777777" w:rsidR="00FE291A" w:rsidRDefault="00FE291A">
      <w:pPr>
        <w:widowControl/>
        <w:rPr>
          <w:i/>
          <w:sz w:val="22"/>
          <w:szCs w:val="22"/>
          <w:lang w:val="de-DE"/>
        </w:rPr>
      </w:pPr>
    </w:p>
    <w:p w14:paraId="44A0B9ED" w14:textId="77777777" w:rsidR="00FE291A" w:rsidRDefault="00C8738F">
      <w:pPr>
        <w:widowControl/>
        <w:rPr>
          <w:sz w:val="22"/>
          <w:szCs w:val="22"/>
          <w:lang w:val="de-DE"/>
        </w:rPr>
      </w:pPr>
      <w:r>
        <w:rPr>
          <w:sz w:val="22"/>
          <w:szCs w:val="22"/>
          <w:lang w:val="de-DE"/>
        </w:rPr>
        <w:t>Ch.-B.</w:t>
      </w:r>
    </w:p>
    <w:p w14:paraId="6509A48B" w14:textId="77777777" w:rsidR="00FE291A" w:rsidRDefault="00FE291A">
      <w:pPr>
        <w:widowControl/>
        <w:rPr>
          <w:sz w:val="22"/>
          <w:szCs w:val="22"/>
          <w:lang w:val="de-DE"/>
        </w:rPr>
      </w:pPr>
    </w:p>
    <w:p w14:paraId="3DFA5478" w14:textId="77777777" w:rsidR="00FE291A" w:rsidRDefault="00FE291A">
      <w:pPr>
        <w:widowControl/>
        <w:rPr>
          <w:sz w:val="22"/>
          <w:szCs w:val="22"/>
          <w:lang w:val="de-DE"/>
        </w:rPr>
      </w:pPr>
    </w:p>
    <w:p w14:paraId="47874F9E" w14:textId="77777777" w:rsidR="00FE291A" w:rsidRDefault="00C8738F">
      <w:pPr>
        <w:keepNext/>
        <w:widowControl/>
        <w:numPr>
          <w:ilvl w:val="0"/>
          <w:numId w:val="45"/>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VERKAUFSABGRENZUNG</w:t>
      </w:r>
    </w:p>
    <w:p w14:paraId="2D0639F0" w14:textId="77777777" w:rsidR="00FE291A" w:rsidRDefault="00FE291A">
      <w:pPr>
        <w:widowControl/>
        <w:rPr>
          <w:i/>
          <w:sz w:val="22"/>
          <w:szCs w:val="22"/>
          <w:lang w:val="de-DE"/>
        </w:rPr>
      </w:pPr>
    </w:p>
    <w:p w14:paraId="62E98859" w14:textId="77777777" w:rsidR="00FE291A" w:rsidRDefault="00FE291A">
      <w:pPr>
        <w:widowControl/>
        <w:rPr>
          <w:sz w:val="22"/>
          <w:szCs w:val="22"/>
          <w:lang w:val="de-DE"/>
        </w:rPr>
      </w:pPr>
    </w:p>
    <w:p w14:paraId="3420A835" w14:textId="77777777" w:rsidR="00FE291A" w:rsidRDefault="00C8738F">
      <w:pPr>
        <w:keepNext/>
        <w:widowControl/>
        <w:numPr>
          <w:ilvl w:val="0"/>
          <w:numId w:val="45"/>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HINWEISE FÜR DEN GEBRAUCH</w:t>
      </w:r>
    </w:p>
    <w:p w14:paraId="63E1C5FB" w14:textId="77777777" w:rsidR="00FE291A" w:rsidRDefault="00FE291A">
      <w:pPr>
        <w:widowControl/>
        <w:rPr>
          <w:sz w:val="22"/>
          <w:szCs w:val="22"/>
          <w:lang w:val="de-DE"/>
        </w:rPr>
      </w:pPr>
    </w:p>
    <w:p w14:paraId="67750805" w14:textId="77777777" w:rsidR="00FE291A" w:rsidRDefault="00FE291A">
      <w:pPr>
        <w:widowControl/>
        <w:rPr>
          <w:sz w:val="22"/>
          <w:szCs w:val="22"/>
          <w:lang w:val="de-DE"/>
        </w:rPr>
      </w:pPr>
    </w:p>
    <w:p w14:paraId="0FC19FDB" w14:textId="77777777" w:rsidR="00FE291A" w:rsidRDefault="00C8738F">
      <w:pPr>
        <w:keepNext/>
        <w:widowControl/>
        <w:numPr>
          <w:ilvl w:val="0"/>
          <w:numId w:val="45"/>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sz w:val="22"/>
          <w:szCs w:val="22"/>
          <w:lang w:val="de-DE"/>
        </w:rPr>
      </w:pPr>
      <w:r>
        <w:rPr>
          <w:b/>
          <w:sz w:val="22"/>
          <w:szCs w:val="22"/>
          <w:lang w:val="de-DE"/>
        </w:rPr>
        <w:t>ANGABEN IN BLINDENSCHRIFT</w:t>
      </w:r>
    </w:p>
    <w:p w14:paraId="121E4797" w14:textId="77777777" w:rsidR="00FE291A" w:rsidRDefault="00FE291A">
      <w:pPr>
        <w:widowControl/>
        <w:rPr>
          <w:sz w:val="22"/>
          <w:szCs w:val="22"/>
          <w:lang w:val="de-DE"/>
        </w:rPr>
      </w:pPr>
    </w:p>
    <w:p w14:paraId="2EAD13B8" w14:textId="77777777" w:rsidR="00FE291A" w:rsidRDefault="00C8738F">
      <w:pPr>
        <w:widowControl/>
        <w:rPr>
          <w:sz w:val="22"/>
          <w:szCs w:val="22"/>
          <w:shd w:val="clear" w:color="auto" w:fill="CCCCCC"/>
          <w:lang w:val="de-DE"/>
        </w:rPr>
      </w:pPr>
      <w:r>
        <w:rPr>
          <w:sz w:val="22"/>
          <w:szCs w:val="22"/>
          <w:lang w:val="de-DE"/>
        </w:rPr>
        <w:t>AMGEVITA 80 mg/0,8 ml Pen</w:t>
      </w:r>
    </w:p>
    <w:p w14:paraId="40DA4599" w14:textId="77777777" w:rsidR="00FE291A" w:rsidRDefault="00FE291A">
      <w:pPr>
        <w:widowControl/>
        <w:rPr>
          <w:sz w:val="22"/>
          <w:szCs w:val="22"/>
          <w:shd w:val="clear" w:color="auto" w:fill="CCCCCC"/>
          <w:lang w:val="de-DE"/>
        </w:rPr>
      </w:pPr>
    </w:p>
    <w:p w14:paraId="10ACCA90" w14:textId="77777777" w:rsidR="00FE291A" w:rsidRDefault="00FE291A">
      <w:pPr>
        <w:widowControl/>
        <w:rPr>
          <w:sz w:val="22"/>
          <w:szCs w:val="22"/>
          <w:shd w:val="clear" w:color="auto" w:fill="CCCCCC"/>
          <w:lang w:val="de-DE"/>
        </w:rPr>
      </w:pPr>
    </w:p>
    <w:p w14:paraId="4FE3B0D5" w14:textId="77777777" w:rsidR="00FE291A" w:rsidRDefault="00C8738F">
      <w:pPr>
        <w:keepNext/>
        <w:widowControl/>
        <w:numPr>
          <w:ilvl w:val="0"/>
          <w:numId w:val="45"/>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i/>
          <w:sz w:val="22"/>
          <w:szCs w:val="22"/>
          <w:lang w:val="de-DE"/>
        </w:rPr>
      </w:pPr>
      <w:r>
        <w:rPr>
          <w:b/>
          <w:sz w:val="22"/>
          <w:szCs w:val="22"/>
          <w:lang w:val="de-DE"/>
        </w:rPr>
        <w:t>INDIVIDUELLES ERKENNUNGSMERKMAL – 2D-BARCODE</w:t>
      </w:r>
    </w:p>
    <w:p w14:paraId="6D03AFE5" w14:textId="77777777" w:rsidR="00FE291A" w:rsidRDefault="00FE291A">
      <w:pPr>
        <w:widowControl/>
        <w:rPr>
          <w:sz w:val="22"/>
          <w:szCs w:val="22"/>
          <w:lang w:val="de-DE"/>
        </w:rPr>
      </w:pPr>
    </w:p>
    <w:p w14:paraId="417FE033" w14:textId="77777777" w:rsidR="00FE291A" w:rsidRDefault="00C8738F">
      <w:pPr>
        <w:widowControl/>
        <w:rPr>
          <w:sz w:val="22"/>
          <w:szCs w:val="22"/>
          <w:shd w:val="clear" w:color="auto" w:fill="CCCCCC"/>
          <w:lang w:val="de-DE"/>
        </w:rPr>
      </w:pPr>
      <w:r>
        <w:rPr>
          <w:sz w:val="22"/>
          <w:szCs w:val="22"/>
          <w:highlight w:val="lightGray"/>
          <w:lang w:val="de-DE"/>
        </w:rPr>
        <w:t>2D-Barcode mit individuellem Erkennungsmerkmal.</w:t>
      </w:r>
    </w:p>
    <w:p w14:paraId="61C8CFAE" w14:textId="77777777" w:rsidR="00FE291A" w:rsidRDefault="00FE291A">
      <w:pPr>
        <w:widowControl/>
        <w:rPr>
          <w:sz w:val="22"/>
          <w:szCs w:val="22"/>
          <w:lang w:val="de-DE"/>
        </w:rPr>
      </w:pPr>
    </w:p>
    <w:p w14:paraId="6FD4272A" w14:textId="77777777" w:rsidR="00FE291A" w:rsidRDefault="00FE291A">
      <w:pPr>
        <w:widowControl/>
        <w:rPr>
          <w:sz w:val="22"/>
          <w:szCs w:val="22"/>
          <w:lang w:val="de-DE"/>
        </w:rPr>
      </w:pPr>
    </w:p>
    <w:p w14:paraId="38EF781C" w14:textId="77777777" w:rsidR="00FE291A" w:rsidRDefault="00C8738F">
      <w:pPr>
        <w:keepNext/>
        <w:widowControl/>
        <w:numPr>
          <w:ilvl w:val="0"/>
          <w:numId w:val="45"/>
        </w:numPr>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i/>
          <w:sz w:val="22"/>
          <w:szCs w:val="22"/>
          <w:lang w:val="de-DE"/>
        </w:rPr>
      </w:pPr>
      <w:r>
        <w:rPr>
          <w:b/>
          <w:sz w:val="22"/>
          <w:szCs w:val="22"/>
          <w:lang w:val="de-DE"/>
        </w:rPr>
        <w:t>INDIVIDUELLES ERKENNUNGSMERKMAL – VOM MENSCHEN LESBARES FORMAT</w:t>
      </w:r>
    </w:p>
    <w:p w14:paraId="55DF9BC5" w14:textId="77777777" w:rsidR="00FE291A" w:rsidRDefault="00FE291A">
      <w:pPr>
        <w:keepNext/>
        <w:widowControl/>
        <w:rPr>
          <w:sz w:val="22"/>
          <w:szCs w:val="22"/>
          <w:lang w:val="de-DE"/>
        </w:rPr>
      </w:pPr>
    </w:p>
    <w:p w14:paraId="7E67A6FC" w14:textId="77777777" w:rsidR="00FE291A" w:rsidRDefault="00C8738F">
      <w:pPr>
        <w:keepNext/>
        <w:widowControl/>
        <w:rPr>
          <w:sz w:val="22"/>
          <w:szCs w:val="22"/>
          <w:lang w:val="de-DE"/>
        </w:rPr>
      </w:pPr>
      <w:r>
        <w:rPr>
          <w:sz w:val="22"/>
          <w:szCs w:val="22"/>
          <w:lang w:val="de-DE"/>
        </w:rPr>
        <w:t>PC</w:t>
      </w:r>
    </w:p>
    <w:p w14:paraId="697E0A41" w14:textId="77777777" w:rsidR="00FE291A" w:rsidRDefault="00C8738F">
      <w:pPr>
        <w:keepNext/>
        <w:widowControl/>
        <w:rPr>
          <w:sz w:val="22"/>
          <w:szCs w:val="22"/>
          <w:lang w:val="de-DE"/>
        </w:rPr>
      </w:pPr>
      <w:r>
        <w:rPr>
          <w:sz w:val="22"/>
          <w:szCs w:val="22"/>
          <w:lang w:val="de-DE"/>
        </w:rPr>
        <w:t>SN</w:t>
      </w:r>
    </w:p>
    <w:p w14:paraId="235C516E" w14:textId="77777777" w:rsidR="00FE291A" w:rsidRDefault="00C8738F">
      <w:pPr>
        <w:widowControl/>
        <w:rPr>
          <w:sz w:val="22"/>
          <w:szCs w:val="22"/>
          <w:lang w:val="de-DE"/>
        </w:rPr>
      </w:pPr>
      <w:r>
        <w:rPr>
          <w:sz w:val="22"/>
          <w:szCs w:val="22"/>
          <w:lang w:val="de-DE"/>
        </w:rPr>
        <w:t>NN</w:t>
      </w:r>
    </w:p>
    <w:p w14:paraId="27ACBF6E" w14:textId="77777777" w:rsidR="00FE291A" w:rsidRDefault="00C8738F">
      <w:pPr>
        <w:widowControl/>
        <w:pBdr>
          <w:top w:val="single" w:sz="4" w:space="1" w:color="auto"/>
          <w:left w:val="single" w:sz="4" w:space="4" w:color="auto"/>
          <w:bottom w:val="single" w:sz="4" w:space="1" w:color="auto"/>
          <w:right w:val="single" w:sz="4" w:space="4" w:color="auto"/>
        </w:pBdr>
        <w:autoSpaceDE/>
        <w:autoSpaceDN/>
        <w:adjustRightInd/>
        <w:rPr>
          <w:b/>
          <w:sz w:val="22"/>
          <w:szCs w:val="22"/>
          <w:lang w:val="de-DE"/>
        </w:rPr>
      </w:pPr>
      <w:r>
        <w:rPr>
          <w:sz w:val="22"/>
          <w:szCs w:val="22"/>
          <w:lang w:val="de-DE"/>
        </w:rPr>
        <w:br w:type="page"/>
      </w:r>
      <w:r>
        <w:rPr>
          <w:b/>
          <w:sz w:val="22"/>
          <w:szCs w:val="22"/>
          <w:lang w:val="de-DE"/>
        </w:rPr>
        <w:t>ANGABEN AUF DER ÄUSSEREN UMHÜLLUNG</w:t>
      </w:r>
    </w:p>
    <w:p w14:paraId="2938A9F7" w14:textId="77777777" w:rsidR="00FE291A" w:rsidRDefault="00FE291A">
      <w:pPr>
        <w:pBdr>
          <w:top w:val="single" w:sz="4" w:space="1" w:color="auto"/>
          <w:left w:val="single" w:sz="4" w:space="4" w:color="auto"/>
          <w:bottom w:val="single" w:sz="4" w:space="1" w:color="auto"/>
          <w:right w:val="single" w:sz="4" w:space="4" w:color="auto"/>
        </w:pBdr>
        <w:ind w:left="567" w:hanging="567"/>
        <w:rPr>
          <w:sz w:val="22"/>
          <w:szCs w:val="22"/>
          <w:lang w:val="de-DE"/>
        </w:rPr>
      </w:pPr>
    </w:p>
    <w:p w14:paraId="7DDD3BBF" w14:textId="77777777" w:rsidR="00FE291A" w:rsidRDefault="00C8738F">
      <w:pPr>
        <w:pBdr>
          <w:top w:val="single" w:sz="4" w:space="1" w:color="auto"/>
          <w:left w:val="single" w:sz="4" w:space="4" w:color="auto"/>
          <w:bottom w:val="single" w:sz="4" w:space="1" w:color="auto"/>
          <w:right w:val="single" w:sz="4" w:space="4" w:color="auto"/>
        </w:pBdr>
        <w:rPr>
          <w:sz w:val="22"/>
          <w:szCs w:val="22"/>
          <w:lang w:val="de-DE"/>
        </w:rPr>
      </w:pPr>
      <w:r>
        <w:rPr>
          <w:b/>
          <w:sz w:val="22"/>
          <w:szCs w:val="22"/>
          <w:lang w:val="de-DE"/>
        </w:rPr>
        <w:t>INNERER KARTON DER BÜNDELPACKUNG FÜR DEN FERTIGPEN (ohne blue box)</w:t>
      </w:r>
    </w:p>
    <w:p w14:paraId="2B4A187B" w14:textId="77777777" w:rsidR="00FE291A" w:rsidRDefault="00FE291A">
      <w:pPr>
        <w:rPr>
          <w:sz w:val="22"/>
          <w:szCs w:val="22"/>
          <w:lang w:val="de-DE"/>
        </w:rPr>
      </w:pPr>
    </w:p>
    <w:p w14:paraId="5499F788" w14:textId="77777777" w:rsidR="00FE291A" w:rsidRDefault="00FE291A">
      <w:pPr>
        <w:rPr>
          <w:sz w:val="22"/>
          <w:szCs w:val="22"/>
          <w:lang w:val="de-DE"/>
        </w:rPr>
      </w:pPr>
    </w:p>
    <w:p w14:paraId="31B9F5DF" w14:textId="77777777" w:rsidR="00FE291A" w:rsidRDefault="00C8738F">
      <w:pPr>
        <w:keepNext/>
        <w:numPr>
          <w:ilvl w:val="0"/>
          <w:numId w:val="46"/>
        </w:numPr>
        <w:pBdr>
          <w:top w:val="single" w:sz="4" w:space="1" w:color="auto"/>
          <w:left w:val="single" w:sz="4" w:space="4" w:color="auto"/>
          <w:bottom w:val="single" w:sz="4" w:space="1" w:color="auto"/>
          <w:right w:val="single" w:sz="4" w:space="4" w:color="auto"/>
        </w:pBdr>
        <w:tabs>
          <w:tab w:val="left" w:pos="567"/>
        </w:tabs>
        <w:ind w:hanging="1650"/>
        <w:outlineLvl w:val="0"/>
        <w:rPr>
          <w:sz w:val="22"/>
          <w:szCs w:val="22"/>
          <w:lang w:val="de-DE"/>
        </w:rPr>
      </w:pPr>
      <w:r>
        <w:rPr>
          <w:b/>
          <w:sz w:val="22"/>
          <w:szCs w:val="22"/>
          <w:lang w:val="de-DE"/>
        </w:rPr>
        <w:t>BEZEICHNUNG DES ARZNEIMITTELS</w:t>
      </w:r>
    </w:p>
    <w:p w14:paraId="461A4135" w14:textId="77777777" w:rsidR="00FE291A" w:rsidRDefault="00FE291A">
      <w:pPr>
        <w:keepNext/>
        <w:rPr>
          <w:sz w:val="22"/>
          <w:szCs w:val="22"/>
          <w:lang w:val="de-DE"/>
        </w:rPr>
      </w:pPr>
    </w:p>
    <w:p w14:paraId="784455E2" w14:textId="77777777" w:rsidR="00FE291A" w:rsidRDefault="00C8738F">
      <w:pPr>
        <w:rPr>
          <w:sz w:val="22"/>
          <w:szCs w:val="22"/>
          <w:lang w:val="de-DE"/>
        </w:rPr>
      </w:pPr>
      <w:r>
        <w:rPr>
          <w:sz w:val="22"/>
          <w:szCs w:val="22"/>
          <w:lang w:val="de-DE"/>
        </w:rPr>
        <w:t>AMGEVITA 80 mg Injektionslösung im Fertigpen</w:t>
      </w:r>
    </w:p>
    <w:p w14:paraId="709FB1D0" w14:textId="77777777" w:rsidR="00FE291A" w:rsidRDefault="00C8738F">
      <w:pPr>
        <w:rPr>
          <w:b/>
          <w:sz w:val="22"/>
          <w:szCs w:val="22"/>
          <w:lang w:val="de-DE"/>
        </w:rPr>
      </w:pPr>
      <w:r>
        <w:rPr>
          <w:sz w:val="22"/>
          <w:szCs w:val="22"/>
          <w:lang w:val="de-DE"/>
        </w:rPr>
        <w:t>Adalimumab</w:t>
      </w:r>
    </w:p>
    <w:p w14:paraId="39757C5D" w14:textId="77777777" w:rsidR="00FE291A" w:rsidRDefault="00FE291A">
      <w:pPr>
        <w:rPr>
          <w:sz w:val="22"/>
          <w:szCs w:val="22"/>
          <w:lang w:val="de-DE"/>
        </w:rPr>
      </w:pPr>
    </w:p>
    <w:p w14:paraId="6B30C2BD" w14:textId="77777777" w:rsidR="00FE291A" w:rsidRDefault="00FE291A">
      <w:pPr>
        <w:rPr>
          <w:sz w:val="22"/>
          <w:szCs w:val="22"/>
          <w:lang w:val="de-DE"/>
        </w:rPr>
      </w:pPr>
    </w:p>
    <w:p w14:paraId="48ABCD63" w14:textId="77777777" w:rsidR="00FE291A" w:rsidRDefault="00C8738F">
      <w:pPr>
        <w:keepNext/>
        <w:numPr>
          <w:ilvl w:val="0"/>
          <w:numId w:val="46"/>
        </w:num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de-DE"/>
        </w:rPr>
      </w:pPr>
      <w:r>
        <w:rPr>
          <w:b/>
          <w:sz w:val="22"/>
          <w:szCs w:val="22"/>
          <w:lang w:val="de-DE"/>
        </w:rPr>
        <w:t>WIRKSTOFF</w:t>
      </w:r>
    </w:p>
    <w:p w14:paraId="01F32B35" w14:textId="77777777" w:rsidR="00FE291A" w:rsidRDefault="00FE291A">
      <w:pPr>
        <w:keepNext/>
        <w:rPr>
          <w:sz w:val="22"/>
          <w:szCs w:val="22"/>
          <w:lang w:val="de-DE"/>
        </w:rPr>
      </w:pPr>
    </w:p>
    <w:p w14:paraId="68CD345E" w14:textId="77777777" w:rsidR="00FE291A" w:rsidRDefault="00C8738F">
      <w:pPr>
        <w:rPr>
          <w:sz w:val="22"/>
          <w:szCs w:val="22"/>
          <w:lang w:val="de-DE"/>
        </w:rPr>
      </w:pPr>
      <w:r>
        <w:rPr>
          <w:sz w:val="22"/>
          <w:szCs w:val="22"/>
          <w:lang w:val="de-DE"/>
        </w:rPr>
        <w:t>Jeder Fertigpen enthält 80 mg Adalimumab in 0,8 ml Lösung.</w:t>
      </w:r>
    </w:p>
    <w:p w14:paraId="235EE91F" w14:textId="77777777" w:rsidR="00FE291A" w:rsidRDefault="00FE291A">
      <w:pPr>
        <w:rPr>
          <w:sz w:val="22"/>
          <w:szCs w:val="22"/>
          <w:lang w:val="de-DE"/>
        </w:rPr>
      </w:pPr>
    </w:p>
    <w:p w14:paraId="0B22151E" w14:textId="77777777" w:rsidR="00FE291A" w:rsidRDefault="00FE291A">
      <w:pPr>
        <w:rPr>
          <w:sz w:val="22"/>
          <w:szCs w:val="22"/>
          <w:lang w:val="de-DE"/>
        </w:rPr>
      </w:pPr>
    </w:p>
    <w:p w14:paraId="3590E4FC" w14:textId="77777777" w:rsidR="00FE291A" w:rsidRDefault="00C8738F">
      <w:pPr>
        <w:keepNext/>
        <w:numPr>
          <w:ilvl w:val="0"/>
          <w:numId w:val="46"/>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SONSTIGE BESTANDTEILE</w:t>
      </w:r>
    </w:p>
    <w:p w14:paraId="12AD5D29" w14:textId="77777777" w:rsidR="00FE291A" w:rsidRDefault="00FE291A">
      <w:pPr>
        <w:rPr>
          <w:sz w:val="22"/>
          <w:szCs w:val="22"/>
          <w:lang w:val="de-DE"/>
        </w:rPr>
      </w:pPr>
    </w:p>
    <w:p w14:paraId="1FDB978F" w14:textId="77777777" w:rsidR="00FE291A" w:rsidRDefault="00C8738F">
      <w:pPr>
        <w:rPr>
          <w:sz w:val="22"/>
          <w:szCs w:val="22"/>
          <w:lang w:val="de-DE"/>
        </w:rPr>
      </w:pPr>
      <w:r>
        <w:rPr>
          <w:sz w:val="22"/>
          <w:szCs w:val="22"/>
          <w:lang w:val="de-DE"/>
        </w:rPr>
        <w:t>(S)-Milchsäure, Saccharose, Polysorbat 80, Natriumhydroxid und Wasser für Injektionszwecke.</w:t>
      </w:r>
    </w:p>
    <w:p w14:paraId="4651FC20" w14:textId="77777777" w:rsidR="00FE291A" w:rsidRDefault="00FE291A">
      <w:pPr>
        <w:rPr>
          <w:sz w:val="22"/>
          <w:szCs w:val="22"/>
          <w:lang w:val="de-DE"/>
        </w:rPr>
      </w:pPr>
    </w:p>
    <w:p w14:paraId="524233C9" w14:textId="77777777" w:rsidR="00FE291A" w:rsidRDefault="00FE291A">
      <w:pPr>
        <w:rPr>
          <w:sz w:val="22"/>
          <w:szCs w:val="22"/>
          <w:lang w:val="de-DE"/>
        </w:rPr>
      </w:pPr>
    </w:p>
    <w:p w14:paraId="50C98FE4" w14:textId="77777777" w:rsidR="00FE291A" w:rsidRDefault="00C8738F">
      <w:pPr>
        <w:keepNext/>
        <w:numPr>
          <w:ilvl w:val="0"/>
          <w:numId w:val="46"/>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DARREICHUNGSFORM UND INHALT</w:t>
      </w:r>
    </w:p>
    <w:p w14:paraId="5FA210EB" w14:textId="77777777" w:rsidR="00FE291A" w:rsidRDefault="00FE291A">
      <w:pPr>
        <w:rPr>
          <w:sz w:val="22"/>
          <w:szCs w:val="22"/>
          <w:lang w:val="de-DE"/>
        </w:rPr>
      </w:pPr>
    </w:p>
    <w:p w14:paraId="676FE135" w14:textId="77777777" w:rsidR="00FE291A" w:rsidRDefault="00C8738F">
      <w:pPr>
        <w:rPr>
          <w:sz w:val="22"/>
          <w:szCs w:val="22"/>
          <w:lang w:val="de-DE"/>
        </w:rPr>
      </w:pPr>
      <w:r>
        <w:rPr>
          <w:sz w:val="22"/>
          <w:szCs w:val="22"/>
          <w:highlight w:val="lightGray"/>
          <w:lang w:val="de-DE"/>
        </w:rPr>
        <w:t>Injektionslösung</w:t>
      </w:r>
    </w:p>
    <w:p w14:paraId="4A1FA64A" w14:textId="77777777" w:rsidR="00FE291A" w:rsidRDefault="00C8738F">
      <w:pPr>
        <w:rPr>
          <w:sz w:val="22"/>
          <w:szCs w:val="22"/>
          <w:lang w:val="de-DE"/>
        </w:rPr>
      </w:pPr>
      <w:r>
        <w:rPr>
          <w:sz w:val="22"/>
          <w:szCs w:val="22"/>
          <w:lang w:val="de-DE"/>
        </w:rPr>
        <w:t>80 mg/0,8 ml</w:t>
      </w:r>
    </w:p>
    <w:p w14:paraId="3B3B3E46" w14:textId="77777777" w:rsidR="00FE291A" w:rsidRDefault="00C8738F">
      <w:pPr>
        <w:rPr>
          <w:sz w:val="22"/>
          <w:szCs w:val="22"/>
          <w:lang w:val="de-DE"/>
        </w:rPr>
      </w:pPr>
      <w:r>
        <w:rPr>
          <w:sz w:val="22"/>
          <w:szCs w:val="22"/>
          <w:lang w:val="de-DE"/>
        </w:rPr>
        <w:t>1 SureClick Fertigpen. Teil einer Bündelpackung, Einzelverkauf unzulässig.</w:t>
      </w:r>
    </w:p>
    <w:p w14:paraId="6AD0D1A7" w14:textId="77777777" w:rsidR="00FE291A" w:rsidRDefault="00FE291A">
      <w:pPr>
        <w:rPr>
          <w:sz w:val="22"/>
          <w:szCs w:val="22"/>
          <w:lang w:val="de-DE"/>
        </w:rPr>
      </w:pPr>
    </w:p>
    <w:p w14:paraId="6807E5C8" w14:textId="77777777" w:rsidR="00FE291A" w:rsidRDefault="00FE291A">
      <w:pPr>
        <w:rPr>
          <w:sz w:val="22"/>
          <w:szCs w:val="22"/>
          <w:lang w:val="de-DE"/>
        </w:rPr>
      </w:pPr>
    </w:p>
    <w:p w14:paraId="12071C13" w14:textId="77777777" w:rsidR="00FE291A" w:rsidRDefault="00C8738F">
      <w:pPr>
        <w:keepNext/>
        <w:numPr>
          <w:ilvl w:val="0"/>
          <w:numId w:val="46"/>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HINWEISE ZUR UND ART(EN) DER ANWENDUNG</w:t>
      </w:r>
    </w:p>
    <w:p w14:paraId="35CCC664" w14:textId="77777777" w:rsidR="00FE291A" w:rsidRDefault="00FE291A">
      <w:pPr>
        <w:keepNext/>
        <w:rPr>
          <w:sz w:val="22"/>
          <w:szCs w:val="22"/>
          <w:lang w:val="de-DE"/>
        </w:rPr>
      </w:pPr>
    </w:p>
    <w:p w14:paraId="0BE3BABB" w14:textId="77777777" w:rsidR="00FE291A" w:rsidRDefault="00C8738F">
      <w:pPr>
        <w:rPr>
          <w:sz w:val="22"/>
          <w:szCs w:val="22"/>
          <w:lang w:val="de-DE"/>
        </w:rPr>
      </w:pPr>
      <w:r>
        <w:rPr>
          <w:sz w:val="22"/>
          <w:szCs w:val="22"/>
          <w:lang w:val="de-DE"/>
        </w:rPr>
        <w:t>Zur subkutanen Anwendung.</w:t>
      </w:r>
    </w:p>
    <w:p w14:paraId="3A7F4797" w14:textId="77777777" w:rsidR="00FE291A" w:rsidRDefault="00C8738F">
      <w:pPr>
        <w:rPr>
          <w:sz w:val="22"/>
          <w:szCs w:val="22"/>
          <w:lang w:val="de-DE"/>
        </w:rPr>
      </w:pPr>
      <w:r>
        <w:rPr>
          <w:sz w:val="22"/>
          <w:szCs w:val="22"/>
          <w:lang w:val="de-DE"/>
        </w:rPr>
        <w:t>Packungsbeilage beachten.</w:t>
      </w:r>
    </w:p>
    <w:p w14:paraId="3FEA336A" w14:textId="77777777" w:rsidR="00FE291A" w:rsidRDefault="00C8738F">
      <w:pPr>
        <w:rPr>
          <w:sz w:val="22"/>
          <w:szCs w:val="22"/>
          <w:lang w:val="de-DE"/>
        </w:rPr>
      </w:pPr>
      <w:r>
        <w:rPr>
          <w:sz w:val="22"/>
          <w:szCs w:val="22"/>
          <w:lang w:val="de-DE"/>
        </w:rPr>
        <w:t>Nur zum Einmalgebrauch.</w:t>
      </w:r>
    </w:p>
    <w:p w14:paraId="16C32EE5" w14:textId="77777777" w:rsidR="00FE291A" w:rsidRDefault="00FE291A">
      <w:pPr>
        <w:rPr>
          <w:sz w:val="22"/>
          <w:szCs w:val="22"/>
          <w:lang w:val="de-DE"/>
        </w:rPr>
      </w:pPr>
    </w:p>
    <w:p w14:paraId="58EAC24F" w14:textId="77777777" w:rsidR="00FE291A" w:rsidRDefault="00FE291A">
      <w:pPr>
        <w:rPr>
          <w:sz w:val="22"/>
          <w:szCs w:val="22"/>
          <w:lang w:val="de-DE"/>
        </w:rPr>
      </w:pPr>
    </w:p>
    <w:p w14:paraId="412D369A" w14:textId="77777777" w:rsidR="00FE291A" w:rsidRDefault="00C8738F">
      <w:pPr>
        <w:keepNext/>
        <w:numPr>
          <w:ilvl w:val="0"/>
          <w:numId w:val="46"/>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WARNHINWEIS, DASS DAS ARZNEIMITTEL FÜR KINDER UNZUGÄNGLICH AUFZUBEWAHREN IST</w:t>
      </w:r>
    </w:p>
    <w:p w14:paraId="7E948CFB" w14:textId="77777777" w:rsidR="00FE291A" w:rsidRDefault="00FE291A">
      <w:pPr>
        <w:keepNext/>
        <w:rPr>
          <w:sz w:val="22"/>
          <w:szCs w:val="22"/>
          <w:lang w:val="de-DE"/>
        </w:rPr>
      </w:pPr>
    </w:p>
    <w:p w14:paraId="23F16DA0" w14:textId="77777777" w:rsidR="00FE291A" w:rsidRDefault="00C8738F">
      <w:pPr>
        <w:outlineLvl w:val="0"/>
        <w:rPr>
          <w:sz w:val="22"/>
          <w:szCs w:val="22"/>
          <w:lang w:val="de-DE"/>
        </w:rPr>
      </w:pPr>
      <w:r>
        <w:rPr>
          <w:sz w:val="22"/>
          <w:szCs w:val="22"/>
          <w:lang w:val="de-DE"/>
        </w:rPr>
        <w:t>Arzneimittel für Kinder unzugänglich aufbewahren.</w:t>
      </w:r>
    </w:p>
    <w:p w14:paraId="00075118" w14:textId="77777777" w:rsidR="00FE291A" w:rsidRDefault="00FE291A">
      <w:pPr>
        <w:rPr>
          <w:sz w:val="22"/>
          <w:szCs w:val="22"/>
          <w:lang w:val="de-DE"/>
        </w:rPr>
      </w:pPr>
    </w:p>
    <w:p w14:paraId="33BEC183" w14:textId="77777777" w:rsidR="00FE291A" w:rsidRDefault="00FE291A">
      <w:pPr>
        <w:rPr>
          <w:sz w:val="22"/>
          <w:szCs w:val="22"/>
          <w:lang w:val="de-DE"/>
        </w:rPr>
      </w:pPr>
    </w:p>
    <w:p w14:paraId="3812967C" w14:textId="77777777" w:rsidR="00FE291A" w:rsidRDefault="00C8738F">
      <w:pPr>
        <w:keepNext/>
        <w:numPr>
          <w:ilvl w:val="0"/>
          <w:numId w:val="46"/>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WEITERE WARNHINWEISE, FALLS ERFORDERLICH</w:t>
      </w:r>
    </w:p>
    <w:p w14:paraId="3C23D6A2" w14:textId="77777777" w:rsidR="00FE291A" w:rsidRDefault="00FE291A">
      <w:pPr>
        <w:rPr>
          <w:sz w:val="22"/>
          <w:szCs w:val="22"/>
          <w:lang w:val="de-DE"/>
        </w:rPr>
      </w:pPr>
    </w:p>
    <w:p w14:paraId="45EDD88C" w14:textId="77777777" w:rsidR="00FE291A" w:rsidRDefault="00FE291A">
      <w:pPr>
        <w:tabs>
          <w:tab w:val="left" w:pos="749"/>
        </w:tabs>
        <w:rPr>
          <w:sz w:val="22"/>
          <w:szCs w:val="22"/>
          <w:lang w:val="de-DE"/>
        </w:rPr>
      </w:pPr>
    </w:p>
    <w:p w14:paraId="50994894" w14:textId="77777777" w:rsidR="00FE291A" w:rsidRDefault="00C8738F">
      <w:pPr>
        <w:keepNext/>
        <w:numPr>
          <w:ilvl w:val="0"/>
          <w:numId w:val="46"/>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VERFALLDATUM</w:t>
      </w:r>
    </w:p>
    <w:p w14:paraId="238227D0" w14:textId="77777777" w:rsidR="00FE291A" w:rsidRDefault="00FE291A">
      <w:pPr>
        <w:keepNext/>
        <w:rPr>
          <w:sz w:val="22"/>
          <w:szCs w:val="22"/>
          <w:lang w:val="de-DE"/>
        </w:rPr>
      </w:pPr>
    </w:p>
    <w:p w14:paraId="533E2C6E" w14:textId="77777777" w:rsidR="00FE291A" w:rsidRDefault="00C8738F">
      <w:pPr>
        <w:rPr>
          <w:sz w:val="22"/>
          <w:szCs w:val="22"/>
          <w:lang w:val="de-DE"/>
        </w:rPr>
      </w:pPr>
      <w:r>
        <w:rPr>
          <w:sz w:val="22"/>
          <w:szCs w:val="22"/>
          <w:lang w:val="de-DE"/>
        </w:rPr>
        <w:t>verwendbar bis</w:t>
      </w:r>
    </w:p>
    <w:p w14:paraId="133B57F2" w14:textId="77777777" w:rsidR="00FE291A" w:rsidRDefault="00FE291A">
      <w:pPr>
        <w:rPr>
          <w:sz w:val="22"/>
          <w:szCs w:val="22"/>
          <w:lang w:val="de-DE"/>
        </w:rPr>
      </w:pPr>
    </w:p>
    <w:p w14:paraId="66A9AC8A" w14:textId="77777777" w:rsidR="00FE291A" w:rsidRDefault="00FE291A">
      <w:pPr>
        <w:rPr>
          <w:sz w:val="22"/>
          <w:szCs w:val="22"/>
          <w:lang w:val="de-DE"/>
        </w:rPr>
      </w:pPr>
    </w:p>
    <w:p w14:paraId="164D0ADE" w14:textId="77777777" w:rsidR="00FE291A" w:rsidRDefault="00C8738F">
      <w:pPr>
        <w:widowControl/>
        <w:numPr>
          <w:ilvl w:val="0"/>
          <w:numId w:val="46"/>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BESONDERE VORSICHTSMASSNAHMEN FÜR DIE AUFBEWAHRUNG</w:t>
      </w:r>
    </w:p>
    <w:p w14:paraId="24A6AD3C" w14:textId="77777777" w:rsidR="00FE291A" w:rsidRDefault="00FE291A">
      <w:pPr>
        <w:widowControl/>
        <w:rPr>
          <w:sz w:val="22"/>
          <w:szCs w:val="22"/>
          <w:lang w:val="de-DE"/>
        </w:rPr>
      </w:pPr>
    </w:p>
    <w:p w14:paraId="29508E52" w14:textId="77777777" w:rsidR="00FE291A" w:rsidRDefault="00C8738F">
      <w:pPr>
        <w:widowControl/>
        <w:ind w:left="567" w:hanging="567"/>
        <w:rPr>
          <w:sz w:val="22"/>
          <w:szCs w:val="22"/>
          <w:lang w:val="de-DE"/>
        </w:rPr>
      </w:pPr>
      <w:r>
        <w:rPr>
          <w:sz w:val="22"/>
          <w:szCs w:val="22"/>
          <w:lang w:val="de-DE"/>
        </w:rPr>
        <w:t>Im Kühlschrank lagern.</w:t>
      </w:r>
    </w:p>
    <w:p w14:paraId="1270AA1F" w14:textId="77777777" w:rsidR="00FE291A" w:rsidRDefault="00C8738F">
      <w:pPr>
        <w:widowControl/>
        <w:ind w:left="567" w:hanging="567"/>
        <w:rPr>
          <w:sz w:val="22"/>
          <w:szCs w:val="22"/>
          <w:lang w:val="de-DE"/>
        </w:rPr>
      </w:pPr>
      <w:r>
        <w:rPr>
          <w:sz w:val="22"/>
          <w:szCs w:val="22"/>
          <w:lang w:val="de-DE"/>
        </w:rPr>
        <w:t>Nicht einfrieren.</w:t>
      </w:r>
    </w:p>
    <w:p w14:paraId="073B21EF" w14:textId="77777777" w:rsidR="00FE291A" w:rsidRDefault="00C8738F">
      <w:pPr>
        <w:widowControl/>
        <w:ind w:left="567" w:hanging="567"/>
        <w:rPr>
          <w:sz w:val="22"/>
          <w:szCs w:val="22"/>
          <w:lang w:val="de-DE"/>
        </w:rPr>
      </w:pPr>
      <w:r>
        <w:rPr>
          <w:sz w:val="22"/>
          <w:szCs w:val="22"/>
          <w:lang w:val="de-DE"/>
        </w:rPr>
        <w:t>Im Originalkarton aufbewahren, um den Inhalt vor Licht zu schützen.</w:t>
      </w:r>
    </w:p>
    <w:p w14:paraId="029189EC" w14:textId="77777777" w:rsidR="00FE291A" w:rsidRDefault="00FE291A">
      <w:pPr>
        <w:widowControl/>
        <w:ind w:left="567" w:hanging="567"/>
        <w:rPr>
          <w:sz w:val="22"/>
          <w:szCs w:val="22"/>
          <w:lang w:val="de-DE"/>
        </w:rPr>
      </w:pPr>
    </w:p>
    <w:p w14:paraId="2464C9C6" w14:textId="77777777" w:rsidR="00FE291A" w:rsidRDefault="00FE291A">
      <w:pPr>
        <w:ind w:left="567" w:hanging="567"/>
        <w:rPr>
          <w:sz w:val="22"/>
          <w:szCs w:val="22"/>
          <w:lang w:val="de-DE"/>
        </w:rPr>
      </w:pPr>
    </w:p>
    <w:p w14:paraId="499D7CC2" w14:textId="77777777" w:rsidR="00FE291A" w:rsidRDefault="00C8738F">
      <w:pPr>
        <w:keepNext/>
        <w:numPr>
          <w:ilvl w:val="0"/>
          <w:numId w:val="46"/>
        </w:num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de-DE"/>
        </w:rPr>
      </w:pPr>
      <w:r>
        <w:rPr>
          <w:b/>
          <w:sz w:val="22"/>
          <w:szCs w:val="22"/>
          <w:lang w:val="de-DE"/>
        </w:rPr>
        <w:t>GEGEBENENFALLS BESONDERE VORSICHTSMASSNAHMEN FÜR DIE BESEITIGUNG VON NICHT VERWENDETEM ARZNEIMITTEL ODER DAVON STAMMENDEN ABFALLMATERIALIEN</w:t>
      </w:r>
    </w:p>
    <w:p w14:paraId="39C8086D" w14:textId="77777777" w:rsidR="00FE291A" w:rsidRDefault="00FE291A">
      <w:pPr>
        <w:rPr>
          <w:sz w:val="22"/>
          <w:szCs w:val="22"/>
          <w:lang w:val="de-DE"/>
        </w:rPr>
      </w:pPr>
    </w:p>
    <w:p w14:paraId="49F8114B" w14:textId="77777777" w:rsidR="00FE291A" w:rsidRDefault="00FE291A">
      <w:pPr>
        <w:rPr>
          <w:sz w:val="22"/>
          <w:szCs w:val="22"/>
          <w:lang w:val="de-DE"/>
        </w:rPr>
      </w:pPr>
    </w:p>
    <w:p w14:paraId="4CBC3FF7" w14:textId="77777777" w:rsidR="00FE291A" w:rsidRDefault="00C8738F">
      <w:pPr>
        <w:keepNext/>
        <w:numPr>
          <w:ilvl w:val="0"/>
          <w:numId w:val="46"/>
        </w:num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de-DE"/>
        </w:rPr>
      </w:pPr>
      <w:r>
        <w:rPr>
          <w:b/>
          <w:sz w:val="22"/>
          <w:szCs w:val="22"/>
          <w:lang w:val="de-DE"/>
        </w:rPr>
        <w:t>NAME UND ANSCHRIFT DES PHARMAZEUTISCHEN UNTERNEHMERS</w:t>
      </w:r>
    </w:p>
    <w:p w14:paraId="6CEEB8C6" w14:textId="77777777" w:rsidR="00FE291A" w:rsidRDefault="00FE291A">
      <w:pPr>
        <w:rPr>
          <w:sz w:val="22"/>
          <w:szCs w:val="22"/>
          <w:lang w:val="de-DE"/>
        </w:rPr>
      </w:pPr>
    </w:p>
    <w:p w14:paraId="1D33802A" w14:textId="77777777" w:rsidR="00FE291A" w:rsidRDefault="00C8738F">
      <w:pPr>
        <w:rPr>
          <w:rFonts w:eastAsia="SimSun"/>
          <w:sz w:val="22"/>
          <w:szCs w:val="22"/>
          <w:lang w:val="de-DE" w:eastAsia="en-GB"/>
        </w:rPr>
      </w:pPr>
      <w:r>
        <w:rPr>
          <w:rFonts w:eastAsia="SimSun"/>
          <w:sz w:val="22"/>
          <w:szCs w:val="22"/>
          <w:lang w:val="de-DE" w:eastAsia="en-GB"/>
        </w:rPr>
        <w:t>Amgen Europe B.V.</w:t>
      </w:r>
    </w:p>
    <w:p w14:paraId="5BC88507" w14:textId="77777777" w:rsidR="00FE291A" w:rsidRDefault="00C8738F">
      <w:pPr>
        <w:rPr>
          <w:rFonts w:eastAsia="SimSun"/>
          <w:sz w:val="22"/>
          <w:szCs w:val="22"/>
          <w:lang w:val="de-DE" w:eastAsia="en-GB"/>
        </w:rPr>
      </w:pPr>
      <w:r>
        <w:rPr>
          <w:rFonts w:eastAsia="SimSun"/>
          <w:sz w:val="22"/>
          <w:szCs w:val="22"/>
          <w:lang w:val="de-DE" w:eastAsia="en-GB"/>
        </w:rPr>
        <w:t>Minervum 7061,</w:t>
      </w:r>
    </w:p>
    <w:p w14:paraId="36A4391B" w14:textId="77777777" w:rsidR="00FE291A" w:rsidRDefault="00C8738F">
      <w:pPr>
        <w:rPr>
          <w:rFonts w:eastAsia="SimSun"/>
          <w:sz w:val="22"/>
          <w:szCs w:val="22"/>
          <w:lang w:val="de-DE" w:eastAsia="en-GB"/>
        </w:rPr>
      </w:pPr>
      <w:r>
        <w:rPr>
          <w:rFonts w:eastAsia="SimSun"/>
          <w:sz w:val="22"/>
          <w:szCs w:val="22"/>
          <w:lang w:val="de-DE" w:eastAsia="en-GB"/>
        </w:rPr>
        <w:t>4817 ZK Breda,</w:t>
      </w:r>
    </w:p>
    <w:p w14:paraId="552F994C" w14:textId="77777777" w:rsidR="00FE291A" w:rsidRDefault="00C8738F">
      <w:pPr>
        <w:rPr>
          <w:rFonts w:eastAsia="SimSun"/>
          <w:sz w:val="22"/>
          <w:szCs w:val="22"/>
          <w:lang w:val="de-DE" w:eastAsia="en-GB"/>
        </w:rPr>
      </w:pPr>
      <w:r>
        <w:rPr>
          <w:rFonts w:eastAsia="SimSun"/>
          <w:sz w:val="22"/>
          <w:szCs w:val="22"/>
          <w:lang w:val="de-DE" w:eastAsia="en-GB"/>
        </w:rPr>
        <w:t>Niederlande</w:t>
      </w:r>
    </w:p>
    <w:p w14:paraId="1E18E64F" w14:textId="77777777" w:rsidR="00FE291A" w:rsidRDefault="00FE291A">
      <w:pPr>
        <w:rPr>
          <w:sz w:val="22"/>
          <w:szCs w:val="22"/>
          <w:lang w:val="de-DE"/>
        </w:rPr>
      </w:pPr>
    </w:p>
    <w:p w14:paraId="3C48152E" w14:textId="77777777" w:rsidR="00FE291A" w:rsidRDefault="00FE291A">
      <w:pPr>
        <w:rPr>
          <w:sz w:val="22"/>
          <w:szCs w:val="22"/>
          <w:lang w:val="de-DE"/>
        </w:rPr>
      </w:pPr>
    </w:p>
    <w:p w14:paraId="34614D32" w14:textId="77777777" w:rsidR="00FE291A" w:rsidRDefault="00C8738F">
      <w:pPr>
        <w:keepNext/>
        <w:numPr>
          <w:ilvl w:val="0"/>
          <w:numId w:val="46"/>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ZULASSUNGSNUMMER</w:t>
      </w:r>
    </w:p>
    <w:p w14:paraId="13DB3595" w14:textId="77777777" w:rsidR="00FE291A" w:rsidRDefault="00FE291A">
      <w:pPr>
        <w:rPr>
          <w:sz w:val="22"/>
          <w:szCs w:val="22"/>
          <w:lang w:val="de-DE"/>
        </w:rPr>
      </w:pPr>
    </w:p>
    <w:p w14:paraId="5BA3545E" w14:textId="77777777" w:rsidR="00FE291A" w:rsidRDefault="00C8738F">
      <w:pPr>
        <w:outlineLvl w:val="0"/>
        <w:rPr>
          <w:sz w:val="22"/>
          <w:szCs w:val="22"/>
          <w:lang w:val="de-DE"/>
        </w:rPr>
      </w:pPr>
      <w:r>
        <w:rPr>
          <w:sz w:val="22"/>
          <w:szCs w:val="22"/>
          <w:lang w:val="de-DE"/>
        </w:rPr>
        <w:t>EU/1/16/1164/022</w:t>
      </w:r>
    </w:p>
    <w:p w14:paraId="23E87FAE" w14:textId="77777777" w:rsidR="00FE291A" w:rsidRDefault="00FE291A">
      <w:pPr>
        <w:rPr>
          <w:sz w:val="22"/>
          <w:szCs w:val="22"/>
          <w:lang w:val="de-DE"/>
        </w:rPr>
      </w:pPr>
    </w:p>
    <w:p w14:paraId="2976EE69" w14:textId="77777777" w:rsidR="00FE291A" w:rsidRDefault="00FE291A">
      <w:pPr>
        <w:rPr>
          <w:sz w:val="22"/>
          <w:szCs w:val="22"/>
          <w:lang w:val="de-DE"/>
        </w:rPr>
      </w:pPr>
    </w:p>
    <w:p w14:paraId="52A4EE76" w14:textId="77777777" w:rsidR="00FE291A" w:rsidRDefault="00C8738F">
      <w:pPr>
        <w:keepNext/>
        <w:numPr>
          <w:ilvl w:val="0"/>
          <w:numId w:val="46"/>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CHARGENBEZEICHNUNG</w:t>
      </w:r>
    </w:p>
    <w:p w14:paraId="1C5D072D" w14:textId="77777777" w:rsidR="00FE291A" w:rsidRDefault="00FE291A">
      <w:pPr>
        <w:rPr>
          <w:i/>
          <w:sz w:val="22"/>
          <w:szCs w:val="22"/>
          <w:lang w:val="de-DE"/>
        </w:rPr>
      </w:pPr>
    </w:p>
    <w:p w14:paraId="37E908D0" w14:textId="77777777" w:rsidR="00FE291A" w:rsidRDefault="00C8738F">
      <w:pPr>
        <w:rPr>
          <w:sz w:val="22"/>
          <w:szCs w:val="22"/>
          <w:lang w:val="de-DE"/>
        </w:rPr>
      </w:pPr>
      <w:r>
        <w:rPr>
          <w:sz w:val="22"/>
          <w:szCs w:val="22"/>
          <w:lang w:val="de-DE"/>
        </w:rPr>
        <w:t>Ch.-B.</w:t>
      </w:r>
    </w:p>
    <w:p w14:paraId="0203E7A3" w14:textId="77777777" w:rsidR="00FE291A" w:rsidRDefault="00FE291A">
      <w:pPr>
        <w:rPr>
          <w:sz w:val="22"/>
          <w:szCs w:val="22"/>
          <w:lang w:val="de-DE"/>
        </w:rPr>
      </w:pPr>
    </w:p>
    <w:p w14:paraId="6ADA040C" w14:textId="77777777" w:rsidR="00FE291A" w:rsidRDefault="00FE291A">
      <w:pPr>
        <w:rPr>
          <w:sz w:val="22"/>
          <w:szCs w:val="22"/>
          <w:lang w:val="de-DE"/>
        </w:rPr>
      </w:pPr>
    </w:p>
    <w:p w14:paraId="48DA242A" w14:textId="77777777" w:rsidR="00FE291A" w:rsidRDefault="00C8738F">
      <w:pPr>
        <w:keepNext/>
        <w:numPr>
          <w:ilvl w:val="0"/>
          <w:numId w:val="46"/>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VERKAUFSABGRENZUNG</w:t>
      </w:r>
    </w:p>
    <w:p w14:paraId="73AA4E13" w14:textId="77777777" w:rsidR="00FE291A" w:rsidRDefault="00FE291A">
      <w:pPr>
        <w:rPr>
          <w:i/>
          <w:sz w:val="22"/>
          <w:szCs w:val="22"/>
          <w:lang w:val="de-DE"/>
        </w:rPr>
      </w:pPr>
    </w:p>
    <w:p w14:paraId="6782218A" w14:textId="77777777" w:rsidR="00FE291A" w:rsidRDefault="00FE291A">
      <w:pPr>
        <w:rPr>
          <w:sz w:val="22"/>
          <w:szCs w:val="22"/>
          <w:lang w:val="de-DE"/>
        </w:rPr>
      </w:pPr>
    </w:p>
    <w:p w14:paraId="064DA80B" w14:textId="77777777" w:rsidR="00FE291A" w:rsidRDefault="00C8738F">
      <w:pPr>
        <w:keepNext/>
        <w:numPr>
          <w:ilvl w:val="0"/>
          <w:numId w:val="46"/>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HINWEISE FÜR DEN GEBRAUCH</w:t>
      </w:r>
    </w:p>
    <w:p w14:paraId="6C34599A" w14:textId="77777777" w:rsidR="00FE291A" w:rsidRDefault="00FE291A">
      <w:pPr>
        <w:rPr>
          <w:sz w:val="22"/>
          <w:szCs w:val="22"/>
          <w:lang w:val="de-DE"/>
        </w:rPr>
      </w:pPr>
    </w:p>
    <w:p w14:paraId="2F5E5E36" w14:textId="77777777" w:rsidR="00FE291A" w:rsidRDefault="00FE291A">
      <w:pPr>
        <w:rPr>
          <w:sz w:val="22"/>
          <w:szCs w:val="22"/>
          <w:lang w:val="de-DE"/>
        </w:rPr>
      </w:pPr>
    </w:p>
    <w:p w14:paraId="5250FB6F" w14:textId="77777777" w:rsidR="00FE291A" w:rsidRDefault="00C8738F">
      <w:pPr>
        <w:keepNext/>
        <w:numPr>
          <w:ilvl w:val="0"/>
          <w:numId w:val="46"/>
        </w:num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de-DE"/>
        </w:rPr>
      </w:pPr>
      <w:r>
        <w:rPr>
          <w:b/>
          <w:sz w:val="22"/>
          <w:szCs w:val="22"/>
          <w:lang w:val="de-DE"/>
        </w:rPr>
        <w:t>ANGABEN IN BLINDENSCHRIFT</w:t>
      </w:r>
    </w:p>
    <w:p w14:paraId="07CAA58C" w14:textId="77777777" w:rsidR="00FE291A" w:rsidRDefault="00FE291A">
      <w:pPr>
        <w:rPr>
          <w:sz w:val="22"/>
          <w:szCs w:val="22"/>
          <w:lang w:val="de-DE"/>
        </w:rPr>
      </w:pPr>
    </w:p>
    <w:p w14:paraId="043DA5A2" w14:textId="77777777" w:rsidR="00FE291A" w:rsidRDefault="00C8738F">
      <w:pPr>
        <w:rPr>
          <w:sz w:val="22"/>
          <w:szCs w:val="22"/>
          <w:shd w:val="clear" w:color="auto" w:fill="CCCCCC"/>
          <w:lang w:val="de-DE"/>
        </w:rPr>
      </w:pPr>
      <w:r>
        <w:rPr>
          <w:sz w:val="22"/>
          <w:szCs w:val="22"/>
          <w:lang w:val="de-DE"/>
        </w:rPr>
        <w:t>AMGEVITA 80 mg/0,8 ml Pen</w:t>
      </w:r>
    </w:p>
    <w:p w14:paraId="4C07ED0D" w14:textId="77777777" w:rsidR="00FE291A" w:rsidRDefault="00FE291A">
      <w:pPr>
        <w:rPr>
          <w:sz w:val="22"/>
          <w:szCs w:val="22"/>
          <w:shd w:val="clear" w:color="auto" w:fill="CCCCCC"/>
          <w:lang w:val="de-DE"/>
        </w:rPr>
      </w:pPr>
    </w:p>
    <w:p w14:paraId="671DE436" w14:textId="77777777" w:rsidR="00FE291A" w:rsidRDefault="00FE291A">
      <w:pPr>
        <w:rPr>
          <w:sz w:val="22"/>
          <w:szCs w:val="22"/>
          <w:shd w:val="clear" w:color="auto" w:fill="CCCCCC"/>
          <w:lang w:val="de-DE"/>
        </w:rPr>
      </w:pPr>
    </w:p>
    <w:p w14:paraId="00C8D951" w14:textId="77777777" w:rsidR="00FE291A" w:rsidRDefault="00C8738F">
      <w:pPr>
        <w:pBdr>
          <w:top w:val="single" w:sz="4" w:space="1" w:color="auto"/>
          <w:left w:val="single" w:sz="4" w:space="4" w:color="auto"/>
          <w:bottom w:val="single" w:sz="4" w:space="0" w:color="auto"/>
          <w:right w:val="single" w:sz="4" w:space="4" w:color="auto"/>
        </w:pBdr>
        <w:ind w:left="567" w:hanging="567"/>
        <w:rPr>
          <w:i/>
          <w:sz w:val="22"/>
          <w:szCs w:val="22"/>
          <w:lang w:val="de-DE"/>
        </w:rPr>
      </w:pPr>
      <w:r>
        <w:rPr>
          <w:b/>
          <w:sz w:val="22"/>
          <w:szCs w:val="22"/>
          <w:lang w:val="de-DE"/>
        </w:rPr>
        <w:t>17.</w:t>
      </w:r>
      <w:r>
        <w:rPr>
          <w:b/>
          <w:sz w:val="22"/>
          <w:szCs w:val="22"/>
          <w:lang w:val="de-DE"/>
        </w:rPr>
        <w:tab/>
        <w:t>INDIVIDUELLES ERKENNUNGSMERKMAL – 2D-BARCODE</w:t>
      </w:r>
    </w:p>
    <w:p w14:paraId="3445A8E8" w14:textId="77777777" w:rsidR="00FE291A" w:rsidRDefault="00FE291A">
      <w:pPr>
        <w:rPr>
          <w:sz w:val="22"/>
          <w:szCs w:val="22"/>
          <w:lang w:val="de-DE"/>
        </w:rPr>
      </w:pPr>
    </w:p>
    <w:p w14:paraId="6F6D93C3" w14:textId="77777777" w:rsidR="00FE291A" w:rsidRDefault="00FE291A">
      <w:pPr>
        <w:rPr>
          <w:sz w:val="22"/>
          <w:szCs w:val="22"/>
          <w:lang w:val="de-DE"/>
        </w:rPr>
      </w:pPr>
    </w:p>
    <w:p w14:paraId="59CA901E" w14:textId="77777777" w:rsidR="00FE291A" w:rsidRDefault="00C8738F">
      <w:pPr>
        <w:pBdr>
          <w:top w:val="single" w:sz="4" w:space="1" w:color="auto"/>
          <w:left w:val="single" w:sz="4" w:space="4" w:color="auto"/>
          <w:bottom w:val="single" w:sz="4" w:space="0" w:color="auto"/>
          <w:right w:val="single" w:sz="4" w:space="4" w:color="auto"/>
        </w:pBdr>
        <w:ind w:left="567" w:hanging="567"/>
        <w:rPr>
          <w:i/>
          <w:sz w:val="22"/>
          <w:szCs w:val="22"/>
          <w:lang w:val="de-DE"/>
        </w:rPr>
      </w:pPr>
      <w:r>
        <w:rPr>
          <w:b/>
          <w:sz w:val="22"/>
          <w:szCs w:val="22"/>
          <w:lang w:val="de-DE"/>
        </w:rPr>
        <w:t>18.</w:t>
      </w:r>
      <w:r>
        <w:rPr>
          <w:b/>
          <w:sz w:val="22"/>
          <w:szCs w:val="22"/>
          <w:lang w:val="de-DE"/>
        </w:rPr>
        <w:tab/>
        <w:t>INDIVIDUELLES ERKENNUNGSMERKMAL – VOM MENSCHEN LESBARES FORMAT</w:t>
      </w:r>
    </w:p>
    <w:p w14:paraId="4B07C343" w14:textId="77777777" w:rsidR="00FE291A" w:rsidRDefault="00FE291A">
      <w:pPr>
        <w:rPr>
          <w:sz w:val="22"/>
          <w:szCs w:val="22"/>
          <w:shd w:val="clear" w:color="auto" w:fill="CCCCCC"/>
          <w:lang w:val="de-DE"/>
        </w:rPr>
      </w:pPr>
    </w:p>
    <w:p w14:paraId="03DABE8E" w14:textId="77777777" w:rsidR="00FE291A" w:rsidRDefault="00FE291A">
      <w:pPr>
        <w:rPr>
          <w:sz w:val="22"/>
          <w:szCs w:val="22"/>
          <w:shd w:val="clear" w:color="auto" w:fill="CCCCCC"/>
          <w:lang w:val="de-DE"/>
        </w:rPr>
      </w:pPr>
    </w:p>
    <w:p w14:paraId="79CCFF8F" w14:textId="77777777" w:rsidR="00FE291A" w:rsidRDefault="00C8738F">
      <w:pPr>
        <w:widowControl/>
        <w:pBdr>
          <w:top w:val="single" w:sz="4" w:space="1" w:color="auto"/>
          <w:left w:val="single" w:sz="4" w:space="4" w:color="auto"/>
          <w:bottom w:val="single" w:sz="4" w:space="1" w:color="auto"/>
          <w:right w:val="single" w:sz="4" w:space="4" w:color="auto"/>
        </w:pBdr>
        <w:rPr>
          <w:b/>
          <w:sz w:val="22"/>
          <w:lang w:val="de-DE"/>
        </w:rPr>
      </w:pPr>
      <w:r>
        <w:rPr>
          <w:b/>
          <w:sz w:val="22"/>
          <w:highlight w:val="magenta"/>
          <w:lang w:val="de-DE"/>
        </w:rPr>
        <w:br w:type="page"/>
      </w:r>
      <w:r>
        <w:rPr>
          <w:b/>
          <w:sz w:val="22"/>
          <w:lang w:val="de-DE"/>
        </w:rPr>
        <w:t>MINDESTANGABEN AUF KLEINEN BEHÄLTNISSEN</w:t>
      </w:r>
    </w:p>
    <w:p w14:paraId="48751712" w14:textId="77777777" w:rsidR="00FE291A" w:rsidRDefault="00FE291A">
      <w:pPr>
        <w:widowControl/>
        <w:pBdr>
          <w:top w:val="single" w:sz="4" w:space="1" w:color="auto"/>
          <w:left w:val="single" w:sz="4" w:space="4" w:color="auto"/>
          <w:bottom w:val="single" w:sz="4" w:space="1" w:color="auto"/>
          <w:right w:val="single" w:sz="4" w:space="4" w:color="auto"/>
        </w:pBdr>
        <w:rPr>
          <w:b/>
          <w:sz w:val="22"/>
          <w:lang w:val="de-DE"/>
        </w:rPr>
      </w:pPr>
    </w:p>
    <w:p w14:paraId="4F02ECC6" w14:textId="77777777" w:rsidR="00FE291A" w:rsidRDefault="00C8738F">
      <w:pPr>
        <w:widowControl/>
        <w:pBdr>
          <w:top w:val="single" w:sz="4" w:space="1" w:color="auto"/>
          <w:left w:val="single" w:sz="4" w:space="4" w:color="auto"/>
          <w:bottom w:val="single" w:sz="4" w:space="1" w:color="auto"/>
          <w:right w:val="single" w:sz="4" w:space="4" w:color="auto"/>
        </w:pBdr>
        <w:rPr>
          <w:b/>
          <w:sz w:val="22"/>
          <w:lang w:val="de-DE"/>
        </w:rPr>
      </w:pPr>
      <w:r>
        <w:rPr>
          <w:b/>
          <w:sz w:val="22"/>
          <w:lang w:val="de-DE"/>
        </w:rPr>
        <w:t>ETIKETT DES FERTIGPENS</w:t>
      </w:r>
    </w:p>
    <w:p w14:paraId="3E423C99" w14:textId="77777777" w:rsidR="00FE291A" w:rsidRDefault="00FE291A">
      <w:pPr>
        <w:widowControl/>
        <w:rPr>
          <w:sz w:val="22"/>
          <w:lang w:val="de-DE"/>
        </w:rPr>
      </w:pPr>
    </w:p>
    <w:p w14:paraId="0E1B9D2A" w14:textId="77777777" w:rsidR="00FE291A" w:rsidRDefault="00FE291A">
      <w:pPr>
        <w:widowControl/>
        <w:rPr>
          <w:sz w:val="22"/>
          <w:lang w:val="de-DE"/>
        </w:rPr>
      </w:pPr>
    </w:p>
    <w:p w14:paraId="54691718" w14:textId="77777777" w:rsidR="00FE291A" w:rsidRDefault="00C8738F">
      <w:pPr>
        <w:widowControl/>
        <w:numPr>
          <w:ilvl w:val="0"/>
          <w:numId w:val="47"/>
        </w:numPr>
        <w:pBdr>
          <w:top w:val="single" w:sz="4" w:space="1" w:color="auto"/>
          <w:left w:val="single" w:sz="4" w:space="4" w:color="auto"/>
          <w:bottom w:val="single" w:sz="4" w:space="1" w:color="auto"/>
          <w:right w:val="single" w:sz="4" w:space="4" w:color="auto"/>
        </w:pBdr>
        <w:tabs>
          <w:tab w:val="left" w:pos="567"/>
        </w:tabs>
        <w:autoSpaceDE/>
        <w:autoSpaceDN/>
        <w:adjustRightInd/>
        <w:ind w:hanging="930"/>
        <w:outlineLvl w:val="0"/>
        <w:rPr>
          <w:b/>
          <w:sz w:val="22"/>
          <w:lang w:val="de-DE"/>
        </w:rPr>
      </w:pPr>
      <w:r>
        <w:rPr>
          <w:b/>
          <w:sz w:val="22"/>
          <w:lang w:val="de-DE"/>
        </w:rPr>
        <w:t>BEZEICHNUNG DES ARZNEIMITTELS SOWIE ART(EN) DER ANWENDUNG</w:t>
      </w:r>
    </w:p>
    <w:p w14:paraId="5EA7CE75" w14:textId="77777777" w:rsidR="00FE291A" w:rsidRDefault="00FE291A">
      <w:pPr>
        <w:widowControl/>
        <w:ind w:left="567" w:hanging="567"/>
        <w:rPr>
          <w:sz w:val="22"/>
          <w:lang w:val="de-DE"/>
        </w:rPr>
      </w:pPr>
    </w:p>
    <w:p w14:paraId="66A83711" w14:textId="77777777" w:rsidR="00FE291A" w:rsidRPr="00C85130" w:rsidRDefault="00C8738F">
      <w:pPr>
        <w:widowControl/>
        <w:rPr>
          <w:sz w:val="22"/>
          <w:szCs w:val="22"/>
          <w:lang w:val="de-DE"/>
          <w:rPrChange w:id="115" w:author="Author">
            <w:rPr>
              <w:sz w:val="22"/>
              <w:szCs w:val="22"/>
              <w:lang w:val="es-ES"/>
            </w:rPr>
          </w:rPrChange>
        </w:rPr>
      </w:pPr>
      <w:r w:rsidRPr="00C85130">
        <w:rPr>
          <w:sz w:val="22"/>
          <w:szCs w:val="22"/>
          <w:lang w:val="de-DE"/>
          <w:rPrChange w:id="116" w:author="Author">
            <w:rPr>
              <w:sz w:val="22"/>
              <w:szCs w:val="22"/>
              <w:lang w:val="es-ES"/>
            </w:rPr>
          </w:rPrChange>
        </w:rPr>
        <w:t>AMGEVITA 80 mg Injektion</w:t>
      </w:r>
    </w:p>
    <w:p w14:paraId="5E557BD6" w14:textId="77777777" w:rsidR="00FE291A" w:rsidRPr="00C85130" w:rsidRDefault="00C8738F">
      <w:pPr>
        <w:widowControl/>
        <w:rPr>
          <w:sz w:val="22"/>
          <w:szCs w:val="22"/>
          <w:lang w:val="de-DE"/>
          <w:rPrChange w:id="117" w:author="Author">
            <w:rPr>
              <w:sz w:val="22"/>
              <w:szCs w:val="22"/>
              <w:lang w:val="es-ES"/>
            </w:rPr>
          </w:rPrChange>
        </w:rPr>
      </w:pPr>
      <w:r w:rsidRPr="00C85130">
        <w:rPr>
          <w:sz w:val="22"/>
          <w:szCs w:val="22"/>
          <w:lang w:val="de-DE"/>
          <w:rPrChange w:id="118" w:author="Author">
            <w:rPr>
              <w:sz w:val="22"/>
              <w:szCs w:val="22"/>
              <w:lang w:val="es-ES"/>
            </w:rPr>
          </w:rPrChange>
        </w:rPr>
        <w:t>Adalimumab</w:t>
      </w:r>
    </w:p>
    <w:p w14:paraId="107CB9D4" w14:textId="77777777" w:rsidR="00FE291A" w:rsidRPr="00C85130" w:rsidRDefault="00C8738F">
      <w:pPr>
        <w:widowControl/>
        <w:rPr>
          <w:sz w:val="22"/>
          <w:lang w:val="de-DE"/>
          <w:rPrChange w:id="119" w:author="Author">
            <w:rPr>
              <w:sz w:val="22"/>
              <w:lang w:val="es-ES"/>
            </w:rPr>
          </w:rPrChange>
        </w:rPr>
      </w:pPr>
      <w:r w:rsidRPr="00C85130">
        <w:rPr>
          <w:sz w:val="22"/>
          <w:lang w:val="de-DE"/>
          <w:rPrChange w:id="120" w:author="Author">
            <w:rPr>
              <w:sz w:val="22"/>
              <w:lang w:val="es-ES"/>
            </w:rPr>
          </w:rPrChange>
        </w:rPr>
        <w:t>s.c.</w:t>
      </w:r>
    </w:p>
    <w:p w14:paraId="1BF1C1E0" w14:textId="77777777" w:rsidR="00FE291A" w:rsidRPr="00C85130" w:rsidRDefault="00FE291A">
      <w:pPr>
        <w:widowControl/>
        <w:rPr>
          <w:sz w:val="22"/>
          <w:lang w:val="de-DE"/>
          <w:rPrChange w:id="121" w:author="Author">
            <w:rPr>
              <w:sz w:val="22"/>
              <w:lang w:val="es-ES"/>
            </w:rPr>
          </w:rPrChange>
        </w:rPr>
      </w:pPr>
    </w:p>
    <w:p w14:paraId="24A76945" w14:textId="77777777" w:rsidR="00FE291A" w:rsidRPr="00C85130" w:rsidRDefault="00FE291A">
      <w:pPr>
        <w:widowControl/>
        <w:rPr>
          <w:sz w:val="22"/>
          <w:lang w:val="de-DE"/>
          <w:rPrChange w:id="122" w:author="Author">
            <w:rPr>
              <w:sz w:val="22"/>
              <w:lang w:val="es-ES"/>
            </w:rPr>
          </w:rPrChange>
        </w:rPr>
      </w:pPr>
    </w:p>
    <w:p w14:paraId="457E4D10" w14:textId="77777777" w:rsidR="00FE291A" w:rsidRDefault="00C8738F">
      <w:pPr>
        <w:widowControl/>
        <w:numPr>
          <w:ilvl w:val="0"/>
          <w:numId w:val="47"/>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HINWEISE ZUR ANWENDUNG</w:t>
      </w:r>
    </w:p>
    <w:p w14:paraId="195F4637" w14:textId="77777777" w:rsidR="00FE291A" w:rsidRDefault="00FE291A">
      <w:pPr>
        <w:widowControl/>
        <w:rPr>
          <w:sz w:val="22"/>
          <w:lang w:val="de-DE"/>
        </w:rPr>
      </w:pPr>
    </w:p>
    <w:p w14:paraId="771578EE" w14:textId="77777777" w:rsidR="00FE291A" w:rsidRDefault="00FE291A">
      <w:pPr>
        <w:widowControl/>
        <w:rPr>
          <w:sz w:val="22"/>
          <w:lang w:val="de-DE"/>
        </w:rPr>
      </w:pPr>
    </w:p>
    <w:p w14:paraId="0DCD3135" w14:textId="77777777" w:rsidR="00FE291A" w:rsidRDefault="00C8738F">
      <w:pPr>
        <w:widowControl/>
        <w:numPr>
          <w:ilvl w:val="0"/>
          <w:numId w:val="47"/>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VERFALLDATUM</w:t>
      </w:r>
    </w:p>
    <w:p w14:paraId="13E583B7" w14:textId="77777777" w:rsidR="00FE291A" w:rsidRDefault="00FE291A">
      <w:pPr>
        <w:widowControl/>
        <w:rPr>
          <w:sz w:val="22"/>
          <w:lang w:val="de-DE"/>
        </w:rPr>
      </w:pPr>
    </w:p>
    <w:p w14:paraId="66FAC591" w14:textId="77777777" w:rsidR="00FE291A" w:rsidRDefault="00C8738F">
      <w:pPr>
        <w:widowControl/>
        <w:rPr>
          <w:sz w:val="22"/>
          <w:lang w:val="de-DE"/>
        </w:rPr>
      </w:pPr>
      <w:r>
        <w:rPr>
          <w:sz w:val="22"/>
          <w:lang w:val="de-DE"/>
        </w:rPr>
        <w:t>EXP</w:t>
      </w:r>
    </w:p>
    <w:p w14:paraId="3D7A2D75" w14:textId="77777777" w:rsidR="00FE291A" w:rsidRDefault="00FE291A">
      <w:pPr>
        <w:widowControl/>
        <w:rPr>
          <w:sz w:val="22"/>
          <w:lang w:val="de-DE"/>
        </w:rPr>
      </w:pPr>
    </w:p>
    <w:p w14:paraId="132EBCEB" w14:textId="77777777" w:rsidR="00FE291A" w:rsidRDefault="00FE291A">
      <w:pPr>
        <w:widowControl/>
        <w:rPr>
          <w:sz w:val="22"/>
          <w:lang w:val="de-DE"/>
        </w:rPr>
      </w:pPr>
    </w:p>
    <w:p w14:paraId="03124DEE" w14:textId="77777777" w:rsidR="00FE291A" w:rsidRDefault="00C8738F">
      <w:pPr>
        <w:widowControl/>
        <w:numPr>
          <w:ilvl w:val="0"/>
          <w:numId w:val="47"/>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CHARGENBEZEICHNUNG</w:t>
      </w:r>
    </w:p>
    <w:p w14:paraId="70444CAB" w14:textId="77777777" w:rsidR="00FE291A" w:rsidRDefault="00FE291A">
      <w:pPr>
        <w:widowControl/>
        <w:ind w:right="113"/>
        <w:rPr>
          <w:sz w:val="22"/>
          <w:lang w:val="de-DE"/>
        </w:rPr>
      </w:pPr>
    </w:p>
    <w:p w14:paraId="073E3895" w14:textId="77777777" w:rsidR="00FE291A" w:rsidRDefault="00C8738F">
      <w:pPr>
        <w:widowControl/>
        <w:ind w:right="113"/>
        <w:rPr>
          <w:sz w:val="22"/>
          <w:lang w:val="de-DE"/>
        </w:rPr>
      </w:pPr>
      <w:r>
        <w:rPr>
          <w:sz w:val="22"/>
          <w:lang w:val="de-DE"/>
        </w:rPr>
        <w:t>Lot</w:t>
      </w:r>
    </w:p>
    <w:p w14:paraId="790D6B4A" w14:textId="77777777" w:rsidR="00FE291A" w:rsidRDefault="00FE291A">
      <w:pPr>
        <w:widowControl/>
        <w:ind w:right="113"/>
        <w:rPr>
          <w:sz w:val="22"/>
          <w:lang w:val="de-DE"/>
        </w:rPr>
      </w:pPr>
    </w:p>
    <w:p w14:paraId="12D9FACF" w14:textId="77777777" w:rsidR="00FE291A" w:rsidRDefault="00FE291A">
      <w:pPr>
        <w:widowControl/>
        <w:ind w:right="113"/>
        <w:rPr>
          <w:sz w:val="22"/>
          <w:lang w:val="de-DE"/>
        </w:rPr>
      </w:pPr>
    </w:p>
    <w:p w14:paraId="4F7793AA" w14:textId="77777777" w:rsidR="00FE291A" w:rsidRDefault="00C8738F">
      <w:pPr>
        <w:widowControl/>
        <w:numPr>
          <w:ilvl w:val="0"/>
          <w:numId w:val="47"/>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INHALT NACH GEWICHT, VOLUMEN ODER EINHEITEN</w:t>
      </w:r>
    </w:p>
    <w:p w14:paraId="3968D100" w14:textId="77777777" w:rsidR="00FE291A" w:rsidRDefault="00FE291A">
      <w:pPr>
        <w:widowControl/>
        <w:ind w:right="113"/>
        <w:rPr>
          <w:sz w:val="22"/>
          <w:lang w:val="de-DE"/>
        </w:rPr>
      </w:pPr>
    </w:p>
    <w:p w14:paraId="0526CA97" w14:textId="77777777" w:rsidR="00FE291A" w:rsidRDefault="00C8738F">
      <w:pPr>
        <w:widowControl/>
        <w:ind w:right="113"/>
        <w:rPr>
          <w:sz w:val="22"/>
          <w:lang w:val="de-DE"/>
        </w:rPr>
      </w:pPr>
      <w:r>
        <w:rPr>
          <w:sz w:val="22"/>
          <w:lang w:val="de-DE"/>
        </w:rPr>
        <w:t>0,8 ml</w:t>
      </w:r>
    </w:p>
    <w:p w14:paraId="3C36B150" w14:textId="77777777" w:rsidR="00FE291A" w:rsidRDefault="00FE291A">
      <w:pPr>
        <w:widowControl/>
        <w:ind w:right="113"/>
        <w:rPr>
          <w:sz w:val="22"/>
          <w:lang w:val="de-DE"/>
        </w:rPr>
      </w:pPr>
    </w:p>
    <w:p w14:paraId="193D1538" w14:textId="77777777" w:rsidR="00FE291A" w:rsidRDefault="00FE291A">
      <w:pPr>
        <w:widowControl/>
        <w:ind w:right="113"/>
        <w:rPr>
          <w:sz w:val="22"/>
          <w:lang w:val="de-DE"/>
        </w:rPr>
      </w:pPr>
    </w:p>
    <w:p w14:paraId="5763BFF0" w14:textId="77777777" w:rsidR="00FE291A" w:rsidRDefault="00C8738F">
      <w:pPr>
        <w:widowControl/>
        <w:numPr>
          <w:ilvl w:val="0"/>
          <w:numId w:val="47"/>
        </w:numPr>
        <w:pBdr>
          <w:top w:val="single" w:sz="4" w:space="1" w:color="auto"/>
          <w:left w:val="single" w:sz="4" w:space="4" w:color="auto"/>
          <w:bottom w:val="single" w:sz="4" w:space="1" w:color="auto"/>
          <w:right w:val="single" w:sz="4" w:space="4" w:color="auto"/>
        </w:pBdr>
        <w:tabs>
          <w:tab w:val="left" w:pos="567"/>
        </w:tabs>
        <w:autoSpaceDE/>
        <w:autoSpaceDN/>
        <w:adjustRightInd/>
        <w:ind w:left="567"/>
        <w:outlineLvl w:val="0"/>
        <w:rPr>
          <w:b/>
          <w:sz w:val="22"/>
          <w:lang w:val="de-DE"/>
        </w:rPr>
      </w:pPr>
      <w:r>
        <w:rPr>
          <w:b/>
          <w:sz w:val="22"/>
          <w:lang w:val="de-DE"/>
        </w:rPr>
        <w:t>WEITERE ANGABEN</w:t>
      </w:r>
    </w:p>
    <w:p w14:paraId="28C735AD" w14:textId="77777777" w:rsidR="00FE291A" w:rsidRDefault="00FE291A">
      <w:pPr>
        <w:widowControl/>
        <w:ind w:right="113"/>
        <w:rPr>
          <w:sz w:val="22"/>
          <w:lang w:val="de-DE"/>
        </w:rPr>
      </w:pPr>
    </w:p>
    <w:p w14:paraId="7D62FF5E" w14:textId="77777777" w:rsidR="00FE291A" w:rsidRDefault="00FE291A">
      <w:pPr>
        <w:widowControl/>
        <w:ind w:right="113"/>
        <w:rPr>
          <w:sz w:val="22"/>
          <w:lang w:val="de-DE"/>
        </w:rPr>
      </w:pPr>
    </w:p>
    <w:p w14:paraId="59EBAAF7" w14:textId="77777777" w:rsidR="00FE291A" w:rsidRDefault="00C8738F">
      <w:pPr>
        <w:widowControl/>
        <w:ind w:right="113"/>
        <w:rPr>
          <w:sz w:val="22"/>
          <w:lang w:val="de-DE"/>
        </w:rPr>
      </w:pPr>
      <w:r>
        <w:rPr>
          <w:sz w:val="22"/>
          <w:lang w:val="de-DE"/>
        </w:rPr>
        <w:br w:type="page"/>
      </w:r>
    </w:p>
    <w:p w14:paraId="410A9C46" w14:textId="77777777" w:rsidR="00FE291A" w:rsidRDefault="00FE291A">
      <w:pPr>
        <w:widowControl/>
        <w:outlineLvl w:val="0"/>
        <w:rPr>
          <w:b/>
          <w:sz w:val="22"/>
          <w:lang w:val="de-DE"/>
        </w:rPr>
      </w:pPr>
    </w:p>
    <w:p w14:paraId="4F19FB67" w14:textId="77777777" w:rsidR="00FE291A" w:rsidRDefault="00FE291A">
      <w:pPr>
        <w:widowControl/>
        <w:outlineLvl w:val="0"/>
        <w:rPr>
          <w:b/>
          <w:sz w:val="22"/>
          <w:lang w:val="de-DE"/>
        </w:rPr>
      </w:pPr>
    </w:p>
    <w:p w14:paraId="32CE6D52" w14:textId="77777777" w:rsidR="00FE291A" w:rsidRDefault="00FE291A">
      <w:pPr>
        <w:widowControl/>
        <w:outlineLvl w:val="0"/>
        <w:rPr>
          <w:b/>
          <w:sz w:val="22"/>
          <w:lang w:val="de-DE"/>
        </w:rPr>
      </w:pPr>
    </w:p>
    <w:p w14:paraId="3444A088" w14:textId="77777777" w:rsidR="00FE291A" w:rsidRDefault="00FE291A">
      <w:pPr>
        <w:widowControl/>
        <w:outlineLvl w:val="0"/>
        <w:rPr>
          <w:b/>
          <w:sz w:val="22"/>
          <w:lang w:val="de-DE"/>
        </w:rPr>
      </w:pPr>
    </w:p>
    <w:p w14:paraId="47CF4EA8" w14:textId="77777777" w:rsidR="00FE291A" w:rsidRDefault="00FE291A">
      <w:pPr>
        <w:widowControl/>
        <w:outlineLvl w:val="0"/>
        <w:rPr>
          <w:b/>
          <w:sz w:val="22"/>
          <w:lang w:val="de-DE"/>
        </w:rPr>
      </w:pPr>
    </w:p>
    <w:p w14:paraId="77096748" w14:textId="77777777" w:rsidR="00FE291A" w:rsidRDefault="00FE291A">
      <w:pPr>
        <w:widowControl/>
        <w:outlineLvl w:val="0"/>
        <w:rPr>
          <w:b/>
          <w:sz w:val="22"/>
          <w:lang w:val="de-DE"/>
        </w:rPr>
      </w:pPr>
    </w:p>
    <w:p w14:paraId="3ECC36B5" w14:textId="77777777" w:rsidR="00FE291A" w:rsidRDefault="00FE291A">
      <w:pPr>
        <w:widowControl/>
        <w:outlineLvl w:val="0"/>
        <w:rPr>
          <w:b/>
          <w:sz w:val="22"/>
          <w:lang w:val="de-DE"/>
        </w:rPr>
      </w:pPr>
    </w:p>
    <w:p w14:paraId="3B5B99D7" w14:textId="77777777" w:rsidR="00FE291A" w:rsidRDefault="00FE291A">
      <w:pPr>
        <w:widowControl/>
        <w:outlineLvl w:val="0"/>
        <w:rPr>
          <w:b/>
          <w:sz w:val="22"/>
          <w:lang w:val="de-DE"/>
        </w:rPr>
      </w:pPr>
    </w:p>
    <w:p w14:paraId="4429B003" w14:textId="77777777" w:rsidR="00FE291A" w:rsidRDefault="00FE291A">
      <w:pPr>
        <w:widowControl/>
        <w:outlineLvl w:val="0"/>
        <w:rPr>
          <w:b/>
          <w:sz w:val="22"/>
          <w:lang w:val="de-DE"/>
        </w:rPr>
      </w:pPr>
    </w:p>
    <w:p w14:paraId="0E5233F1" w14:textId="77777777" w:rsidR="00FE291A" w:rsidRDefault="00FE291A">
      <w:pPr>
        <w:widowControl/>
        <w:outlineLvl w:val="0"/>
        <w:rPr>
          <w:b/>
          <w:sz w:val="22"/>
          <w:lang w:val="de-DE"/>
        </w:rPr>
      </w:pPr>
    </w:p>
    <w:p w14:paraId="029F57A8" w14:textId="77777777" w:rsidR="00FE291A" w:rsidRDefault="00FE291A">
      <w:pPr>
        <w:widowControl/>
        <w:outlineLvl w:val="0"/>
        <w:rPr>
          <w:b/>
          <w:sz w:val="22"/>
          <w:lang w:val="de-DE"/>
        </w:rPr>
      </w:pPr>
    </w:p>
    <w:p w14:paraId="35F276DD" w14:textId="77777777" w:rsidR="00FE291A" w:rsidRDefault="00FE291A">
      <w:pPr>
        <w:widowControl/>
        <w:outlineLvl w:val="0"/>
        <w:rPr>
          <w:b/>
          <w:sz w:val="22"/>
          <w:lang w:val="de-DE"/>
        </w:rPr>
      </w:pPr>
    </w:p>
    <w:p w14:paraId="31C6C3EC" w14:textId="77777777" w:rsidR="00FE291A" w:rsidRDefault="00FE291A">
      <w:pPr>
        <w:widowControl/>
        <w:outlineLvl w:val="0"/>
        <w:rPr>
          <w:b/>
          <w:sz w:val="22"/>
          <w:lang w:val="de-DE"/>
        </w:rPr>
      </w:pPr>
    </w:p>
    <w:p w14:paraId="3156F1BA" w14:textId="77777777" w:rsidR="00FE291A" w:rsidRDefault="00FE291A">
      <w:pPr>
        <w:widowControl/>
        <w:outlineLvl w:val="0"/>
        <w:rPr>
          <w:b/>
          <w:sz w:val="22"/>
          <w:lang w:val="de-DE"/>
        </w:rPr>
      </w:pPr>
    </w:p>
    <w:p w14:paraId="6F8440DD" w14:textId="77777777" w:rsidR="00FE291A" w:rsidRDefault="00FE291A">
      <w:pPr>
        <w:widowControl/>
        <w:outlineLvl w:val="0"/>
        <w:rPr>
          <w:b/>
          <w:sz w:val="22"/>
          <w:lang w:val="de-DE"/>
        </w:rPr>
      </w:pPr>
    </w:p>
    <w:p w14:paraId="3FB94563" w14:textId="77777777" w:rsidR="00FE291A" w:rsidRDefault="00FE291A">
      <w:pPr>
        <w:widowControl/>
        <w:outlineLvl w:val="0"/>
        <w:rPr>
          <w:b/>
          <w:sz w:val="22"/>
          <w:lang w:val="de-DE"/>
        </w:rPr>
      </w:pPr>
    </w:p>
    <w:p w14:paraId="41A7BE68" w14:textId="77777777" w:rsidR="00FE291A" w:rsidRDefault="00FE291A">
      <w:pPr>
        <w:widowControl/>
        <w:outlineLvl w:val="0"/>
        <w:rPr>
          <w:b/>
          <w:sz w:val="22"/>
          <w:lang w:val="de-DE"/>
        </w:rPr>
      </w:pPr>
    </w:p>
    <w:p w14:paraId="5B4074A5" w14:textId="77777777" w:rsidR="00FE291A" w:rsidRDefault="00FE291A">
      <w:pPr>
        <w:widowControl/>
        <w:outlineLvl w:val="0"/>
        <w:rPr>
          <w:b/>
          <w:sz w:val="22"/>
          <w:lang w:val="de-DE"/>
        </w:rPr>
      </w:pPr>
    </w:p>
    <w:p w14:paraId="52C7C81D" w14:textId="77777777" w:rsidR="00FE291A" w:rsidRDefault="00FE291A">
      <w:pPr>
        <w:widowControl/>
        <w:outlineLvl w:val="0"/>
        <w:rPr>
          <w:b/>
          <w:sz w:val="22"/>
          <w:lang w:val="de-DE"/>
        </w:rPr>
      </w:pPr>
    </w:p>
    <w:p w14:paraId="5554E922" w14:textId="77777777" w:rsidR="00FE291A" w:rsidRDefault="00FE291A">
      <w:pPr>
        <w:widowControl/>
        <w:outlineLvl w:val="0"/>
        <w:rPr>
          <w:b/>
          <w:sz w:val="22"/>
          <w:lang w:val="de-DE"/>
        </w:rPr>
      </w:pPr>
    </w:p>
    <w:p w14:paraId="3580AD12" w14:textId="77777777" w:rsidR="00FE291A" w:rsidRDefault="00FE291A">
      <w:pPr>
        <w:widowControl/>
        <w:jc w:val="center"/>
        <w:outlineLvl w:val="0"/>
        <w:rPr>
          <w:rStyle w:val="DoNotTranslateExternal1"/>
          <w:sz w:val="22"/>
          <w:lang w:val="de-DE"/>
        </w:rPr>
      </w:pPr>
    </w:p>
    <w:p w14:paraId="247C5EB6" w14:textId="77777777" w:rsidR="00FE291A" w:rsidRDefault="00FE291A">
      <w:pPr>
        <w:widowControl/>
        <w:jc w:val="center"/>
        <w:outlineLvl w:val="0"/>
        <w:rPr>
          <w:rStyle w:val="DoNotTranslateExternal1"/>
          <w:sz w:val="22"/>
          <w:lang w:val="de-DE"/>
        </w:rPr>
      </w:pPr>
    </w:p>
    <w:p w14:paraId="524A376B" w14:textId="77777777" w:rsidR="00FE291A" w:rsidRDefault="00C8738F">
      <w:pPr>
        <w:pStyle w:val="TitleA"/>
        <w:widowControl/>
      </w:pPr>
      <w:r>
        <w:rPr>
          <w:rStyle w:val="DoNotTranslateExternal1"/>
          <w:b/>
        </w:rPr>
        <w:t>B.</w:t>
      </w:r>
      <w:r>
        <w:t xml:space="preserve"> PACKUNGSBEILAGE</w:t>
      </w:r>
    </w:p>
    <w:p w14:paraId="043CF2C5" w14:textId="77777777" w:rsidR="00FE291A" w:rsidRDefault="00C8738F">
      <w:pPr>
        <w:pStyle w:val="BodyText"/>
        <w:widowControl/>
        <w:kinsoku w:val="0"/>
        <w:overflowPunct w:val="0"/>
        <w:ind w:left="0"/>
        <w:jc w:val="center"/>
        <w:rPr>
          <w:b/>
          <w:bCs/>
          <w:lang w:val="de-DE"/>
        </w:rPr>
      </w:pPr>
      <w:r>
        <w:rPr>
          <w:lang w:val="de-DE"/>
        </w:rPr>
        <w:br w:type="page"/>
      </w:r>
      <w:r>
        <w:rPr>
          <w:b/>
          <w:lang w:val="de-DE"/>
        </w:rPr>
        <w:t>Gebrauchsinformation: Information für den Patienten</w:t>
      </w:r>
    </w:p>
    <w:p w14:paraId="313A1C73" w14:textId="77777777" w:rsidR="00FE291A" w:rsidRDefault="00FE291A">
      <w:pPr>
        <w:widowControl/>
        <w:kinsoku w:val="0"/>
        <w:overflowPunct w:val="0"/>
        <w:jc w:val="center"/>
        <w:rPr>
          <w:sz w:val="22"/>
          <w:szCs w:val="22"/>
          <w:lang w:val="de-DE"/>
        </w:rPr>
      </w:pPr>
    </w:p>
    <w:p w14:paraId="1D623A0D" w14:textId="77777777" w:rsidR="00FE291A" w:rsidRDefault="00C8738F">
      <w:pPr>
        <w:widowControl/>
        <w:kinsoku w:val="0"/>
        <w:overflowPunct w:val="0"/>
        <w:jc w:val="center"/>
        <w:rPr>
          <w:sz w:val="22"/>
          <w:szCs w:val="22"/>
          <w:lang w:val="de-DE"/>
        </w:rPr>
      </w:pPr>
      <w:r>
        <w:rPr>
          <w:b/>
          <w:bCs/>
          <w:sz w:val="22"/>
          <w:szCs w:val="22"/>
          <w:lang w:val="de-DE"/>
        </w:rPr>
        <w:t>AMGEVITA 20 mg Injektionslösung in einer Fertigspritze</w:t>
      </w:r>
    </w:p>
    <w:p w14:paraId="5C59C921" w14:textId="77777777" w:rsidR="00FE291A" w:rsidRDefault="00C8738F">
      <w:pPr>
        <w:widowControl/>
        <w:kinsoku w:val="0"/>
        <w:overflowPunct w:val="0"/>
        <w:jc w:val="center"/>
        <w:rPr>
          <w:sz w:val="22"/>
          <w:szCs w:val="22"/>
          <w:lang w:val="de-DE"/>
        </w:rPr>
      </w:pPr>
      <w:r>
        <w:rPr>
          <w:b/>
          <w:bCs/>
          <w:sz w:val="22"/>
          <w:szCs w:val="22"/>
          <w:lang w:val="de-DE"/>
        </w:rPr>
        <w:t>AMGEVITA 40 mg Injektionslösung in einer Fertigspritze</w:t>
      </w:r>
    </w:p>
    <w:p w14:paraId="7B85F0F8" w14:textId="77777777" w:rsidR="00FE291A" w:rsidRDefault="00C8738F">
      <w:pPr>
        <w:pStyle w:val="BodyText"/>
        <w:widowControl/>
        <w:kinsoku w:val="0"/>
        <w:overflowPunct w:val="0"/>
        <w:ind w:left="0"/>
        <w:jc w:val="center"/>
        <w:rPr>
          <w:lang w:val="de-DE"/>
        </w:rPr>
      </w:pPr>
      <w:r>
        <w:rPr>
          <w:lang w:val="de-DE"/>
        </w:rPr>
        <w:t>Adalimumab</w:t>
      </w:r>
    </w:p>
    <w:p w14:paraId="5C7A4F35" w14:textId="77777777" w:rsidR="00FE291A" w:rsidRDefault="00FE291A">
      <w:pPr>
        <w:pStyle w:val="BodyText"/>
        <w:widowControl/>
        <w:kinsoku w:val="0"/>
        <w:overflowPunct w:val="0"/>
        <w:ind w:left="0"/>
        <w:jc w:val="center"/>
        <w:rPr>
          <w:lang w:val="de-DE"/>
        </w:rPr>
      </w:pPr>
    </w:p>
    <w:p w14:paraId="5B3D7A7F" w14:textId="77777777" w:rsidR="00FE291A" w:rsidRDefault="00FE291A">
      <w:pPr>
        <w:widowControl/>
        <w:kinsoku w:val="0"/>
        <w:overflowPunct w:val="0"/>
        <w:rPr>
          <w:sz w:val="22"/>
          <w:szCs w:val="22"/>
          <w:lang w:val="de-DE"/>
        </w:rPr>
      </w:pPr>
    </w:p>
    <w:p w14:paraId="60913699" w14:textId="77777777" w:rsidR="00FE291A" w:rsidRDefault="00C8738F">
      <w:pPr>
        <w:pStyle w:val="Heading1"/>
        <w:widowControl/>
        <w:kinsoku w:val="0"/>
        <w:overflowPunct w:val="0"/>
        <w:ind w:left="0"/>
        <w:rPr>
          <w:b w:val="0"/>
          <w:bCs w:val="0"/>
          <w:lang w:val="de-DE"/>
        </w:rPr>
      </w:pPr>
      <w:r>
        <w:rPr>
          <w:lang w:val="de-DE"/>
        </w:rPr>
        <w:t>Lesen Sie die gesamte Packungsbeilage sorgfältig durch, bevor Sie mit der Anwendung dieses Arzneimittels beginnen, denn sie enthält wichtige Informationen.</w:t>
      </w:r>
    </w:p>
    <w:p w14:paraId="3DE86AF7"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Heben Sie die Packungsbeilage auf. Vielleicht möchten Sie diese später nochmals lesen.</w:t>
      </w:r>
    </w:p>
    <w:p w14:paraId="185C6857"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 xml:space="preserve">Ihr Arzt wird Ihnen auch einen </w:t>
      </w:r>
      <w:r>
        <w:rPr>
          <w:b/>
          <w:lang w:val="de-DE"/>
        </w:rPr>
        <w:t>Patientenpass</w:t>
      </w:r>
      <w:r>
        <w:rPr>
          <w:lang w:val="de-DE"/>
        </w:rPr>
        <w:t xml:space="preserve"> aushändigen, der wichtige Informationen zur Sicherheit enthält, die Sie vor und während der Behandlung mit AMGEVITA beachten sollten. Führen Sie diesen </w:t>
      </w:r>
      <w:r>
        <w:rPr>
          <w:b/>
          <w:lang w:val="de-DE"/>
        </w:rPr>
        <w:t>Patientenpass</w:t>
      </w:r>
      <w:r>
        <w:rPr>
          <w:lang w:val="de-DE"/>
        </w:rPr>
        <w:t xml:space="preserve"> mit sich.</w:t>
      </w:r>
    </w:p>
    <w:p w14:paraId="2C1B8695"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Wenn Sie weitere Fragen haben, wenden Sie sich an Ihren Arzt oder Apotheker.</w:t>
      </w:r>
    </w:p>
    <w:p w14:paraId="3706C5B7"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Dieses Arzneimittel wurde Ihnen persönlich verschrieben. Geben Sie es nicht an Dritte weiter. Es kann anderen Menschen schaden, auch wenn diese die gleichen Beschwerden haben wie Sie.</w:t>
      </w:r>
    </w:p>
    <w:p w14:paraId="19DBD12E"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Wenn Sie Nebenwirkungen bemerken, wenden Sie sich an Ihren Arzt oder Apotheker. Dies gilt auch für Nebenwirkungen, die nicht in dieser Packungsbeilage angegeben sind (siehe Abschnitt 4).</w:t>
      </w:r>
    </w:p>
    <w:p w14:paraId="20F48111" w14:textId="77777777" w:rsidR="00FE291A" w:rsidRDefault="00FE291A">
      <w:pPr>
        <w:widowControl/>
        <w:kinsoku w:val="0"/>
        <w:overflowPunct w:val="0"/>
        <w:rPr>
          <w:sz w:val="22"/>
          <w:szCs w:val="26"/>
          <w:lang w:val="de-DE"/>
        </w:rPr>
      </w:pPr>
    </w:p>
    <w:p w14:paraId="5F083B38" w14:textId="77777777" w:rsidR="00FE291A" w:rsidRDefault="00C8738F">
      <w:pPr>
        <w:pStyle w:val="Heading1"/>
        <w:widowControl/>
        <w:kinsoku w:val="0"/>
        <w:overflowPunct w:val="0"/>
        <w:ind w:left="0"/>
        <w:rPr>
          <w:lang w:val="de-DE"/>
        </w:rPr>
      </w:pPr>
      <w:r>
        <w:rPr>
          <w:lang w:val="de-DE"/>
        </w:rPr>
        <w:t>Diese Packungsbeilage beinhaltet</w:t>
      </w:r>
    </w:p>
    <w:p w14:paraId="59D4CF93" w14:textId="77777777" w:rsidR="00FE291A" w:rsidRDefault="00FE291A">
      <w:pPr>
        <w:widowControl/>
        <w:rPr>
          <w:sz w:val="22"/>
          <w:lang w:val="de-DE"/>
        </w:rPr>
      </w:pPr>
    </w:p>
    <w:p w14:paraId="542C1A62" w14:textId="77777777" w:rsidR="00FE291A" w:rsidRDefault="00C8738F">
      <w:pPr>
        <w:pStyle w:val="BodyText"/>
        <w:widowControl/>
        <w:numPr>
          <w:ilvl w:val="0"/>
          <w:numId w:val="49"/>
        </w:numPr>
        <w:tabs>
          <w:tab w:val="left" w:pos="567"/>
        </w:tabs>
        <w:kinsoku w:val="0"/>
        <w:overflowPunct w:val="0"/>
        <w:ind w:left="567"/>
        <w:rPr>
          <w:lang w:val="de-DE"/>
        </w:rPr>
      </w:pPr>
      <w:r>
        <w:rPr>
          <w:lang w:val="de-DE"/>
        </w:rPr>
        <w:t>Was ist AMGEVITA und wofür wird es angewendet?</w:t>
      </w:r>
    </w:p>
    <w:p w14:paraId="3AFD1597" w14:textId="77777777" w:rsidR="00FE291A" w:rsidRDefault="00C8738F">
      <w:pPr>
        <w:pStyle w:val="BodyText"/>
        <w:widowControl/>
        <w:numPr>
          <w:ilvl w:val="0"/>
          <w:numId w:val="49"/>
        </w:numPr>
        <w:tabs>
          <w:tab w:val="left" w:pos="567"/>
        </w:tabs>
        <w:kinsoku w:val="0"/>
        <w:overflowPunct w:val="0"/>
        <w:ind w:left="567"/>
        <w:rPr>
          <w:lang w:val="de-DE"/>
        </w:rPr>
      </w:pPr>
      <w:r>
        <w:rPr>
          <w:lang w:val="de-DE"/>
        </w:rPr>
        <w:t>Was sollten Sie vor der Anwendung von AMGEVITA beachten?</w:t>
      </w:r>
    </w:p>
    <w:p w14:paraId="1A322297" w14:textId="77777777" w:rsidR="00FE291A" w:rsidRDefault="00C8738F">
      <w:pPr>
        <w:pStyle w:val="BodyText"/>
        <w:widowControl/>
        <w:numPr>
          <w:ilvl w:val="0"/>
          <w:numId w:val="49"/>
        </w:numPr>
        <w:tabs>
          <w:tab w:val="left" w:pos="567"/>
        </w:tabs>
        <w:kinsoku w:val="0"/>
        <w:overflowPunct w:val="0"/>
        <w:ind w:left="567"/>
        <w:rPr>
          <w:lang w:val="de-DE"/>
        </w:rPr>
      </w:pPr>
      <w:r>
        <w:rPr>
          <w:lang w:val="de-DE"/>
        </w:rPr>
        <w:t>Wie ist AMGEVITA anzuwenden?</w:t>
      </w:r>
    </w:p>
    <w:p w14:paraId="1065C171" w14:textId="77777777" w:rsidR="00FE291A" w:rsidRDefault="00C8738F">
      <w:pPr>
        <w:pStyle w:val="BodyText"/>
        <w:widowControl/>
        <w:numPr>
          <w:ilvl w:val="0"/>
          <w:numId w:val="49"/>
        </w:numPr>
        <w:tabs>
          <w:tab w:val="left" w:pos="567"/>
        </w:tabs>
        <w:kinsoku w:val="0"/>
        <w:overflowPunct w:val="0"/>
        <w:ind w:left="567"/>
        <w:rPr>
          <w:lang w:val="de-DE"/>
        </w:rPr>
      </w:pPr>
      <w:r>
        <w:rPr>
          <w:lang w:val="de-DE"/>
        </w:rPr>
        <w:t>Welche Nebenwirkungen sind möglich?</w:t>
      </w:r>
    </w:p>
    <w:p w14:paraId="2ABAC393" w14:textId="77777777" w:rsidR="00FE291A" w:rsidRDefault="00C8738F">
      <w:pPr>
        <w:pStyle w:val="BodyText"/>
        <w:widowControl/>
        <w:numPr>
          <w:ilvl w:val="0"/>
          <w:numId w:val="49"/>
        </w:numPr>
        <w:tabs>
          <w:tab w:val="left" w:pos="567"/>
        </w:tabs>
        <w:kinsoku w:val="0"/>
        <w:overflowPunct w:val="0"/>
        <w:ind w:left="567"/>
        <w:rPr>
          <w:lang w:val="de-DE"/>
        </w:rPr>
      </w:pPr>
      <w:r>
        <w:rPr>
          <w:lang w:val="de-DE"/>
        </w:rPr>
        <w:t>Wie ist AMGEVITA aufzubewahren?</w:t>
      </w:r>
    </w:p>
    <w:p w14:paraId="59EDA8BB" w14:textId="77777777" w:rsidR="00FE291A" w:rsidRDefault="00C8738F">
      <w:pPr>
        <w:pStyle w:val="BodyText"/>
        <w:widowControl/>
        <w:numPr>
          <w:ilvl w:val="0"/>
          <w:numId w:val="49"/>
        </w:numPr>
        <w:tabs>
          <w:tab w:val="left" w:pos="567"/>
        </w:tabs>
        <w:kinsoku w:val="0"/>
        <w:overflowPunct w:val="0"/>
        <w:ind w:left="567"/>
        <w:rPr>
          <w:lang w:val="de-DE"/>
        </w:rPr>
      </w:pPr>
      <w:r>
        <w:rPr>
          <w:lang w:val="de-DE"/>
        </w:rPr>
        <w:t>Inhalt der Packung und weitere Informationen</w:t>
      </w:r>
    </w:p>
    <w:p w14:paraId="0D6EEEF8" w14:textId="77777777" w:rsidR="00FE291A" w:rsidRDefault="00FE291A">
      <w:pPr>
        <w:widowControl/>
        <w:kinsoku w:val="0"/>
        <w:overflowPunct w:val="0"/>
        <w:rPr>
          <w:sz w:val="22"/>
          <w:szCs w:val="20"/>
          <w:lang w:val="de-DE"/>
        </w:rPr>
      </w:pPr>
    </w:p>
    <w:p w14:paraId="73D25C2F" w14:textId="77777777" w:rsidR="00FE291A" w:rsidRDefault="00FE291A">
      <w:pPr>
        <w:widowControl/>
        <w:kinsoku w:val="0"/>
        <w:overflowPunct w:val="0"/>
        <w:rPr>
          <w:sz w:val="22"/>
          <w:szCs w:val="20"/>
          <w:lang w:val="de-DE"/>
        </w:rPr>
      </w:pPr>
    </w:p>
    <w:p w14:paraId="68276AD6" w14:textId="77777777" w:rsidR="00FE291A" w:rsidRDefault="00C8738F">
      <w:pPr>
        <w:pStyle w:val="Heading1"/>
        <w:widowControl/>
        <w:kinsoku w:val="0"/>
        <w:overflowPunct w:val="0"/>
        <w:ind w:left="567" w:hanging="567"/>
        <w:rPr>
          <w:b w:val="0"/>
          <w:bCs w:val="0"/>
          <w:lang w:val="de-DE"/>
        </w:rPr>
      </w:pPr>
      <w:r>
        <w:rPr>
          <w:lang w:val="de-DE"/>
        </w:rPr>
        <w:t>1.</w:t>
      </w:r>
      <w:r>
        <w:rPr>
          <w:lang w:val="de-DE"/>
        </w:rPr>
        <w:tab/>
        <w:t>Was ist AMGEVITA und wofür wird es angewendet?</w:t>
      </w:r>
    </w:p>
    <w:p w14:paraId="4B3A8602" w14:textId="77777777" w:rsidR="00FE291A" w:rsidRDefault="00FE291A">
      <w:pPr>
        <w:widowControl/>
        <w:kinsoku w:val="0"/>
        <w:overflowPunct w:val="0"/>
        <w:rPr>
          <w:sz w:val="22"/>
          <w:szCs w:val="22"/>
          <w:lang w:val="de-DE"/>
        </w:rPr>
      </w:pPr>
    </w:p>
    <w:p w14:paraId="1F33D4A5" w14:textId="77777777" w:rsidR="00FE291A" w:rsidRDefault="00C8738F">
      <w:pPr>
        <w:pStyle w:val="BodyText"/>
        <w:widowControl/>
        <w:kinsoku w:val="0"/>
        <w:overflowPunct w:val="0"/>
        <w:ind w:left="0"/>
        <w:rPr>
          <w:lang w:val="de-DE"/>
        </w:rPr>
      </w:pPr>
      <w:r>
        <w:rPr>
          <w:lang w:val="de-DE"/>
        </w:rPr>
        <w:t>AMGEVITA enthält den Wirkstoff Adalimumab, ein Arzneimittel, das auf das Immunsystem (das körpereigene Abwehrsystem) Ihres Körpers wirkt.</w:t>
      </w:r>
    </w:p>
    <w:p w14:paraId="22717038" w14:textId="77777777" w:rsidR="00FE291A" w:rsidRDefault="00FE291A">
      <w:pPr>
        <w:pStyle w:val="BodyText"/>
        <w:widowControl/>
        <w:kinsoku w:val="0"/>
        <w:overflowPunct w:val="0"/>
        <w:ind w:left="0"/>
        <w:rPr>
          <w:lang w:val="de-DE"/>
        </w:rPr>
      </w:pPr>
    </w:p>
    <w:p w14:paraId="74EAE99C" w14:textId="77777777" w:rsidR="00FE291A" w:rsidRDefault="00C8738F">
      <w:pPr>
        <w:pStyle w:val="BodyText"/>
        <w:widowControl/>
        <w:kinsoku w:val="0"/>
        <w:overflowPunct w:val="0"/>
        <w:ind w:left="0"/>
        <w:rPr>
          <w:lang w:val="de-DE"/>
        </w:rPr>
      </w:pPr>
      <w:r>
        <w:rPr>
          <w:lang w:val="de-DE"/>
        </w:rPr>
        <w:t>AMGEVITA ist für die Behandlung folgender entzündlicher Erkrankungen vorgesehen:</w:t>
      </w:r>
    </w:p>
    <w:p w14:paraId="7310FAA2" w14:textId="77777777" w:rsidR="00FE291A" w:rsidRDefault="00C8738F">
      <w:pPr>
        <w:widowControl/>
        <w:numPr>
          <w:ilvl w:val="0"/>
          <w:numId w:val="50"/>
        </w:numPr>
        <w:tabs>
          <w:tab w:val="clear" w:pos="720"/>
          <w:tab w:val="left" w:pos="567"/>
        </w:tabs>
        <w:autoSpaceDE/>
        <w:autoSpaceDN/>
        <w:adjustRightInd/>
        <w:ind w:left="567" w:hanging="567"/>
        <w:rPr>
          <w:sz w:val="22"/>
          <w:szCs w:val="22"/>
          <w:lang w:val="de-DE"/>
        </w:rPr>
      </w:pPr>
      <w:r>
        <w:rPr>
          <w:sz w:val="22"/>
          <w:szCs w:val="22"/>
          <w:lang w:val="de-DE"/>
        </w:rPr>
        <w:t>Rheumatoide Arthritis</w:t>
      </w:r>
    </w:p>
    <w:p w14:paraId="6D6C0785" w14:textId="77777777" w:rsidR="00FE291A" w:rsidRDefault="00C8738F">
      <w:pPr>
        <w:widowControl/>
        <w:numPr>
          <w:ilvl w:val="0"/>
          <w:numId w:val="50"/>
        </w:numPr>
        <w:tabs>
          <w:tab w:val="clear" w:pos="720"/>
          <w:tab w:val="left" w:pos="567"/>
        </w:tabs>
        <w:autoSpaceDE/>
        <w:autoSpaceDN/>
        <w:adjustRightInd/>
        <w:ind w:left="567" w:hanging="567"/>
        <w:rPr>
          <w:sz w:val="22"/>
          <w:szCs w:val="22"/>
          <w:lang w:val="de-DE"/>
        </w:rPr>
      </w:pPr>
      <w:r>
        <w:rPr>
          <w:sz w:val="22"/>
          <w:szCs w:val="22"/>
          <w:lang w:val="de-DE"/>
        </w:rPr>
        <w:t>Polyartikuläre juvenile idiopathische Arthritis</w:t>
      </w:r>
    </w:p>
    <w:p w14:paraId="64695E18" w14:textId="77777777" w:rsidR="00FE291A" w:rsidRDefault="00C8738F">
      <w:pPr>
        <w:widowControl/>
        <w:numPr>
          <w:ilvl w:val="0"/>
          <w:numId w:val="50"/>
        </w:numPr>
        <w:tabs>
          <w:tab w:val="clear" w:pos="720"/>
          <w:tab w:val="left" w:pos="567"/>
        </w:tabs>
        <w:autoSpaceDE/>
        <w:autoSpaceDN/>
        <w:adjustRightInd/>
        <w:ind w:left="567" w:hanging="567"/>
        <w:rPr>
          <w:sz w:val="22"/>
          <w:szCs w:val="22"/>
          <w:lang w:val="de-DE"/>
        </w:rPr>
      </w:pPr>
      <w:r>
        <w:rPr>
          <w:sz w:val="22"/>
          <w:szCs w:val="22"/>
          <w:lang w:val="de-DE"/>
        </w:rPr>
        <w:t>Enthesitis-assoziierte Arthritis</w:t>
      </w:r>
    </w:p>
    <w:p w14:paraId="394BA466" w14:textId="77777777" w:rsidR="00FE291A" w:rsidRDefault="00C8738F">
      <w:pPr>
        <w:widowControl/>
        <w:numPr>
          <w:ilvl w:val="0"/>
          <w:numId w:val="50"/>
        </w:numPr>
        <w:tabs>
          <w:tab w:val="clear" w:pos="720"/>
          <w:tab w:val="left" w:pos="567"/>
        </w:tabs>
        <w:autoSpaceDE/>
        <w:autoSpaceDN/>
        <w:adjustRightInd/>
        <w:ind w:left="567" w:hanging="567"/>
        <w:rPr>
          <w:sz w:val="22"/>
          <w:szCs w:val="22"/>
          <w:lang w:val="de-DE"/>
        </w:rPr>
      </w:pPr>
      <w:r>
        <w:rPr>
          <w:sz w:val="22"/>
          <w:szCs w:val="22"/>
          <w:lang w:val="de-DE"/>
        </w:rPr>
        <w:t>Ankylosierende Spondylitis</w:t>
      </w:r>
    </w:p>
    <w:p w14:paraId="25EEA331" w14:textId="77777777" w:rsidR="00FE291A" w:rsidRDefault="00C8738F">
      <w:pPr>
        <w:widowControl/>
        <w:numPr>
          <w:ilvl w:val="0"/>
          <w:numId w:val="50"/>
        </w:numPr>
        <w:tabs>
          <w:tab w:val="clear" w:pos="720"/>
          <w:tab w:val="left" w:pos="567"/>
        </w:tabs>
        <w:autoSpaceDE/>
        <w:autoSpaceDN/>
        <w:adjustRightInd/>
        <w:ind w:left="567" w:hanging="567"/>
        <w:rPr>
          <w:sz w:val="22"/>
          <w:szCs w:val="22"/>
          <w:lang w:val="de-DE"/>
        </w:rPr>
      </w:pPr>
      <w:r>
        <w:rPr>
          <w:sz w:val="22"/>
          <w:szCs w:val="22"/>
          <w:lang w:val="de-DE"/>
        </w:rPr>
        <w:t>Axiale Spondyloarthritis, bei der im Röntgenbild noch keine Verknöcherung nachweisbar ist</w:t>
      </w:r>
    </w:p>
    <w:p w14:paraId="4EF742E0" w14:textId="77777777" w:rsidR="00FE291A" w:rsidRDefault="00C8738F">
      <w:pPr>
        <w:widowControl/>
        <w:numPr>
          <w:ilvl w:val="0"/>
          <w:numId w:val="50"/>
        </w:numPr>
        <w:tabs>
          <w:tab w:val="clear" w:pos="720"/>
          <w:tab w:val="left" w:pos="567"/>
        </w:tabs>
        <w:autoSpaceDE/>
        <w:autoSpaceDN/>
        <w:adjustRightInd/>
        <w:ind w:left="567" w:hanging="567"/>
        <w:rPr>
          <w:sz w:val="22"/>
          <w:szCs w:val="22"/>
          <w:lang w:val="de-DE"/>
        </w:rPr>
      </w:pPr>
      <w:r>
        <w:rPr>
          <w:sz w:val="22"/>
          <w:szCs w:val="22"/>
          <w:lang w:val="de-DE"/>
        </w:rPr>
        <w:t>Psoriasis-Arthritis</w:t>
      </w:r>
    </w:p>
    <w:p w14:paraId="7ECD6E6D" w14:textId="77777777" w:rsidR="00FE291A" w:rsidRDefault="00C8738F">
      <w:pPr>
        <w:widowControl/>
        <w:numPr>
          <w:ilvl w:val="0"/>
          <w:numId w:val="50"/>
        </w:numPr>
        <w:tabs>
          <w:tab w:val="clear" w:pos="720"/>
          <w:tab w:val="left" w:pos="567"/>
        </w:tabs>
        <w:autoSpaceDE/>
        <w:autoSpaceDN/>
        <w:adjustRightInd/>
        <w:ind w:left="567" w:hanging="567"/>
        <w:rPr>
          <w:sz w:val="22"/>
          <w:szCs w:val="22"/>
          <w:lang w:val="de-DE"/>
        </w:rPr>
      </w:pPr>
      <w:r>
        <w:rPr>
          <w:sz w:val="22"/>
          <w:szCs w:val="22"/>
          <w:lang w:val="de-DE"/>
        </w:rPr>
        <w:t>Plaque-Psoriasis</w:t>
      </w:r>
    </w:p>
    <w:p w14:paraId="2A1250BF" w14:textId="77777777" w:rsidR="00FE291A" w:rsidRDefault="00C8738F">
      <w:pPr>
        <w:widowControl/>
        <w:numPr>
          <w:ilvl w:val="0"/>
          <w:numId w:val="50"/>
        </w:numPr>
        <w:tabs>
          <w:tab w:val="clear" w:pos="720"/>
          <w:tab w:val="left" w:pos="567"/>
        </w:tabs>
        <w:autoSpaceDE/>
        <w:autoSpaceDN/>
        <w:adjustRightInd/>
        <w:ind w:left="567" w:hanging="567"/>
        <w:rPr>
          <w:sz w:val="22"/>
          <w:szCs w:val="22"/>
          <w:lang w:val="de-DE"/>
        </w:rPr>
      </w:pPr>
      <w:r>
        <w:rPr>
          <w:sz w:val="22"/>
          <w:szCs w:val="22"/>
          <w:lang w:val="de-DE"/>
        </w:rPr>
        <w:t>Hidradenitis suppurativa (Acne inversa)</w:t>
      </w:r>
    </w:p>
    <w:p w14:paraId="1BB080B0" w14:textId="77777777" w:rsidR="00FE291A" w:rsidRDefault="00C8738F">
      <w:pPr>
        <w:widowControl/>
        <w:numPr>
          <w:ilvl w:val="0"/>
          <w:numId w:val="50"/>
        </w:numPr>
        <w:tabs>
          <w:tab w:val="clear" w:pos="720"/>
          <w:tab w:val="left" w:pos="567"/>
        </w:tabs>
        <w:autoSpaceDE/>
        <w:autoSpaceDN/>
        <w:adjustRightInd/>
        <w:ind w:left="567" w:hanging="567"/>
        <w:rPr>
          <w:sz w:val="22"/>
          <w:szCs w:val="22"/>
          <w:lang w:val="de-DE"/>
        </w:rPr>
      </w:pPr>
      <w:r>
        <w:rPr>
          <w:sz w:val="22"/>
          <w:szCs w:val="22"/>
          <w:lang w:val="de-DE"/>
        </w:rPr>
        <w:t>Morbus Crohn</w:t>
      </w:r>
    </w:p>
    <w:p w14:paraId="5D45967C" w14:textId="77777777" w:rsidR="00FE291A" w:rsidRDefault="00C8738F">
      <w:pPr>
        <w:widowControl/>
        <w:numPr>
          <w:ilvl w:val="0"/>
          <w:numId w:val="50"/>
        </w:numPr>
        <w:tabs>
          <w:tab w:val="clear" w:pos="720"/>
          <w:tab w:val="left" w:pos="567"/>
        </w:tabs>
        <w:autoSpaceDE/>
        <w:autoSpaceDN/>
        <w:adjustRightInd/>
        <w:ind w:left="567" w:hanging="567"/>
        <w:rPr>
          <w:sz w:val="22"/>
          <w:szCs w:val="22"/>
          <w:lang w:val="de-DE"/>
        </w:rPr>
      </w:pPr>
      <w:r>
        <w:rPr>
          <w:sz w:val="22"/>
          <w:szCs w:val="22"/>
          <w:lang w:val="de-DE"/>
        </w:rPr>
        <w:t xml:space="preserve">Colitis ulcerosa </w:t>
      </w:r>
    </w:p>
    <w:p w14:paraId="51AAF5E0" w14:textId="77777777" w:rsidR="00FE291A" w:rsidRDefault="00C8738F">
      <w:pPr>
        <w:widowControl/>
        <w:numPr>
          <w:ilvl w:val="0"/>
          <w:numId w:val="50"/>
        </w:numPr>
        <w:tabs>
          <w:tab w:val="clear" w:pos="720"/>
          <w:tab w:val="left" w:pos="567"/>
        </w:tabs>
        <w:autoSpaceDE/>
        <w:autoSpaceDN/>
        <w:adjustRightInd/>
        <w:ind w:left="567" w:hanging="567"/>
        <w:rPr>
          <w:sz w:val="22"/>
          <w:szCs w:val="22"/>
          <w:lang w:val="de-DE"/>
        </w:rPr>
      </w:pPr>
      <w:r>
        <w:rPr>
          <w:sz w:val="22"/>
          <w:szCs w:val="22"/>
          <w:lang w:val="de-DE"/>
        </w:rPr>
        <w:t>Nicht-infektiöse Uveitis</w:t>
      </w:r>
    </w:p>
    <w:p w14:paraId="26A7829F" w14:textId="77777777" w:rsidR="00FE291A" w:rsidRDefault="00FE291A">
      <w:pPr>
        <w:widowControl/>
        <w:kinsoku w:val="0"/>
        <w:overflowPunct w:val="0"/>
        <w:rPr>
          <w:sz w:val="22"/>
          <w:szCs w:val="22"/>
          <w:lang w:val="de-DE"/>
        </w:rPr>
      </w:pPr>
    </w:p>
    <w:p w14:paraId="034AC4FD" w14:textId="77777777" w:rsidR="00FE291A" w:rsidRDefault="00C8738F">
      <w:pPr>
        <w:widowControl/>
        <w:kinsoku w:val="0"/>
        <w:overflowPunct w:val="0"/>
        <w:rPr>
          <w:sz w:val="22"/>
          <w:szCs w:val="22"/>
          <w:lang w:val="de-DE"/>
        </w:rPr>
      </w:pPr>
      <w:r>
        <w:rPr>
          <w:sz w:val="22"/>
          <w:szCs w:val="22"/>
          <w:lang w:val="de-DE"/>
        </w:rPr>
        <w:t xml:space="preserve">Der Wirkstoff von AMGEVITA, Adalimumab, ist ein humaner monoklonaler Antikörper. Monoklonale Antikörper sind Eiweiße, die sich an ein bestimmtes Ziel anheften. </w:t>
      </w:r>
    </w:p>
    <w:p w14:paraId="6673CC5D" w14:textId="77777777" w:rsidR="00FE291A" w:rsidRDefault="00FE291A">
      <w:pPr>
        <w:widowControl/>
        <w:kinsoku w:val="0"/>
        <w:overflowPunct w:val="0"/>
        <w:rPr>
          <w:sz w:val="22"/>
          <w:szCs w:val="22"/>
          <w:lang w:val="de-DE"/>
        </w:rPr>
      </w:pPr>
    </w:p>
    <w:p w14:paraId="0373FD4F" w14:textId="77777777" w:rsidR="00FE291A" w:rsidRDefault="00C8738F">
      <w:pPr>
        <w:keepLines/>
        <w:widowControl/>
        <w:kinsoku w:val="0"/>
        <w:overflowPunct w:val="0"/>
        <w:rPr>
          <w:sz w:val="22"/>
          <w:szCs w:val="22"/>
          <w:lang w:val="de-DE"/>
        </w:rPr>
      </w:pPr>
      <w:r>
        <w:rPr>
          <w:sz w:val="22"/>
          <w:szCs w:val="22"/>
          <w:lang w:val="de-DE"/>
        </w:rPr>
        <w:t>Das Ziel von Adalimumab ist das Eiweiß Tumornekrosefaktor-alpha (TNFα). TNFα ist beteiligt an Abwehrreaktionen des Körpers. Bei den oben genannten Erkrankungen ist die Menge an TNFα erhöht. AMGEVITA heftet sich an TNFα und verringert dadurch die entzündlichen Vorgänge bei diesen Erkrankungen.</w:t>
      </w:r>
    </w:p>
    <w:p w14:paraId="13C96AF0" w14:textId="77777777" w:rsidR="00FE291A" w:rsidRDefault="00FE291A">
      <w:pPr>
        <w:widowControl/>
        <w:kinsoku w:val="0"/>
        <w:overflowPunct w:val="0"/>
        <w:rPr>
          <w:sz w:val="22"/>
          <w:szCs w:val="22"/>
          <w:lang w:val="de-DE"/>
        </w:rPr>
      </w:pPr>
    </w:p>
    <w:p w14:paraId="3118253F" w14:textId="77777777" w:rsidR="00FE291A" w:rsidRDefault="00C8738F">
      <w:pPr>
        <w:pStyle w:val="BodyText"/>
        <w:keepNext/>
        <w:widowControl/>
        <w:kinsoku w:val="0"/>
        <w:overflowPunct w:val="0"/>
        <w:ind w:left="0"/>
        <w:rPr>
          <w:lang w:val="de-DE"/>
        </w:rPr>
      </w:pPr>
      <w:r>
        <w:rPr>
          <w:u w:val="single"/>
          <w:lang w:val="de-DE"/>
        </w:rPr>
        <w:t>Rheumatoide Arthritis</w:t>
      </w:r>
    </w:p>
    <w:p w14:paraId="0659B43D" w14:textId="77777777" w:rsidR="00FE291A" w:rsidRDefault="00FE291A">
      <w:pPr>
        <w:keepNext/>
        <w:widowControl/>
        <w:kinsoku w:val="0"/>
        <w:overflowPunct w:val="0"/>
        <w:rPr>
          <w:sz w:val="22"/>
          <w:szCs w:val="22"/>
          <w:lang w:val="de-DE"/>
        </w:rPr>
      </w:pPr>
    </w:p>
    <w:p w14:paraId="3A642D2D" w14:textId="77777777" w:rsidR="00FE291A" w:rsidRDefault="00C8738F">
      <w:pPr>
        <w:pStyle w:val="BodyText"/>
        <w:widowControl/>
        <w:kinsoku w:val="0"/>
        <w:overflowPunct w:val="0"/>
        <w:ind w:left="0"/>
        <w:rPr>
          <w:lang w:val="de-DE"/>
        </w:rPr>
      </w:pPr>
      <w:r>
        <w:rPr>
          <w:lang w:val="de-DE"/>
        </w:rPr>
        <w:t>Die rheumatoide Arthritis ist eine entzündliche Erkrankung der Gelenke.</w:t>
      </w:r>
    </w:p>
    <w:p w14:paraId="3025E6D9" w14:textId="77777777" w:rsidR="00FE291A" w:rsidRDefault="00FE291A">
      <w:pPr>
        <w:widowControl/>
        <w:kinsoku w:val="0"/>
        <w:overflowPunct w:val="0"/>
        <w:rPr>
          <w:sz w:val="22"/>
          <w:szCs w:val="22"/>
          <w:lang w:val="de-DE"/>
        </w:rPr>
      </w:pPr>
    </w:p>
    <w:p w14:paraId="3915E1F5" w14:textId="77777777" w:rsidR="00FE291A" w:rsidRDefault="00C8738F">
      <w:pPr>
        <w:pStyle w:val="BodyText"/>
        <w:widowControl/>
        <w:kinsoku w:val="0"/>
        <w:overflowPunct w:val="0"/>
        <w:ind w:left="0"/>
        <w:rPr>
          <w:lang w:val="de-DE"/>
        </w:rPr>
      </w:pPr>
      <w:r>
        <w:rPr>
          <w:lang w:val="de-DE"/>
        </w:rPr>
        <w:t>AMGEVITA wird angewendet, um die rheumatoide Arthritis bei Erwachsenen zu behandeln. Wenn Sie eine mäßige bis schwere aktive rheumatoide Arthritis haben, werden Ihnen möglicherweise zunächst andere Arzneimittel (Basistherapeutika wie Methotrexat) verabreicht. Wenn Sie nicht ausreichend auf diese Arzneimittel ansprechen, erhalten Sie AMGEVITA, um Ihre rheumatoide Arthritis zu behandeln.</w:t>
      </w:r>
    </w:p>
    <w:p w14:paraId="178A46A7" w14:textId="77777777" w:rsidR="00FE291A" w:rsidRDefault="00FE291A">
      <w:pPr>
        <w:pStyle w:val="BodyText"/>
        <w:widowControl/>
        <w:kinsoku w:val="0"/>
        <w:overflowPunct w:val="0"/>
        <w:ind w:left="0"/>
        <w:rPr>
          <w:lang w:val="de-DE"/>
        </w:rPr>
      </w:pPr>
    </w:p>
    <w:p w14:paraId="2EC5358F" w14:textId="77777777" w:rsidR="00FE291A" w:rsidRDefault="00C8738F">
      <w:pPr>
        <w:pStyle w:val="BodyText"/>
        <w:widowControl/>
        <w:kinsoku w:val="0"/>
        <w:overflowPunct w:val="0"/>
        <w:ind w:left="0"/>
        <w:rPr>
          <w:lang w:val="de-DE"/>
        </w:rPr>
      </w:pPr>
      <w:r>
        <w:rPr>
          <w:lang w:val="de-DE"/>
        </w:rPr>
        <w:t>AMGEVITA kann auch zur Behandlung einer schweren aktiven und fortschreitenden (progressiven) rheumatoiden Arthritis ohne vorherige Methotrexat-Behandlung eingesetzt werden.</w:t>
      </w:r>
    </w:p>
    <w:p w14:paraId="5EA46DF6" w14:textId="77777777" w:rsidR="00FE291A" w:rsidRDefault="00FE291A">
      <w:pPr>
        <w:widowControl/>
        <w:kinsoku w:val="0"/>
        <w:overflowPunct w:val="0"/>
        <w:rPr>
          <w:sz w:val="22"/>
          <w:szCs w:val="22"/>
          <w:lang w:val="de-DE"/>
        </w:rPr>
      </w:pPr>
    </w:p>
    <w:p w14:paraId="651B6D5A" w14:textId="77777777" w:rsidR="00FE291A" w:rsidRDefault="00C8738F">
      <w:pPr>
        <w:pStyle w:val="BodyText"/>
        <w:widowControl/>
        <w:kinsoku w:val="0"/>
        <w:overflowPunct w:val="0"/>
        <w:ind w:left="0"/>
        <w:rPr>
          <w:lang w:val="de-DE"/>
        </w:rPr>
      </w:pPr>
      <w:r>
        <w:rPr>
          <w:lang w:val="de-DE"/>
        </w:rPr>
        <w:t>AMGEVITA verlangsamt das Fortschreiten der durch die Erkrankung verursachten Knorpel- und Knochenschädigungen der Gelenke. AMGEVITA verbessert die körperliche Funktionsfähigkeit.</w:t>
      </w:r>
    </w:p>
    <w:p w14:paraId="683F009E" w14:textId="77777777" w:rsidR="00FE291A" w:rsidRDefault="00FE291A">
      <w:pPr>
        <w:widowControl/>
        <w:kinsoku w:val="0"/>
        <w:overflowPunct w:val="0"/>
        <w:rPr>
          <w:sz w:val="22"/>
          <w:szCs w:val="22"/>
          <w:lang w:val="de-DE"/>
        </w:rPr>
      </w:pPr>
    </w:p>
    <w:p w14:paraId="54078EF4" w14:textId="77777777" w:rsidR="00FE291A" w:rsidRDefault="00C8738F">
      <w:pPr>
        <w:pStyle w:val="BodyText"/>
        <w:widowControl/>
        <w:kinsoku w:val="0"/>
        <w:overflowPunct w:val="0"/>
        <w:ind w:left="0"/>
        <w:rPr>
          <w:lang w:val="de-DE"/>
        </w:rPr>
      </w:pPr>
      <w:r>
        <w:rPr>
          <w:lang w:val="de-DE"/>
        </w:rPr>
        <w:t>AMGEVITA wird üblicherweise mit Methotrexat verwendet. Sollte Ihr Arzt die Gabe von Methotrexat als nicht geeignet erachten, kann AMGEVITA auch alleine angewendet werden.</w:t>
      </w:r>
    </w:p>
    <w:p w14:paraId="41041383" w14:textId="77777777" w:rsidR="00FE291A" w:rsidRDefault="00FE291A">
      <w:pPr>
        <w:widowControl/>
        <w:kinsoku w:val="0"/>
        <w:overflowPunct w:val="0"/>
        <w:rPr>
          <w:sz w:val="22"/>
          <w:szCs w:val="22"/>
          <w:lang w:val="de-DE"/>
        </w:rPr>
      </w:pPr>
    </w:p>
    <w:p w14:paraId="546D5F81" w14:textId="77777777" w:rsidR="00FE291A" w:rsidRDefault="00C8738F">
      <w:pPr>
        <w:pStyle w:val="BodyText"/>
        <w:widowControl/>
        <w:kinsoku w:val="0"/>
        <w:overflowPunct w:val="0"/>
        <w:ind w:left="0"/>
        <w:rPr>
          <w:lang w:val="de-DE"/>
        </w:rPr>
      </w:pPr>
      <w:r>
        <w:rPr>
          <w:u w:val="single"/>
          <w:lang w:val="de-DE"/>
        </w:rPr>
        <w:t>Polyartikuläre juvenile idiopathische Arthritis und Enthesitis-assoziierte Arthritis</w:t>
      </w:r>
    </w:p>
    <w:p w14:paraId="02F5CCAE" w14:textId="77777777" w:rsidR="00FE291A" w:rsidRDefault="00FE291A">
      <w:pPr>
        <w:widowControl/>
        <w:kinsoku w:val="0"/>
        <w:overflowPunct w:val="0"/>
        <w:rPr>
          <w:sz w:val="22"/>
          <w:szCs w:val="22"/>
          <w:lang w:val="de-DE"/>
        </w:rPr>
      </w:pPr>
    </w:p>
    <w:p w14:paraId="2AB9E982" w14:textId="77777777" w:rsidR="00FE291A" w:rsidRDefault="00C8738F">
      <w:pPr>
        <w:pStyle w:val="BodyText"/>
        <w:widowControl/>
        <w:kinsoku w:val="0"/>
        <w:overflowPunct w:val="0"/>
        <w:ind w:left="0"/>
        <w:rPr>
          <w:lang w:val="de-DE"/>
        </w:rPr>
      </w:pPr>
      <w:r>
        <w:rPr>
          <w:lang w:val="de-DE"/>
        </w:rPr>
        <w:t>Die polyartikuläre juvenile idiopathische Arthritis und die Enthesitis-assoziierte Arthritis sind entzündliche Erkrankungen der Gelenke, die üblicherweise das erste Mal in der Kindheit auftreten.</w:t>
      </w:r>
    </w:p>
    <w:p w14:paraId="393FDFD8" w14:textId="77777777" w:rsidR="00FE291A" w:rsidRDefault="00FE291A">
      <w:pPr>
        <w:widowControl/>
        <w:kinsoku w:val="0"/>
        <w:overflowPunct w:val="0"/>
        <w:rPr>
          <w:sz w:val="22"/>
          <w:szCs w:val="22"/>
          <w:lang w:val="de-DE"/>
        </w:rPr>
      </w:pPr>
    </w:p>
    <w:p w14:paraId="627B341D" w14:textId="77777777" w:rsidR="00FE291A" w:rsidRDefault="00C8738F">
      <w:pPr>
        <w:pStyle w:val="BodyText"/>
        <w:widowControl/>
        <w:kinsoku w:val="0"/>
        <w:overflowPunct w:val="0"/>
        <w:ind w:left="0"/>
        <w:rPr>
          <w:lang w:val="de-DE"/>
        </w:rPr>
      </w:pPr>
      <w:r>
        <w:rPr>
          <w:lang w:val="de-DE"/>
        </w:rPr>
        <w:t>AMGEVITA wird angewendet, um die polyartikuläre idiopathische Arthritis bei Patienten ab 2 Jahren bzw. die Enthesitis-assoziierte Arthritis bei Patienten ab 6 Jahren zu behandeln. Es werden Ihnen möglicherweise zunächst andere Arzneimittel (Basistherapeutika wie Methotrexat) verabreicht. Wenn Sie nicht ausreichend auf diese Arzneimittel ansprechen, erhalten Sie AMGEVITA, um Ihre polyartikuläre juvenile idiopathische Arthritis oder Enthesitis-assoziierte Arthritis zu behandeln.</w:t>
      </w:r>
    </w:p>
    <w:p w14:paraId="2B8B23CA" w14:textId="77777777" w:rsidR="00FE291A" w:rsidRDefault="00FE291A">
      <w:pPr>
        <w:widowControl/>
        <w:kinsoku w:val="0"/>
        <w:overflowPunct w:val="0"/>
        <w:rPr>
          <w:sz w:val="22"/>
          <w:szCs w:val="22"/>
          <w:lang w:val="de-DE"/>
        </w:rPr>
      </w:pPr>
    </w:p>
    <w:p w14:paraId="13E8BB67" w14:textId="77777777" w:rsidR="00FE291A" w:rsidRDefault="00C8738F">
      <w:pPr>
        <w:pStyle w:val="BodyText"/>
        <w:keepNext/>
        <w:widowControl/>
        <w:kinsoku w:val="0"/>
        <w:overflowPunct w:val="0"/>
        <w:ind w:left="0"/>
        <w:rPr>
          <w:lang w:val="de-DE"/>
        </w:rPr>
      </w:pPr>
      <w:r>
        <w:rPr>
          <w:u w:val="single"/>
          <w:lang w:val="de-DE"/>
        </w:rPr>
        <w:t>Ankylosierende Spondylitis und axiale Spondyloarthritis, bei der im Röntgenbild noch keine</w:t>
      </w:r>
      <w:r>
        <w:rPr>
          <w:lang w:val="de-DE"/>
        </w:rPr>
        <w:t xml:space="preserve"> </w:t>
      </w:r>
      <w:r>
        <w:rPr>
          <w:u w:val="single"/>
          <w:lang w:val="de-DE"/>
        </w:rPr>
        <w:t>Verknöcherung nachweisbar ist</w:t>
      </w:r>
    </w:p>
    <w:p w14:paraId="626A08AD" w14:textId="77777777" w:rsidR="00FE291A" w:rsidRDefault="00FE291A">
      <w:pPr>
        <w:keepNext/>
        <w:widowControl/>
        <w:kinsoku w:val="0"/>
        <w:overflowPunct w:val="0"/>
        <w:rPr>
          <w:sz w:val="22"/>
          <w:szCs w:val="22"/>
          <w:lang w:val="de-DE"/>
        </w:rPr>
      </w:pPr>
    </w:p>
    <w:p w14:paraId="18DBBFC6" w14:textId="77777777" w:rsidR="00FE291A" w:rsidRDefault="00C8738F">
      <w:pPr>
        <w:pStyle w:val="BodyText"/>
        <w:widowControl/>
        <w:kinsoku w:val="0"/>
        <w:overflowPunct w:val="0"/>
        <w:ind w:left="0"/>
        <w:rPr>
          <w:lang w:val="de-DE"/>
        </w:rPr>
      </w:pPr>
      <w:r>
        <w:rPr>
          <w:lang w:val="de-DE"/>
        </w:rPr>
        <w:t>Die ankylosierende Spondylitis und axiale Spondyloarthritis, bei der im Röntgenbild noch keine Verknöcherung nachweisbar ist, sind entzündliche Erkrankungen der Wirbelsäule.</w:t>
      </w:r>
    </w:p>
    <w:p w14:paraId="4158CA20" w14:textId="77777777" w:rsidR="00FE291A" w:rsidRDefault="00FE291A">
      <w:pPr>
        <w:widowControl/>
        <w:kinsoku w:val="0"/>
        <w:overflowPunct w:val="0"/>
        <w:rPr>
          <w:sz w:val="22"/>
          <w:szCs w:val="22"/>
          <w:lang w:val="de-DE"/>
        </w:rPr>
      </w:pPr>
    </w:p>
    <w:p w14:paraId="064EF423" w14:textId="77777777" w:rsidR="00FE291A" w:rsidRDefault="00C8738F">
      <w:pPr>
        <w:pStyle w:val="BodyText"/>
        <w:widowControl/>
        <w:kinsoku w:val="0"/>
        <w:overflowPunct w:val="0"/>
        <w:ind w:left="0"/>
        <w:rPr>
          <w:lang w:val="de-DE"/>
        </w:rPr>
      </w:pPr>
      <w:r>
        <w:rPr>
          <w:lang w:val="de-DE"/>
        </w:rPr>
        <w:t>AMGEVITA wird angewendet, um die ankylosierende Spondylitis und axiale Spondyloarthritis, bei der im Röntgenbild noch keine Verknöcherung nachweisbar ist, bei Erwachsenen zu behandeln. Wenn Sie eine ankylosierende Spondylitis oder axiale Spondyloarthritis, bei der im Röntgenbild noch keine Verknöcherung nachweisbar ist, haben, werden Sie zunächst mit anderen Arzneimitteln behandelt. Wenn Sie nicht ausreichend auf diese Arzneimittel ansprechen, erhalten Sie AMGEVITA, um die Anzeichen und Beschwerden Ihrer Erkrankung zu vermindern.</w:t>
      </w:r>
    </w:p>
    <w:p w14:paraId="1DF89345" w14:textId="77777777" w:rsidR="00FE291A" w:rsidRDefault="00FE291A">
      <w:pPr>
        <w:widowControl/>
        <w:kinsoku w:val="0"/>
        <w:overflowPunct w:val="0"/>
        <w:rPr>
          <w:sz w:val="22"/>
          <w:szCs w:val="22"/>
          <w:lang w:val="de-DE"/>
        </w:rPr>
      </w:pPr>
    </w:p>
    <w:p w14:paraId="64368C84" w14:textId="77777777" w:rsidR="00FE291A" w:rsidRDefault="00C8738F">
      <w:pPr>
        <w:pStyle w:val="BodyText"/>
        <w:keepNext/>
        <w:widowControl/>
        <w:kinsoku w:val="0"/>
        <w:overflowPunct w:val="0"/>
        <w:ind w:left="0"/>
        <w:rPr>
          <w:lang w:val="de-DE"/>
        </w:rPr>
      </w:pPr>
      <w:r>
        <w:rPr>
          <w:u w:val="single"/>
          <w:lang w:val="de-DE"/>
        </w:rPr>
        <w:t>Psoriasis-Arthritis</w:t>
      </w:r>
    </w:p>
    <w:p w14:paraId="1BB9849D" w14:textId="77777777" w:rsidR="00FE291A" w:rsidRDefault="00FE291A">
      <w:pPr>
        <w:keepNext/>
        <w:widowControl/>
        <w:kinsoku w:val="0"/>
        <w:overflowPunct w:val="0"/>
        <w:rPr>
          <w:sz w:val="22"/>
          <w:szCs w:val="22"/>
          <w:lang w:val="de-DE"/>
        </w:rPr>
      </w:pPr>
    </w:p>
    <w:p w14:paraId="37213AA6" w14:textId="77777777" w:rsidR="00FE291A" w:rsidRDefault="00C8738F">
      <w:pPr>
        <w:pStyle w:val="BodyText"/>
        <w:widowControl/>
        <w:kinsoku w:val="0"/>
        <w:overflowPunct w:val="0"/>
        <w:ind w:left="0"/>
        <w:rPr>
          <w:lang w:val="de-DE"/>
        </w:rPr>
      </w:pPr>
      <w:r>
        <w:rPr>
          <w:lang w:val="de-DE"/>
        </w:rPr>
        <w:t>Die Psoriasis-Arthritis ist eine Entzündung der Gelenke, die in Verbindung mit Schuppenflechte (Psoriasis) auftritt.</w:t>
      </w:r>
    </w:p>
    <w:p w14:paraId="10D3D450" w14:textId="77777777" w:rsidR="00FE291A" w:rsidRDefault="00FE291A">
      <w:pPr>
        <w:widowControl/>
        <w:kinsoku w:val="0"/>
        <w:overflowPunct w:val="0"/>
        <w:rPr>
          <w:sz w:val="22"/>
          <w:szCs w:val="22"/>
          <w:lang w:val="de-DE"/>
        </w:rPr>
      </w:pPr>
    </w:p>
    <w:p w14:paraId="2984CB05" w14:textId="77777777" w:rsidR="00FE291A" w:rsidRDefault="00C8738F">
      <w:pPr>
        <w:pStyle w:val="BodyText"/>
        <w:widowControl/>
        <w:kinsoku w:val="0"/>
        <w:overflowPunct w:val="0"/>
        <w:ind w:left="0"/>
        <w:rPr>
          <w:lang w:val="de-DE"/>
        </w:rPr>
      </w:pPr>
      <w:r>
        <w:rPr>
          <w:lang w:val="de-DE"/>
        </w:rPr>
        <w:t>AMGEVITA wird angewendet, um die Psoriasis-Arthritis bei Erwachsenen zu behandeln. AMGEVITA verlangsamt das Fortschreiten der durch die Erkrankung verursachten Knorpel- und Knochenschädigungen der Gelenke. AMGEVITA verbessert die körperliche Funktionsfähigkeit.</w:t>
      </w:r>
    </w:p>
    <w:p w14:paraId="666D3D01" w14:textId="77777777" w:rsidR="00FE291A" w:rsidRDefault="00FE291A">
      <w:pPr>
        <w:widowControl/>
        <w:kinsoku w:val="0"/>
        <w:overflowPunct w:val="0"/>
        <w:rPr>
          <w:sz w:val="22"/>
          <w:szCs w:val="22"/>
          <w:lang w:val="de-DE"/>
        </w:rPr>
      </w:pPr>
    </w:p>
    <w:p w14:paraId="07CA466E" w14:textId="77777777" w:rsidR="00FE291A" w:rsidRDefault="00C8738F">
      <w:pPr>
        <w:pStyle w:val="BodyText"/>
        <w:keepNext/>
        <w:widowControl/>
        <w:kinsoku w:val="0"/>
        <w:overflowPunct w:val="0"/>
        <w:ind w:left="0"/>
        <w:rPr>
          <w:lang w:val="de-DE"/>
        </w:rPr>
      </w:pPr>
      <w:r>
        <w:rPr>
          <w:u w:val="single"/>
          <w:lang w:val="de-DE"/>
        </w:rPr>
        <w:t>Plaque-Psoriasis bei Erwachsenen, Kindern und Jugendlichen</w:t>
      </w:r>
    </w:p>
    <w:p w14:paraId="75FC8F1F" w14:textId="77777777" w:rsidR="00FE291A" w:rsidRDefault="00FE291A">
      <w:pPr>
        <w:keepNext/>
        <w:widowControl/>
        <w:kinsoku w:val="0"/>
        <w:overflowPunct w:val="0"/>
        <w:rPr>
          <w:sz w:val="22"/>
          <w:szCs w:val="22"/>
          <w:lang w:val="de-DE"/>
        </w:rPr>
      </w:pPr>
    </w:p>
    <w:p w14:paraId="750B9C0F" w14:textId="77777777" w:rsidR="00FE291A" w:rsidRDefault="00C8738F">
      <w:pPr>
        <w:pStyle w:val="BodyText"/>
        <w:widowControl/>
        <w:kinsoku w:val="0"/>
        <w:overflowPunct w:val="0"/>
        <w:ind w:left="0"/>
        <w:rPr>
          <w:lang w:val="de-DE"/>
        </w:rPr>
      </w:pPr>
      <w:r>
        <w:rPr>
          <w:lang w:val="de-DE"/>
        </w:rPr>
        <w:t>Plaque-Psoriasis (Schuppenflechte mit klar abgegrenzten Hautstellen) ist ein Hautzustand, der rote, schuppige, verkrustete Stellen auf der Haut verursacht, die mit silbrigen Schuppen bedeckt sind. Plaque</w:t>
      </w:r>
      <w:r>
        <w:rPr>
          <w:lang w:val="de-DE"/>
        </w:rPr>
        <w:noBreakHyphen/>
        <w:t>Psoriasis kann auch die Nägel befallen, sodass diese spröde werden, sich verdicken und sich vom Nagelbett abheben, was schmerzhaft sein kann. Es wird angenommen, dass die Schuppenflechte durch ein Problem mit dem körpereigenen Abwehrsystem verursacht wird. Dadurch kommt es zu einer vermehrten Produktion von Hautzellen.</w:t>
      </w:r>
    </w:p>
    <w:p w14:paraId="596ED8C5" w14:textId="77777777" w:rsidR="00FE291A" w:rsidRDefault="00FE291A">
      <w:pPr>
        <w:widowControl/>
        <w:kinsoku w:val="0"/>
        <w:overflowPunct w:val="0"/>
        <w:rPr>
          <w:sz w:val="22"/>
          <w:szCs w:val="22"/>
          <w:lang w:val="de-DE"/>
        </w:rPr>
      </w:pPr>
    </w:p>
    <w:p w14:paraId="0C7ED802" w14:textId="77777777" w:rsidR="00FE291A" w:rsidRDefault="00C8738F">
      <w:pPr>
        <w:pStyle w:val="BodyText"/>
        <w:widowControl/>
        <w:kinsoku w:val="0"/>
        <w:overflowPunct w:val="0"/>
        <w:ind w:left="0"/>
        <w:rPr>
          <w:lang w:val="de-DE"/>
        </w:rPr>
      </w:pPr>
      <w:r>
        <w:rPr>
          <w:lang w:val="de-DE"/>
        </w:rPr>
        <w:t>AMGEVITA wird angewendet, um die mittelschwere bis schwere Plaque-Psoriasis bei Erwachsenen zu behandeln. AMGEVITA wird auch angewendet, um schwere Plaque-Psoriasis bei Kindern und Jugendlichen zwischen 4 und 17 Jahren zu behandeln, bei denen eine äußerliche, örtliche Behandlung und Behandlungen mit Licht (Phototherapien) nicht sehr gut gewirkt haben oder nicht geeignet sind.</w:t>
      </w:r>
    </w:p>
    <w:p w14:paraId="7931816A" w14:textId="77777777" w:rsidR="00FE291A" w:rsidRDefault="00FE291A">
      <w:pPr>
        <w:pStyle w:val="BodyText"/>
        <w:widowControl/>
        <w:kinsoku w:val="0"/>
        <w:overflowPunct w:val="0"/>
        <w:ind w:left="0"/>
        <w:rPr>
          <w:lang w:val="de-DE"/>
        </w:rPr>
      </w:pPr>
    </w:p>
    <w:p w14:paraId="7B3EC4A7" w14:textId="77777777" w:rsidR="00FE291A" w:rsidRDefault="00C8738F">
      <w:pPr>
        <w:pStyle w:val="BodyText"/>
        <w:widowControl/>
        <w:kinsoku w:val="0"/>
        <w:overflowPunct w:val="0"/>
        <w:ind w:left="0"/>
        <w:rPr>
          <w:lang w:val="de-DE"/>
        </w:rPr>
      </w:pPr>
      <w:r>
        <w:rPr>
          <w:u w:val="single"/>
          <w:lang w:val="de-DE"/>
        </w:rPr>
        <w:t>Hidradenitis suppurativa (Acne inversa) bei Erwachsenen und Jugendlichen</w:t>
      </w:r>
    </w:p>
    <w:p w14:paraId="320B3254" w14:textId="77777777" w:rsidR="00FE291A" w:rsidRDefault="00FE291A">
      <w:pPr>
        <w:widowControl/>
        <w:kinsoku w:val="0"/>
        <w:overflowPunct w:val="0"/>
        <w:rPr>
          <w:sz w:val="22"/>
          <w:szCs w:val="22"/>
          <w:lang w:val="de-DE"/>
        </w:rPr>
      </w:pPr>
    </w:p>
    <w:p w14:paraId="72969D80" w14:textId="77777777" w:rsidR="00FE291A" w:rsidRDefault="00C8738F">
      <w:pPr>
        <w:pStyle w:val="BodyText"/>
        <w:widowControl/>
        <w:kinsoku w:val="0"/>
        <w:overflowPunct w:val="0"/>
        <w:ind w:left="0"/>
        <w:rPr>
          <w:lang w:val="de-DE"/>
        </w:rPr>
      </w:pPr>
      <w:r>
        <w:rPr>
          <w:lang w:val="de-DE"/>
        </w:rPr>
        <w:t>Hidradenitis suppurativa (auch Acne inversa genannt) ist eine chronische und oft schmerzhafte entzündliche Hauterkrankung. Zu den Beschwerden gehören unter anderem druckempfindliche Knötchen und Eiteransammlungen (Abszesse), aus denen Eiter austreten kann. Am häufigsten sind bestimmte Bereiche der Haut betroffen, wie z. B. unter den Brüsten, unter den Achseln, an den Innenseiten der Oberschenkel, in der Leistengegend und am Gesäß. An den betroffenen Stellen kann es auch zu Vernarbungen kommen.</w:t>
      </w:r>
    </w:p>
    <w:p w14:paraId="1725214D" w14:textId="77777777" w:rsidR="00FE291A" w:rsidRDefault="00FE291A">
      <w:pPr>
        <w:widowControl/>
        <w:kinsoku w:val="0"/>
        <w:overflowPunct w:val="0"/>
        <w:rPr>
          <w:sz w:val="22"/>
          <w:szCs w:val="22"/>
          <w:lang w:val="de-DE"/>
        </w:rPr>
      </w:pPr>
    </w:p>
    <w:p w14:paraId="067B4CBC" w14:textId="77777777" w:rsidR="00FE291A" w:rsidRDefault="00C8738F">
      <w:pPr>
        <w:pStyle w:val="BodyText"/>
        <w:widowControl/>
        <w:kinsoku w:val="0"/>
        <w:overflowPunct w:val="0"/>
        <w:ind w:left="0"/>
        <w:rPr>
          <w:lang w:val="de-DE"/>
        </w:rPr>
      </w:pPr>
      <w:r>
        <w:rPr>
          <w:lang w:val="de-DE"/>
        </w:rPr>
        <w:t>AMGEVITA wird zur Behandlung der Hidradenitis suppurativa bei Erwachsenen und Jugendlichen ab einem Alter von 12 Jahren angewendet. AMGEVITA kann die Anzahl Ihrer Knötchen und Eiteransammlungen verringern und kann die Schmerzen, die oft mit dieser Erkrankung einhergehen, lindern. Möglicherweise bekommen Sie zunächst andere Arzneimittel.</w:t>
      </w:r>
      <w:r>
        <w:rPr>
          <w:lang w:val="de-DE" w:eastAsia="de-DE"/>
        </w:rPr>
        <w:t xml:space="preserve"> Wenn Sie nicht ausreichend auf diese Arzneimittel ansprechen, erhalten Sie AMGEVITA.</w:t>
      </w:r>
    </w:p>
    <w:p w14:paraId="433B7FE5" w14:textId="77777777" w:rsidR="00FE291A" w:rsidRDefault="00FE291A">
      <w:pPr>
        <w:widowControl/>
        <w:kinsoku w:val="0"/>
        <w:overflowPunct w:val="0"/>
        <w:rPr>
          <w:sz w:val="22"/>
          <w:szCs w:val="22"/>
          <w:lang w:val="de-DE"/>
        </w:rPr>
      </w:pPr>
    </w:p>
    <w:p w14:paraId="5CA6457D" w14:textId="77777777" w:rsidR="00FE291A" w:rsidRDefault="00C8738F">
      <w:pPr>
        <w:pStyle w:val="BodyText"/>
        <w:widowControl/>
        <w:kinsoku w:val="0"/>
        <w:overflowPunct w:val="0"/>
        <w:ind w:left="0"/>
        <w:rPr>
          <w:lang w:val="de-DE"/>
        </w:rPr>
      </w:pPr>
      <w:r>
        <w:rPr>
          <w:u w:val="single"/>
          <w:lang w:val="de-DE"/>
        </w:rPr>
        <w:t>Morbus Crohn bei Erwachsenen, Kindern und Jugendlichen</w:t>
      </w:r>
    </w:p>
    <w:p w14:paraId="71C4A952" w14:textId="77777777" w:rsidR="00FE291A" w:rsidRDefault="00FE291A">
      <w:pPr>
        <w:widowControl/>
        <w:kinsoku w:val="0"/>
        <w:overflowPunct w:val="0"/>
        <w:rPr>
          <w:sz w:val="22"/>
          <w:szCs w:val="22"/>
          <w:lang w:val="de-DE"/>
        </w:rPr>
      </w:pPr>
    </w:p>
    <w:p w14:paraId="20A0919F" w14:textId="77777777" w:rsidR="00FE291A" w:rsidRDefault="00C8738F">
      <w:pPr>
        <w:pStyle w:val="BodyText"/>
        <w:widowControl/>
        <w:kinsoku w:val="0"/>
        <w:overflowPunct w:val="0"/>
        <w:ind w:left="0"/>
        <w:rPr>
          <w:lang w:val="de-DE"/>
        </w:rPr>
      </w:pPr>
      <w:r>
        <w:rPr>
          <w:lang w:val="de-DE"/>
        </w:rPr>
        <w:t>Morbus Crohn ist eine entzündliche Erkrankung des Verdauungstraktes.</w:t>
      </w:r>
    </w:p>
    <w:p w14:paraId="4AFF4AB7" w14:textId="77777777" w:rsidR="00FE291A" w:rsidRDefault="00FE291A">
      <w:pPr>
        <w:widowControl/>
        <w:kinsoku w:val="0"/>
        <w:overflowPunct w:val="0"/>
        <w:rPr>
          <w:sz w:val="22"/>
          <w:szCs w:val="22"/>
          <w:lang w:val="de-DE"/>
        </w:rPr>
      </w:pPr>
    </w:p>
    <w:p w14:paraId="3EE23309" w14:textId="77777777" w:rsidR="00FE291A" w:rsidRDefault="00C8738F">
      <w:pPr>
        <w:pStyle w:val="BodyText"/>
        <w:widowControl/>
        <w:kinsoku w:val="0"/>
        <w:overflowPunct w:val="0"/>
        <w:ind w:left="0"/>
        <w:rPr>
          <w:lang w:val="de-DE"/>
        </w:rPr>
      </w:pPr>
      <w:r>
        <w:rPr>
          <w:lang w:val="de-DE"/>
        </w:rPr>
        <w:t>AMGEVITA wird angewendet zur Behandlung von Morbus Crohn bei Erwachsenen, Kindern und Jugendlichen zwischen 6 und 17 Jahren. Wenn Sie an Morbus Crohn erkrankt sind, werden Sie zunächst mit anderen Arzneimitteln behandelt. Wenn Sie nicht ausreichend auf diese Arzneimittel ansprechen, erhalten Sie AMGEVITA, um die Anzeichen und Beschwerden von Morbus Crohn zu vermindern.</w:t>
      </w:r>
    </w:p>
    <w:p w14:paraId="06CCB0F9" w14:textId="77777777" w:rsidR="00FE291A" w:rsidRDefault="00FE291A">
      <w:pPr>
        <w:widowControl/>
        <w:kinsoku w:val="0"/>
        <w:overflowPunct w:val="0"/>
        <w:rPr>
          <w:sz w:val="22"/>
          <w:szCs w:val="22"/>
          <w:lang w:val="de-DE"/>
        </w:rPr>
      </w:pPr>
    </w:p>
    <w:p w14:paraId="75ADE59E" w14:textId="77777777" w:rsidR="00FE291A" w:rsidRDefault="00C8738F">
      <w:pPr>
        <w:pStyle w:val="BodyText"/>
        <w:keepNext/>
        <w:widowControl/>
        <w:kinsoku w:val="0"/>
        <w:overflowPunct w:val="0"/>
        <w:ind w:left="0"/>
        <w:rPr>
          <w:lang w:val="de-DE"/>
        </w:rPr>
      </w:pPr>
      <w:r>
        <w:rPr>
          <w:u w:val="single"/>
          <w:lang w:val="de-DE"/>
        </w:rPr>
        <w:t>Colitis ulcerosa bei Erwachsenen, Kindern und Jugendlichen</w:t>
      </w:r>
    </w:p>
    <w:p w14:paraId="2B4EE233" w14:textId="77777777" w:rsidR="00FE291A" w:rsidRDefault="00FE291A">
      <w:pPr>
        <w:widowControl/>
        <w:kinsoku w:val="0"/>
        <w:overflowPunct w:val="0"/>
        <w:rPr>
          <w:sz w:val="22"/>
          <w:szCs w:val="22"/>
          <w:lang w:val="de-DE"/>
        </w:rPr>
      </w:pPr>
    </w:p>
    <w:p w14:paraId="0C48857D" w14:textId="77777777" w:rsidR="00FE291A" w:rsidRDefault="00C8738F">
      <w:pPr>
        <w:pStyle w:val="BodyText"/>
        <w:widowControl/>
        <w:kinsoku w:val="0"/>
        <w:overflowPunct w:val="0"/>
        <w:ind w:left="0"/>
        <w:rPr>
          <w:lang w:val="de-DE"/>
        </w:rPr>
      </w:pPr>
      <w:r>
        <w:rPr>
          <w:lang w:val="de-DE"/>
        </w:rPr>
        <w:t>Colitis ulcerosa ist eine entzündliche Erkrankung des Dickdarms.</w:t>
      </w:r>
    </w:p>
    <w:p w14:paraId="5535C069" w14:textId="77777777" w:rsidR="00FE291A" w:rsidRDefault="00FE291A">
      <w:pPr>
        <w:widowControl/>
        <w:kinsoku w:val="0"/>
        <w:overflowPunct w:val="0"/>
        <w:rPr>
          <w:sz w:val="22"/>
          <w:lang w:val="de-DE"/>
        </w:rPr>
      </w:pPr>
    </w:p>
    <w:p w14:paraId="0A23583C" w14:textId="77777777" w:rsidR="00FE291A" w:rsidRDefault="00C8738F">
      <w:pPr>
        <w:pStyle w:val="BodyText"/>
        <w:widowControl/>
        <w:kinsoku w:val="0"/>
        <w:overflowPunct w:val="0"/>
        <w:ind w:left="0"/>
        <w:rPr>
          <w:lang w:val="de-DE"/>
        </w:rPr>
      </w:pPr>
      <w:r>
        <w:rPr>
          <w:lang w:val="de-DE"/>
        </w:rPr>
        <w:t>AMGEVITA wird angewendet, um mittelschwere bis schwere Colitis ulcerosa bei Erwachsenen und bei Kindern und Jugendlichen zwischen 6 und 17 Jahren zu behandeln. Wenn Sie an Colitis ulcerosa erkrankt sind, erhalten Sie möglicherweise zuerst andere Arzneimittel. Wenn Sie nicht ausreichend auf diese Arzneimittel ansprechen, erhalten Sie AMGEVITA, um die Anzeichen und Beschwerden Ihrer Erkrankung zu vermindern.</w:t>
      </w:r>
    </w:p>
    <w:p w14:paraId="08FCB258" w14:textId="77777777" w:rsidR="00FE291A" w:rsidRDefault="00FE291A">
      <w:pPr>
        <w:widowControl/>
        <w:kinsoku w:val="0"/>
        <w:overflowPunct w:val="0"/>
        <w:rPr>
          <w:sz w:val="22"/>
          <w:szCs w:val="22"/>
          <w:lang w:val="de-DE"/>
        </w:rPr>
      </w:pPr>
    </w:p>
    <w:p w14:paraId="61528474" w14:textId="77777777" w:rsidR="00FE291A" w:rsidRDefault="00C8738F">
      <w:pPr>
        <w:pStyle w:val="BodyText"/>
        <w:widowControl/>
        <w:kinsoku w:val="0"/>
        <w:overflowPunct w:val="0"/>
        <w:ind w:left="0"/>
        <w:rPr>
          <w:lang w:val="de-DE"/>
        </w:rPr>
      </w:pPr>
      <w:r>
        <w:rPr>
          <w:u w:val="single"/>
          <w:lang w:val="de-DE"/>
        </w:rPr>
        <w:t>Nicht infektiöse Uveitis bei Erwachsenen, Kindern und Jugendlichen</w:t>
      </w:r>
    </w:p>
    <w:p w14:paraId="35B02F9B" w14:textId="77777777" w:rsidR="00FE291A" w:rsidRDefault="00FE291A">
      <w:pPr>
        <w:widowControl/>
        <w:kinsoku w:val="0"/>
        <w:overflowPunct w:val="0"/>
        <w:rPr>
          <w:sz w:val="22"/>
          <w:szCs w:val="22"/>
          <w:lang w:val="de-DE"/>
        </w:rPr>
      </w:pPr>
    </w:p>
    <w:p w14:paraId="431F2281" w14:textId="77777777" w:rsidR="00FE291A" w:rsidRDefault="00C8738F">
      <w:pPr>
        <w:pStyle w:val="BodyText"/>
        <w:widowControl/>
        <w:kinsoku w:val="0"/>
        <w:overflowPunct w:val="0"/>
        <w:ind w:left="0"/>
        <w:rPr>
          <w:lang w:val="de-DE"/>
        </w:rPr>
      </w:pPr>
      <w:r>
        <w:rPr>
          <w:lang w:val="de-DE"/>
        </w:rPr>
        <w:t xml:space="preserve">Die nicht infektiöse Uveitis ist eine entzündliche Erkrankung, die bestimmte Teile des Auges betrifft. </w:t>
      </w:r>
    </w:p>
    <w:p w14:paraId="1C7B767F" w14:textId="77777777" w:rsidR="00FE291A" w:rsidRDefault="00FE291A">
      <w:pPr>
        <w:pStyle w:val="BodyText"/>
        <w:widowControl/>
        <w:kinsoku w:val="0"/>
        <w:overflowPunct w:val="0"/>
        <w:ind w:left="0"/>
        <w:rPr>
          <w:lang w:val="de-DE"/>
        </w:rPr>
      </w:pPr>
    </w:p>
    <w:p w14:paraId="477DB27D" w14:textId="77777777" w:rsidR="00FE291A" w:rsidRDefault="00C8738F">
      <w:pPr>
        <w:pStyle w:val="BodyText"/>
        <w:widowControl/>
        <w:kinsoku w:val="0"/>
        <w:overflowPunct w:val="0"/>
        <w:ind w:left="0"/>
        <w:rPr>
          <w:lang w:val="de-DE"/>
        </w:rPr>
      </w:pPr>
      <w:r>
        <w:rPr>
          <w:lang w:val="de-DE"/>
        </w:rPr>
        <w:t>AMGEVITA wird angewendet zur Behandlung von</w:t>
      </w:r>
    </w:p>
    <w:p w14:paraId="3C3542C5" w14:textId="77777777" w:rsidR="00FE291A" w:rsidRDefault="00C8738F">
      <w:pPr>
        <w:widowControl/>
        <w:numPr>
          <w:ilvl w:val="0"/>
          <w:numId w:val="51"/>
        </w:numPr>
        <w:tabs>
          <w:tab w:val="left" w:pos="567"/>
        </w:tabs>
        <w:autoSpaceDE/>
        <w:autoSpaceDN/>
        <w:adjustRightInd/>
        <w:ind w:left="567" w:hanging="567"/>
        <w:rPr>
          <w:sz w:val="22"/>
          <w:szCs w:val="22"/>
          <w:lang w:val="de-DE"/>
        </w:rPr>
      </w:pPr>
      <w:r>
        <w:rPr>
          <w:sz w:val="22"/>
          <w:szCs w:val="22"/>
          <w:lang w:val="de-DE"/>
        </w:rPr>
        <w:t xml:space="preserve">Erwachsenen mit nicht infektiöser Uveitis mit einer Entzündung im hinteren Bereich des Auges </w:t>
      </w:r>
    </w:p>
    <w:p w14:paraId="624F65D7" w14:textId="77777777" w:rsidR="00FE291A" w:rsidRDefault="00C8738F">
      <w:pPr>
        <w:widowControl/>
        <w:numPr>
          <w:ilvl w:val="0"/>
          <w:numId w:val="50"/>
        </w:numPr>
        <w:tabs>
          <w:tab w:val="clear" w:pos="720"/>
          <w:tab w:val="left" w:pos="567"/>
        </w:tabs>
        <w:autoSpaceDE/>
        <w:autoSpaceDN/>
        <w:adjustRightInd/>
        <w:ind w:left="567" w:hanging="567"/>
        <w:rPr>
          <w:sz w:val="22"/>
          <w:szCs w:val="22"/>
          <w:lang w:val="de-DE"/>
        </w:rPr>
      </w:pPr>
      <w:r>
        <w:rPr>
          <w:sz w:val="22"/>
          <w:szCs w:val="22"/>
          <w:lang w:val="de-DE"/>
        </w:rPr>
        <w:t>Kindern</w:t>
      </w:r>
      <w:r>
        <w:rPr>
          <w:rFonts w:cs="Calibri"/>
          <w:sz w:val="22"/>
          <w:szCs w:val="22"/>
          <w:lang w:val="de-DE"/>
        </w:rPr>
        <w:t xml:space="preserve"> mit chronischer nicht infektiöser Uveitis ab 2 Jahren mit einer Entzündung im vorderen Bereich des Auges.</w:t>
      </w:r>
      <w:r>
        <w:rPr>
          <w:sz w:val="22"/>
          <w:szCs w:val="22"/>
          <w:lang w:val="de-DE"/>
        </w:rPr>
        <w:t xml:space="preserve"> </w:t>
      </w:r>
    </w:p>
    <w:p w14:paraId="1B02E6FD" w14:textId="77777777" w:rsidR="00FE291A" w:rsidRDefault="00FE291A">
      <w:pPr>
        <w:pStyle w:val="BodyText"/>
        <w:widowControl/>
        <w:kinsoku w:val="0"/>
        <w:overflowPunct w:val="0"/>
        <w:ind w:left="567" w:hanging="567"/>
        <w:rPr>
          <w:lang w:val="de-DE"/>
        </w:rPr>
      </w:pPr>
    </w:p>
    <w:p w14:paraId="59643161" w14:textId="77777777" w:rsidR="00FE291A" w:rsidRDefault="00C8738F">
      <w:pPr>
        <w:pStyle w:val="BodyText"/>
        <w:widowControl/>
        <w:kinsoku w:val="0"/>
        <w:overflowPunct w:val="0"/>
        <w:ind w:left="0"/>
        <w:rPr>
          <w:lang w:val="de-DE"/>
        </w:rPr>
      </w:pPr>
      <w:r>
        <w:rPr>
          <w:lang w:val="de-DE"/>
        </w:rPr>
        <w:t>Diese Entzündung kann dazu führen, dass man schlechter sieht und/oder dass man Schwebeteile sieht (schwarze Punkte oder Schlieren, die sich durch das Blickfeld bewegen). AMGEVITA wirkt, indem es die Entzündung verringert.</w:t>
      </w:r>
    </w:p>
    <w:p w14:paraId="73C73C4A" w14:textId="77777777" w:rsidR="00FE291A" w:rsidRDefault="00FE291A">
      <w:pPr>
        <w:widowControl/>
        <w:kinsoku w:val="0"/>
        <w:overflowPunct w:val="0"/>
        <w:rPr>
          <w:sz w:val="22"/>
          <w:szCs w:val="22"/>
          <w:lang w:val="de-DE"/>
        </w:rPr>
      </w:pPr>
    </w:p>
    <w:p w14:paraId="3D60CBDC" w14:textId="77777777" w:rsidR="00FE291A" w:rsidRDefault="00FE291A">
      <w:pPr>
        <w:widowControl/>
        <w:kinsoku w:val="0"/>
        <w:overflowPunct w:val="0"/>
        <w:rPr>
          <w:sz w:val="22"/>
          <w:szCs w:val="22"/>
          <w:lang w:val="de-DE"/>
        </w:rPr>
      </w:pPr>
    </w:p>
    <w:p w14:paraId="45797CD4" w14:textId="77777777" w:rsidR="00FE291A" w:rsidRDefault="00C8738F">
      <w:pPr>
        <w:pStyle w:val="Heading1"/>
        <w:keepNext/>
        <w:widowControl/>
        <w:tabs>
          <w:tab w:val="left" w:pos="567"/>
        </w:tabs>
        <w:kinsoku w:val="0"/>
        <w:overflowPunct w:val="0"/>
        <w:ind w:left="567" w:hanging="567"/>
        <w:rPr>
          <w:b w:val="0"/>
          <w:bCs w:val="0"/>
          <w:lang w:val="de-DE"/>
        </w:rPr>
      </w:pPr>
      <w:r>
        <w:rPr>
          <w:lang w:val="de-DE"/>
        </w:rPr>
        <w:t>2.</w:t>
      </w:r>
      <w:r>
        <w:rPr>
          <w:lang w:val="de-DE"/>
        </w:rPr>
        <w:tab/>
        <w:t>Was sollten Sie vor der Anwendung von AMGEVITA beachten?</w:t>
      </w:r>
    </w:p>
    <w:p w14:paraId="60B6BCE9" w14:textId="77777777" w:rsidR="00FE291A" w:rsidRDefault="00FE291A">
      <w:pPr>
        <w:pStyle w:val="BodyText"/>
        <w:keepNext/>
        <w:widowControl/>
        <w:kinsoku w:val="0"/>
        <w:overflowPunct w:val="0"/>
        <w:ind w:left="0"/>
        <w:rPr>
          <w:lang w:val="de-DE"/>
        </w:rPr>
      </w:pPr>
    </w:p>
    <w:p w14:paraId="5D7A2610" w14:textId="77777777" w:rsidR="00FE291A" w:rsidRDefault="00C8738F">
      <w:pPr>
        <w:pStyle w:val="Heading1"/>
        <w:keepNext/>
        <w:widowControl/>
        <w:tabs>
          <w:tab w:val="left" w:pos="567"/>
        </w:tabs>
        <w:kinsoku w:val="0"/>
        <w:overflowPunct w:val="0"/>
        <w:ind w:left="0"/>
        <w:rPr>
          <w:lang w:val="de-DE"/>
        </w:rPr>
      </w:pPr>
      <w:r>
        <w:rPr>
          <w:lang w:val="de-DE"/>
        </w:rPr>
        <w:t>AMGEVITA darf nicht angewendet werden:</w:t>
      </w:r>
    </w:p>
    <w:p w14:paraId="32131179" w14:textId="77777777" w:rsidR="00FE291A" w:rsidRDefault="00FE291A">
      <w:pPr>
        <w:keepNext/>
        <w:widowControl/>
        <w:rPr>
          <w:sz w:val="22"/>
          <w:lang w:val="de-DE"/>
        </w:rPr>
      </w:pPr>
    </w:p>
    <w:p w14:paraId="20922ABF" w14:textId="77777777" w:rsidR="00FE291A" w:rsidRDefault="00C8738F">
      <w:pPr>
        <w:pStyle w:val="BodyText"/>
        <w:widowControl/>
        <w:numPr>
          <w:ilvl w:val="0"/>
          <w:numId w:val="52"/>
        </w:numPr>
        <w:tabs>
          <w:tab w:val="left" w:pos="567"/>
        </w:tabs>
        <w:kinsoku w:val="0"/>
        <w:overflowPunct w:val="0"/>
        <w:ind w:left="567"/>
        <w:rPr>
          <w:lang w:val="de-DE"/>
        </w:rPr>
      </w:pPr>
      <w:r>
        <w:rPr>
          <w:lang w:val="de-DE"/>
        </w:rPr>
        <w:t>Wenn Sie allergisch gegenüber dem Wirkstoff Adalimumab oder einem der sonstigen Bestandteile dieses Arzneimittels sind (aufgelistet in Abschnitt 6).</w:t>
      </w:r>
    </w:p>
    <w:p w14:paraId="227EA86C" w14:textId="77777777" w:rsidR="00FE291A" w:rsidRDefault="00C8738F">
      <w:pPr>
        <w:pStyle w:val="BodyText"/>
        <w:widowControl/>
        <w:numPr>
          <w:ilvl w:val="0"/>
          <w:numId w:val="52"/>
        </w:numPr>
        <w:tabs>
          <w:tab w:val="left" w:pos="567"/>
        </w:tabs>
        <w:kinsoku w:val="0"/>
        <w:overflowPunct w:val="0"/>
        <w:ind w:left="567"/>
        <w:rPr>
          <w:lang w:val="de-DE"/>
        </w:rPr>
      </w:pPr>
      <w:r>
        <w:rPr>
          <w:lang w:val="de-DE"/>
        </w:rPr>
        <w:t>Wenn Sie an einer schweren Infektion, einschließlich aktiver Tuberkulose, einer Sepsis (Blutvergiftung) oder an anderen opportunistischen Infektionen (ungewöhnlichen Infektionen, die auf ein geschwächtes Immunsystem zurückzuführen sind) erkrankt sind (siehe „Warnhinweise und Vorsichtsmaßnahmen“). Es ist wichtig, dass Sie Ihren Arzt informieren, wenn bei Ihnen Anzeichen von Infektionen, z. B. Fieber, Wunden, Abgeschlagenheit, Zahnprobleme, vorliegen.</w:t>
      </w:r>
    </w:p>
    <w:p w14:paraId="700FF233" w14:textId="77777777" w:rsidR="00FE291A" w:rsidRDefault="00C8738F">
      <w:pPr>
        <w:pStyle w:val="BodyText"/>
        <w:widowControl/>
        <w:numPr>
          <w:ilvl w:val="0"/>
          <w:numId w:val="52"/>
        </w:numPr>
        <w:tabs>
          <w:tab w:val="left" w:pos="567"/>
        </w:tabs>
        <w:kinsoku w:val="0"/>
        <w:overflowPunct w:val="0"/>
        <w:ind w:left="567"/>
        <w:rPr>
          <w:lang w:val="de-DE"/>
        </w:rPr>
      </w:pPr>
      <w:r>
        <w:rPr>
          <w:lang w:val="de-DE"/>
        </w:rPr>
        <w:t>Wenn Sie an mäßiger bis schwerer Herzschwäche (Herzinsuffizienz) erkrankt sind. Es ist wichtig, dass Sie Ihrem Arzt über zurückliegende oder bestehende ernsthafte Herzbeschwerden berichten (siehe „Warnhinweise und Vorsichtsmaßnahmen“).</w:t>
      </w:r>
    </w:p>
    <w:p w14:paraId="2ECB8CDC" w14:textId="77777777" w:rsidR="00FE291A" w:rsidRDefault="00FE291A">
      <w:pPr>
        <w:widowControl/>
        <w:kinsoku w:val="0"/>
        <w:overflowPunct w:val="0"/>
        <w:rPr>
          <w:sz w:val="22"/>
          <w:szCs w:val="26"/>
          <w:lang w:val="de-DE"/>
        </w:rPr>
      </w:pPr>
    </w:p>
    <w:p w14:paraId="51E790FD" w14:textId="77777777" w:rsidR="00FE291A" w:rsidRDefault="00C8738F">
      <w:pPr>
        <w:pStyle w:val="Heading1"/>
        <w:keepNext/>
        <w:keepLines/>
        <w:widowControl/>
        <w:kinsoku w:val="0"/>
        <w:overflowPunct w:val="0"/>
        <w:ind w:left="0"/>
        <w:rPr>
          <w:b w:val="0"/>
          <w:bCs w:val="0"/>
          <w:lang w:val="de-DE"/>
        </w:rPr>
      </w:pPr>
      <w:r>
        <w:rPr>
          <w:lang w:val="de-DE"/>
        </w:rPr>
        <w:t>Warnhinweise und Vorsichtsmaßnahmen</w:t>
      </w:r>
    </w:p>
    <w:p w14:paraId="3BB2152C" w14:textId="77777777" w:rsidR="00FE291A" w:rsidRDefault="00FE291A">
      <w:pPr>
        <w:keepNext/>
        <w:keepLines/>
        <w:widowControl/>
        <w:kinsoku w:val="0"/>
        <w:overflowPunct w:val="0"/>
        <w:rPr>
          <w:sz w:val="22"/>
          <w:szCs w:val="22"/>
          <w:lang w:val="de-DE"/>
        </w:rPr>
      </w:pPr>
    </w:p>
    <w:p w14:paraId="39E31BF7" w14:textId="77777777" w:rsidR="00FE291A" w:rsidRDefault="00C8738F">
      <w:pPr>
        <w:pStyle w:val="BodyText"/>
        <w:keepNext/>
        <w:keepLines/>
        <w:widowControl/>
        <w:tabs>
          <w:tab w:val="left" w:pos="567"/>
        </w:tabs>
        <w:kinsoku w:val="0"/>
        <w:overflowPunct w:val="0"/>
        <w:ind w:left="0"/>
        <w:rPr>
          <w:lang w:val="de-DE"/>
        </w:rPr>
      </w:pPr>
      <w:r>
        <w:rPr>
          <w:lang w:val="de-DE"/>
        </w:rPr>
        <w:t>Bitte sprechen Sie mit Ihrem Arzt oder Apotheker, bevor Sie AMGEVITA anwenden:</w:t>
      </w:r>
    </w:p>
    <w:p w14:paraId="58B4AA8C" w14:textId="77777777" w:rsidR="00FE291A" w:rsidRDefault="00FE291A">
      <w:pPr>
        <w:widowControl/>
        <w:tabs>
          <w:tab w:val="left" w:pos="567"/>
        </w:tabs>
        <w:kinsoku w:val="0"/>
        <w:overflowPunct w:val="0"/>
        <w:ind w:left="567" w:hanging="567"/>
        <w:rPr>
          <w:sz w:val="22"/>
          <w:szCs w:val="22"/>
          <w:lang w:val="de-DE"/>
        </w:rPr>
      </w:pPr>
    </w:p>
    <w:p w14:paraId="25FF9234" w14:textId="77777777" w:rsidR="00FE291A" w:rsidRDefault="00C8738F">
      <w:pPr>
        <w:widowControl/>
        <w:tabs>
          <w:tab w:val="left" w:pos="567"/>
        </w:tabs>
        <w:kinsoku w:val="0"/>
        <w:overflowPunct w:val="0"/>
        <w:ind w:left="567" w:hanging="567"/>
        <w:rPr>
          <w:sz w:val="22"/>
          <w:szCs w:val="22"/>
          <w:lang w:val="de-DE"/>
        </w:rPr>
      </w:pPr>
      <w:r>
        <w:rPr>
          <w:sz w:val="22"/>
          <w:szCs w:val="22"/>
          <w:lang w:val="de-DE"/>
        </w:rPr>
        <w:t>Allergische Reaktionen</w:t>
      </w:r>
    </w:p>
    <w:p w14:paraId="5898AA75" w14:textId="77777777" w:rsidR="00FE291A" w:rsidRDefault="00FE291A">
      <w:pPr>
        <w:widowControl/>
        <w:tabs>
          <w:tab w:val="left" w:pos="567"/>
        </w:tabs>
        <w:kinsoku w:val="0"/>
        <w:overflowPunct w:val="0"/>
        <w:ind w:left="567" w:hanging="567"/>
        <w:rPr>
          <w:sz w:val="22"/>
          <w:szCs w:val="22"/>
          <w:lang w:val="de-DE"/>
        </w:rPr>
      </w:pPr>
    </w:p>
    <w:p w14:paraId="73D034F9"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Sollten bei Ihnen allergische Reaktionen auftreten mit Anzeichen wie Engegefühl in der Brust, pfeifende Atemgeräusche, Benommenheit/Schwindel, Schwellungen oder Hautausschlag, spritzen Sie sich kein weiteres AMGEVITA mehr und setzen Sie sich unverzüglich mit Ihrem Arzt in Verbindung, da diese Reaktionen in seltenen Fällen lebensbedrohlich sein können.</w:t>
      </w:r>
    </w:p>
    <w:p w14:paraId="158D38EF" w14:textId="77777777" w:rsidR="00FE291A" w:rsidRDefault="00FE291A">
      <w:pPr>
        <w:widowControl/>
        <w:tabs>
          <w:tab w:val="left" w:pos="567"/>
        </w:tabs>
        <w:kinsoku w:val="0"/>
        <w:overflowPunct w:val="0"/>
        <w:ind w:left="567" w:hanging="567"/>
        <w:rPr>
          <w:sz w:val="22"/>
          <w:szCs w:val="22"/>
          <w:lang w:val="de-DE"/>
        </w:rPr>
      </w:pPr>
    </w:p>
    <w:p w14:paraId="65CDE1B1" w14:textId="77777777" w:rsidR="00FE291A" w:rsidRDefault="00C8738F">
      <w:pPr>
        <w:widowControl/>
        <w:tabs>
          <w:tab w:val="left" w:pos="567"/>
        </w:tabs>
        <w:kinsoku w:val="0"/>
        <w:overflowPunct w:val="0"/>
        <w:ind w:left="567" w:hanging="567"/>
        <w:rPr>
          <w:sz w:val="22"/>
          <w:szCs w:val="22"/>
          <w:lang w:val="de-DE"/>
        </w:rPr>
      </w:pPr>
      <w:r>
        <w:rPr>
          <w:sz w:val="22"/>
          <w:szCs w:val="22"/>
          <w:lang w:val="de-DE"/>
        </w:rPr>
        <w:t>Infektionen</w:t>
      </w:r>
    </w:p>
    <w:p w14:paraId="26583E56" w14:textId="77777777" w:rsidR="00FE291A" w:rsidRDefault="00FE291A">
      <w:pPr>
        <w:widowControl/>
        <w:tabs>
          <w:tab w:val="left" w:pos="567"/>
        </w:tabs>
        <w:kinsoku w:val="0"/>
        <w:overflowPunct w:val="0"/>
        <w:ind w:left="567" w:hanging="567"/>
        <w:rPr>
          <w:sz w:val="22"/>
          <w:szCs w:val="22"/>
          <w:lang w:val="de-DE"/>
        </w:rPr>
      </w:pPr>
    </w:p>
    <w:p w14:paraId="225C2676"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Wenn Sie an einer Infektion erkrankt sind, sprechen Sie mit Ihrem Arzt, bevor Sie mit der AMGEVITA-Behandlung beginnen. Auch dann, wenn Sie die Infektion schon länger haben, oder die Infektion örtlich begrenzt ist (z. B. ein Unterschenkelgeschwür). Wenn Sie unsicher sind, fragen Sie Ihren Arzt.</w:t>
      </w:r>
    </w:p>
    <w:p w14:paraId="443C3FB4"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Während der Behandlung mit AMGEVITA können Sie leichter an Infektionen erkranken. Das Risiko kann sich zusätzlich erhöhen, wenn Ihre Lungenfunktion beeinträchtigt ist. Diese Infektionen können schwer sein und umfassen Tuberkulose, Infektionen, die durch Viren, Pilze, Parasiten oder Bakterien verursacht werden, oder andere Infektionen, die auftreten, wenn die Widerstandskraft gegenüber Krankheiten vermindert ist (opportunistische Infektionen), sowie Blutvergiftung. Schwere Infektionen können in seltenen Fällen lebensbedrohlich sein. Es ist wichtig, dass Sie Ihren Arzt informieren, wenn bei Ihnen Anzeichen wie Fieber, Wunden, Abgeschlagenheit oder Zahnprobleme auftreten. Ihr Arzt kann eine kurzzeitige Unterbrechung der AMGEVITA-Behandlung empfehlen.</w:t>
      </w:r>
    </w:p>
    <w:p w14:paraId="5664B721" w14:textId="77777777" w:rsidR="00FE291A" w:rsidRDefault="00FE291A">
      <w:pPr>
        <w:widowControl/>
        <w:tabs>
          <w:tab w:val="left" w:pos="567"/>
        </w:tabs>
        <w:kinsoku w:val="0"/>
        <w:overflowPunct w:val="0"/>
        <w:ind w:left="567" w:hanging="567"/>
        <w:rPr>
          <w:sz w:val="22"/>
          <w:szCs w:val="22"/>
          <w:lang w:val="de-DE"/>
        </w:rPr>
      </w:pPr>
    </w:p>
    <w:p w14:paraId="70D2458D" w14:textId="77777777" w:rsidR="00FE291A" w:rsidRDefault="00C8738F">
      <w:pPr>
        <w:widowControl/>
        <w:tabs>
          <w:tab w:val="left" w:pos="567"/>
        </w:tabs>
        <w:kinsoku w:val="0"/>
        <w:overflowPunct w:val="0"/>
        <w:ind w:left="567" w:hanging="567"/>
        <w:rPr>
          <w:sz w:val="22"/>
          <w:szCs w:val="22"/>
          <w:lang w:val="de-DE"/>
        </w:rPr>
      </w:pPr>
      <w:r>
        <w:rPr>
          <w:sz w:val="22"/>
          <w:szCs w:val="22"/>
          <w:lang w:val="de-DE"/>
        </w:rPr>
        <w:t>Tuberkulose</w:t>
      </w:r>
    </w:p>
    <w:p w14:paraId="4DC326E3" w14:textId="77777777" w:rsidR="00FE291A" w:rsidRDefault="00FE291A">
      <w:pPr>
        <w:widowControl/>
        <w:tabs>
          <w:tab w:val="left" w:pos="567"/>
        </w:tabs>
        <w:kinsoku w:val="0"/>
        <w:overflowPunct w:val="0"/>
        <w:ind w:left="567" w:hanging="567"/>
        <w:rPr>
          <w:sz w:val="22"/>
          <w:szCs w:val="22"/>
          <w:lang w:val="de-DE"/>
        </w:rPr>
      </w:pPr>
    </w:p>
    <w:p w14:paraId="52B7A543"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 xml:space="preserve">Ihr Arzt wird Sie vor Beginn der Behandlung mit AMGEVITA auf Anzeichen und Krankheitserscheinungen einer Tuberkulose untersuchen, da bei mit Adalimumab behandelten Patienten von Tuberkulosefällen berichtet wurde. Zu dieser gründlichen Untersuchung gehören die Aufnahme einer umfassenden medizinischen Vorgeschichte und geeignete Tests (z. B. eine Röntgen-Aufnahme des Brustkorbs und ein Tuberkulintest). Die Durchführung und Ergebnisse dieser Tests sollten in Ihrem </w:t>
      </w:r>
      <w:r>
        <w:rPr>
          <w:b/>
          <w:lang w:val="de-DE"/>
        </w:rPr>
        <w:t>Patientenpass</w:t>
      </w:r>
      <w:r>
        <w:rPr>
          <w:lang w:val="de-DE"/>
        </w:rPr>
        <w:t xml:space="preserve"> dokumentiert werden. Es ist sehr wichtig, dass Sie Ihrem Arzt mitteilen, wenn Sie jemals Tuberkulose hatten oder wenn Sie in engem Kontakt zu jemandem standen, der Tuberkulose hatte.</w:t>
      </w:r>
    </w:p>
    <w:p w14:paraId="6A4BCA2A"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Tuberkulose kann sich während der Behandlung entwickeln, sogar dann, wenn Sie eine vorbeugende Behandlung gegen Tuberkulose bekommen haben.</w:t>
      </w:r>
    </w:p>
    <w:p w14:paraId="78978A64"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Sollten Anzeichen einer Tuberkulose (anhaltender Husten, Gewichtsverlust, Teilnahmslosigkeit, leichtes Fieber) oder einer anderen Infektion während oder nach der Behandlung auftreten, benachrichtigen Sie unverzüglich Ihren Arzt.</w:t>
      </w:r>
    </w:p>
    <w:p w14:paraId="68A51610" w14:textId="77777777" w:rsidR="00FE291A" w:rsidRDefault="00FE291A">
      <w:pPr>
        <w:widowControl/>
        <w:tabs>
          <w:tab w:val="left" w:pos="567"/>
        </w:tabs>
        <w:kinsoku w:val="0"/>
        <w:overflowPunct w:val="0"/>
        <w:ind w:left="567" w:hanging="567"/>
        <w:rPr>
          <w:sz w:val="22"/>
          <w:szCs w:val="22"/>
          <w:lang w:val="de-DE"/>
        </w:rPr>
      </w:pPr>
    </w:p>
    <w:p w14:paraId="204C47D8" w14:textId="77777777" w:rsidR="00FE291A" w:rsidRDefault="00C8738F">
      <w:pPr>
        <w:widowControl/>
        <w:tabs>
          <w:tab w:val="left" w:pos="567"/>
        </w:tabs>
        <w:kinsoku w:val="0"/>
        <w:overflowPunct w:val="0"/>
        <w:ind w:left="567" w:hanging="567"/>
        <w:rPr>
          <w:sz w:val="22"/>
          <w:szCs w:val="22"/>
          <w:lang w:val="de-DE"/>
        </w:rPr>
      </w:pPr>
      <w:r>
        <w:rPr>
          <w:sz w:val="22"/>
          <w:szCs w:val="22"/>
          <w:lang w:val="de-DE"/>
        </w:rPr>
        <w:t>Reisen/wiederkehrende Infektionen</w:t>
      </w:r>
    </w:p>
    <w:p w14:paraId="296CEFC1" w14:textId="77777777" w:rsidR="00FE291A" w:rsidRDefault="00FE291A">
      <w:pPr>
        <w:widowControl/>
        <w:tabs>
          <w:tab w:val="left" w:pos="567"/>
        </w:tabs>
        <w:kinsoku w:val="0"/>
        <w:overflowPunct w:val="0"/>
        <w:ind w:left="567" w:hanging="567"/>
        <w:rPr>
          <w:sz w:val="22"/>
          <w:szCs w:val="22"/>
          <w:lang w:val="de-DE"/>
        </w:rPr>
      </w:pPr>
    </w:p>
    <w:p w14:paraId="53368120"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Fragen Sie Ihren Arzt um Rat, wenn Sie sich in Regionen aufhalten oder in Regionen reisen, in denen Pilzinfektionen häufig vorkommen (z. B. Histoplasmose, Kokzidioidomykose oder Blastomykose).</w:t>
      </w:r>
    </w:p>
    <w:p w14:paraId="6D048370"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Informieren Sie Ihren Arzt, wenn Sie in der Vergangenheit unter wiederkehrenden Infektionen oder anderen Krankheiten litten, die das Risiko einer Infektion erhöhen.</w:t>
      </w:r>
    </w:p>
    <w:p w14:paraId="61333F38" w14:textId="77777777" w:rsidR="00FE291A" w:rsidRDefault="00FE291A">
      <w:pPr>
        <w:widowControl/>
        <w:tabs>
          <w:tab w:val="left" w:pos="567"/>
        </w:tabs>
        <w:kinsoku w:val="0"/>
        <w:overflowPunct w:val="0"/>
        <w:ind w:left="567" w:hanging="567"/>
        <w:rPr>
          <w:sz w:val="22"/>
          <w:szCs w:val="22"/>
          <w:lang w:val="de-DE"/>
        </w:rPr>
      </w:pPr>
    </w:p>
    <w:p w14:paraId="060D37F7" w14:textId="77777777" w:rsidR="00FE291A" w:rsidRDefault="00C8738F">
      <w:pPr>
        <w:widowControl/>
        <w:tabs>
          <w:tab w:val="left" w:pos="567"/>
        </w:tabs>
        <w:kinsoku w:val="0"/>
        <w:overflowPunct w:val="0"/>
        <w:ind w:left="567" w:hanging="567"/>
        <w:rPr>
          <w:sz w:val="22"/>
          <w:szCs w:val="22"/>
          <w:lang w:val="de-DE"/>
        </w:rPr>
      </w:pPr>
      <w:r>
        <w:rPr>
          <w:sz w:val="22"/>
          <w:szCs w:val="22"/>
          <w:lang w:val="de-DE"/>
        </w:rPr>
        <w:t>Hepatitis-B-Virus</w:t>
      </w:r>
    </w:p>
    <w:p w14:paraId="4428B26E" w14:textId="77777777" w:rsidR="00FE291A" w:rsidRDefault="00FE291A">
      <w:pPr>
        <w:widowControl/>
        <w:tabs>
          <w:tab w:val="left" w:pos="567"/>
        </w:tabs>
        <w:kinsoku w:val="0"/>
        <w:overflowPunct w:val="0"/>
        <w:ind w:left="567" w:hanging="567"/>
        <w:rPr>
          <w:sz w:val="22"/>
          <w:szCs w:val="22"/>
          <w:lang w:val="de-DE"/>
        </w:rPr>
      </w:pPr>
    </w:p>
    <w:p w14:paraId="68520C89" w14:textId="77777777" w:rsidR="00FE291A" w:rsidRDefault="00C8738F">
      <w:pPr>
        <w:pStyle w:val="BodyText"/>
        <w:widowControl/>
        <w:numPr>
          <w:ilvl w:val="0"/>
          <w:numId w:val="53"/>
        </w:numPr>
        <w:tabs>
          <w:tab w:val="left" w:pos="567"/>
          <w:tab w:val="left" w:pos="686"/>
        </w:tabs>
        <w:kinsoku w:val="0"/>
        <w:overflowPunct w:val="0"/>
        <w:ind w:left="567"/>
        <w:rPr>
          <w:lang w:val="de-DE"/>
        </w:rPr>
      </w:pPr>
      <w:r>
        <w:rPr>
          <w:lang w:val="de-DE"/>
        </w:rPr>
        <w:t>Informieren Sie Ihren Arzt, wenn Sie Träger des Hepatitis-B-Virus (HBV) sind, wenn Sie eine aktive HBV-Infektion haben oder wenn Sie ein erhöhtes Risiko für eine HBV-Infektion aufweisen. Ihr Arzt sollte Sie auf HBV untersuchen. AMGEVITA kann zu einem erneuten Ausbruch einer HBV-Infektion bei Personen führen, die dieses Virus tragen. In einigen seltenen Fällen, besonders bei der zusätzlichen Anwendung von weiteren Arzneimitteln, die das körpereigene Abwehrsystem unterdrücken, kann der erneute Ausbruch einer HBV-Infektion lebensbedrohend sein.</w:t>
      </w:r>
    </w:p>
    <w:p w14:paraId="2EB7D729" w14:textId="77777777" w:rsidR="00FE291A" w:rsidRDefault="00FE291A">
      <w:pPr>
        <w:pStyle w:val="BodyText"/>
        <w:widowControl/>
        <w:tabs>
          <w:tab w:val="left" w:pos="567"/>
          <w:tab w:val="left" w:pos="686"/>
        </w:tabs>
        <w:kinsoku w:val="0"/>
        <w:overflowPunct w:val="0"/>
        <w:ind w:left="0"/>
        <w:rPr>
          <w:lang w:val="de-DE"/>
        </w:rPr>
      </w:pPr>
    </w:p>
    <w:p w14:paraId="5DC60F3E" w14:textId="77777777" w:rsidR="00FE291A" w:rsidRDefault="00C8738F">
      <w:pPr>
        <w:pStyle w:val="BodyText"/>
        <w:widowControl/>
        <w:tabs>
          <w:tab w:val="left" w:pos="567"/>
          <w:tab w:val="left" w:pos="686"/>
        </w:tabs>
        <w:kinsoku w:val="0"/>
        <w:overflowPunct w:val="0"/>
        <w:ind w:left="0"/>
        <w:rPr>
          <w:lang w:val="de-DE"/>
        </w:rPr>
      </w:pPr>
      <w:r>
        <w:rPr>
          <w:lang w:val="de-DE"/>
        </w:rPr>
        <w:t>Alter über 65 Jahre</w:t>
      </w:r>
    </w:p>
    <w:p w14:paraId="1243A514" w14:textId="77777777" w:rsidR="00FE291A" w:rsidRDefault="00FE291A">
      <w:pPr>
        <w:pStyle w:val="BodyText"/>
        <w:widowControl/>
        <w:tabs>
          <w:tab w:val="left" w:pos="567"/>
          <w:tab w:val="left" w:pos="686"/>
        </w:tabs>
        <w:kinsoku w:val="0"/>
        <w:overflowPunct w:val="0"/>
        <w:ind w:left="0"/>
        <w:rPr>
          <w:lang w:val="de-DE"/>
        </w:rPr>
      </w:pPr>
    </w:p>
    <w:p w14:paraId="4820A4CA"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Wenn Sie über 65 Jahre alt sind, können Sie für Infektionen anfälliger sein, während Sie AMGEVITA nehmen. Sie und Ihr Arzt sollten besonders auf Anzeichen einer Infektion achten, während Sie mit AMGEVITA behandelt werden. Es ist wichtig, dass Sie Ihren Arzt informieren, wenn Sie Anzeichen von Infektionen wie Fieber, Wunden, Gefühl der Müdigkeit oder Zahnprobleme bekommen.</w:t>
      </w:r>
    </w:p>
    <w:p w14:paraId="275EBFE3" w14:textId="77777777" w:rsidR="00FE291A" w:rsidRDefault="00FE291A">
      <w:pPr>
        <w:widowControl/>
        <w:tabs>
          <w:tab w:val="left" w:pos="567"/>
        </w:tabs>
        <w:kinsoku w:val="0"/>
        <w:overflowPunct w:val="0"/>
        <w:ind w:left="567" w:hanging="567"/>
        <w:rPr>
          <w:sz w:val="22"/>
          <w:szCs w:val="22"/>
          <w:lang w:val="de-DE"/>
        </w:rPr>
      </w:pPr>
    </w:p>
    <w:p w14:paraId="78F42D85" w14:textId="77777777" w:rsidR="00FE291A" w:rsidRDefault="00C8738F">
      <w:pPr>
        <w:widowControl/>
        <w:tabs>
          <w:tab w:val="left" w:pos="567"/>
        </w:tabs>
        <w:kinsoku w:val="0"/>
        <w:overflowPunct w:val="0"/>
        <w:ind w:left="567" w:hanging="567"/>
        <w:rPr>
          <w:sz w:val="22"/>
          <w:szCs w:val="22"/>
          <w:lang w:val="de-DE"/>
        </w:rPr>
      </w:pPr>
      <w:r>
        <w:rPr>
          <w:sz w:val="22"/>
          <w:szCs w:val="22"/>
          <w:lang w:val="de-DE"/>
        </w:rPr>
        <w:t>Operationen oder Zahnbehandlungen</w:t>
      </w:r>
    </w:p>
    <w:p w14:paraId="4A834126" w14:textId="77777777" w:rsidR="00FE291A" w:rsidRDefault="00FE291A">
      <w:pPr>
        <w:widowControl/>
        <w:tabs>
          <w:tab w:val="left" w:pos="567"/>
        </w:tabs>
        <w:kinsoku w:val="0"/>
        <w:overflowPunct w:val="0"/>
        <w:ind w:left="567" w:hanging="567"/>
        <w:rPr>
          <w:sz w:val="22"/>
          <w:szCs w:val="22"/>
          <w:lang w:val="de-DE"/>
        </w:rPr>
      </w:pPr>
    </w:p>
    <w:p w14:paraId="28673622"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Informieren Sie bitte Ihren Arzt vor einer Operation oder einer Zahnbehandlung über Ihre Behandlung mit AMGEVITA. Ihr Arzt kann eine kurzzeitige Unterbrechung der AMGEVITA-Behandlung empfehlen.</w:t>
      </w:r>
    </w:p>
    <w:p w14:paraId="1A947C56" w14:textId="77777777" w:rsidR="00FE291A" w:rsidRDefault="00FE291A">
      <w:pPr>
        <w:widowControl/>
        <w:kinsoku w:val="0"/>
        <w:overflowPunct w:val="0"/>
        <w:rPr>
          <w:sz w:val="22"/>
          <w:szCs w:val="22"/>
          <w:lang w:val="de-DE"/>
        </w:rPr>
      </w:pPr>
    </w:p>
    <w:p w14:paraId="4D72BBBE" w14:textId="77777777" w:rsidR="00FE291A" w:rsidRDefault="00C8738F">
      <w:pPr>
        <w:widowControl/>
        <w:kinsoku w:val="0"/>
        <w:overflowPunct w:val="0"/>
        <w:rPr>
          <w:sz w:val="22"/>
          <w:szCs w:val="22"/>
          <w:lang w:val="de-DE"/>
        </w:rPr>
      </w:pPr>
      <w:r>
        <w:rPr>
          <w:sz w:val="22"/>
          <w:szCs w:val="22"/>
          <w:lang w:val="de-DE"/>
        </w:rPr>
        <w:t>Demyelinisierende Erkrankung</w:t>
      </w:r>
    </w:p>
    <w:p w14:paraId="45995352" w14:textId="77777777" w:rsidR="00FE291A" w:rsidRDefault="00FE291A">
      <w:pPr>
        <w:widowControl/>
        <w:kinsoku w:val="0"/>
        <w:overflowPunct w:val="0"/>
        <w:rPr>
          <w:sz w:val="22"/>
          <w:szCs w:val="22"/>
          <w:lang w:val="de-DE"/>
        </w:rPr>
      </w:pPr>
    </w:p>
    <w:p w14:paraId="261E4ED3"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Wenn Sie eine demyelinisierende Erkrankung wie z. B. multiple Sklerose haben oder entwickeln, wird Ihr Arzt entscheiden, ob Sie AMGEVITA erhalten bzw. weiter anwenden sollten. Informieren Sie bitte umgehend Ihren Arzt, wenn es bei Ihnen zu Anzeichen wie verändertem Sehvermögen oder Kraftlosigkeit in den Armen oder Beinen kommt oder wenn sich Körperteile taub oder kribbelig anfühlen.</w:t>
      </w:r>
    </w:p>
    <w:p w14:paraId="73C2CCEA" w14:textId="77777777" w:rsidR="00FE291A" w:rsidRDefault="00FE291A">
      <w:pPr>
        <w:widowControl/>
        <w:tabs>
          <w:tab w:val="left" w:pos="567"/>
        </w:tabs>
        <w:kinsoku w:val="0"/>
        <w:overflowPunct w:val="0"/>
        <w:ind w:left="567" w:hanging="567"/>
        <w:rPr>
          <w:sz w:val="22"/>
          <w:szCs w:val="22"/>
          <w:lang w:val="de-DE"/>
        </w:rPr>
      </w:pPr>
    </w:p>
    <w:p w14:paraId="133C2C2A" w14:textId="77777777" w:rsidR="00FE291A" w:rsidRDefault="00C8738F">
      <w:pPr>
        <w:widowControl/>
        <w:tabs>
          <w:tab w:val="left" w:pos="567"/>
        </w:tabs>
        <w:kinsoku w:val="0"/>
        <w:overflowPunct w:val="0"/>
        <w:ind w:left="567" w:hanging="567"/>
        <w:rPr>
          <w:sz w:val="22"/>
          <w:szCs w:val="22"/>
          <w:lang w:val="de-DE"/>
        </w:rPr>
      </w:pPr>
      <w:r>
        <w:rPr>
          <w:sz w:val="22"/>
          <w:szCs w:val="22"/>
          <w:lang w:val="de-DE"/>
        </w:rPr>
        <w:t>Impfungen</w:t>
      </w:r>
    </w:p>
    <w:p w14:paraId="0677042E" w14:textId="77777777" w:rsidR="00FE291A" w:rsidRDefault="00FE291A">
      <w:pPr>
        <w:widowControl/>
        <w:tabs>
          <w:tab w:val="left" w:pos="567"/>
        </w:tabs>
        <w:kinsoku w:val="0"/>
        <w:overflowPunct w:val="0"/>
        <w:ind w:left="567" w:hanging="567"/>
        <w:rPr>
          <w:sz w:val="22"/>
          <w:szCs w:val="22"/>
          <w:lang w:val="de-DE"/>
        </w:rPr>
      </w:pPr>
    </w:p>
    <w:p w14:paraId="1EE7FFAD"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 xml:space="preserve">Gewisse Impfstoffe enthalten lebende, aber abgeschwächte Formen von krankheitserregenden Bakterien oder Viren, die Infektionen verursachen können und während der Behandlung mit AMGEVITA nicht verwendet werden sollen. Bitte besprechen Sie jede Impfung vorher mit Ihrem Arzt. Bei Kindern und Jugendlichen wird empfohlen, nach Möglichkeit vor Behandlungsbeginn mit AMGEVITA alle Impfungen in Übereinstimmung mit den gegenwärtigen Richtlinien auf den aktuellen Stand zu bringen. </w:t>
      </w:r>
    </w:p>
    <w:p w14:paraId="454854B5"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Wenn Sie AMGEVITA während der Schwangerschaft erhalten haben, hat Ihr Säugling eventuell ein erhöhtes Risiko während der ersten 5 Monate nach der letzten AMGEVITA-Dosis, die Sie während der Schwangerschaft erhalten hatten, eine Infektion zu bekommen. Es ist wichtig, dass Sie den Ärzten des Kindes und anderem Fachpersonal im Gesundheitswesen mitteilen, dass Sie AMGEVITA während der Schwangerschaft angewendet haben, sodass diese darüber entscheiden können, ob Ihr Säugling eine Impfung erhalten sollte.</w:t>
      </w:r>
    </w:p>
    <w:p w14:paraId="02E67AD3" w14:textId="77777777" w:rsidR="00FE291A" w:rsidRDefault="00FE291A">
      <w:pPr>
        <w:widowControl/>
        <w:tabs>
          <w:tab w:val="left" w:pos="567"/>
        </w:tabs>
        <w:kinsoku w:val="0"/>
        <w:overflowPunct w:val="0"/>
        <w:ind w:left="567" w:hanging="567"/>
        <w:rPr>
          <w:sz w:val="22"/>
          <w:szCs w:val="22"/>
          <w:lang w:val="de-DE"/>
        </w:rPr>
      </w:pPr>
    </w:p>
    <w:p w14:paraId="5F02A6AD" w14:textId="77777777" w:rsidR="00FE291A" w:rsidRDefault="00C8738F">
      <w:pPr>
        <w:keepNext/>
        <w:keepLines/>
        <w:widowControl/>
        <w:tabs>
          <w:tab w:val="left" w:pos="567"/>
        </w:tabs>
        <w:kinsoku w:val="0"/>
        <w:overflowPunct w:val="0"/>
        <w:ind w:left="567" w:hanging="567"/>
        <w:rPr>
          <w:sz w:val="22"/>
          <w:szCs w:val="22"/>
          <w:lang w:val="de-DE"/>
        </w:rPr>
      </w:pPr>
      <w:r>
        <w:rPr>
          <w:sz w:val="22"/>
          <w:szCs w:val="22"/>
          <w:lang w:val="de-DE"/>
        </w:rPr>
        <w:t>Herzschwäche</w:t>
      </w:r>
    </w:p>
    <w:p w14:paraId="03C11345" w14:textId="77777777" w:rsidR="00FE291A" w:rsidRDefault="00FE291A">
      <w:pPr>
        <w:widowControl/>
        <w:tabs>
          <w:tab w:val="left" w:pos="567"/>
        </w:tabs>
        <w:kinsoku w:val="0"/>
        <w:overflowPunct w:val="0"/>
        <w:ind w:left="567" w:hanging="567"/>
        <w:rPr>
          <w:sz w:val="22"/>
          <w:szCs w:val="22"/>
          <w:lang w:val="de-DE"/>
        </w:rPr>
      </w:pPr>
    </w:p>
    <w:p w14:paraId="210CEF12"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Wenn Sie eine leichte Herzschwäche (Herzinsuffizienz) haben und mit AMGEVITA behandelt werden, muss Ihre Herzschwäche sorgfältig durch Ihren Arzt überwacht werden. Es ist wichtig, dass Sie Ihren Arzt darüber informieren, wenn Sie schwerwiegende Herzprobleme haben oder gehabt haben. Entwickeln Sie neue oder sich verschlechternde Symptome einer Herzschwäche (z. B. Kurzatmigkeit oder Anschwellen der Füße), müssen Sie sofort mit Ihrem Arzt sprechen. Ihr Arzt wird dann entscheiden, ob Sie AMGEVITA weiterhin erhalten sollen.</w:t>
      </w:r>
    </w:p>
    <w:p w14:paraId="083C5770" w14:textId="77777777" w:rsidR="00FE291A" w:rsidRDefault="00FE291A">
      <w:pPr>
        <w:widowControl/>
        <w:tabs>
          <w:tab w:val="left" w:pos="567"/>
        </w:tabs>
        <w:kinsoku w:val="0"/>
        <w:overflowPunct w:val="0"/>
        <w:ind w:left="567" w:hanging="567"/>
        <w:rPr>
          <w:sz w:val="22"/>
          <w:szCs w:val="22"/>
          <w:lang w:val="de-DE"/>
        </w:rPr>
      </w:pPr>
    </w:p>
    <w:p w14:paraId="0DF32B9F" w14:textId="77777777" w:rsidR="00FE291A" w:rsidRDefault="00C8738F">
      <w:pPr>
        <w:widowControl/>
        <w:tabs>
          <w:tab w:val="left" w:pos="567"/>
        </w:tabs>
        <w:kinsoku w:val="0"/>
        <w:overflowPunct w:val="0"/>
        <w:ind w:left="567" w:hanging="567"/>
        <w:rPr>
          <w:sz w:val="22"/>
          <w:szCs w:val="22"/>
          <w:lang w:val="de-DE"/>
        </w:rPr>
      </w:pPr>
      <w:r>
        <w:rPr>
          <w:sz w:val="22"/>
          <w:szCs w:val="22"/>
          <w:lang w:val="de-DE"/>
        </w:rPr>
        <w:t>Fieber, blaue Flecke, Blutungen oder blasses Aussehen</w:t>
      </w:r>
    </w:p>
    <w:p w14:paraId="44DD34A0" w14:textId="77777777" w:rsidR="00FE291A" w:rsidRDefault="00FE291A">
      <w:pPr>
        <w:widowControl/>
        <w:tabs>
          <w:tab w:val="left" w:pos="567"/>
        </w:tabs>
        <w:kinsoku w:val="0"/>
        <w:overflowPunct w:val="0"/>
        <w:ind w:left="567" w:hanging="567"/>
        <w:rPr>
          <w:sz w:val="22"/>
          <w:szCs w:val="22"/>
          <w:lang w:val="de-DE"/>
        </w:rPr>
      </w:pPr>
    </w:p>
    <w:p w14:paraId="7538AB00"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Die körpereigene Produktion von Blutzellen, die Ihrem Körper bei der Bekämpfung von Infektionen oder beim Stoppen von Blutungen helfen, kann bei einigen Patienten vermindert sein. Wenn Sie anhaltendes Fieber bekommen, sehr leicht blaue Flecken entwickeln oder bluten oder sehr blass aussehen, benachrichtigen Sie umgehend Ihren Arzt. Ihr Arzt wird möglicherweise entscheiden, die Behandlung zu beenden.</w:t>
      </w:r>
    </w:p>
    <w:p w14:paraId="1A0506C7" w14:textId="77777777" w:rsidR="00FE291A" w:rsidRDefault="00FE291A">
      <w:pPr>
        <w:widowControl/>
        <w:tabs>
          <w:tab w:val="left" w:pos="567"/>
        </w:tabs>
        <w:kinsoku w:val="0"/>
        <w:overflowPunct w:val="0"/>
        <w:ind w:left="567" w:hanging="567"/>
        <w:rPr>
          <w:sz w:val="22"/>
          <w:szCs w:val="22"/>
          <w:lang w:val="de-DE"/>
        </w:rPr>
      </w:pPr>
    </w:p>
    <w:p w14:paraId="4DE1C9CC" w14:textId="77777777" w:rsidR="00FE291A" w:rsidRDefault="00C8738F">
      <w:pPr>
        <w:widowControl/>
        <w:tabs>
          <w:tab w:val="left" w:pos="567"/>
        </w:tabs>
        <w:kinsoku w:val="0"/>
        <w:overflowPunct w:val="0"/>
        <w:ind w:left="567" w:hanging="567"/>
        <w:rPr>
          <w:sz w:val="22"/>
          <w:szCs w:val="22"/>
          <w:lang w:val="de-DE"/>
        </w:rPr>
      </w:pPr>
      <w:r>
        <w:rPr>
          <w:sz w:val="22"/>
          <w:szCs w:val="22"/>
          <w:lang w:val="de-DE"/>
        </w:rPr>
        <w:t>Krebs</w:t>
      </w:r>
    </w:p>
    <w:p w14:paraId="6A077837" w14:textId="77777777" w:rsidR="00FE291A" w:rsidRDefault="00FE291A">
      <w:pPr>
        <w:widowControl/>
        <w:tabs>
          <w:tab w:val="left" w:pos="567"/>
        </w:tabs>
        <w:kinsoku w:val="0"/>
        <w:overflowPunct w:val="0"/>
        <w:ind w:left="567" w:hanging="567"/>
        <w:rPr>
          <w:sz w:val="22"/>
          <w:szCs w:val="22"/>
          <w:lang w:val="de-DE"/>
        </w:rPr>
      </w:pPr>
    </w:p>
    <w:p w14:paraId="3B9BBF68" w14:textId="77777777" w:rsidR="00FE291A" w:rsidRDefault="00C8738F">
      <w:pPr>
        <w:pStyle w:val="BodyText"/>
        <w:keepLines/>
        <w:widowControl/>
        <w:numPr>
          <w:ilvl w:val="0"/>
          <w:numId w:val="53"/>
        </w:numPr>
        <w:tabs>
          <w:tab w:val="left" w:pos="567"/>
        </w:tabs>
        <w:kinsoku w:val="0"/>
        <w:overflowPunct w:val="0"/>
        <w:ind w:left="567"/>
        <w:rPr>
          <w:lang w:val="de-DE"/>
        </w:rPr>
      </w:pPr>
      <w:r>
        <w:rPr>
          <w:lang w:val="de-DE"/>
        </w:rPr>
        <w:t xml:space="preserve">Es gab sehr selten Fälle bestimmter Krebsarten bei Patienten (Kindern und Erwachsenen), die Adalimumab oder andere TNF-Blocker erhielten. Patienten mit schwereren Verlaufsformen der rheumatoiden Arthritis und langjährig bestehender Erkrankung können ein im Vergleich zum Durchschnitt erhöhtes Risiko aufweisen für die Entwicklung eines Lymphoms (Krebs, der das Lymphsystem betrifft) und von Leukämie (Krebs, der das Blut und das Knochenmark betrifft). </w:t>
      </w:r>
    </w:p>
    <w:p w14:paraId="610AC20F" w14:textId="77777777" w:rsidR="00FE291A" w:rsidRDefault="00C8738F">
      <w:pPr>
        <w:pStyle w:val="BodyText"/>
        <w:keepLines/>
        <w:widowControl/>
        <w:numPr>
          <w:ilvl w:val="0"/>
          <w:numId w:val="53"/>
        </w:numPr>
        <w:tabs>
          <w:tab w:val="left" w:pos="567"/>
        </w:tabs>
        <w:kinsoku w:val="0"/>
        <w:overflowPunct w:val="0"/>
        <w:ind w:left="567"/>
        <w:rPr>
          <w:lang w:val="de-DE"/>
        </w:rPr>
      </w:pPr>
      <w:r>
        <w:rPr>
          <w:lang w:val="de-DE"/>
        </w:rPr>
        <w:t>Wenn Sie AMGEVITA anwenden, kann sich Ihr Risiko, Lymphome, Leukämie oder andere Krebsformen zu entwickeln, möglicherweise erhöhen. In seltenen Fällen wurde bei Patienten, die mit Adalimumab behandelt wurden, eine besondere und schwere Form des Lymphoms beobachtet. Einige dieser Patienten wurden gleichzeitig mit dem Wirkstoff Azathioprin oder 6</w:t>
      </w:r>
      <w:r>
        <w:rPr>
          <w:lang w:val="de-DE"/>
        </w:rPr>
        <w:noBreakHyphen/>
        <w:t>Mercaptopurin behandelt. Teilen Sie Ihrem Arzt mit, wenn Sie Azathioprin oder 6</w:t>
      </w:r>
      <w:r>
        <w:rPr>
          <w:lang w:val="de-DE"/>
        </w:rPr>
        <w:noBreakHyphen/>
        <w:t xml:space="preserve">Mercaptopurin zusammen mit AMGEVITA einnehmen. </w:t>
      </w:r>
    </w:p>
    <w:p w14:paraId="74C3AC03" w14:textId="77777777" w:rsidR="00FE291A" w:rsidRDefault="00C8738F">
      <w:pPr>
        <w:pStyle w:val="BodyText"/>
        <w:keepLines/>
        <w:widowControl/>
        <w:numPr>
          <w:ilvl w:val="0"/>
          <w:numId w:val="53"/>
        </w:numPr>
        <w:tabs>
          <w:tab w:val="left" w:pos="567"/>
        </w:tabs>
        <w:kinsoku w:val="0"/>
        <w:overflowPunct w:val="0"/>
        <w:ind w:left="567"/>
        <w:rPr>
          <w:lang w:val="de-DE"/>
        </w:rPr>
      </w:pPr>
      <w:r>
        <w:rPr>
          <w:lang w:val="de-DE"/>
        </w:rPr>
        <w:t>Darüber hinaus wurden bei Patienten unter Adalimumab-Therapie Fälle mit Hauttumoren, die keine Melanome waren, beobachtet. Falls während oder nach der Behandlung neue Hautveränderungen auftreten oder sich das Aussehen bereits bestehender Hautverletzungen verändert, informieren Sie bitte Ihren Arzt.</w:t>
      </w:r>
    </w:p>
    <w:p w14:paraId="11AAE4E1"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Bei Patienten mit einer besonderen Art von Lungenerkrankung, der chronischen obstruktiven Lungenerkrankung (COPD), sind unter Behandlung mit einem anderen TNF-Blocker Krebsarten aufgetreten. Unter diesen Krebsarten waren keine Lymphome. Wenn Sie COPD haben oder wenn Sie stark rauchen, sollten Sie mit Ihrem Arzt besprechen, ob die Behandlung mit einem TNF-Blocker für Sie geeignet ist.</w:t>
      </w:r>
    </w:p>
    <w:p w14:paraId="641B53E4" w14:textId="77777777" w:rsidR="00FE291A" w:rsidRDefault="00FE291A">
      <w:pPr>
        <w:pStyle w:val="BodyText"/>
        <w:widowControl/>
        <w:tabs>
          <w:tab w:val="left" w:pos="567"/>
        </w:tabs>
        <w:kinsoku w:val="0"/>
        <w:overflowPunct w:val="0"/>
        <w:ind w:left="0"/>
        <w:rPr>
          <w:lang w:val="de-DE"/>
        </w:rPr>
      </w:pPr>
    </w:p>
    <w:p w14:paraId="076E4EF6" w14:textId="77777777" w:rsidR="00FE291A" w:rsidRDefault="00C8738F">
      <w:pPr>
        <w:pStyle w:val="ListParagraph"/>
        <w:rPr>
          <w:sz w:val="22"/>
          <w:lang w:val="de-DE"/>
        </w:rPr>
      </w:pPr>
      <w:r>
        <w:rPr>
          <w:sz w:val="22"/>
          <w:lang w:val="de-DE"/>
        </w:rPr>
        <w:t>Autoimmunerkrankung</w:t>
      </w:r>
      <w:del w:id="123" w:author="Author">
        <w:r>
          <w:rPr>
            <w:sz w:val="22"/>
            <w:lang w:val="de-DE"/>
          </w:rPr>
          <w:delText>en</w:delText>
        </w:r>
      </w:del>
    </w:p>
    <w:p w14:paraId="2DD7F3E2" w14:textId="77777777" w:rsidR="00FE291A" w:rsidRDefault="00FE291A">
      <w:pPr>
        <w:pStyle w:val="ListParagraph"/>
        <w:rPr>
          <w:sz w:val="22"/>
          <w:lang w:val="de-DE"/>
        </w:rPr>
      </w:pPr>
    </w:p>
    <w:p w14:paraId="50B3E7A3"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In seltenen Fällen kann die Behandlung mit AMGEVITA ein lupusähnliches Syndrom auslösen. Kontaktieren Sie Ihren Arzt, falls Symptome wie ein anhaltender, nicht erklärbarer Hautausschlag, Fieber, Gelenkschmerzen oder Müdigkeit auftreten.</w:t>
      </w:r>
    </w:p>
    <w:p w14:paraId="20CA3D72" w14:textId="77777777" w:rsidR="00FE291A" w:rsidRDefault="00FE291A">
      <w:pPr>
        <w:widowControl/>
        <w:kinsoku w:val="0"/>
        <w:overflowPunct w:val="0"/>
        <w:rPr>
          <w:sz w:val="22"/>
          <w:szCs w:val="22"/>
          <w:lang w:val="de-DE"/>
        </w:rPr>
      </w:pPr>
    </w:p>
    <w:p w14:paraId="09A4011B" w14:textId="77777777" w:rsidR="00FE291A" w:rsidRDefault="00C8738F">
      <w:pPr>
        <w:pStyle w:val="BodyText"/>
        <w:widowControl/>
        <w:kinsoku w:val="0"/>
        <w:overflowPunct w:val="0"/>
        <w:ind w:left="0"/>
        <w:rPr>
          <w:lang w:val="de-DE"/>
        </w:rPr>
      </w:pPr>
      <w:r>
        <w:rPr>
          <w:lang w:val="de-DE"/>
        </w:rPr>
        <w:t>Um die Nachverfolgbarkeit dieses Arzneimittels zu verbessern, sollte Ihr Arzt oder Apotheker den Namen und die Chargenbezeichnung des bei Ihnen angewendeten Arzneimittels in Ihrer Krankenakte dokumentieren. Möglicherweise möchten Sie sich diese Informationen ebenfalls für den Fall notieren, dass Sie später danach gefragt werden.</w:t>
      </w:r>
    </w:p>
    <w:p w14:paraId="73CB0F3E" w14:textId="77777777" w:rsidR="00FE291A" w:rsidRDefault="00FE291A">
      <w:pPr>
        <w:widowControl/>
        <w:kinsoku w:val="0"/>
        <w:overflowPunct w:val="0"/>
        <w:rPr>
          <w:sz w:val="22"/>
          <w:szCs w:val="22"/>
          <w:lang w:val="de-DE"/>
        </w:rPr>
      </w:pPr>
    </w:p>
    <w:p w14:paraId="5014C4B2" w14:textId="77777777" w:rsidR="00FE291A" w:rsidRDefault="00C8738F">
      <w:pPr>
        <w:pStyle w:val="Heading1"/>
        <w:keepNext/>
        <w:keepLines/>
        <w:widowControl/>
        <w:kinsoku w:val="0"/>
        <w:overflowPunct w:val="0"/>
        <w:ind w:left="0"/>
        <w:rPr>
          <w:b w:val="0"/>
          <w:bCs w:val="0"/>
          <w:lang w:val="de-DE"/>
        </w:rPr>
      </w:pPr>
      <w:r>
        <w:rPr>
          <w:lang w:val="de-DE"/>
        </w:rPr>
        <w:t>Kinder und Jugendliche</w:t>
      </w:r>
    </w:p>
    <w:p w14:paraId="47CAAE37" w14:textId="77777777" w:rsidR="00FE291A" w:rsidRDefault="00FE291A">
      <w:pPr>
        <w:keepNext/>
        <w:widowControl/>
        <w:kinsoku w:val="0"/>
        <w:overflowPunct w:val="0"/>
        <w:rPr>
          <w:sz w:val="22"/>
          <w:szCs w:val="22"/>
          <w:lang w:val="de-DE"/>
        </w:rPr>
      </w:pPr>
    </w:p>
    <w:p w14:paraId="458A4DBF" w14:textId="77777777" w:rsidR="00FE291A" w:rsidRDefault="00C8738F">
      <w:pPr>
        <w:pStyle w:val="BodyText"/>
        <w:widowControl/>
        <w:numPr>
          <w:ilvl w:val="0"/>
          <w:numId w:val="54"/>
        </w:numPr>
        <w:tabs>
          <w:tab w:val="left" w:pos="567"/>
        </w:tabs>
        <w:kinsoku w:val="0"/>
        <w:overflowPunct w:val="0"/>
        <w:ind w:left="567"/>
        <w:rPr>
          <w:lang w:val="de-DE"/>
        </w:rPr>
      </w:pPr>
      <w:r>
        <w:rPr>
          <w:lang w:val="de-DE"/>
        </w:rPr>
        <w:t>Impfungen: Wenn möglich, sollten Kinder und Jugendliche vor Anwendung von AMGEVITA auf dem neuesten Stand mit allen Impfungen sein.</w:t>
      </w:r>
    </w:p>
    <w:p w14:paraId="65D56317" w14:textId="77777777" w:rsidR="00FE291A" w:rsidRDefault="00FE291A">
      <w:pPr>
        <w:widowControl/>
        <w:tabs>
          <w:tab w:val="left" w:pos="567"/>
        </w:tabs>
        <w:kinsoku w:val="0"/>
        <w:overflowPunct w:val="0"/>
        <w:ind w:left="567" w:hanging="567"/>
        <w:rPr>
          <w:sz w:val="22"/>
          <w:szCs w:val="22"/>
          <w:lang w:val="de-DE"/>
        </w:rPr>
      </w:pPr>
    </w:p>
    <w:p w14:paraId="464746DE" w14:textId="77777777" w:rsidR="00FE291A" w:rsidRDefault="00C8738F">
      <w:pPr>
        <w:pStyle w:val="BodyText"/>
        <w:widowControl/>
        <w:numPr>
          <w:ilvl w:val="0"/>
          <w:numId w:val="54"/>
        </w:numPr>
        <w:tabs>
          <w:tab w:val="left" w:pos="567"/>
        </w:tabs>
        <w:kinsoku w:val="0"/>
        <w:overflowPunct w:val="0"/>
        <w:ind w:left="567"/>
        <w:rPr>
          <w:lang w:val="de-DE"/>
        </w:rPr>
      </w:pPr>
      <w:r>
        <w:rPr>
          <w:lang w:val="de-DE"/>
        </w:rPr>
        <w:t>Wenden Sie AMGEVITA nicht bei Kleinkindern mit polyartikulärer juveniler idiopathischer Arthritis an, die jünger als 2 Jahre sind.</w:t>
      </w:r>
    </w:p>
    <w:p w14:paraId="37768080" w14:textId="77777777" w:rsidR="00FE291A" w:rsidRDefault="00FE291A">
      <w:pPr>
        <w:pStyle w:val="ListParagraph"/>
        <w:rPr>
          <w:lang w:val="de-DE"/>
        </w:rPr>
      </w:pPr>
    </w:p>
    <w:p w14:paraId="582C7DC6" w14:textId="77777777" w:rsidR="00FE291A" w:rsidRDefault="00C8738F">
      <w:pPr>
        <w:pStyle w:val="BodyText"/>
        <w:widowControl/>
        <w:numPr>
          <w:ilvl w:val="0"/>
          <w:numId w:val="54"/>
        </w:numPr>
        <w:tabs>
          <w:tab w:val="left" w:pos="567"/>
        </w:tabs>
        <w:kinsoku w:val="0"/>
        <w:overflowPunct w:val="0"/>
        <w:ind w:left="567"/>
        <w:rPr>
          <w:lang w:val="de-DE"/>
        </w:rPr>
      </w:pPr>
      <w:r>
        <w:rPr>
          <w:lang w:val="de-DE"/>
        </w:rPr>
        <w:t>Wenden Sie AMGEVITA nicht bei Kindern mit Plaque-Psoriasis an, die jünger als 4 Jahre sind.</w:t>
      </w:r>
    </w:p>
    <w:p w14:paraId="3DE1F583" w14:textId="77777777" w:rsidR="00FE291A" w:rsidRDefault="00FE291A">
      <w:pPr>
        <w:pStyle w:val="ListParagraph"/>
        <w:rPr>
          <w:lang w:val="de-DE"/>
        </w:rPr>
      </w:pPr>
    </w:p>
    <w:p w14:paraId="2094819A" w14:textId="77777777" w:rsidR="00FE291A" w:rsidRDefault="00C8738F">
      <w:pPr>
        <w:pStyle w:val="BodyText"/>
        <w:widowControl/>
        <w:numPr>
          <w:ilvl w:val="0"/>
          <w:numId w:val="54"/>
        </w:numPr>
        <w:tabs>
          <w:tab w:val="left" w:pos="567"/>
        </w:tabs>
        <w:kinsoku w:val="0"/>
        <w:overflowPunct w:val="0"/>
        <w:ind w:left="567"/>
        <w:rPr>
          <w:lang w:val="de-DE"/>
        </w:rPr>
      </w:pPr>
      <w:r>
        <w:rPr>
          <w:lang w:val="de-DE"/>
        </w:rPr>
        <w:t>Wenden Sie AMGEVITA nicht bei Kindern mit Morbus Crohn oder Colitis ulcerosa an, die jünger als 6 Jahre sind.</w:t>
      </w:r>
    </w:p>
    <w:p w14:paraId="7C3CB0B5" w14:textId="77777777" w:rsidR="00FE291A" w:rsidRDefault="00FE291A">
      <w:pPr>
        <w:pStyle w:val="ListParagraph"/>
        <w:widowControl/>
        <w:rPr>
          <w:sz w:val="22"/>
          <w:lang w:val="de-DE"/>
        </w:rPr>
      </w:pPr>
    </w:p>
    <w:p w14:paraId="3F53FFB2" w14:textId="77777777" w:rsidR="00FE291A" w:rsidRDefault="00C8738F">
      <w:pPr>
        <w:pStyle w:val="Heading1"/>
        <w:widowControl/>
        <w:kinsoku w:val="0"/>
        <w:overflowPunct w:val="0"/>
        <w:ind w:left="0"/>
        <w:rPr>
          <w:b w:val="0"/>
          <w:bCs w:val="0"/>
          <w:lang w:val="de-DE"/>
        </w:rPr>
      </w:pPr>
      <w:r>
        <w:rPr>
          <w:lang w:val="de-DE"/>
        </w:rPr>
        <w:t>Anwendung von AMGEVITA zusammen mit anderen Arzneimitteln</w:t>
      </w:r>
    </w:p>
    <w:p w14:paraId="148537E4" w14:textId="77777777" w:rsidR="00FE291A" w:rsidRDefault="00FE291A">
      <w:pPr>
        <w:widowControl/>
        <w:kinsoku w:val="0"/>
        <w:overflowPunct w:val="0"/>
        <w:rPr>
          <w:sz w:val="22"/>
          <w:szCs w:val="22"/>
          <w:lang w:val="de-DE"/>
        </w:rPr>
      </w:pPr>
    </w:p>
    <w:p w14:paraId="55BDF2B4" w14:textId="77777777" w:rsidR="00FE291A" w:rsidRDefault="00C8738F">
      <w:pPr>
        <w:pStyle w:val="BodyText"/>
        <w:widowControl/>
        <w:kinsoku w:val="0"/>
        <w:overflowPunct w:val="0"/>
        <w:ind w:left="0"/>
        <w:rPr>
          <w:lang w:val="de-DE"/>
        </w:rPr>
      </w:pPr>
      <w:r>
        <w:rPr>
          <w:lang w:val="de-DE"/>
        </w:rPr>
        <w:t>Informieren Sie Ihren Arzt oder Apotheker, wenn Sie andere Arzneimittel einnehmen, kürzlich andere Arzneimittel eingenommen haben oder Sie beabsichtigen, andere Arzneimittel einzunehmen.</w:t>
      </w:r>
    </w:p>
    <w:p w14:paraId="7314CB2A" w14:textId="77777777" w:rsidR="00FE291A" w:rsidRDefault="00FE291A">
      <w:pPr>
        <w:widowControl/>
        <w:kinsoku w:val="0"/>
        <w:overflowPunct w:val="0"/>
        <w:rPr>
          <w:sz w:val="22"/>
          <w:szCs w:val="22"/>
          <w:lang w:val="de-DE"/>
        </w:rPr>
      </w:pPr>
    </w:p>
    <w:p w14:paraId="7FC2FA0C" w14:textId="77777777" w:rsidR="00FE291A" w:rsidRDefault="00C8738F">
      <w:pPr>
        <w:pStyle w:val="BodyText"/>
        <w:widowControl/>
        <w:kinsoku w:val="0"/>
        <w:overflowPunct w:val="0"/>
        <w:ind w:left="0"/>
        <w:rPr>
          <w:lang w:val="de-DE"/>
        </w:rPr>
      </w:pPr>
      <w:r>
        <w:rPr>
          <w:lang w:val="de-DE"/>
        </w:rPr>
        <w:t>AMGEVITA kann zusammen mit Basistherapeutika (wie Methotrexat, Sulfasalazin, Hydroxychloroquin, Leflunomid und injizierbaren Goldzubereitungen) und mit Kortikosteroiden oder Schmerzmitteln, einschließlich nicht steroidhaltiger entzündungshemmender Antirheumatika (NSAR), verwendet werden.</w:t>
      </w:r>
    </w:p>
    <w:p w14:paraId="75FF9EDC" w14:textId="77777777" w:rsidR="00FE291A" w:rsidRDefault="00FE291A">
      <w:pPr>
        <w:widowControl/>
        <w:kinsoku w:val="0"/>
        <w:overflowPunct w:val="0"/>
        <w:rPr>
          <w:sz w:val="22"/>
          <w:szCs w:val="22"/>
          <w:lang w:val="de-DE"/>
        </w:rPr>
      </w:pPr>
    </w:p>
    <w:p w14:paraId="6A7E4B8A" w14:textId="77777777" w:rsidR="00FE291A" w:rsidRDefault="00C8738F">
      <w:pPr>
        <w:pStyle w:val="BodyText"/>
        <w:widowControl/>
        <w:kinsoku w:val="0"/>
        <w:overflowPunct w:val="0"/>
        <w:ind w:left="0"/>
        <w:rPr>
          <w:lang w:val="de-DE"/>
        </w:rPr>
      </w:pPr>
      <w:r>
        <w:rPr>
          <w:lang w:val="de-DE"/>
        </w:rPr>
        <w:t>Sie dürfen AMGEVITA nicht zusammen mit Arzneimitteln verwenden, die als Wirkstoff Anakinra oder Abatacept enthalten, da ein erhöhtes Risiko einer schwerwiegenden Infektion besteht. Sollten Sie Fragen haben, wenden Sie sich bitte an Ihren Arzt.</w:t>
      </w:r>
    </w:p>
    <w:p w14:paraId="0A24E373" w14:textId="77777777" w:rsidR="00FE291A" w:rsidRDefault="00FE291A">
      <w:pPr>
        <w:widowControl/>
        <w:kinsoku w:val="0"/>
        <w:overflowPunct w:val="0"/>
        <w:rPr>
          <w:sz w:val="22"/>
          <w:szCs w:val="22"/>
          <w:lang w:val="de-DE"/>
        </w:rPr>
      </w:pPr>
    </w:p>
    <w:p w14:paraId="44365EFC" w14:textId="77777777" w:rsidR="00FE291A" w:rsidRDefault="00C8738F">
      <w:pPr>
        <w:pStyle w:val="Heading1"/>
        <w:keepNext/>
        <w:widowControl/>
        <w:kinsoku w:val="0"/>
        <w:overflowPunct w:val="0"/>
        <w:ind w:left="0"/>
        <w:rPr>
          <w:b w:val="0"/>
          <w:bCs w:val="0"/>
          <w:lang w:val="de-DE"/>
        </w:rPr>
      </w:pPr>
      <w:r>
        <w:rPr>
          <w:lang w:val="de-DE"/>
        </w:rPr>
        <w:t>Schwangerschaft und Stillzeit</w:t>
      </w:r>
    </w:p>
    <w:p w14:paraId="74E6C9D4" w14:textId="77777777" w:rsidR="00FE291A" w:rsidRDefault="00FE291A">
      <w:pPr>
        <w:pStyle w:val="BodyText"/>
        <w:keepNext/>
        <w:widowControl/>
        <w:kinsoku w:val="0"/>
        <w:overflowPunct w:val="0"/>
        <w:ind w:left="0"/>
        <w:rPr>
          <w:lang w:val="de-DE"/>
        </w:rPr>
      </w:pPr>
    </w:p>
    <w:p w14:paraId="54D9B384" w14:textId="77777777" w:rsidR="00FE291A" w:rsidRDefault="00C8738F">
      <w:pPr>
        <w:widowControl/>
        <w:numPr>
          <w:ilvl w:val="0"/>
          <w:numId w:val="55"/>
        </w:numPr>
        <w:autoSpaceDE/>
        <w:autoSpaceDN/>
        <w:adjustRightInd/>
        <w:ind w:left="567" w:hanging="567"/>
        <w:rPr>
          <w:sz w:val="22"/>
          <w:szCs w:val="22"/>
          <w:lang w:val="de-DE"/>
        </w:rPr>
      </w:pPr>
      <w:r>
        <w:rPr>
          <w:sz w:val="22"/>
          <w:szCs w:val="22"/>
          <w:lang w:val="de-DE"/>
        </w:rPr>
        <w:t>Sie sollten eine geeignete Verhütungsmethode in Erwägung ziehen, um nicht schwanger zu werden, und bis mindestens 5 Monate nach der letzten Dosis von AMGEVITA verhüten.</w:t>
      </w:r>
    </w:p>
    <w:p w14:paraId="3EC89F34" w14:textId="77777777" w:rsidR="00FE291A" w:rsidRDefault="00C8738F">
      <w:pPr>
        <w:widowControl/>
        <w:numPr>
          <w:ilvl w:val="0"/>
          <w:numId w:val="55"/>
        </w:numPr>
        <w:autoSpaceDE/>
        <w:autoSpaceDN/>
        <w:adjustRightInd/>
        <w:ind w:left="567" w:hanging="567"/>
        <w:rPr>
          <w:sz w:val="22"/>
          <w:szCs w:val="22"/>
          <w:lang w:val="de-DE"/>
        </w:rPr>
      </w:pPr>
      <w:r>
        <w:rPr>
          <w:sz w:val="22"/>
          <w:szCs w:val="22"/>
          <w:lang w:val="de-DE"/>
        </w:rPr>
        <w:t>Wenn Sie schwanger sind, vermuten, schwanger zu sein, oder beabsichtigen, schwanger zu werden, fragen Sie Ihren Arzt zur Anwendung dieses Arzneimittels um Rat.</w:t>
      </w:r>
    </w:p>
    <w:p w14:paraId="319055F9" w14:textId="77777777" w:rsidR="00FE291A" w:rsidRDefault="00C8738F">
      <w:pPr>
        <w:widowControl/>
        <w:numPr>
          <w:ilvl w:val="0"/>
          <w:numId w:val="55"/>
        </w:numPr>
        <w:autoSpaceDE/>
        <w:autoSpaceDN/>
        <w:adjustRightInd/>
        <w:ind w:left="567" w:hanging="567"/>
        <w:rPr>
          <w:sz w:val="22"/>
          <w:szCs w:val="22"/>
          <w:lang w:val="de-DE"/>
        </w:rPr>
      </w:pPr>
      <w:r>
        <w:rPr>
          <w:sz w:val="22"/>
          <w:szCs w:val="22"/>
          <w:lang w:val="de-DE"/>
        </w:rPr>
        <w:t>AMGEVITA sollte während einer Schwangerschaft nur angewendet werden, wenn dies erforderlich ist.</w:t>
      </w:r>
    </w:p>
    <w:p w14:paraId="093F0142" w14:textId="77777777" w:rsidR="00FE291A" w:rsidRDefault="00C8738F">
      <w:pPr>
        <w:widowControl/>
        <w:numPr>
          <w:ilvl w:val="0"/>
          <w:numId w:val="55"/>
        </w:numPr>
        <w:autoSpaceDE/>
        <w:autoSpaceDN/>
        <w:adjustRightInd/>
        <w:ind w:left="567" w:hanging="567"/>
        <w:rPr>
          <w:sz w:val="22"/>
          <w:szCs w:val="22"/>
          <w:lang w:val="de-DE"/>
        </w:rPr>
      </w:pPr>
      <w:r>
        <w:rPr>
          <w:sz w:val="22"/>
          <w:szCs w:val="22"/>
          <w:lang w:val="de-DE"/>
        </w:rPr>
        <w:t>Laut einer Studie mit Schwangeren bestand bei Kindern von Müttern, die während der Schwangerschaft mit AMGEVITA behandelt wurden, kein höheres Risiko für Geburtsfehler als bei Kindern von Müttern mit der gleichen Erkrankung, die nicht mit AMGEVITA behandelt wurden.</w:t>
      </w:r>
    </w:p>
    <w:p w14:paraId="5120059C" w14:textId="77777777" w:rsidR="00FE291A" w:rsidRDefault="00C8738F">
      <w:pPr>
        <w:widowControl/>
        <w:numPr>
          <w:ilvl w:val="0"/>
          <w:numId w:val="55"/>
        </w:numPr>
        <w:autoSpaceDE/>
        <w:autoSpaceDN/>
        <w:adjustRightInd/>
        <w:ind w:left="567" w:hanging="567"/>
        <w:rPr>
          <w:sz w:val="22"/>
          <w:szCs w:val="22"/>
          <w:lang w:val="de-DE"/>
        </w:rPr>
      </w:pPr>
      <w:r>
        <w:rPr>
          <w:sz w:val="22"/>
          <w:szCs w:val="22"/>
          <w:lang w:val="de-DE"/>
        </w:rPr>
        <w:t>AMGEVITA kann während der Stillzeit angewendet werden.</w:t>
      </w:r>
    </w:p>
    <w:p w14:paraId="54841A32" w14:textId="77777777" w:rsidR="00FE291A" w:rsidRDefault="00C8738F">
      <w:pPr>
        <w:widowControl/>
        <w:numPr>
          <w:ilvl w:val="0"/>
          <w:numId w:val="55"/>
        </w:numPr>
        <w:autoSpaceDE/>
        <w:autoSpaceDN/>
        <w:adjustRightInd/>
        <w:ind w:left="567" w:hanging="567"/>
        <w:rPr>
          <w:sz w:val="22"/>
          <w:szCs w:val="22"/>
          <w:lang w:val="de-DE"/>
        </w:rPr>
      </w:pPr>
      <w:r>
        <w:rPr>
          <w:sz w:val="22"/>
          <w:szCs w:val="22"/>
          <w:lang w:val="de-DE"/>
        </w:rPr>
        <w:t>Wenn Sie AMGEVITA während Ihrer Schwangerschaft erhalten haben, hat Ihr Säugling eventuell ein erhöhtes Risiko, eine Infektion zu bekommen.</w:t>
      </w:r>
    </w:p>
    <w:p w14:paraId="6AEDD8E9" w14:textId="77777777" w:rsidR="00FE291A" w:rsidRDefault="00C8738F">
      <w:pPr>
        <w:pStyle w:val="BodyText"/>
        <w:widowControl/>
        <w:numPr>
          <w:ilvl w:val="0"/>
          <w:numId w:val="55"/>
        </w:numPr>
        <w:kinsoku w:val="0"/>
        <w:overflowPunct w:val="0"/>
        <w:ind w:left="567" w:hanging="567"/>
        <w:rPr>
          <w:lang w:val="de-DE"/>
        </w:rPr>
      </w:pPr>
      <w:r>
        <w:rPr>
          <w:lang w:val="de-DE"/>
        </w:rPr>
        <w:t>Es ist wichtig, dass Sie den Ärzten des Kindes und anderem Fachpersonal im Gesundheitswesen mitteilen, dass Sie AMGEVITA während der Schwangerschaft angewendet haben, bevor Ihr Säugling eine Impfung bekommt. Weitere Information siehe im Abschnitt zu Impfungen unter „Warnhinweise und Vorsichtsmaßnahmen“.</w:t>
      </w:r>
    </w:p>
    <w:p w14:paraId="41A7604D" w14:textId="77777777" w:rsidR="00FE291A" w:rsidRDefault="00FE291A">
      <w:pPr>
        <w:pStyle w:val="Heading1"/>
        <w:widowControl/>
        <w:kinsoku w:val="0"/>
        <w:overflowPunct w:val="0"/>
        <w:ind w:left="0"/>
        <w:rPr>
          <w:b w:val="0"/>
          <w:lang w:val="de-DE"/>
        </w:rPr>
      </w:pPr>
    </w:p>
    <w:p w14:paraId="4D2634FA" w14:textId="77777777" w:rsidR="00FE291A" w:rsidRDefault="00C8738F">
      <w:pPr>
        <w:pStyle w:val="Heading1"/>
        <w:keepNext/>
        <w:widowControl/>
        <w:kinsoku w:val="0"/>
        <w:overflowPunct w:val="0"/>
        <w:ind w:left="0"/>
        <w:rPr>
          <w:b w:val="0"/>
          <w:bCs w:val="0"/>
          <w:lang w:val="de-DE"/>
        </w:rPr>
      </w:pPr>
      <w:r>
        <w:rPr>
          <w:lang w:val="de-DE"/>
        </w:rPr>
        <w:t>Verkehrstüchtigkeit und Fähigkeit zum Bedienen von Maschinen</w:t>
      </w:r>
    </w:p>
    <w:p w14:paraId="4DCB2DD7" w14:textId="77777777" w:rsidR="00FE291A" w:rsidRDefault="00FE291A">
      <w:pPr>
        <w:widowControl/>
        <w:kinsoku w:val="0"/>
        <w:overflowPunct w:val="0"/>
        <w:rPr>
          <w:sz w:val="22"/>
          <w:szCs w:val="22"/>
          <w:lang w:val="de-DE"/>
        </w:rPr>
      </w:pPr>
    </w:p>
    <w:p w14:paraId="06AA74D7" w14:textId="77777777" w:rsidR="00FE291A" w:rsidRDefault="00C8738F">
      <w:pPr>
        <w:pStyle w:val="BodyText"/>
        <w:widowControl/>
        <w:kinsoku w:val="0"/>
        <w:overflowPunct w:val="0"/>
        <w:ind w:left="0"/>
        <w:rPr>
          <w:lang w:val="de-DE"/>
        </w:rPr>
      </w:pPr>
      <w:r>
        <w:rPr>
          <w:lang w:val="de-DE"/>
        </w:rPr>
        <w:t>AMGEVITA kann einen geringen Einfluss auf Ihre Verkehrstüchtigkeit und das Bedienen von Maschinen haben. Bei der Anwendung von AMGEVITA kann das Sehvermögen beeinträchtigt sein und es kann das Gefühl auftreten, dass sich der Raum dreht (Schwindel).</w:t>
      </w:r>
    </w:p>
    <w:p w14:paraId="54510684" w14:textId="77777777" w:rsidR="00FE291A" w:rsidRDefault="00FE291A">
      <w:pPr>
        <w:widowControl/>
        <w:kinsoku w:val="0"/>
        <w:overflowPunct w:val="0"/>
        <w:rPr>
          <w:sz w:val="22"/>
          <w:szCs w:val="22"/>
          <w:lang w:val="de-DE"/>
        </w:rPr>
      </w:pPr>
    </w:p>
    <w:p w14:paraId="4373C873" w14:textId="77777777" w:rsidR="00FE291A" w:rsidRDefault="00C8738F">
      <w:pPr>
        <w:pStyle w:val="Heading1"/>
        <w:keepNext/>
        <w:widowControl/>
        <w:kinsoku w:val="0"/>
        <w:overflowPunct w:val="0"/>
        <w:ind w:left="0"/>
        <w:rPr>
          <w:lang w:val="de-DE"/>
        </w:rPr>
      </w:pPr>
      <w:r>
        <w:rPr>
          <w:lang w:val="de-DE"/>
        </w:rPr>
        <w:t>AMGEVITA enthält Natrium</w:t>
      </w:r>
    </w:p>
    <w:p w14:paraId="4BDDBD17" w14:textId="77777777" w:rsidR="00FE291A" w:rsidRDefault="00FE291A">
      <w:pPr>
        <w:keepNext/>
        <w:widowControl/>
        <w:kinsoku w:val="0"/>
        <w:overflowPunct w:val="0"/>
        <w:rPr>
          <w:sz w:val="22"/>
          <w:szCs w:val="22"/>
          <w:lang w:val="de-DE"/>
        </w:rPr>
      </w:pPr>
    </w:p>
    <w:p w14:paraId="14AC08FB" w14:textId="77777777" w:rsidR="00FE291A" w:rsidRDefault="00C8738F">
      <w:pPr>
        <w:pStyle w:val="BodyText"/>
        <w:keepNext/>
        <w:widowControl/>
        <w:kinsoku w:val="0"/>
        <w:overflowPunct w:val="0"/>
        <w:ind w:left="0"/>
        <w:rPr>
          <w:lang w:val="de-DE"/>
        </w:rPr>
      </w:pPr>
      <w:r>
        <w:rPr>
          <w:lang w:val="de-DE"/>
        </w:rPr>
        <w:t>Dieses Arzneimittel enthält weniger als 1 mmol Natrium (23 mg) pro 0,8 ml Dosis, d. h., es ist nahezu „natriumfrei“.</w:t>
      </w:r>
    </w:p>
    <w:p w14:paraId="26E12EB2" w14:textId="77777777" w:rsidR="00FE291A" w:rsidRDefault="00FE291A">
      <w:pPr>
        <w:widowControl/>
        <w:kinsoku w:val="0"/>
        <w:overflowPunct w:val="0"/>
        <w:rPr>
          <w:sz w:val="22"/>
          <w:szCs w:val="22"/>
          <w:lang w:val="de-DE"/>
        </w:rPr>
      </w:pPr>
    </w:p>
    <w:p w14:paraId="27C92E45" w14:textId="77777777" w:rsidR="00FE291A" w:rsidRDefault="00FE291A">
      <w:pPr>
        <w:widowControl/>
        <w:kinsoku w:val="0"/>
        <w:overflowPunct w:val="0"/>
        <w:rPr>
          <w:sz w:val="22"/>
          <w:szCs w:val="22"/>
          <w:lang w:val="de-DE"/>
        </w:rPr>
      </w:pPr>
    </w:p>
    <w:p w14:paraId="6C00CB1B" w14:textId="77777777" w:rsidR="00FE291A" w:rsidRDefault="00C8738F">
      <w:pPr>
        <w:pStyle w:val="Heading1"/>
        <w:keepNext/>
        <w:widowControl/>
        <w:tabs>
          <w:tab w:val="left" w:pos="567"/>
        </w:tabs>
        <w:kinsoku w:val="0"/>
        <w:overflowPunct w:val="0"/>
        <w:ind w:left="567" w:hanging="567"/>
        <w:rPr>
          <w:b w:val="0"/>
          <w:bCs w:val="0"/>
          <w:lang w:val="de-DE"/>
        </w:rPr>
      </w:pPr>
      <w:r>
        <w:rPr>
          <w:lang w:val="de-DE"/>
        </w:rPr>
        <w:t>3.</w:t>
      </w:r>
      <w:r>
        <w:rPr>
          <w:lang w:val="de-DE"/>
        </w:rPr>
        <w:tab/>
        <w:t>Wie ist AMGEVITA anzuwenden?</w:t>
      </w:r>
    </w:p>
    <w:p w14:paraId="757CB3EE" w14:textId="77777777" w:rsidR="00FE291A" w:rsidRDefault="00FE291A">
      <w:pPr>
        <w:keepNext/>
        <w:widowControl/>
        <w:kinsoku w:val="0"/>
        <w:overflowPunct w:val="0"/>
        <w:rPr>
          <w:sz w:val="22"/>
          <w:szCs w:val="22"/>
          <w:lang w:val="de-DE"/>
        </w:rPr>
      </w:pPr>
    </w:p>
    <w:p w14:paraId="4C0FABAB" w14:textId="77777777" w:rsidR="00FE291A" w:rsidRDefault="00C8738F">
      <w:pPr>
        <w:pStyle w:val="BodyText"/>
        <w:widowControl/>
        <w:kinsoku w:val="0"/>
        <w:overflowPunct w:val="0"/>
        <w:ind w:left="0"/>
        <w:rPr>
          <w:lang w:val="de-DE"/>
        </w:rPr>
      </w:pPr>
      <w:r>
        <w:rPr>
          <w:lang w:val="de-DE"/>
        </w:rPr>
        <w:t>Wenden Sie dieses Arzneimittel immer genau nach Absprache mit Ihrem Arzt oder Apotheker an. Fragen Sie bei Ihrem Arzt oder Apotheker nach, wenn Sie sich nicht sicher sind.</w:t>
      </w:r>
    </w:p>
    <w:p w14:paraId="1039A2DB" w14:textId="77777777" w:rsidR="00FE291A" w:rsidRDefault="00FE291A">
      <w:pPr>
        <w:widowControl/>
        <w:kinsoku w:val="0"/>
        <w:overflowPunct w:val="0"/>
        <w:rPr>
          <w:sz w:val="22"/>
          <w:szCs w:val="22"/>
          <w:lang w:val="de-DE"/>
        </w:rPr>
      </w:pPr>
    </w:p>
    <w:p w14:paraId="0E2955F9" w14:textId="77777777" w:rsidR="00FE291A" w:rsidRDefault="00C8738F">
      <w:pPr>
        <w:pStyle w:val="BodyText"/>
        <w:keepNext/>
        <w:widowControl/>
        <w:kinsoku w:val="0"/>
        <w:overflowPunct w:val="0"/>
        <w:ind w:left="0"/>
        <w:rPr>
          <w:lang w:val="de-DE"/>
        </w:rPr>
      </w:pPr>
      <w:r>
        <w:rPr>
          <w:u w:val="single"/>
          <w:lang w:val="de-DE"/>
        </w:rPr>
        <w:t>Erwachsene mit rheumatoider Arthritis, Psoriasis-Arthritis, ankylosierender Spondylitis oder axialer</w:t>
      </w:r>
      <w:r>
        <w:rPr>
          <w:lang w:val="de-DE"/>
        </w:rPr>
        <w:t xml:space="preserve"> </w:t>
      </w:r>
      <w:r>
        <w:rPr>
          <w:u w:val="single"/>
          <w:lang w:val="de-DE"/>
        </w:rPr>
        <w:t>Spondyloarthritis, bei der im Röntgenbild noch keine Verknöcherung nachweisbar ist</w:t>
      </w:r>
    </w:p>
    <w:p w14:paraId="62D3DD97" w14:textId="77777777" w:rsidR="00FE291A" w:rsidRDefault="00FE291A">
      <w:pPr>
        <w:keepNext/>
        <w:widowControl/>
        <w:kinsoku w:val="0"/>
        <w:overflowPunct w:val="0"/>
        <w:rPr>
          <w:sz w:val="22"/>
          <w:szCs w:val="22"/>
          <w:lang w:val="de-DE"/>
        </w:rPr>
      </w:pPr>
    </w:p>
    <w:p w14:paraId="74E8C32B" w14:textId="77777777" w:rsidR="00FE291A" w:rsidRDefault="00C8738F">
      <w:pPr>
        <w:pStyle w:val="BodyText"/>
        <w:widowControl/>
        <w:kinsoku w:val="0"/>
        <w:overflowPunct w:val="0"/>
        <w:ind w:left="0"/>
        <w:rPr>
          <w:lang w:val="de-DE"/>
        </w:rPr>
      </w:pPr>
      <w:r>
        <w:rPr>
          <w:lang w:val="de-DE"/>
        </w:rPr>
        <w:t>AMGEVITA wird unter die Haut gespritzt (subkutane Anwendung). Die übliche Dosis für Erwachsene mit rheumatoider Arthritis, ankylosierender Spondylitis, axialer Spondyloarthritis, bei der im Röntgenbild noch keine Verknöcherung nachweisbar ist, und für Patienten mit Psoriasis-Arthritis beträgt 40 mg, die alle zwei Wochen als Einzeldosis verabreicht wird.</w:t>
      </w:r>
    </w:p>
    <w:p w14:paraId="2094363E" w14:textId="77777777" w:rsidR="00FE291A" w:rsidRDefault="00FE291A">
      <w:pPr>
        <w:widowControl/>
        <w:kinsoku w:val="0"/>
        <w:overflowPunct w:val="0"/>
        <w:rPr>
          <w:sz w:val="22"/>
          <w:szCs w:val="22"/>
          <w:lang w:val="de-DE"/>
        </w:rPr>
      </w:pPr>
    </w:p>
    <w:p w14:paraId="70F1B878" w14:textId="77777777" w:rsidR="00FE291A" w:rsidRDefault="00C8738F">
      <w:pPr>
        <w:pStyle w:val="BodyText"/>
        <w:widowControl/>
        <w:kinsoku w:val="0"/>
        <w:overflowPunct w:val="0"/>
        <w:ind w:left="0"/>
        <w:rPr>
          <w:lang w:val="de-DE"/>
        </w:rPr>
      </w:pPr>
      <w:r>
        <w:rPr>
          <w:lang w:val="de-DE"/>
        </w:rPr>
        <w:t>Während Sie AMGEVITA bei rheumatoider Arthritis anwenden, wird die Gabe von Methotrexat fortgesetzt. Sollte Ihr Arzt die Gabe von Methotrexat als nicht geeignet erachten, kann AMGEVITA auch alleine angewendet werden.</w:t>
      </w:r>
    </w:p>
    <w:p w14:paraId="043ECC88" w14:textId="77777777" w:rsidR="00FE291A" w:rsidRDefault="00FE291A">
      <w:pPr>
        <w:widowControl/>
        <w:kinsoku w:val="0"/>
        <w:overflowPunct w:val="0"/>
        <w:rPr>
          <w:sz w:val="22"/>
          <w:szCs w:val="22"/>
          <w:lang w:val="de-DE"/>
        </w:rPr>
      </w:pPr>
    </w:p>
    <w:p w14:paraId="78393779" w14:textId="77777777" w:rsidR="00FE291A" w:rsidRDefault="00C8738F">
      <w:pPr>
        <w:pStyle w:val="BodyText"/>
        <w:widowControl/>
        <w:kinsoku w:val="0"/>
        <w:overflowPunct w:val="0"/>
        <w:ind w:left="0"/>
        <w:rPr>
          <w:lang w:val="de-DE"/>
        </w:rPr>
      </w:pPr>
      <w:r>
        <w:rPr>
          <w:lang w:val="de-DE"/>
        </w:rPr>
        <w:t>Falls Sie an rheumatoider Arthritis erkrankt sind und kein Methotrexat begleitend zu Ihrer Behandlung mit AMGEVITA erhalten, kann Ihr Arzt sich für eine Gabe von 40 mg jede Woche oder 80 mg jede zweite Woche entscheiden.</w:t>
      </w:r>
    </w:p>
    <w:p w14:paraId="46121465" w14:textId="77777777" w:rsidR="00FE291A" w:rsidRDefault="00FE291A">
      <w:pPr>
        <w:widowControl/>
        <w:kinsoku w:val="0"/>
        <w:overflowPunct w:val="0"/>
        <w:rPr>
          <w:sz w:val="22"/>
          <w:szCs w:val="22"/>
          <w:lang w:val="de-DE"/>
        </w:rPr>
      </w:pPr>
    </w:p>
    <w:p w14:paraId="3EA52ED9" w14:textId="77777777" w:rsidR="00FE291A" w:rsidRDefault="00C8738F">
      <w:pPr>
        <w:pStyle w:val="BodyText"/>
        <w:keepNext/>
        <w:widowControl/>
        <w:kinsoku w:val="0"/>
        <w:overflowPunct w:val="0"/>
        <w:ind w:left="0"/>
        <w:rPr>
          <w:lang w:val="de-DE"/>
        </w:rPr>
      </w:pPr>
      <w:r>
        <w:rPr>
          <w:u w:val="single"/>
          <w:lang w:val="de-DE"/>
        </w:rPr>
        <w:t>Kinder, Jugendliche und Erwachsene mit polyartikulärer juveniler idiopathischer Arthritis</w:t>
      </w:r>
    </w:p>
    <w:p w14:paraId="62031199" w14:textId="77777777" w:rsidR="00FE291A" w:rsidRDefault="00FE291A">
      <w:pPr>
        <w:keepNext/>
        <w:widowControl/>
        <w:kinsoku w:val="0"/>
        <w:overflowPunct w:val="0"/>
        <w:rPr>
          <w:sz w:val="22"/>
          <w:szCs w:val="22"/>
          <w:lang w:val="de-DE"/>
        </w:rPr>
      </w:pPr>
    </w:p>
    <w:p w14:paraId="2AC70176" w14:textId="77777777" w:rsidR="00FE291A" w:rsidRDefault="00C8738F">
      <w:pPr>
        <w:keepNext/>
        <w:rPr>
          <w:i/>
          <w:sz w:val="22"/>
          <w:szCs w:val="22"/>
          <w:lang w:val="de-DE"/>
        </w:rPr>
      </w:pPr>
      <w:r>
        <w:rPr>
          <w:i/>
          <w:sz w:val="22"/>
          <w:szCs w:val="22"/>
          <w:lang w:val="de-DE"/>
        </w:rPr>
        <w:t>Kinder ab 2 Jahren und Jugendliche mit einem Körpergewicht zwischen 10 kg und unter 30 kg</w:t>
      </w:r>
    </w:p>
    <w:p w14:paraId="2F8FCE68" w14:textId="77777777" w:rsidR="00FE291A" w:rsidRDefault="00FE291A">
      <w:pPr>
        <w:keepNext/>
        <w:widowControl/>
        <w:kinsoku w:val="0"/>
        <w:overflowPunct w:val="0"/>
        <w:rPr>
          <w:sz w:val="22"/>
          <w:szCs w:val="22"/>
          <w:lang w:val="de-DE"/>
        </w:rPr>
      </w:pPr>
    </w:p>
    <w:p w14:paraId="3AEE2AA6" w14:textId="77777777" w:rsidR="00FE291A" w:rsidRDefault="00C8738F">
      <w:pPr>
        <w:pStyle w:val="BodyText"/>
        <w:widowControl/>
        <w:kinsoku w:val="0"/>
        <w:overflowPunct w:val="0"/>
        <w:ind w:left="0"/>
        <w:rPr>
          <w:lang w:val="de-DE"/>
        </w:rPr>
      </w:pPr>
      <w:r>
        <w:rPr>
          <w:lang w:val="de-DE"/>
        </w:rPr>
        <w:t>Die empfohlene Dosierung von AMGEVITA beträgt 20 mg jede zweite Woche.</w:t>
      </w:r>
    </w:p>
    <w:p w14:paraId="5DE6E4FD" w14:textId="77777777" w:rsidR="00FE291A" w:rsidRDefault="00FE291A">
      <w:pPr>
        <w:widowControl/>
        <w:kinsoku w:val="0"/>
        <w:overflowPunct w:val="0"/>
        <w:rPr>
          <w:sz w:val="22"/>
          <w:szCs w:val="22"/>
          <w:lang w:val="de-DE"/>
        </w:rPr>
      </w:pPr>
    </w:p>
    <w:p w14:paraId="7DEBB112" w14:textId="77777777" w:rsidR="00FE291A" w:rsidRDefault="00C8738F">
      <w:pPr>
        <w:keepNext/>
        <w:rPr>
          <w:i/>
          <w:sz w:val="22"/>
          <w:szCs w:val="22"/>
          <w:lang w:val="de-DE"/>
        </w:rPr>
      </w:pPr>
      <w:r>
        <w:rPr>
          <w:i/>
          <w:sz w:val="22"/>
          <w:szCs w:val="22"/>
          <w:lang w:val="de-DE"/>
        </w:rPr>
        <w:t>Kinder ab 2 Jahren, Jugendliche und Erwachsene mit einem Körpergewicht von 30 kg oder mehr</w:t>
      </w:r>
    </w:p>
    <w:p w14:paraId="55F506B5" w14:textId="77777777" w:rsidR="00FE291A" w:rsidRDefault="00FE291A">
      <w:pPr>
        <w:keepNext/>
        <w:widowControl/>
        <w:kinsoku w:val="0"/>
        <w:overflowPunct w:val="0"/>
        <w:rPr>
          <w:sz w:val="22"/>
          <w:szCs w:val="22"/>
          <w:lang w:val="de-DE"/>
        </w:rPr>
      </w:pPr>
    </w:p>
    <w:p w14:paraId="340F41AB" w14:textId="77777777" w:rsidR="00FE291A" w:rsidRDefault="00C8738F">
      <w:pPr>
        <w:pStyle w:val="BodyText"/>
        <w:keepNext/>
        <w:widowControl/>
        <w:kinsoku w:val="0"/>
        <w:overflowPunct w:val="0"/>
        <w:ind w:left="0"/>
        <w:rPr>
          <w:lang w:val="de-DE"/>
        </w:rPr>
      </w:pPr>
      <w:r>
        <w:rPr>
          <w:lang w:val="de-DE"/>
        </w:rPr>
        <w:t>Die empfohlene Dosierung von AMGEVITA beträgt 40 mg jede zweite Woche.</w:t>
      </w:r>
    </w:p>
    <w:p w14:paraId="485716E3" w14:textId="77777777" w:rsidR="00FE291A" w:rsidRDefault="00FE291A">
      <w:pPr>
        <w:widowControl/>
        <w:kinsoku w:val="0"/>
        <w:overflowPunct w:val="0"/>
        <w:rPr>
          <w:sz w:val="22"/>
          <w:szCs w:val="22"/>
          <w:lang w:val="de-DE"/>
        </w:rPr>
      </w:pPr>
    </w:p>
    <w:p w14:paraId="5015CD2B" w14:textId="77777777" w:rsidR="00FE291A" w:rsidRDefault="00C8738F">
      <w:pPr>
        <w:pStyle w:val="BodyText"/>
        <w:keepNext/>
        <w:widowControl/>
        <w:kinsoku w:val="0"/>
        <w:overflowPunct w:val="0"/>
        <w:ind w:left="0"/>
        <w:rPr>
          <w:lang w:val="de-DE"/>
        </w:rPr>
      </w:pPr>
      <w:r>
        <w:rPr>
          <w:u w:val="single"/>
          <w:lang w:val="de-DE"/>
        </w:rPr>
        <w:t>Kinder, Jugendliche und Erwachsene mit Enthesitis-assoziierter Arthritis</w:t>
      </w:r>
    </w:p>
    <w:p w14:paraId="6F6CC821" w14:textId="77777777" w:rsidR="00FE291A" w:rsidRDefault="00FE291A">
      <w:pPr>
        <w:keepNext/>
        <w:widowControl/>
        <w:kinsoku w:val="0"/>
        <w:overflowPunct w:val="0"/>
        <w:rPr>
          <w:sz w:val="22"/>
          <w:szCs w:val="22"/>
          <w:lang w:val="de-DE"/>
        </w:rPr>
      </w:pPr>
    </w:p>
    <w:p w14:paraId="3B468E34" w14:textId="77777777" w:rsidR="00FE291A" w:rsidRDefault="00C8738F">
      <w:pPr>
        <w:keepNext/>
        <w:rPr>
          <w:i/>
          <w:sz w:val="22"/>
          <w:szCs w:val="22"/>
          <w:lang w:val="de-DE"/>
        </w:rPr>
      </w:pPr>
      <w:r>
        <w:rPr>
          <w:i/>
          <w:sz w:val="22"/>
          <w:szCs w:val="22"/>
          <w:lang w:val="de-DE"/>
        </w:rPr>
        <w:t>Kinder ab 6 Jahren und Jugendliche mit einem Körpergewicht zwischen 15 kg und unter 30 kg</w:t>
      </w:r>
    </w:p>
    <w:p w14:paraId="1CCA303E" w14:textId="77777777" w:rsidR="00FE291A" w:rsidRDefault="00FE291A">
      <w:pPr>
        <w:keepNext/>
        <w:rPr>
          <w:sz w:val="22"/>
          <w:szCs w:val="22"/>
          <w:lang w:val="de-DE"/>
        </w:rPr>
      </w:pPr>
    </w:p>
    <w:p w14:paraId="13A97BB7" w14:textId="77777777" w:rsidR="00FE291A" w:rsidRDefault="00C8738F">
      <w:pPr>
        <w:keepNext/>
        <w:rPr>
          <w:sz w:val="22"/>
          <w:szCs w:val="22"/>
          <w:lang w:val="de-DE"/>
        </w:rPr>
      </w:pPr>
      <w:r>
        <w:rPr>
          <w:sz w:val="22"/>
          <w:szCs w:val="22"/>
          <w:lang w:val="de-DE"/>
        </w:rPr>
        <w:t>Die empfohlene Dosierung von AMGEVITA beträgt 20 mg jede zweite Woche.</w:t>
      </w:r>
    </w:p>
    <w:p w14:paraId="67FBD001" w14:textId="77777777" w:rsidR="00FE291A" w:rsidRDefault="00FE291A">
      <w:pPr>
        <w:rPr>
          <w:sz w:val="22"/>
          <w:szCs w:val="22"/>
          <w:lang w:val="de-DE"/>
        </w:rPr>
      </w:pPr>
    </w:p>
    <w:p w14:paraId="42679CDE" w14:textId="77777777" w:rsidR="00FE291A" w:rsidRDefault="00C8738F">
      <w:pPr>
        <w:keepNext/>
        <w:rPr>
          <w:i/>
          <w:sz w:val="22"/>
          <w:szCs w:val="22"/>
          <w:lang w:val="de-DE"/>
        </w:rPr>
      </w:pPr>
      <w:r>
        <w:rPr>
          <w:i/>
          <w:sz w:val="22"/>
          <w:szCs w:val="22"/>
          <w:lang w:val="de-DE"/>
        </w:rPr>
        <w:t>Kinder ab 6 Jahren, Jugendliche und Erwachsene mit einem Körpergewicht von 30 kg oder mehr</w:t>
      </w:r>
    </w:p>
    <w:p w14:paraId="1BF9B6B5" w14:textId="77777777" w:rsidR="00FE291A" w:rsidRDefault="00FE291A">
      <w:pPr>
        <w:keepNext/>
        <w:rPr>
          <w:i/>
          <w:sz w:val="22"/>
          <w:szCs w:val="22"/>
          <w:lang w:val="de-DE"/>
        </w:rPr>
      </w:pPr>
    </w:p>
    <w:p w14:paraId="55E31139" w14:textId="77777777" w:rsidR="00FE291A" w:rsidRDefault="00C8738F">
      <w:pPr>
        <w:keepNext/>
        <w:rPr>
          <w:sz w:val="22"/>
          <w:szCs w:val="22"/>
          <w:lang w:val="de-DE"/>
        </w:rPr>
      </w:pPr>
      <w:r>
        <w:rPr>
          <w:sz w:val="22"/>
          <w:szCs w:val="22"/>
          <w:lang w:val="de-DE"/>
        </w:rPr>
        <w:t>Die empfohlene Dosierung von AMGEVITA beträgt 40 mg jede zweite Woche.</w:t>
      </w:r>
    </w:p>
    <w:p w14:paraId="03189EE3" w14:textId="77777777" w:rsidR="00FE291A" w:rsidRDefault="00FE291A">
      <w:pPr>
        <w:rPr>
          <w:sz w:val="22"/>
          <w:szCs w:val="22"/>
          <w:lang w:val="de-DE"/>
        </w:rPr>
      </w:pPr>
    </w:p>
    <w:p w14:paraId="62942282" w14:textId="77777777" w:rsidR="00FE291A" w:rsidRDefault="00C8738F">
      <w:pPr>
        <w:pStyle w:val="BodyText"/>
        <w:keepNext/>
        <w:widowControl/>
        <w:kinsoku w:val="0"/>
        <w:overflowPunct w:val="0"/>
        <w:ind w:left="0"/>
        <w:rPr>
          <w:lang w:val="de-DE"/>
        </w:rPr>
      </w:pPr>
      <w:r>
        <w:rPr>
          <w:u w:val="single"/>
          <w:lang w:val="de-DE"/>
        </w:rPr>
        <w:t>Erwachsene mit Plaque-Psoriasis</w:t>
      </w:r>
    </w:p>
    <w:p w14:paraId="67FCD055" w14:textId="77777777" w:rsidR="00FE291A" w:rsidRDefault="00FE291A">
      <w:pPr>
        <w:keepNext/>
        <w:widowControl/>
        <w:kinsoku w:val="0"/>
        <w:overflowPunct w:val="0"/>
        <w:rPr>
          <w:sz w:val="22"/>
          <w:szCs w:val="22"/>
          <w:lang w:val="de-DE"/>
        </w:rPr>
      </w:pPr>
    </w:p>
    <w:p w14:paraId="68D14E6E" w14:textId="77777777" w:rsidR="00FE291A" w:rsidRDefault="00C8738F">
      <w:pPr>
        <w:pStyle w:val="BodyText"/>
        <w:widowControl/>
        <w:kinsoku w:val="0"/>
        <w:overflowPunct w:val="0"/>
        <w:ind w:left="0"/>
        <w:rPr>
          <w:lang w:val="de-DE"/>
        </w:rPr>
      </w:pPr>
      <w:r>
        <w:rPr>
          <w:lang w:val="de-DE"/>
        </w:rPr>
        <w:t>Die übliche Dosierung für erwachsene Plaque-Psoriasispatienten beträgt 80 mg als Anfangsdosis (als zwei Injektionen von 40 mg an einem Tag), gefolgt von 40 mg jede zweite Woche, beginnend eine Woche nach der Anfangsdosis. Sie sollten AMGEVITA so lange spritzen, wie Sie dies mit Ihrem Arzt besprochen haben. Je nachdem, wie Sie auf die Behandlung ansprechen, kann Ihr Arzt die Dosis auf 40 mg jede Woche oder 80 mg jede zweite Woche erhöhen.</w:t>
      </w:r>
    </w:p>
    <w:p w14:paraId="40BAADF9" w14:textId="77777777" w:rsidR="00FE291A" w:rsidRDefault="00FE291A">
      <w:pPr>
        <w:widowControl/>
        <w:kinsoku w:val="0"/>
        <w:overflowPunct w:val="0"/>
        <w:rPr>
          <w:sz w:val="22"/>
          <w:szCs w:val="22"/>
          <w:lang w:val="de-DE"/>
        </w:rPr>
      </w:pPr>
    </w:p>
    <w:p w14:paraId="54B10565" w14:textId="77777777" w:rsidR="00FE291A" w:rsidRDefault="00C8738F">
      <w:pPr>
        <w:pStyle w:val="BodyText"/>
        <w:keepNext/>
        <w:widowControl/>
        <w:kinsoku w:val="0"/>
        <w:overflowPunct w:val="0"/>
        <w:ind w:left="0"/>
        <w:rPr>
          <w:lang w:val="de-DE"/>
        </w:rPr>
      </w:pPr>
      <w:r>
        <w:rPr>
          <w:u w:val="single"/>
          <w:lang w:val="de-DE"/>
        </w:rPr>
        <w:t>Kinder und Jugendliche mit Plaque-Psoriasis</w:t>
      </w:r>
    </w:p>
    <w:p w14:paraId="2628C8A9" w14:textId="77777777" w:rsidR="00FE291A" w:rsidRDefault="00FE291A">
      <w:pPr>
        <w:keepNext/>
        <w:widowControl/>
        <w:kinsoku w:val="0"/>
        <w:overflowPunct w:val="0"/>
        <w:rPr>
          <w:sz w:val="22"/>
          <w:szCs w:val="22"/>
          <w:lang w:val="de-DE"/>
        </w:rPr>
      </w:pPr>
    </w:p>
    <w:p w14:paraId="05A6D47D" w14:textId="77777777" w:rsidR="00FE291A" w:rsidRDefault="00C8738F">
      <w:pPr>
        <w:keepNext/>
        <w:widowControl/>
        <w:kinsoku w:val="0"/>
        <w:overflowPunct w:val="0"/>
        <w:rPr>
          <w:sz w:val="22"/>
          <w:szCs w:val="22"/>
          <w:lang w:val="de-DE"/>
        </w:rPr>
      </w:pPr>
      <w:r>
        <w:rPr>
          <w:i/>
          <w:sz w:val="22"/>
          <w:szCs w:val="22"/>
          <w:lang w:val="de-DE"/>
        </w:rPr>
        <w:t>Kinder und Jugendliche zwischen 4 und 17 Jahren und einem Körpergewicht zwischen 15 kg und unter 30 kg</w:t>
      </w:r>
    </w:p>
    <w:p w14:paraId="6C3271C2" w14:textId="77777777" w:rsidR="00FE291A" w:rsidRDefault="00FE291A">
      <w:pPr>
        <w:pStyle w:val="BodyText"/>
        <w:widowControl/>
        <w:kinsoku w:val="0"/>
        <w:overflowPunct w:val="0"/>
        <w:ind w:left="0"/>
        <w:rPr>
          <w:lang w:val="de-DE"/>
        </w:rPr>
      </w:pPr>
    </w:p>
    <w:p w14:paraId="66432213" w14:textId="77777777" w:rsidR="00FE291A" w:rsidRDefault="00C8738F">
      <w:pPr>
        <w:pStyle w:val="BodyText"/>
        <w:widowControl/>
        <w:kinsoku w:val="0"/>
        <w:overflowPunct w:val="0"/>
        <w:ind w:left="0"/>
        <w:rPr>
          <w:lang w:val="de-DE"/>
        </w:rPr>
      </w:pPr>
      <w:r>
        <w:rPr>
          <w:lang w:val="de-DE"/>
        </w:rPr>
        <w:t>Die empfohlene Anfangsdosis von AMGEVITA beträgt 20 mg, gefolgt von 20 mg eine Woche später. Danach werden üblicherweise 20 mg jede zweite Woche verabreicht.</w:t>
      </w:r>
    </w:p>
    <w:p w14:paraId="387F23D2" w14:textId="77777777" w:rsidR="00FE291A" w:rsidRDefault="00FE291A">
      <w:pPr>
        <w:pStyle w:val="BodyText"/>
        <w:widowControl/>
        <w:kinsoku w:val="0"/>
        <w:overflowPunct w:val="0"/>
        <w:ind w:left="0"/>
        <w:rPr>
          <w:lang w:val="de-DE"/>
        </w:rPr>
      </w:pPr>
    </w:p>
    <w:p w14:paraId="008DFEDE" w14:textId="77777777" w:rsidR="00FE291A" w:rsidRDefault="00C8738F">
      <w:pPr>
        <w:rPr>
          <w:i/>
          <w:sz w:val="22"/>
          <w:szCs w:val="22"/>
          <w:lang w:val="de-DE"/>
        </w:rPr>
      </w:pPr>
      <w:r>
        <w:rPr>
          <w:i/>
          <w:sz w:val="22"/>
          <w:szCs w:val="22"/>
          <w:lang w:val="de-DE"/>
        </w:rPr>
        <w:t>Kinder und Jugendliche zwischen 4 und 17 Jahren und einem Körpergewicht von 30 kg oder mehr</w:t>
      </w:r>
    </w:p>
    <w:p w14:paraId="62773A60" w14:textId="77777777" w:rsidR="00FE291A" w:rsidRDefault="00FE291A">
      <w:pPr>
        <w:rPr>
          <w:sz w:val="22"/>
          <w:szCs w:val="22"/>
          <w:lang w:val="de-DE"/>
        </w:rPr>
      </w:pPr>
    </w:p>
    <w:p w14:paraId="130769C4" w14:textId="77777777" w:rsidR="00FE291A" w:rsidRDefault="00C8738F">
      <w:pPr>
        <w:rPr>
          <w:sz w:val="22"/>
          <w:szCs w:val="22"/>
          <w:lang w:val="de-DE"/>
        </w:rPr>
      </w:pPr>
      <w:r>
        <w:rPr>
          <w:sz w:val="22"/>
          <w:szCs w:val="22"/>
          <w:lang w:val="de-DE"/>
        </w:rPr>
        <w:t>Die empfohlene Anfangsdosis von AMGEVITA beträgt 40 mg, gefolgt von 40 mg eine Woche später. Danach werden üblicherweise 40 mg jede zweite Woche verabreicht.</w:t>
      </w:r>
    </w:p>
    <w:p w14:paraId="1E7150EF" w14:textId="77777777" w:rsidR="00FE291A" w:rsidRDefault="00FE291A">
      <w:pPr>
        <w:pStyle w:val="BodyText"/>
        <w:widowControl/>
        <w:kinsoku w:val="0"/>
        <w:overflowPunct w:val="0"/>
        <w:ind w:left="0"/>
        <w:rPr>
          <w:lang w:val="de-DE"/>
        </w:rPr>
      </w:pPr>
    </w:p>
    <w:p w14:paraId="7C3A944C" w14:textId="77777777" w:rsidR="00FE291A" w:rsidRDefault="00C8738F">
      <w:pPr>
        <w:pStyle w:val="BodyText"/>
        <w:keepNext/>
        <w:widowControl/>
        <w:kinsoku w:val="0"/>
        <w:overflowPunct w:val="0"/>
        <w:ind w:left="0"/>
        <w:rPr>
          <w:lang w:val="de-DE"/>
        </w:rPr>
      </w:pPr>
      <w:r>
        <w:rPr>
          <w:u w:val="single"/>
          <w:lang w:val="de-DE"/>
        </w:rPr>
        <w:t>Erwachsene mit Hidradenitis suppurativa (Acne inversa)</w:t>
      </w:r>
    </w:p>
    <w:p w14:paraId="6E581FA4" w14:textId="77777777" w:rsidR="00FE291A" w:rsidRDefault="00FE291A">
      <w:pPr>
        <w:keepNext/>
        <w:widowControl/>
        <w:kinsoku w:val="0"/>
        <w:overflowPunct w:val="0"/>
        <w:rPr>
          <w:sz w:val="22"/>
          <w:szCs w:val="22"/>
          <w:lang w:val="de-DE"/>
        </w:rPr>
      </w:pPr>
    </w:p>
    <w:p w14:paraId="45C2D67B" w14:textId="77777777" w:rsidR="00FE291A" w:rsidRDefault="00C8738F">
      <w:pPr>
        <w:pStyle w:val="BodyText"/>
        <w:widowControl/>
        <w:kinsoku w:val="0"/>
        <w:overflowPunct w:val="0"/>
        <w:ind w:left="0"/>
        <w:rPr>
          <w:lang w:val="de-DE"/>
        </w:rPr>
      </w:pPr>
      <w:r>
        <w:rPr>
          <w:lang w:val="de-DE"/>
        </w:rPr>
        <w:t>Die übliche Dosierung für Hidradenitis suppurativa ist eine Anfangsdosis von 160 mg (in Form von vier 40 mg-Injektionen innerhalb eines Tages oder von zwei 40 mg-Injektionen pro Tag an zwei aufeinanderfolgenden Tagen), gefolgt von einer Dosis von 80 mg (als zwei 40 mg-Injektionen an einem Tag) zwei Wochen später. Nach zwei weiteren Wochen wird die Behandlung mit einer Dosis von 40 mg jede Woche oder 80 mg jede zweite Woche nach Anweisung Ihres Arztes fortgesetzt. Es wird empfohlen, dass Sie an den betroffenen Stellen täglich eine antiseptische Waschlösung anwenden.</w:t>
      </w:r>
    </w:p>
    <w:p w14:paraId="5EAB08EB" w14:textId="77777777" w:rsidR="00FE291A" w:rsidRDefault="00FE291A">
      <w:pPr>
        <w:pStyle w:val="BodyText"/>
        <w:widowControl/>
        <w:kinsoku w:val="0"/>
        <w:overflowPunct w:val="0"/>
        <w:ind w:left="0"/>
        <w:rPr>
          <w:lang w:val="de-DE"/>
        </w:rPr>
      </w:pPr>
    </w:p>
    <w:p w14:paraId="62821036" w14:textId="77777777" w:rsidR="00FE291A" w:rsidRDefault="00C8738F">
      <w:pPr>
        <w:keepNext/>
        <w:numPr>
          <w:ilvl w:val="12"/>
          <w:numId w:val="0"/>
        </w:numPr>
        <w:rPr>
          <w:sz w:val="22"/>
          <w:szCs w:val="22"/>
          <w:u w:val="single"/>
          <w:lang w:val="de-DE" w:eastAsia="de-DE"/>
        </w:rPr>
      </w:pPr>
      <w:r>
        <w:rPr>
          <w:sz w:val="22"/>
          <w:szCs w:val="22"/>
          <w:u w:val="single"/>
          <w:lang w:val="de-DE" w:eastAsia="de-DE"/>
        </w:rPr>
        <w:t>Jugendliche mit Hidradenitis suppurativa (Acne inversa) zwischen 12 und 17 Jahren und einem Körpergewicht von 30 kg oder mehr</w:t>
      </w:r>
    </w:p>
    <w:p w14:paraId="32B4D696" w14:textId="77777777" w:rsidR="00FE291A" w:rsidRDefault="00FE291A">
      <w:pPr>
        <w:keepNext/>
        <w:numPr>
          <w:ilvl w:val="12"/>
          <w:numId w:val="0"/>
        </w:numPr>
        <w:rPr>
          <w:sz w:val="22"/>
          <w:szCs w:val="22"/>
          <w:lang w:val="de-DE"/>
        </w:rPr>
      </w:pPr>
    </w:p>
    <w:p w14:paraId="5E9912B4" w14:textId="77777777" w:rsidR="00FE291A" w:rsidRDefault="00C8738F">
      <w:pPr>
        <w:keepNext/>
        <w:numPr>
          <w:ilvl w:val="12"/>
          <w:numId w:val="0"/>
        </w:numPr>
        <w:rPr>
          <w:sz w:val="22"/>
          <w:szCs w:val="22"/>
          <w:lang w:val="de-DE"/>
        </w:rPr>
      </w:pPr>
      <w:r>
        <w:rPr>
          <w:sz w:val="22"/>
          <w:szCs w:val="22"/>
          <w:lang w:val="de-DE" w:eastAsia="de-DE"/>
        </w:rPr>
        <w:t>Die empfohlene Anfangsdosis von AMGEVITA beträgt 80 mg (als zwei Injektionen von 40 mg an einem Tag). Nach einer Woche werden 40 mg jede zweite Woche verabreicht. W</w:t>
      </w:r>
      <w:r>
        <w:rPr>
          <w:sz w:val="22"/>
          <w:szCs w:val="22"/>
          <w:lang w:val="de-DE"/>
        </w:rPr>
        <w:t>enn der Patient unzureichend auf die Behandlung mit AMGEVITA 40 mg jede zweite Woche anspricht, kann der Arzt die Dosis auf 40 mg jede Woche oder 80 mg jede zweite Woche erhöhen.</w:t>
      </w:r>
    </w:p>
    <w:p w14:paraId="316F77E8" w14:textId="77777777" w:rsidR="00FE291A" w:rsidRDefault="00FE291A">
      <w:pPr>
        <w:numPr>
          <w:ilvl w:val="12"/>
          <w:numId w:val="0"/>
        </w:numPr>
        <w:ind w:right="-2"/>
        <w:rPr>
          <w:sz w:val="22"/>
          <w:szCs w:val="22"/>
          <w:lang w:val="de-DE"/>
        </w:rPr>
      </w:pPr>
    </w:p>
    <w:p w14:paraId="1C57C411" w14:textId="77777777" w:rsidR="00FE291A" w:rsidRDefault="00C8738F">
      <w:pPr>
        <w:pStyle w:val="BodyText"/>
        <w:widowControl/>
        <w:kinsoku w:val="0"/>
        <w:overflowPunct w:val="0"/>
        <w:ind w:left="0"/>
        <w:rPr>
          <w:lang w:val="de-DE"/>
        </w:rPr>
      </w:pPr>
      <w:r>
        <w:rPr>
          <w:lang w:val="de-DE" w:eastAsia="de-DE"/>
        </w:rPr>
        <w:t>Es wird empfohlen, dass der Patient an den betroffenen Stellen täglich eine antiseptische Waschlösung anwendet.</w:t>
      </w:r>
    </w:p>
    <w:p w14:paraId="6E099046" w14:textId="77777777" w:rsidR="00FE291A" w:rsidRDefault="00FE291A">
      <w:pPr>
        <w:widowControl/>
        <w:kinsoku w:val="0"/>
        <w:overflowPunct w:val="0"/>
        <w:rPr>
          <w:sz w:val="22"/>
          <w:szCs w:val="22"/>
          <w:lang w:val="de-DE"/>
        </w:rPr>
      </w:pPr>
    </w:p>
    <w:p w14:paraId="7FF0ADEF" w14:textId="77777777" w:rsidR="00FE291A" w:rsidRDefault="00C8738F">
      <w:pPr>
        <w:pStyle w:val="BodyText"/>
        <w:keepNext/>
        <w:keepLines/>
        <w:widowControl/>
        <w:kinsoku w:val="0"/>
        <w:overflowPunct w:val="0"/>
        <w:ind w:left="0"/>
        <w:rPr>
          <w:lang w:val="de-DE"/>
        </w:rPr>
      </w:pPr>
      <w:r>
        <w:rPr>
          <w:u w:val="single"/>
          <w:lang w:val="de-DE"/>
        </w:rPr>
        <w:t>Erwachsene mit Morbus Crohn</w:t>
      </w:r>
    </w:p>
    <w:p w14:paraId="4F4DA83A" w14:textId="77777777" w:rsidR="00FE291A" w:rsidRDefault="00FE291A">
      <w:pPr>
        <w:keepNext/>
        <w:keepLines/>
        <w:widowControl/>
        <w:kinsoku w:val="0"/>
        <w:overflowPunct w:val="0"/>
        <w:rPr>
          <w:sz w:val="22"/>
          <w:szCs w:val="22"/>
          <w:lang w:val="de-DE"/>
        </w:rPr>
      </w:pPr>
    </w:p>
    <w:p w14:paraId="713BA364" w14:textId="77777777" w:rsidR="00FE291A" w:rsidRDefault="00C8738F">
      <w:pPr>
        <w:pStyle w:val="BodyText"/>
        <w:widowControl/>
        <w:kinsoku w:val="0"/>
        <w:overflowPunct w:val="0"/>
        <w:ind w:left="0"/>
        <w:rPr>
          <w:lang w:val="de-DE"/>
        </w:rPr>
      </w:pPr>
      <w:r>
        <w:rPr>
          <w:lang w:val="de-DE"/>
        </w:rPr>
        <w:t>Die übliche Dosierung für Morbus Crohn ist zu Beginn 80 mg (als zwei Injektionen von 40 mg an einem Tag), zwei Wochen später 40 mg und danach 40 mg alle zwei Wochen. Wenn ein schnelleres Eintreten der Wirkung erforderlich ist, kann Ihnen Ihr Arzt eine Anfangsdosis von 160 mg (vier 40 mg-Injektionen an einem Tag oder zwei 40 mg-Injektionen pro Tag an zwei aufeinanderfolgenden Tagen) verschreiben, gefolgt von 80 mg (als zwei Injektionen von 40 mg an einem Tag) zwei Wochen später und danach 40 mg jede zweite Woche. Abhängig davon, wie Sie auf die Behandlung ansprechen, kann Ihr Arzt die Dosis auf 40 mg jede Woche oder 80 mg jede zweite Woche erhöhen.</w:t>
      </w:r>
    </w:p>
    <w:p w14:paraId="17F829DE" w14:textId="77777777" w:rsidR="00FE291A" w:rsidRDefault="00FE291A">
      <w:pPr>
        <w:widowControl/>
        <w:kinsoku w:val="0"/>
        <w:overflowPunct w:val="0"/>
        <w:rPr>
          <w:sz w:val="22"/>
          <w:szCs w:val="22"/>
          <w:lang w:val="de-DE"/>
        </w:rPr>
      </w:pPr>
    </w:p>
    <w:p w14:paraId="266AEAEA" w14:textId="77777777" w:rsidR="00FE291A" w:rsidRDefault="00C8738F">
      <w:pPr>
        <w:pStyle w:val="BodyText"/>
        <w:keepNext/>
        <w:widowControl/>
        <w:kinsoku w:val="0"/>
        <w:overflowPunct w:val="0"/>
        <w:ind w:left="0"/>
        <w:rPr>
          <w:lang w:val="de-DE"/>
        </w:rPr>
      </w:pPr>
      <w:r>
        <w:rPr>
          <w:u w:val="single"/>
          <w:lang w:val="de-DE"/>
        </w:rPr>
        <w:t>Kinder und Jugendliche mit Morbus Crohn</w:t>
      </w:r>
    </w:p>
    <w:p w14:paraId="6EC2CE80" w14:textId="77777777" w:rsidR="00FE291A" w:rsidRDefault="00FE291A">
      <w:pPr>
        <w:keepNext/>
        <w:widowControl/>
        <w:kinsoku w:val="0"/>
        <w:overflowPunct w:val="0"/>
        <w:rPr>
          <w:sz w:val="22"/>
          <w:szCs w:val="22"/>
          <w:lang w:val="de-DE"/>
        </w:rPr>
      </w:pPr>
    </w:p>
    <w:p w14:paraId="4278E6E2" w14:textId="77777777" w:rsidR="00FE291A" w:rsidRDefault="00C8738F">
      <w:pPr>
        <w:pStyle w:val="BodyText"/>
        <w:keepNext/>
        <w:widowControl/>
        <w:kinsoku w:val="0"/>
        <w:overflowPunct w:val="0"/>
        <w:ind w:left="0"/>
        <w:rPr>
          <w:i/>
          <w:lang w:val="de-DE"/>
        </w:rPr>
      </w:pPr>
      <w:r>
        <w:rPr>
          <w:i/>
          <w:lang w:val="de-DE"/>
        </w:rPr>
        <w:t xml:space="preserve">Kinder und Jugendliche </w:t>
      </w:r>
      <w:r>
        <w:rPr>
          <w:bCs/>
          <w:i/>
          <w:lang w:val="de-DE"/>
        </w:rPr>
        <w:t xml:space="preserve">zwischen 6 und 17 Jahren und </w:t>
      </w:r>
      <w:r>
        <w:rPr>
          <w:i/>
          <w:lang w:val="de-DE"/>
        </w:rPr>
        <w:t>einem Körpergewicht unter 40 kg</w:t>
      </w:r>
    </w:p>
    <w:p w14:paraId="333E329C" w14:textId="77777777" w:rsidR="00FE291A" w:rsidRDefault="00FE291A">
      <w:pPr>
        <w:keepNext/>
        <w:widowControl/>
        <w:kinsoku w:val="0"/>
        <w:overflowPunct w:val="0"/>
        <w:rPr>
          <w:sz w:val="22"/>
          <w:szCs w:val="22"/>
          <w:lang w:val="de-DE"/>
        </w:rPr>
      </w:pPr>
    </w:p>
    <w:p w14:paraId="74286196" w14:textId="77777777" w:rsidR="00FE291A" w:rsidRDefault="00C8738F">
      <w:pPr>
        <w:pStyle w:val="BodyText"/>
        <w:widowControl/>
        <w:kinsoku w:val="0"/>
        <w:overflowPunct w:val="0"/>
        <w:ind w:left="0"/>
        <w:rPr>
          <w:lang w:val="de-DE"/>
        </w:rPr>
      </w:pPr>
      <w:r>
        <w:rPr>
          <w:lang w:val="de-DE"/>
        </w:rPr>
        <w:t>Die übliche Dosierung beträgt zu Beginn 40 mg, gefolgt von 20 mg zwei Wochen später. Wenn ein schnelleres Eintreten der Wirkung erforderlich ist, kann der Arzt des Kindes eine Anfangsdosis von 80 mg (als zwei 40 mg-Injektionen an einem Tag) verschreiben, gefolgt von 40 mg zwei Wochen später.</w:t>
      </w:r>
    </w:p>
    <w:p w14:paraId="4C34AC4E" w14:textId="77777777" w:rsidR="00FE291A" w:rsidRDefault="00FE291A">
      <w:pPr>
        <w:widowControl/>
        <w:kinsoku w:val="0"/>
        <w:overflowPunct w:val="0"/>
        <w:rPr>
          <w:sz w:val="22"/>
          <w:szCs w:val="22"/>
          <w:lang w:val="de-DE"/>
        </w:rPr>
      </w:pPr>
    </w:p>
    <w:p w14:paraId="1BC30D12" w14:textId="77777777" w:rsidR="00FE291A" w:rsidRDefault="00C8738F">
      <w:pPr>
        <w:pStyle w:val="BodyText"/>
        <w:widowControl/>
        <w:kinsoku w:val="0"/>
        <w:overflowPunct w:val="0"/>
        <w:ind w:left="0"/>
        <w:rPr>
          <w:lang w:val="de-DE"/>
        </w:rPr>
      </w:pPr>
      <w:r>
        <w:rPr>
          <w:lang w:val="de-DE"/>
        </w:rPr>
        <w:t>Danach beträgt die übliche Dosierung 20 mg jede zweite Woche. Je nachdem, wie das Kind anspricht, kann der Arzt die Dosishäufigkeit auf 20 mg jede Woche erhöhen.</w:t>
      </w:r>
    </w:p>
    <w:p w14:paraId="24D93220" w14:textId="77777777" w:rsidR="00FE291A" w:rsidRDefault="00FE291A">
      <w:pPr>
        <w:widowControl/>
        <w:kinsoku w:val="0"/>
        <w:overflowPunct w:val="0"/>
        <w:rPr>
          <w:sz w:val="22"/>
          <w:szCs w:val="22"/>
          <w:lang w:val="de-DE"/>
        </w:rPr>
      </w:pPr>
    </w:p>
    <w:p w14:paraId="3B64AD26" w14:textId="77777777" w:rsidR="00FE291A" w:rsidRDefault="00C8738F">
      <w:pPr>
        <w:pStyle w:val="BodyText"/>
        <w:keepNext/>
        <w:widowControl/>
        <w:kinsoku w:val="0"/>
        <w:overflowPunct w:val="0"/>
        <w:ind w:left="0"/>
        <w:rPr>
          <w:i/>
          <w:lang w:val="de-DE"/>
        </w:rPr>
      </w:pPr>
      <w:r>
        <w:rPr>
          <w:i/>
          <w:lang w:val="de-DE"/>
        </w:rPr>
        <w:t xml:space="preserve">Kinder und Jugendliche </w:t>
      </w:r>
      <w:r>
        <w:rPr>
          <w:bCs/>
          <w:i/>
          <w:lang w:val="de-DE"/>
        </w:rPr>
        <w:t xml:space="preserve">zwischen 6 und 17 Jahren und </w:t>
      </w:r>
      <w:r>
        <w:rPr>
          <w:i/>
          <w:lang w:val="de-DE"/>
        </w:rPr>
        <w:t>einem Körpergewicht von 40 kg oder mehr</w:t>
      </w:r>
    </w:p>
    <w:p w14:paraId="20535523" w14:textId="77777777" w:rsidR="00FE291A" w:rsidRDefault="00FE291A">
      <w:pPr>
        <w:keepNext/>
        <w:widowControl/>
        <w:kinsoku w:val="0"/>
        <w:overflowPunct w:val="0"/>
        <w:rPr>
          <w:sz w:val="22"/>
          <w:szCs w:val="22"/>
          <w:lang w:val="de-DE"/>
        </w:rPr>
      </w:pPr>
    </w:p>
    <w:p w14:paraId="37F5DA62" w14:textId="77777777" w:rsidR="00FE291A" w:rsidRDefault="00C8738F">
      <w:pPr>
        <w:pStyle w:val="BodyText"/>
        <w:keepNext/>
        <w:widowControl/>
        <w:kinsoku w:val="0"/>
        <w:overflowPunct w:val="0"/>
        <w:ind w:left="0"/>
        <w:rPr>
          <w:lang w:val="de-DE"/>
        </w:rPr>
      </w:pPr>
      <w:r>
        <w:rPr>
          <w:lang w:val="de-DE"/>
        </w:rPr>
        <w:t xml:space="preserve">Die übliche Dosierung beträgt zu Beginn 80 mg </w:t>
      </w:r>
      <w:r>
        <w:rPr>
          <w:bCs/>
          <w:lang w:val="de-DE"/>
        </w:rPr>
        <w:t>(als zwei Injektionen von 40 mg an einem Tag)</w:t>
      </w:r>
      <w:r>
        <w:rPr>
          <w:lang w:val="de-DE"/>
        </w:rPr>
        <w:t>, gefolgt von 40 mg zwei Wochen später. Wenn ein schnelleres Eintreten der Wirkung erforderlich ist, kann der Arzt des Kindes eine Anfangsdosis von 160 mg (als vier 40 mg-Injektionen an einem Tag oder als zwei 40 mg-Injektionen pro Tag an zwei aufeinanderfolgenden Tagen) verschreiben, gefolgt von 80 mg (als zwei Injektionen von 40 mg an einem Tag) zwei Wochen später.</w:t>
      </w:r>
    </w:p>
    <w:p w14:paraId="6DC7C40E" w14:textId="77777777" w:rsidR="00FE291A" w:rsidRDefault="00FE291A">
      <w:pPr>
        <w:widowControl/>
        <w:kinsoku w:val="0"/>
        <w:overflowPunct w:val="0"/>
        <w:rPr>
          <w:sz w:val="22"/>
          <w:szCs w:val="22"/>
          <w:lang w:val="de-DE"/>
        </w:rPr>
      </w:pPr>
    </w:p>
    <w:p w14:paraId="23B940DA" w14:textId="77777777" w:rsidR="00FE291A" w:rsidRDefault="00C8738F">
      <w:pPr>
        <w:pStyle w:val="BodyText"/>
        <w:widowControl/>
        <w:kinsoku w:val="0"/>
        <w:overflowPunct w:val="0"/>
        <w:ind w:left="0"/>
        <w:rPr>
          <w:lang w:val="de-DE"/>
        </w:rPr>
      </w:pPr>
      <w:r>
        <w:rPr>
          <w:lang w:val="de-DE"/>
        </w:rPr>
        <w:t xml:space="preserve">Danach beträgt die übliche Dosis 40 mg jede zweite Woche. Je nachdem, wie das Kind anspricht, kann der Arzt die Dosis auf 40 mg jede Woche </w:t>
      </w:r>
      <w:r>
        <w:rPr>
          <w:bCs/>
          <w:lang w:val="de-DE"/>
        </w:rPr>
        <w:t>oder 80 mg jede zweite Woche</w:t>
      </w:r>
      <w:r>
        <w:rPr>
          <w:lang w:val="de-DE"/>
        </w:rPr>
        <w:t xml:space="preserve"> erhöhen.</w:t>
      </w:r>
    </w:p>
    <w:p w14:paraId="14F9B71A" w14:textId="77777777" w:rsidR="00FE291A" w:rsidRDefault="00FE291A">
      <w:pPr>
        <w:widowControl/>
        <w:kinsoku w:val="0"/>
        <w:overflowPunct w:val="0"/>
        <w:rPr>
          <w:sz w:val="22"/>
          <w:szCs w:val="22"/>
          <w:lang w:val="de-DE"/>
        </w:rPr>
      </w:pPr>
    </w:p>
    <w:p w14:paraId="4AF213FF" w14:textId="77777777" w:rsidR="00FE291A" w:rsidRDefault="00C8738F">
      <w:pPr>
        <w:pStyle w:val="BodyText"/>
        <w:widowControl/>
        <w:kinsoku w:val="0"/>
        <w:overflowPunct w:val="0"/>
        <w:ind w:left="0"/>
        <w:rPr>
          <w:lang w:val="de-DE"/>
        </w:rPr>
      </w:pPr>
      <w:r>
        <w:rPr>
          <w:u w:val="single"/>
          <w:lang w:val="de-DE"/>
        </w:rPr>
        <w:t>Erwachsene mit Colitis ulcerosa</w:t>
      </w:r>
    </w:p>
    <w:p w14:paraId="43F5F647" w14:textId="77777777" w:rsidR="00FE291A" w:rsidRDefault="00FE291A">
      <w:pPr>
        <w:widowControl/>
        <w:kinsoku w:val="0"/>
        <w:overflowPunct w:val="0"/>
        <w:rPr>
          <w:sz w:val="22"/>
          <w:szCs w:val="22"/>
          <w:lang w:val="de-DE"/>
        </w:rPr>
      </w:pPr>
    </w:p>
    <w:p w14:paraId="4DF5D710" w14:textId="77777777" w:rsidR="00FE291A" w:rsidRDefault="00C8738F">
      <w:pPr>
        <w:pStyle w:val="BodyText"/>
        <w:widowControl/>
        <w:kinsoku w:val="0"/>
        <w:overflowPunct w:val="0"/>
        <w:ind w:left="0"/>
        <w:rPr>
          <w:lang w:val="de-DE"/>
        </w:rPr>
      </w:pPr>
      <w:r>
        <w:rPr>
          <w:lang w:val="de-DE"/>
        </w:rPr>
        <w:t>Die übliche Dosis von AMGEVITA beträgt für Erwachsene mit Colitis ulcerosa zu Beginn 160 mg (als vier 40 mg-Injektionen an einem Tag oder als zwei 40 mg-Injektionen pro Tag an zwei aufeinanderfolgenden Tagen), gefolgt von 80 mg (als zwei Injektionen von 40 mg an einem Tag) zwei Wochen später und danach 40 mg jede zweite Woche. Je nachdem, wie Sie ansprechen, kann Ihr Arzt die Dosis auf 40 mg jede Woche oder 80 mg jede zweite Woche erhöhen.</w:t>
      </w:r>
    </w:p>
    <w:p w14:paraId="6B484F69" w14:textId="77777777" w:rsidR="00FE291A" w:rsidRDefault="00FE291A">
      <w:pPr>
        <w:pStyle w:val="BodyText"/>
        <w:widowControl/>
        <w:kinsoku w:val="0"/>
        <w:overflowPunct w:val="0"/>
        <w:ind w:left="0"/>
        <w:rPr>
          <w:lang w:val="de-DE"/>
        </w:rPr>
      </w:pPr>
    </w:p>
    <w:p w14:paraId="501B5DBD" w14:textId="77777777" w:rsidR="00FE291A" w:rsidRDefault="00C8738F">
      <w:pPr>
        <w:keepNext/>
        <w:widowControl/>
        <w:rPr>
          <w:color w:val="000000"/>
          <w:sz w:val="22"/>
          <w:szCs w:val="22"/>
          <w:u w:val="single"/>
          <w:lang w:val="de-DE"/>
        </w:rPr>
      </w:pPr>
      <w:r>
        <w:rPr>
          <w:color w:val="000000"/>
          <w:sz w:val="22"/>
          <w:szCs w:val="22"/>
          <w:u w:val="single"/>
          <w:lang w:val="de-DE"/>
        </w:rPr>
        <w:t xml:space="preserve">Kinder und Jugendliche mit Colitis ulcerosa </w:t>
      </w:r>
    </w:p>
    <w:p w14:paraId="44E7F965" w14:textId="77777777" w:rsidR="00FE291A" w:rsidRDefault="00FE291A">
      <w:pPr>
        <w:keepNext/>
        <w:widowControl/>
        <w:rPr>
          <w:color w:val="000000"/>
          <w:sz w:val="22"/>
          <w:szCs w:val="22"/>
          <w:lang w:val="de-DE"/>
        </w:rPr>
      </w:pPr>
    </w:p>
    <w:p w14:paraId="12577A73" w14:textId="77777777" w:rsidR="00FE291A" w:rsidRDefault="00C8738F">
      <w:pPr>
        <w:keepNext/>
        <w:widowControl/>
        <w:rPr>
          <w:i/>
          <w:iCs/>
          <w:color w:val="000000"/>
          <w:sz w:val="22"/>
          <w:szCs w:val="22"/>
          <w:lang w:val="de-DE"/>
        </w:rPr>
      </w:pPr>
      <w:r>
        <w:rPr>
          <w:i/>
          <w:iCs/>
          <w:color w:val="000000"/>
          <w:sz w:val="22"/>
          <w:szCs w:val="22"/>
          <w:lang w:val="de-DE"/>
        </w:rPr>
        <w:t>Kinder und Jugendliche ab 6 Jahren mit einem Körpergewicht unter 40 kg</w:t>
      </w:r>
    </w:p>
    <w:p w14:paraId="410150B0" w14:textId="77777777" w:rsidR="00FE291A" w:rsidRDefault="00FE291A">
      <w:pPr>
        <w:keepNext/>
        <w:widowControl/>
        <w:rPr>
          <w:color w:val="000000"/>
          <w:sz w:val="22"/>
          <w:szCs w:val="22"/>
          <w:lang w:val="de-DE"/>
        </w:rPr>
      </w:pPr>
    </w:p>
    <w:p w14:paraId="6A8151A4" w14:textId="77777777" w:rsidR="00FE291A" w:rsidRDefault="00C8738F">
      <w:pPr>
        <w:pStyle w:val="BodyText"/>
        <w:widowControl/>
        <w:kinsoku w:val="0"/>
        <w:overflowPunct w:val="0"/>
        <w:ind w:left="0"/>
        <w:rPr>
          <w:color w:val="000000"/>
          <w:lang w:val="de-DE"/>
        </w:rPr>
      </w:pPr>
      <w:r>
        <w:rPr>
          <w:color w:val="000000"/>
          <w:lang w:val="de-DE"/>
        </w:rPr>
        <w:t>Die übliche Dosierung von AMGEVITA beträgt zu Beginn 80 mg (als zwei Injektionen von 40 mg an einem Tag), gefolgt von 40 mg (als eine Injektion von 40 mg) zwei Wochen später. Danach beträgt die übliche Dosierung 40 mg jede zweite Woche.</w:t>
      </w:r>
    </w:p>
    <w:p w14:paraId="7E25FB62" w14:textId="77777777" w:rsidR="00FE291A" w:rsidRDefault="00FE291A">
      <w:pPr>
        <w:pStyle w:val="BodyText"/>
        <w:widowControl/>
        <w:kinsoku w:val="0"/>
        <w:overflowPunct w:val="0"/>
        <w:ind w:left="0"/>
        <w:rPr>
          <w:color w:val="000000"/>
          <w:lang w:val="de-DE"/>
        </w:rPr>
      </w:pPr>
    </w:p>
    <w:p w14:paraId="1229D3A5" w14:textId="77777777" w:rsidR="00FE291A" w:rsidRDefault="00C8738F">
      <w:pPr>
        <w:widowControl/>
        <w:rPr>
          <w:color w:val="000000"/>
          <w:sz w:val="22"/>
          <w:szCs w:val="22"/>
          <w:lang w:val="de-DE"/>
        </w:rPr>
      </w:pPr>
      <w:r>
        <w:rPr>
          <w:color w:val="000000"/>
          <w:sz w:val="22"/>
          <w:szCs w:val="22"/>
          <w:lang w:val="de-DE"/>
        </w:rPr>
        <w:t xml:space="preserve">Patienten, die 18 Jahre alt werden, während sie jede zweite Woche 40 mg erhalten, sollten die verschriebene Dosis weiterhin spritzen. </w:t>
      </w:r>
    </w:p>
    <w:p w14:paraId="69A909ED" w14:textId="77777777" w:rsidR="00FE291A" w:rsidRDefault="00FE291A">
      <w:pPr>
        <w:widowControl/>
        <w:rPr>
          <w:color w:val="000000"/>
          <w:sz w:val="22"/>
          <w:szCs w:val="22"/>
          <w:lang w:val="de-DE"/>
        </w:rPr>
      </w:pPr>
    </w:p>
    <w:p w14:paraId="14EEB0A7" w14:textId="77777777" w:rsidR="00FE291A" w:rsidRDefault="00C8738F">
      <w:pPr>
        <w:keepNext/>
        <w:widowControl/>
        <w:rPr>
          <w:i/>
          <w:iCs/>
          <w:color w:val="000000"/>
          <w:sz w:val="22"/>
          <w:szCs w:val="22"/>
          <w:lang w:val="de-DE"/>
        </w:rPr>
      </w:pPr>
      <w:r>
        <w:rPr>
          <w:i/>
          <w:iCs/>
          <w:color w:val="000000"/>
          <w:sz w:val="22"/>
          <w:szCs w:val="22"/>
          <w:lang w:val="de-DE"/>
        </w:rPr>
        <w:t>Kinder und Jugendliche ab 6 Jahren mit einem Körpergewicht von 40 kg oder mehr</w:t>
      </w:r>
    </w:p>
    <w:p w14:paraId="23FBAB32" w14:textId="77777777" w:rsidR="00FE291A" w:rsidRDefault="00FE291A">
      <w:pPr>
        <w:keepNext/>
        <w:widowControl/>
        <w:rPr>
          <w:color w:val="000000"/>
          <w:sz w:val="22"/>
          <w:szCs w:val="22"/>
          <w:lang w:val="de-DE"/>
        </w:rPr>
      </w:pPr>
    </w:p>
    <w:p w14:paraId="08E35D4E" w14:textId="77777777" w:rsidR="00FE291A" w:rsidRDefault="00C8738F">
      <w:pPr>
        <w:widowControl/>
        <w:rPr>
          <w:color w:val="000000"/>
          <w:sz w:val="22"/>
          <w:szCs w:val="22"/>
          <w:lang w:val="de-DE"/>
        </w:rPr>
      </w:pPr>
      <w:r>
        <w:rPr>
          <w:color w:val="000000"/>
          <w:sz w:val="22"/>
          <w:szCs w:val="22"/>
          <w:lang w:val="de-DE"/>
        </w:rPr>
        <w:t xml:space="preserve">Die übliche Dosierung von AMGEVITA beträgt zu Beginn 160 mg (als vier Injektionen von 40 mg an einem Tag oder als zwei Injektionen von 40 mg pro Tag an zwei aufeinanderfolgenden Tagen), gefolgt von 80 mg (als zwei Injektionen von 40 mg an einem Tag) zwei Wochen später. Danach beträgt die übliche Dosierung 80 mg jede zweite Woche. </w:t>
      </w:r>
    </w:p>
    <w:p w14:paraId="157F3F66" w14:textId="77777777" w:rsidR="00FE291A" w:rsidRDefault="00FE291A">
      <w:pPr>
        <w:widowControl/>
        <w:rPr>
          <w:color w:val="000000"/>
          <w:sz w:val="22"/>
          <w:szCs w:val="22"/>
          <w:lang w:val="de-DE"/>
        </w:rPr>
      </w:pPr>
    </w:p>
    <w:p w14:paraId="4DAFD929" w14:textId="77777777" w:rsidR="00FE291A" w:rsidRDefault="00C8738F">
      <w:pPr>
        <w:pStyle w:val="BodyText"/>
        <w:widowControl/>
        <w:kinsoku w:val="0"/>
        <w:overflowPunct w:val="0"/>
        <w:ind w:left="0"/>
        <w:rPr>
          <w:color w:val="000000"/>
          <w:lang w:val="de-DE"/>
        </w:rPr>
      </w:pPr>
      <w:r>
        <w:rPr>
          <w:color w:val="000000"/>
          <w:lang w:val="de-DE"/>
        </w:rPr>
        <w:t>Patienten, die 18 Jahre alt werden, während sie jede zweite Woche 80 mg erhalten, sollten die verschriebene Dosis weiterhin spritzen.</w:t>
      </w:r>
    </w:p>
    <w:p w14:paraId="6E2AE111" w14:textId="77777777" w:rsidR="00FE291A" w:rsidRDefault="00FE291A">
      <w:pPr>
        <w:pStyle w:val="BodyText"/>
        <w:widowControl/>
        <w:kinsoku w:val="0"/>
        <w:overflowPunct w:val="0"/>
        <w:ind w:left="0"/>
        <w:rPr>
          <w:lang w:val="de-DE"/>
        </w:rPr>
      </w:pPr>
    </w:p>
    <w:p w14:paraId="7E094DF2" w14:textId="77777777" w:rsidR="00FE291A" w:rsidRDefault="00C8738F">
      <w:pPr>
        <w:pStyle w:val="BodyText"/>
        <w:keepNext/>
        <w:widowControl/>
        <w:kinsoku w:val="0"/>
        <w:overflowPunct w:val="0"/>
        <w:ind w:left="0"/>
        <w:rPr>
          <w:lang w:val="de-DE"/>
        </w:rPr>
      </w:pPr>
      <w:r>
        <w:rPr>
          <w:u w:val="single"/>
          <w:lang w:val="de-DE"/>
        </w:rPr>
        <w:t>Erwachsene mit nicht infektiöser Uveitis</w:t>
      </w:r>
    </w:p>
    <w:p w14:paraId="46003805" w14:textId="77777777" w:rsidR="00FE291A" w:rsidRDefault="00FE291A">
      <w:pPr>
        <w:keepNext/>
        <w:widowControl/>
        <w:kinsoku w:val="0"/>
        <w:overflowPunct w:val="0"/>
        <w:rPr>
          <w:sz w:val="22"/>
          <w:szCs w:val="22"/>
          <w:lang w:val="de-DE"/>
        </w:rPr>
      </w:pPr>
    </w:p>
    <w:p w14:paraId="11720271" w14:textId="77777777" w:rsidR="00FE291A" w:rsidRDefault="00C8738F">
      <w:pPr>
        <w:pStyle w:val="BodyText"/>
        <w:widowControl/>
        <w:kinsoku w:val="0"/>
        <w:overflowPunct w:val="0"/>
        <w:ind w:left="0"/>
        <w:rPr>
          <w:lang w:val="de-DE"/>
        </w:rPr>
      </w:pPr>
      <w:r>
        <w:rPr>
          <w:lang w:val="de-DE"/>
        </w:rPr>
        <w:t>Die übliche Dosierung für Erwachsene mit nicht infektiöser Uveitis beträgt 80 mg (als zwei 40 mg-Injektionen an einem Tag) als Anfangsdosis, gefolgt von 40 mg eine Woche später und danach 40 mg alle zwei Wochen. Sie sollten AMGEVITA so lange anwenden, wie Ihr Arzt es Ihnen gesagt hat.</w:t>
      </w:r>
    </w:p>
    <w:p w14:paraId="5DD46EBC" w14:textId="77777777" w:rsidR="00FE291A" w:rsidRDefault="00FE291A">
      <w:pPr>
        <w:widowControl/>
        <w:kinsoku w:val="0"/>
        <w:overflowPunct w:val="0"/>
        <w:rPr>
          <w:sz w:val="22"/>
          <w:szCs w:val="22"/>
          <w:lang w:val="de-DE"/>
        </w:rPr>
      </w:pPr>
    </w:p>
    <w:p w14:paraId="39A8F94A" w14:textId="77777777" w:rsidR="00FE291A" w:rsidRDefault="00C8738F">
      <w:pPr>
        <w:pStyle w:val="BodyText"/>
        <w:widowControl/>
        <w:kinsoku w:val="0"/>
        <w:overflowPunct w:val="0"/>
        <w:ind w:left="0"/>
        <w:rPr>
          <w:lang w:val="de-DE"/>
        </w:rPr>
      </w:pPr>
      <w:r>
        <w:rPr>
          <w:lang w:val="de-DE"/>
        </w:rPr>
        <w:t>Bei nicht infektiöser Uveitis können Kortikosteroide oder andere Arzneimittel, die das körpereigene Abwehrsystem beeinflussen, während der Behandlung mit AMGEVITA weiter genommen werden. AMGEVITA kann auch alleine angewendet werden.</w:t>
      </w:r>
    </w:p>
    <w:p w14:paraId="2270614E" w14:textId="77777777" w:rsidR="00FE291A" w:rsidRDefault="00FE291A">
      <w:pPr>
        <w:pStyle w:val="BodyText"/>
        <w:widowControl/>
        <w:kinsoku w:val="0"/>
        <w:overflowPunct w:val="0"/>
        <w:ind w:left="0"/>
        <w:rPr>
          <w:lang w:val="de-DE"/>
        </w:rPr>
      </w:pPr>
    </w:p>
    <w:p w14:paraId="4C51A382" w14:textId="77777777" w:rsidR="00FE291A" w:rsidRDefault="00C8738F">
      <w:pPr>
        <w:rPr>
          <w:rFonts w:cs="Calibri"/>
          <w:sz w:val="22"/>
          <w:szCs w:val="22"/>
          <w:u w:val="single"/>
          <w:lang w:val="de-DE"/>
        </w:rPr>
      </w:pPr>
      <w:r>
        <w:rPr>
          <w:rFonts w:cs="Calibri"/>
          <w:sz w:val="22"/>
          <w:szCs w:val="22"/>
          <w:u w:val="single"/>
          <w:lang w:val="de-DE"/>
        </w:rPr>
        <w:t xml:space="preserve">Kinder ab 2 Jahren und Jugendliche mit chronischer nicht infektiöser Uveitis </w:t>
      </w:r>
    </w:p>
    <w:p w14:paraId="72FA9893" w14:textId="77777777" w:rsidR="00FE291A" w:rsidRDefault="00FE291A">
      <w:pPr>
        <w:rPr>
          <w:rFonts w:cs="Calibri"/>
          <w:sz w:val="22"/>
          <w:szCs w:val="22"/>
          <w:u w:val="single"/>
          <w:lang w:val="de-DE"/>
        </w:rPr>
      </w:pPr>
    </w:p>
    <w:p w14:paraId="12BC4441" w14:textId="77777777" w:rsidR="00FE291A" w:rsidRDefault="00C8738F">
      <w:pPr>
        <w:rPr>
          <w:rFonts w:cs="Calibri"/>
          <w:sz w:val="22"/>
          <w:szCs w:val="22"/>
          <w:lang w:val="de-DE"/>
        </w:rPr>
      </w:pPr>
      <w:r>
        <w:rPr>
          <w:rFonts w:cs="Calibri"/>
          <w:i/>
          <w:sz w:val="22"/>
          <w:szCs w:val="22"/>
          <w:lang w:val="de-DE"/>
        </w:rPr>
        <w:t>Kinder ab 2 Jahren und Jugendliche mit einem Körpergewicht unter 30 kg</w:t>
      </w:r>
    </w:p>
    <w:p w14:paraId="5B932709" w14:textId="77777777" w:rsidR="00FE291A" w:rsidRDefault="00FE291A">
      <w:pPr>
        <w:rPr>
          <w:rFonts w:cs="Calibri"/>
          <w:sz w:val="22"/>
          <w:szCs w:val="22"/>
          <w:lang w:val="de-DE"/>
        </w:rPr>
      </w:pPr>
    </w:p>
    <w:p w14:paraId="374D71AA" w14:textId="77777777" w:rsidR="00FE291A" w:rsidRDefault="00C8738F">
      <w:pPr>
        <w:rPr>
          <w:rFonts w:cs="Calibri"/>
          <w:sz w:val="22"/>
          <w:szCs w:val="22"/>
          <w:lang w:val="de-DE"/>
        </w:rPr>
      </w:pPr>
      <w:r>
        <w:rPr>
          <w:rFonts w:cs="Calibri"/>
          <w:sz w:val="22"/>
          <w:szCs w:val="22"/>
          <w:lang w:val="de-DE"/>
        </w:rPr>
        <w:t>Die übliche Dosierung von AMGEVITA beträgt 20 mg alle 2 Wochen gemeinsam mit Methotrexat.</w:t>
      </w:r>
    </w:p>
    <w:p w14:paraId="310E6817" w14:textId="77777777" w:rsidR="00FE291A" w:rsidRDefault="00FE291A">
      <w:pPr>
        <w:rPr>
          <w:rFonts w:cs="Calibri"/>
          <w:sz w:val="22"/>
          <w:szCs w:val="22"/>
          <w:lang w:val="de-DE"/>
        </w:rPr>
      </w:pPr>
    </w:p>
    <w:p w14:paraId="10BC1253" w14:textId="77777777" w:rsidR="00FE291A" w:rsidRDefault="00C8738F">
      <w:pPr>
        <w:rPr>
          <w:rFonts w:cs="Calibri"/>
          <w:sz w:val="22"/>
          <w:szCs w:val="22"/>
          <w:lang w:val="de-DE"/>
        </w:rPr>
      </w:pPr>
      <w:r>
        <w:rPr>
          <w:rFonts w:cs="Calibri"/>
          <w:sz w:val="22"/>
          <w:szCs w:val="22"/>
          <w:lang w:val="de-DE"/>
        </w:rPr>
        <w:t>Ihr Arzt kann auch eine Anfangsdosis von 40 mg verschreiben, die eine Woche vor Beginn der üblichen Dosis verabreicht werden kann.</w:t>
      </w:r>
    </w:p>
    <w:p w14:paraId="1A17B712" w14:textId="77777777" w:rsidR="00FE291A" w:rsidRDefault="00FE291A">
      <w:pPr>
        <w:rPr>
          <w:rFonts w:cs="Calibri"/>
          <w:sz w:val="22"/>
          <w:szCs w:val="22"/>
          <w:lang w:val="de-DE"/>
        </w:rPr>
      </w:pPr>
    </w:p>
    <w:p w14:paraId="1AD6FADE" w14:textId="77777777" w:rsidR="00FE291A" w:rsidRDefault="00C8738F">
      <w:pPr>
        <w:rPr>
          <w:rFonts w:cs="Calibri"/>
          <w:sz w:val="22"/>
          <w:szCs w:val="22"/>
          <w:u w:val="single"/>
          <w:lang w:val="de-DE"/>
        </w:rPr>
      </w:pPr>
      <w:r>
        <w:rPr>
          <w:rFonts w:cs="Calibri"/>
          <w:i/>
          <w:sz w:val="22"/>
          <w:szCs w:val="22"/>
          <w:lang w:val="de-DE"/>
        </w:rPr>
        <w:t>Kinder ab 2 Jahren und Jugendliche mit einem Körpergewicht von 30 kg oder mehr</w:t>
      </w:r>
    </w:p>
    <w:p w14:paraId="4462DB82" w14:textId="77777777" w:rsidR="00FE291A" w:rsidRDefault="00FE291A">
      <w:pPr>
        <w:rPr>
          <w:rFonts w:cs="Calibri"/>
          <w:sz w:val="22"/>
          <w:szCs w:val="22"/>
          <w:lang w:val="de-DE"/>
        </w:rPr>
      </w:pPr>
    </w:p>
    <w:p w14:paraId="1F8BE14C" w14:textId="77777777" w:rsidR="00FE291A" w:rsidRDefault="00C8738F">
      <w:pPr>
        <w:rPr>
          <w:rFonts w:cs="Calibri"/>
          <w:sz w:val="22"/>
          <w:szCs w:val="22"/>
          <w:lang w:val="de-DE"/>
        </w:rPr>
      </w:pPr>
      <w:r>
        <w:rPr>
          <w:rFonts w:cs="Calibri"/>
          <w:sz w:val="22"/>
          <w:szCs w:val="22"/>
          <w:lang w:val="de-DE"/>
        </w:rPr>
        <w:t>Die übliche Dosierung von AMGEVITA beträgt 40 mg alle 2 Wochen gemeinsam mit Methotrexat.</w:t>
      </w:r>
    </w:p>
    <w:p w14:paraId="544ED6A2" w14:textId="77777777" w:rsidR="00FE291A" w:rsidRDefault="00FE291A">
      <w:pPr>
        <w:rPr>
          <w:rFonts w:cs="Calibri"/>
          <w:sz w:val="22"/>
          <w:szCs w:val="22"/>
          <w:lang w:val="de-DE"/>
        </w:rPr>
      </w:pPr>
    </w:p>
    <w:p w14:paraId="6F8CDD44" w14:textId="77777777" w:rsidR="00FE291A" w:rsidRDefault="00C8738F">
      <w:pPr>
        <w:pStyle w:val="BodyText"/>
        <w:widowControl/>
        <w:kinsoku w:val="0"/>
        <w:overflowPunct w:val="0"/>
        <w:ind w:left="0"/>
        <w:rPr>
          <w:lang w:val="de-DE"/>
        </w:rPr>
      </w:pPr>
      <w:r>
        <w:rPr>
          <w:rFonts w:cs="Calibri"/>
          <w:lang w:val="de-DE"/>
        </w:rPr>
        <w:t>Ihr Arzt kann auch eine Anfangsdosis von 80 mg verschreiben, die eine Woche vor Beginn der üblichen Dosis verabreicht werden kann.</w:t>
      </w:r>
    </w:p>
    <w:p w14:paraId="0A11606F" w14:textId="77777777" w:rsidR="00FE291A" w:rsidRDefault="00FE291A">
      <w:pPr>
        <w:widowControl/>
        <w:kinsoku w:val="0"/>
        <w:overflowPunct w:val="0"/>
        <w:rPr>
          <w:sz w:val="22"/>
          <w:szCs w:val="22"/>
          <w:lang w:val="de-DE"/>
        </w:rPr>
      </w:pPr>
    </w:p>
    <w:p w14:paraId="57AD36FF" w14:textId="77777777" w:rsidR="00FE291A" w:rsidRDefault="00C8738F">
      <w:pPr>
        <w:pStyle w:val="Heading1"/>
        <w:keepNext/>
        <w:keepLines/>
        <w:widowControl/>
        <w:kinsoku w:val="0"/>
        <w:overflowPunct w:val="0"/>
        <w:ind w:left="0"/>
        <w:rPr>
          <w:b w:val="0"/>
          <w:bCs w:val="0"/>
          <w:lang w:val="de-DE"/>
        </w:rPr>
      </w:pPr>
      <w:r>
        <w:rPr>
          <w:lang w:val="de-DE"/>
        </w:rPr>
        <w:t>Art der Anwendung</w:t>
      </w:r>
    </w:p>
    <w:p w14:paraId="2B23C914" w14:textId="77777777" w:rsidR="00FE291A" w:rsidRDefault="00FE291A">
      <w:pPr>
        <w:widowControl/>
        <w:kinsoku w:val="0"/>
        <w:overflowPunct w:val="0"/>
        <w:rPr>
          <w:sz w:val="22"/>
          <w:szCs w:val="22"/>
          <w:lang w:val="de-DE"/>
        </w:rPr>
      </w:pPr>
    </w:p>
    <w:p w14:paraId="16E5C216" w14:textId="77777777" w:rsidR="00FE291A" w:rsidRDefault="00C8738F">
      <w:pPr>
        <w:pStyle w:val="BodyText"/>
        <w:widowControl/>
        <w:kinsoku w:val="0"/>
        <w:overflowPunct w:val="0"/>
        <w:ind w:left="0"/>
        <w:rPr>
          <w:lang w:val="de-DE"/>
        </w:rPr>
      </w:pPr>
      <w:r>
        <w:rPr>
          <w:lang w:val="de-DE"/>
        </w:rPr>
        <w:t>AMGEVITA wird unter die Haut gespritzt (subkutane Injektion).</w:t>
      </w:r>
    </w:p>
    <w:p w14:paraId="075373DA" w14:textId="77777777" w:rsidR="00FE291A" w:rsidRDefault="00FE291A">
      <w:pPr>
        <w:pStyle w:val="BodyText"/>
        <w:widowControl/>
        <w:kinsoku w:val="0"/>
        <w:overflowPunct w:val="0"/>
        <w:ind w:left="0"/>
        <w:rPr>
          <w:lang w:val="de-DE"/>
        </w:rPr>
      </w:pPr>
    </w:p>
    <w:p w14:paraId="27902BF8" w14:textId="77777777" w:rsidR="00FE291A" w:rsidRDefault="00C8738F">
      <w:pPr>
        <w:pStyle w:val="BodyText"/>
        <w:widowControl/>
        <w:kinsoku w:val="0"/>
        <w:overflowPunct w:val="0"/>
        <w:ind w:left="0"/>
        <w:rPr>
          <w:lang w:val="de-DE"/>
        </w:rPr>
      </w:pPr>
      <w:r>
        <w:rPr>
          <w:lang w:val="de-DE"/>
        </w:rPr>
        <w:t>Eine genaue Anleitung wie AMGEVITA gespritzt wird, finden Sie im Abschnitt „Gebrauchsanleitung“.</w:t>
      </w:r>
    </w:p>
    <w:p w14:paraId="60F37E4B" w14:textId="77777777" w:rsidR="00FE291A" w:rsidRDefault="00FE291A">
      <w:pPr>
        <w:widowControl/>
        <w:kinsoku w:val="0"/>
        <w:overflowPunct w:val="0"/>
        <w:rPr>
          <w:sz w:val="22"/>
          <w:szCs w:val="22"/>
          <w:lang w:val="de-DE"/>
        </w:rPr>
      </w:pPr>
    </w:p>
    <w:p w14:paraId="7840DBBC" w14:textId="77777777" w:rsidR="00FE291A" w:rsidRDefault="00C8738F">
      <w:pPr>
        <w:pStyle w:val="Heading1"/>
        <w:widowControl/>
        <w:kinsoku w:val="0"/>
        <w:overflowPunct w:val="0"/>
        <w:ind w:left="0"/>
        <w:rPr>
          <w:b w:val="0"/>
          <w:bCs w:val="0"/>
          <w:lang w:val="de-DE"/>
        </w:rPr>
      </w:pPr>
      <w:r>
        <w:rPr>
          <w:lang w:val="de-DE"/>
        </w:rPr>
        <w:t>Wenn Sie eine größere Menge von AMGEVITA gespritzt haben, als Sie sollten</w:t>
      </w:r>
    </w:p>
    <w:p w14:paraId="6B3AA8FD" w14:textId="77777777" w:rsidR="00FE291A" w:rsidRDefault="00FE291A">
      <w:pPr>
        <w:widowControl/>
        <w:kinsoku w:val="0"/>
        <w:overflowPunct w:val="0"/>
        <w:rPr>
          <w:sz w:val="22"/>
          <w:szCs w:val="22"/>
          <w:lang w:val="de-DE"/>
        </w:rPr>
      </w:pPr>
    </w:p>
    <w:p w14:paraId="4471EF1E" w14:textId="77777777" w:rsidR="00FE291A" w:rsidRDefault="00C8738F">
      <w:pPr>
        <w:pStyle w:val="BodyText"/>
        <w:widowControl/>
        <w:kinsoku w:val="0"/>
        <w:overflowPunct w:val="0"/>
        <w:ind w:left="0"/>
        <w:rPr>
          <w:lang w:val="de-DE"/>
        </w:rPr>
      </w:pPr>
      <w:r>
        <w:rPr>
          <w:lang w:val="de-DE"/>
        </w:rPr>
        <w:t>Falls Sie AMGEVITA versehentlich häufiger gespritzt haben, als der Arzt Ihnen verordnet hat, informieren Sie Ihren Arzt oder Apotheker darüber. Nehmen Sie immer die Faltschachtel des Arzneimittels mit, auch wenn sie leer ist.</w:t>
      </w:r>
    </w:p>
    <w:p w14:paraId="61EF1974" w14:textId="77777777" w:rsidR="00FE291A" w:rsidRDefault="00FE291A">
      <w:pPr>
        <w:widowControl/>
        <w:kinsoku w:val="0"/>
        <w:overflowPunct w:val="0"/>
        <w:rPr>
          <w:sz w:val="22"/>
          <w:szCs w:val="22"/>
          <w:lang w:val="de-DE"/>
        </w:rPr>
      </w:pPr>
    </w:p>
    <w:p w14:paraId="2CB062E4" w14:textId="77777777" w:rsidR="00FE291A" w:rsidRDefault="00C8738F">
      <w:pPr>
        <w:pStyle w:val="Heading1"/>
        <w:widowControl/>
        <w:kinsoku w:val="0"/>
        <w:overflowPunct w:val="0"/>
        <w:ind w:left="0"/>
        <w:rPr>
          <w:b w:val="0"/>
          <w:bCs w:val="0"/>
          <w:lang w:val="de-DE"/>
        </w:rPr>
      </w:pPr>
      <w:r>
        <w:rPr>
          <w:lang w:val="de-DE"/>
        </w:rPr>
        <w:t>Wenn Sie die Injektion von AMGEVITA vergessen haben</w:t>
      </w:r>
    </w:p>
    <w:p w14:paraId="05CE7FF3" w14:textId="77777777" w:rsidR="00FE291A" w:rsidRDefault="00FE291A">
      <w:pPr>
        <w:widowControl/>
        <w:kinsoku w:val="0"/>
        <w:overflowPunct w:val="0"/>
        <w:rPr>
          <w:sz w:val="22"/>
          <w:szCs w:val="22"/>
          <w:lang w:val="de-DE"/>
        </w:rPr>
      </w:pPr>
    </w:p>
    <w:p w14:paraId="5E0F4CD1" w14:textId="77777777" w:rsidR="00FE291A" w:rsidRDefault="00C8738F">
      <w:pPr>
        <w:pStyle w:val="BodyText"/>
        <w:widowControl/>
        <w:kinsoku w:val="0"/>
        <w:overflowPunct w:val="0"/>
        <w:ind w:left="0"/>
        <w:rPr>
          <w:lang w:val="de-DE"/>
        </w:rPr>
      </w:pPr>
      <w:r>
        <w:rPr>
          <w:lang w:val="de-DE"/>
        </w:rPr>
        <w:t>Wenn Sie einmal eine Injektion vergessen haben, sollten Sie die nächste AMGEVITA-Dosis spritzen, sobald Ihnen dies auffällt. Spritzen Sie Ihre darauffolgende Dosis an dem ursprünglich vorgesehenen Tag, wie Sie es getan hätten, wenn Sie die Injektion nicht vergessen hätten.</w:t>
      </w:r>
    </w:p>
    <w:p w14:paraId="0C02C8F8" w14:textId="77777777" w:rsidR="00FE291A" w:rsidRDefault="00FE291A">
      <w:pPr>
        <w:widowControl/>
        <w:kinsoku w:val="0"/>
        <w:overflowPunct w:val="0"/>
        <w:rPr>
          <w:sz w:val="22"/>
          <w:szCs w:val="22"/>
          <w:lang w:val="de-DE"/>
        </w:rPr>
      </w:pPr>
    </w:p>
    <w:p w14:paraId="61E479CE" w14:textId="77777777" w:rsidR="00FE291A" w:rsidRDefault="00C8738F">
      <w:pPr>
        <w:pStyle w:val="Heading1"/>
        <w:keepNext/>
        <w:keepLines/>
        <w:widowControl/>
        <w:kinsoku w:val="0"/>
        <w:overflowPunct w:val="0"/>
        <w:ind w:left="0"/>
        <w:rPr>
          <w:b w:val="0"/>
          <w:bCs w:val="0"/>
          <w:lang w:val="de-DE"/>
        </w:rPr>
      </w:pPr>
      <w:r>
        <w:rPr>
          <w:lang w:val="de-DE"/>
        </w:rPr>
        <w:t>Wenn Sie die Anwendung von AMGEVITA abbrechen</w:t>
      </w:r>
    </w:p>
    <w:p w14:paraId="1521B805" w14:textId="77777777" w:rsidR="00FE291A" w:rsidRDefault="00FE291A">
      <w:pPr>
        <w:widowControl/>
        <w:kinsoku w:val="0"/>
        <w:overflowPunct w:val="0"/>
        <w:rPr>
          <w:sz w:val="22"/>
          <w:szCs w:val="22"/>
          <w:lang w:val="de-DE"/>
        </w:rPr>
      </w:pPr>
    </w:p>
    <w:p w14:paraId="499D45AC" w14:textId="77777777" w:rsidR="00FE291A" w:rsidRDefault="00C8738F">
      <w:pPr>
        <w:pStyle w:val="BodyText"/>
        <w:widowControl/>
        <w:kinsoku w:val="0"/>
        <w:overflowPunct w:val="0"/>
        <w:ind w:left="0"/>
        <w:rPr>
          <w:lang w:val="de-DE"/>
        </w:rPr>
      </w:pPr>
      <w:r>
        <w:rPr>
          <w:lang w:val="de-DE"/>
        </w:rPr>
        <w:t>Die Entscheidung, die Anwendung von AMGEVITA abzubrechen, müssen Sie mit Ihrem Arzt besprechen. Die Anzeichen Ihrer Erkrankung können nach Abbruch der Behandlung zurückkehren.</w:t>
      </w:r>
    </w:p>
    <w:p w14:paraId="3186B79E" w14:textId="77777777" w:rsidR="00FE291A" w:rsidRDefault="00FE291A">
      <w:pPr>
        <w:widowControl/>
        <w:kinsoku w:val="0"/>
        <w:overflowPunct w:val="0"/>
        <w:rPr>
          <w:sz w:val="22"/>
          <w:szCs w:val="22"/>
          <w:lang w:val="de-DE"/>
        </w:rPr>
      </w:pPr>
    </w:p>
    <w:p w14:paraId="183F03F7" w14:textId="77777777" w:rsidR="00FE291A" w:rsidRDefault="00C8738F">
      <w:pPr>
        <w:pStyle w:val="BodyText"/>
        <w:widowControl/>
        <w:kinsoku w:val="0"/>
        <w:overflowPunct w:val="0"/>
        <w:ind w:left="0"/>
        <w:rPr>
          <w:lang w:val="de-DE"/>
        </w:rPr>
      </w:pPr>
      <w:r>
        <w:rPr>
          <w:lang w:val="de-DE"/>
        </w:rPr>
        <w:t>Sollten Sie weitere Fragen zur Anwendung dieses Arzneimittels haben, fragen Sie Ihren Arzt oder Apotheker.</w:t>
      </w:r>
    </w:p>
    <w:p w14:paraId="4487CCDC" w14:textId="77777777" w:rsidR="00FE291A" w:rsidRDefault="00FE291A">
      <w:pPr>
        <w:widowControl/>
        <w:kinsoku w:val="0"/>
        <w:overflowPunct w:val="0"/>
        <w:rPr>
          <w:sz w:val="22"/>
          <w:szCs w:val="22"/>
          <w:lang w:val="de-DE"/>
        </w:rPr>
      </w:pPr>
    </w:p>
    <w:p w14:paraId="28CADB41" w14:textId="77777777" w:rsidR="00FE291A" w:rsidRDefault="00FE291A">
      <w:pPr>
        <w:widowControl/>
        <w:kinsoku w:val="0"/>
        <w:overflowPunct w:val="0"/>
        <w:rPr>
          <w:sz w:val="22"/>
          <w:szCs w:val="22"/>
          <w:lang w:val="de-DE"/>
        </w:rPr>
      </w:pPr>
    </w:p>
    <w:p w14:paraId="094A2375" w14:textId="77777777" w:rsidR="00FE291A" w:rsidRDefault="00C8738F">
      <w:pPr>
        <w:pStyle w:val="Heading1"/>
        <w:keepNext/>
        <w:widowControl/>
        <w:tabs>
          <w:tab w:val="left" w:pos="567"/>
        </w:tabs>
        <w:kinsoku w:val="0"/>
        <w:overflowPunct w:val="0"/>
        <w:ind w:left="567" w:hanging="567"/>
        <w:rPr>
          <w:b w:val="0"/>
          <w:bCs w:val="0"/>
          <w:lang w:val="de-DE"/>
        </w:rPr>
      </w:pPr>
      <w:r>
        <w:rPr>
          <w:lang w:val="de-DE"/>
        </w:rPr>
        <w:t>4.</w:t>
      </w:r>
      <w:r>
        <w:rPr>
          <w:lang w:val="de-DE"/>
        </w:rPr>
        <w:tab/>
        <w:t>Welche Nebenwirkungen sind möglich?</w:t>
      </w:r>
    </w:p>
    <w:p w14:paraId="7C3F06FB" w14:textId="77777777" w:rsidR="00FE291A" w:rsidRDefault="00FE291A">
      <w:pPr>
        <w:widowControl/>
        <w:kinsoku w:val="0"/>
        <w:overflowPunct w:val="0"/>
        <w:rPr>
          <w:sz w:val="22"/>
          <w:szCs w:val="26"/>
          <w:lang w:val="de-DE"/>
        </w:rPr>
      </w:pPr>
    </w:p>
    <w:p w14:paraId="18FBD654" w14:textId="77777777" w:rsidR="00FE291A" w:rsidRDefault="00C8738F">
      <w:pPr>
        <w:pStyle w:val="BodyText"/>
        <w:widowControl/>
        <w:kinsoku w:val="0"/>
        <w:overflowPunct w:val="0"/>
        <w:ind w:left="0"/>
        <w:rPr>
          <w:lang w:val="de-DE"/>
        </w:rPr>
      </w:pPr>
      <w:r>
        <w:rPr>
          <w:lang w:val="de-DE"/>
        </w:rPr>
        <w:t>Wie alle Arzneimittel kann dieses Arzneimittel Nebenwirkungen haben, die aber nicht bei jedem auftreten müssen. Die meisten Nebenwirkungen sind leicht bis mäßig ausgeprägt. Einige können jedoch auch schwerwiegend sein und müssen behandelt werden. Nebenwirkungen können mindestens bis vier Monate nach der letzten Injektion von AMGEVITA auftreten.</w:t>
      </w:r>
    </w:p>
    <w:p w14:paraId="105A13D5" w14:textId="77777777" w:rsidR="00FE291A" w:rsidRDefault="00FE291A">
      <w:pPr>
        <w:widowControl/>
        <w:kinsoku w:val="0"/>
        <w:overflowPunct w:val="0"/>
        <w:rPr>
          <w:sz w:val="22"/>
          <w:lang w:val="de-DE"/>
        </w:rPr>
      </w:pPr>
    </w:p>
    <w:p w14:paraId="6AB79882" w14:textId="77777777" w:rsidR="00FE291A" w:rsidRDefault="00C8738F">
      <w:pPr>
        <w:pStyle w:val="BodyText"/>
        <w:keepNext/>
        <w:widowControl/>
        <w:kinsoku w:val="0"/>
        <w:overflowPunct w:val="0"/>
        <w:ind w:left="0"/>
        <w:rPr>
          <w:lang w:val="de-DE"/>
        </w:rPr>
      </w:pPr>
      <w:r>
        <w:rPr>
          <w:lang w:val="de-DE"/>
        </w:rPr>
        <w:t>Benachrichtigen Sie unverzüglich Ihren Arzt, wenn Sie eines der folgenden Anzeichen einer allergischen Reaktion oder einer Herzschwäche bemerken:</w:t>
      </w:r>
    </w:p>
    <w:p w14:paraId="2062B408" w14:textId="77777777" w:rsidR="00FE291A" w:rsidRDefault="00C8738F">
      <w:pPr>
        <w:pStyle w:val="BodyText"/>
        <w:widowControl/>
        <w:numPr>
          <w:ilvl w:val="0"/>
          <w:numId w:val="56"/>
        </w:numPr>
        <w:kinsoku w:val="0"/>
        <w:overflowPunct w:val="0"/>
        <w:ind w:left="567"/>
        <w:rPr>
          <w:lang w:val="de-DE"/>
        </w:rPr>
      </w:pPr>
      <w:r>
        <w:rPr>
          <w:lang w:val="de-DE"/>
        </w:rPr>
        <w:t>Starker Hautausschlag, Nesselsucht oder andere Anzeichen einer allergischen Reaktion;</w:t>
      </w:r>
    </w:p>
    <w:p w14:paraId="05A1539A" w14:textId="77777777" w:rsidR="00FE291A" w:rsidRDefault="00C8738F">
      <w:pPr>
        <w:pStyle w:val="BodyText"/>
        <w:widowControl/>
        <w:numPr>
          <w:ilvl w:val="0"/>
          <w:numId w:val="56"/>
        </w:numPr>
        <w:kinsoku w:val="0"/>
        <w:overflowPunct w:val="0"/>
        <w:ind w:left="567"/>
        <w:rPr>
          <w:lang w:val="de-DE"/>
        </w:rPr>
      </w:pPr>
      <w:r>
        <w:rPr>
          <w:lang w:val="de-DE"/>
        </w:rPr>
        <w:t>Schwellung im Gesicht, an Händen oder Füßen;</w:t>
      </w:r>
    </w:p>
    <w:p w14:paraId="1910F35E" w14:textId="77777777" w:rsidR="00FE291A" w:rsidRDefault="00C8738F">
      <w:pPr>
        <w:pStyle w:val="BodyText"/>
        <w:widowControl/>
        <w:numPr>
          <w:ilvl w:val="0"/>
          <w:numId w:val="56"/>
        </w:numPr>
        <w:kinsoku w:val="0"/>
        <w:overflowPunct w:val="0"/>
        <w:ind w:left="567"/>
        <w:rPr>
          <w:lang w:val="de-DE"/>
        </w:rPr>
      </w:pPr>
      <w:r>
        <w:rPr>
          <w:lang w:val="de-DE"/>
        </w:rPr>
        <w:t>Schwierigkeiten beim Atmen oder Schlucken;</w:t>
      </w:r>
    </w:p>
    <w:p w14:paraId="3A552E5F" w14:textId="77777777" w:rsidR="00FE291A" w:rsidRDefault="00C8738F">
      <w:pPr>
        <w:pStyle w:val="BodyText"/>
        <w:widowControl/>
        <w:numPr>
          <w:ilvl w:val="0"/>
          <w:numId w:val="56"/>
        </w:numPr>
        <w:kinsoku w:val="0"/>
        <w:overflowPunct w:val="0"/>
        <w:ind w:left="567"/>
        <w:rPr>
          <w:lang w:val="de-DE"/>
        </w:rPr>
      </w:pPr>
      <w:r>
        <w:rPr>
          <w:lang w:val="de-DE"/>
        </w:rPr>
        <w:t>Kurzatmigkeit bei Belastung oder im Liegen oder Schwellung der Füße.</w:t>
      </w:r>
    </w:p>
    <w:p w14:paraId="70E0C874" w14:textId="77777777" w:rsidR="00FE291A" w:rsidRDefault="00FE291A">
      <w:pPr>
        <w:widowControl/>
        <w:kinsoku w:val="0"/>
        <w:overflowPunct w:val="0"/>
        <w:rPr>
          <w:sz w:val="22"/>
          <w:szCs w:val="26"/>
          <w:lang w:val="de-DE"/>
        </w:rPr>
      </w:pPr>
    </w:p>
    <w:p w14:paraId="7A76F117" w14:textId="77777777" w:rsidR="00FE291A" w:rsidRDefault="00C8738F">
      <w:pPr>
        <w:pStyle w:val="BodyText"/>
        <w:widowControl/>
        <w:kinsoku w:val="0"/>
        <w:overflowPunct w:val="0"/>
        <w:ind w:left="0"/>
        <w:rPr>
          <w:lang w:val="de-DE"/>
        </w:rPr>
      </w:pPr>
      <w:r>
        <w:rPr>
          <w:lang w:val="de-DE"/>
        </w:rPr>
        <w:t>Benachrichtigen Sie so bald wie möglich Ihren Arzt, wenn Sie eines der folgenden Anzeichen bemerken:</w:t>
      </w:r>
    </w:p>
    <w:p w14:paraId="400BEF6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Anzeichen einer Infektion wie Fieber, Krankheitsgefühl, Wunden, Zahnprobleme, Brennen beim Wasserlassen;</w:t>
      </w:r>
    </w:p>
    <w:p w14:paraId="24EAFEA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Gefühl der Schwäche oder Müdigkeit;</w:t>
      </w:r>
    </w:p>
    <w:p w14:paraId="66374EA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Husten;</w:t>
      </w:r>
    </w:p>
    <w:p w14:paraId="72D0AF7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Kribbeln;</w:t>
      </w:r>
    </w:p>
    <w:p w14:paraId="4AE913F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Taubheit;</w:t>
      </w:r>
    </w:p>
    <w:p w14:paraId="6AAEF3F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Doppeltsehen;</w:t>
      </w:r>
    </w:p>
    <w:p w14:paraId="54D24EC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Schwäche in Armen oder Beinen;</w:t>
      </w:r>
    </w:p>
    <w:p w14:paraId="23241DE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Anzeichen für eine Hautkrebserkrankung wie eine Beule oder offene Stellen, die nicht abheilen;</w:t>
      </w:r>
    </w:p>
    <w:p w14:paraId="3B9BEDF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Anzeichen und Krankheitserscheinungen, die auf eine mögliche Erkrankung des blutbildenden Systems hinweisen, wie anhaltendes Fieber, Blutergüsse, Blutungen, Blässe.</w:t>
      </w:r>
    </w:p>
    <w:p w14:paraId="6804649B" w14:textId="77777777" w:rsidR="00FE291A" w:rsidRDefault="00FE291A">
      <w:pPr>
        <w:pStyle w:val="BodyText"/>
        <w:widowControl/>
        <w:kinsoku w:val="0"/>
        <w:overflowPunct w:val="0"/>
        <w:ind w:left="0"/>
        <w:rPr>
          <w:lang w:val="de-DE"/>
        </w:rPr>
      </w:pPr>
    </w:p>
    <w:p w14:paraId="0B948CA4" w14:textId="77777777" w:rsidR="00FE291A" w:rsidRDefault="00C8738F">
      <w:pPr>
        <w:pStyle w:val="BodyText"/>
        <w:widowControl/>
        <w:kinsoku w:val="0"/>
        <w:overflowPunct w:val="0"/>
        <w:ind w:left="0"/>
        <w:rPr>
          <w:lang w:val="de-DE"/>
        </w:rPr>
      </w:pPr>
      <w:r>
        <w:rPr>
          <w:lang w:val="de-DE"/>
        </w:rPr>
        <w:t>Die oben beschriebenen Anzeichen können ein Hinweis sein auf die nachfolgend aufgelisteten Nebenwirkungen, die mit Adalimumab beobachtet wurden:</w:t>
      </w:r>
    </w:p>
    <w:p w14:paraId="5CE42C7E" w14:textId="77777777" w:rsidR="00FE291A" w:rsidRDefault="00FE291A">
      <w:pPr>
        <w:widowControl/>
        <w:kinsoku w:val="0"/>
        <w:overflowPunct w:val="0"/>
        <w:rPr>
          <w:sz w:val="22"/>
          <w:szCs w:val="22"/>
          <w:lang w:val="de-DE"/>
        </w:rPr>
      </w:pPr>
    </w:p>
    <w:p w14:paraId="388BD177" w14:textId="77777777" w:rsidR="00FE291A" w:rsidRDefault="00C8738F">
      <w:pPr>
        <w:pStyle w:val="BodyText"/>
        <w:widowControl/>
        <w:kinsoku w:val="0"/>
        <w:overflowPunct w:val="0"/>
        <w:ind w:left="0"/>
        <w:rPr>
          <w:lang w:val="de-DE"/>
        </w:rPr>
      </w:pPr>
      <w:r>
        <w:rPr>
          <w:lang w:val="de-DE"/>
        </w:rPr>
        <w:t>Sehr häufig (kann mehr als 1 von 10 Behandelten betreffen):</w:t>
      </w:r>
    </w:p>
    <w:p w14:paraId="66EF871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Reaktionen an der Injektionsstelle (einschließlich Schmerz, Schwellung, Rötung oder Juckreiz);</w:t>
      </w:r>
    </w:p>
    <w:p w14:paraId="0E1E546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der Atemwege (einschließlich Erkältung, Fließschnupfen, Infektion der Nasennebenhöhlen, Lungenentzündung);</w:t>
      </w:r>
    </w:p>
    <w:p w14:paraId="3C998F9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Kopfschmerzen;</w:t>
      </w:r>
    </w:p>
    <w:p w14:paraId="6A279F2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Bauchschmerzen;</w:t>
      </w:r>
    </w:p>
    <w:p w14:paraId="0D12681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Übelkeit und Erbrechen;</w:t>
      </w:r>
    </w:p>
    <w:p w14:paraId="162F7BD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Hautausschlag;</w:t>
      </w:r>
    </w:p>
    <w:p w14:paraId="36AFBAC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Schmerzen in Muskeln und Knochen.</w:t>
      </w:r>
    </w:p>
    <w:p w14:paraId="0E9C666B" w14:textId="77777777" w:rsidR="00FE291A" w:rsidRDefault="00FE291A">
      <w:pPr>
        <w:widowControl/>
        <w:kinsoku w:val="0"/>
        <w:overflowPunct w:val="0"/>
        <w:rPr>
          <w:sz w:val="22"/>
          <w:szCs w:val="26"/>
          <w:lang w:val="de-DE"/>
        </w:rPr>
      </w:pPr>
    </w:p>
    <w:p w14:paraId="2111C45B" w14:textId="77777777" w:rsidR="00FE291A" w:rsidRDefault="00C8738F">
      <w:pPr>
        <w:pStyle w:val="BodyText"/>
        <w:widowControl/>
        <w:kinsoku w:val="0"/>
        <w:overflowPunct w:val="0"/>
        <w:ind w:left="0"/>
        <w:rPr>
          <w:lang w:val="de-DE"/>
        </w:rPr>
      </w:pPr>
      <w:r>
        <w:rPr>
          <w:lang w:val="de-DE"/>
        </w:rPr>
        <w:t>Häufig (kann bis zu 1 von 10 Behandelten betreffen):</w:t>
      </w:r>
    </w:p>
    <w:p w14:paraId="41A6945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Schwere Infektionen (einschließlich Blutvergiftung und Virusgrippe);</w:t>
      </w:r>
    </w:p>
    <w:p w14:paraId="2E960A8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Darminfektionen (einschließlich Magen-Darm-Grippe);</w:t>
      </w:r>
    </w:p>
    <w:p w14:paraId="4D1DA71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der Haut (einschließlich Entzündung des Unterhautzellgewebes und Gürtelrose);</w:t>
      </w:r>
    </w:p>
    <w:p w14:paraId="05A102D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des Ohres;</w:t>
      </w:r>
    </w:p>
    <w:p w14:paraId="0CF6BCE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des Mundes (einschließlich Zahninfektionen und Fieberbläschen);</w:t>
      </w:r>
    </w:p>
    <w:p w14:paraId="70B90E9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der Fortpflanzungsorgane;</w:t>
      </w:r>
    </w:p>
    <w:p w14:paraId="067133D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Harnwegsinfektion;</w:t>
      </w:r>
    </w:p>
    <w:p w14:paraId="3FDF4E9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Pilzinfektionen;</w:t>
      </w:r>
    </w:p>
    <w:p w14:paraId="74D6141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Gelenkinfektionen;</w:t>
      </w:r>
    </w:p>
    <w:p w14:paraId="53CDF3D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Gutartige Tumoren;</w:t>
      </w:r>
    </w:p>
    <w:p w14:paraId="1F10B3E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Hautkrebs;</w:t>
      </w:r>
    </w:p>
    <w:p w14:paraId="5ED2B09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Allergische Reaktionen (einschließlich durch Jahreszeiten bedingte Allergie);</w:t>
      </w:r>
    </w:p>
    <w:p w14:paraId="53CD342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Flüssigkeitsverlust (Dehydratation);</w:t>
      </w:r>
    </w:p>
    <w:p w14:paraId="02565E7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Stimmungsschwankungen (einschließlich Depression);</w:t>
      </w:r>
    </w:p>
    <w:p w14:paraId="46739C3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Angstgefühl;</w:t>
      </w:r>
    </w:p>
    <w:p w14:paraId="5C3D4D7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Schlafstörungen;</w:t>
      </w:r>
    </w:p>
    <w:p w14:paraId="36D1AA6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Empfindungsstörungen (einschließlich Kribbeln, Prickeln oder Taubheitsgefühl);</w:t>
      </w:r>
    </w:p>
    <w:p w14:paraId="2482A83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Migräne;</w:t>
      </w:r>
    </w:p>
    <w:p w14:paraId="437B9F9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Nervenwurzelkompression (Hexenschuss, einschließlich Rückenschmerzen und Beinschmerzen);</w:t>
      </w:r>
    </w:p>
    <w:p w14:paraId="78A74A3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Sehstörungen;</w:t>
      </w:r>
    </w:p>
    <w:p w14:paraId="44D7D7D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Augenentzündung;</w:t>
      </w:r>
    </w:p>
    <w:p w14:paraId="277FDFE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des Augenlides und Anschwellen des Auges;</w:t>
      </w:r>
    </w:p>
    <w:p w14:paraId="6FBE168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Schwindel (Schwindelgefühl oder Gefühl, dass sich der Raum dreht);</w:t>
      </w:r>
    </w:p>
    <w:p w14:paraId="6A73494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Herzrasen;</w:t>
      </w:r>
    </w:p>
    <w:p w14:paraId="63CF1BF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Hoher Blutdruck;</w:t>
      </w:r>
    </w:p>
    <w:p w14:paraId="1B7066D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Hitzegefühl;</w:t>
      </w:r>
    </w:p>
    <w:p w14:paraId="4225071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Blutergüsse;</w:t>
      </w:r>
    </w:p>
    <w:p w14:paraId="218EBD4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Husten;</w:t>
      </w:r>
    </w:p>
    <w:p w14:paraId="7C00FDA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Asthma;</w:t>
      </w:r>
    </w:p>
    <w:p w14:paraId="4D10B35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Kurzatmigkeit;</w:t>
      </w:r>
    </w:p>
    <w:p w14:paraId="14BD9E4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Magen-Darm-Blutungen;</w:t>
      </w:r>
    </w:p>
    <w:p w14:paraId="496DB2B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Verdauungsstörung (Magenverstimmung, Blähungen, Sodbrennen);</w:t>
      </w:r>
    </w:p>
    <w:p w14:paraId="106D83F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Saures Aufstoßen;</w:t>
      </w:r>
    </w:p>
    <w:p w14:paraId="546CC67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Sicca-Syndrom (einschließlich trockener Augen und trockenem Mund);</w:t>
      </w:r>
    </w:p>
    <w:p w14:paraId="6C06A95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Juckreiz;</w:t>
      </w:r>
    </w:p>
    <w:p w14:paraId="569BF80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Juckender Hautausschlag;</w:t>
      </w:r>
    </w:p>
    <w:p w14:paraId="3886003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Blaue Flecken;</w:t>
      </w:r>
    </w:p>
    <w:p w14:paraId="07C37DF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der Haut (wie z. B. Ekzeme);</w:t>
      </w:r>
    </w:p>
    <w:p w14:paraId="71C394B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Brüchige Finger- und Fußnägel;</w:t>
      </w:r>
    </w:p>
    <w:p w14:paraId="772C13B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Vermehrtes Schwitzen;</w:t>
      </w:r>
    </w:p>
    <w:p w14:paraId="70FDC71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Haarausfall;</w:t>
      </w:r>
    </w:p>
    <w:p w14:paraId="52CAEB2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Neuer Ausbruch oder Verschlechterung von Schuppenflechte (Psoriasis);</w:t>
      </w:r>
    </w:p>
    <w:p w14:paraId="4DAC53D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Muskelkrämpfe;</w:t>
      </w:r>
    </w:p>
    <w:p w14:paraId="6719580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Blut im Urin;</w:t>
      </w:r>
    </w:p>
    <w:p w14:paraId="525357E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Nierenprobleme;</w:t>
      </w:r>
    </w:p>
    <w:p w14:paraId="6260958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Schmerzen im Brustraum;</w:t>
      </w:r>
    </w:p>
    <w:p w14:paraId="2E546C7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Wasseransammlungen (Ödeme);</w:t>
      </w:r>
    </w:p>
    <w:p w14:paraId="77D24C6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Fieber;</w:t>
      </w:r>
    </w:p>
    <w:p w14:paraId="59C9DB3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Verringerung der Blutplättchen, dadurch erhöhtes Risiko für Blutungen oder blaue Flecken;</w:t>
      </w:r>
    </w:p>
    <w:p w14:paraId="2FEBB80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Verzögerte Wundheilung.</w:t>
      </w:r>
    </w:p>
    <w:p w14:paraId="0100BA38" w14:textId="77777777" w:rsidR="00FE291A" w:rsidRDefault="00FE291A">
      <w:pPr>
        <w:widowControl/>
        <w:kinsoku w:val="0"/>
        <w:overflowPunct w:val="0"/>
        <w:rPr>
          <w:sz w:val="22"/>
          <w:szCs w:val="26"/>
          <w:lang w:val="de-DE"/>
        </w:rPr>
      </w:pPr>
    </w:p>
    <w:p w14:paraId="13F4B49D" w14:textId="77777777" w:rsidR="00FE291A" w:rsidRDefault="00C8738F">
      <w:pPr>
        <w:pStyle w:val="BodyText"/>
        <w:widowControl/>
        <w:kinsoku w:val="0"/>
        <w:overflowPunct w:val="0"/>
        <w:ind w:left="0"/>
        <w:rPr>
          <w:lang w:val="de-DE"/>
        </w:rPr>
      </w:pPr>
      <w:r>
        <w:rPr>
          <w:lang w:val="de-DE"/>
        </w:rPr>
        <w:t>Gelegentlich (kann bis zu 1 von 100 Behandelten betreffen):</w:t>
      </w:r>
    </w:p>
    <w:p w14:paraId="2DC19C5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Tuberkulose und andere Infektionen, die auftreten, wenn die Widerstandskraft gegenüber Krankheiten vermindert ist (opportunistische Infektionen);</w:t>
      </w:r>
    </w:p>
    <w:p w14:paraId="7797888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Neurologische Infekte (einschließlich viraler Hirnhautentzündung);</w:t>
      </w:r>
    </w:p>
    <w:p w14:paraId="0B5CF60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Augeninfektionen;</w:t>
      </w:r>
    </w:p>
    <w:p w14:paraId="0858148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Bakterielle Infektionen;</w:t>
      </w:r>
    </w:p>
    <w:p w14:paraId="36188E0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und Infektion des Dickdarms (Divertikulitis);</w:t>
      </w:r>
    </w:p>
    <w:p w14:paraId="670CAC1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Krebs, einschließlich Krebs, der das Lymphsystem betrifft (Lymphom), und Melanom (Hautkrebs);</w:t>
      </w:r>
    </w:p>
    <w:p w14:paraId="6C3274C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Immunstörungen, welche die Lunge, Haut und Lymphknoten betreffen können (kommen am häufigsten als Sarkoidose vor);</w:t>
      </w:r>
    </w:p>
    <w:p w14:paraId="66B7A7C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Vaskulitis (Entzündung der Blutgefäße);</w:t>
      </w:r>
    </w:p>
    <w:p w14:paraId="2EAC45E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Zittern (Tremor);</w:t>
      </w:r>
    </w:p>
    <w:p w14:paraId="220262C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Nervenerkrankungen (Neuropathie);</w:t>
      </w:r>
    </w:p>
    <w:p w14:paraId="5093EDB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Schlaganfall;</w:t>
      </w:r>
    </w:p>
    <w:p w14:paraId="561370A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Hörverlust, Ohrensausen;</w:t>
      </w:r>
    </w:p>
    <w:p w14:paraId="42D4A09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Unregelmäßiger Herzschlag, wie z. B. übersprungene Schläge;</w:t>
      </w:r>
    </w:p>
    <w:p w14:paraId="72217AF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Herzprobleme, die zu Kurzatmigkeit und Anschwellen der Fußknöchel führen können;</w:t>
      </w:r>
    </w:p>
    <w:p w14:paraId="0978870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Herzinfarkt;</w:t>
      </w:r>
    </w:p>
    <w:p w14:paraId="6FE174F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Eine Ausbuchtung in der Wand einer Hauptarterie, Entzündung und Blutgerinnsel in einer Vene, Verstopfung eines Blutgefäßes;</w:t>
      </w:r>
    </w:p>
    <w:p w14:paraId="3750AB2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Lungenerkrankungen, die sich in Kurzatmigkeit äußern (einschließlich Entzündung);</w:t>
      </w:r>
    </w:p>
    <w:p w14:paraId="2CC3C4F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Lungenembolie (Verschluss in einer Lungenarterie);</w:t>
      </w:r>
    </w:p>
    <w:p w14:paraId="6D68665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Nicht normale Ansammlung von Flüssigkeit in der Umgebung der Lunge (Pleuraerguss);</w:t>
      </w:r>
    </w:p>
    <w:p w14:paraId="5929ED7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der Bauchspeicheldrüse, die starke Schmerzen im Bauchraum und Rücken verursacht;</w:t>
      </w:r>
    </w:p>
    <w:p w14:paraId="3886F4E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Schluckstörungen;</w:t>
      </w:r>
    </w:p>
    <w:p w14:paraId="2C6ED8A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Gesichtsschwellung;</w:t>
      </w:r>
    </w:p>
    <w:p w14:paraId="337A4D1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Gallenblasenentzündung, Gallensteine;</w:t>
      </w:r>
    </w:p>
    <w:p w14:paraId="75ED588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Fettleber;</w:t>
      </w:r>
    </w:p>
    <w:p w14:paraId="2D6B259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Nächtliches Schwitzen;</w:t>
      </w:r>
    </w:p>
    <w:p w14:paraId="028CE76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Narbenbildung;</w:t>
      </w:r>
    </w:p>
    <w:p w14:paraId="7295DE9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Abnormaler Muskelabbau;</w:t>
      </w:r>
    </w:p>
    <w:p w14:paraId="7A8A0D7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Systemischer Lupus erythematodes (einschließlich Entzündung von Haut, Herz, Lunge, Gelenken und anderen Organsystemen);</w:t>
      </w:r>
    </w:p>
    <w:p w14:paraId="1D339CA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Schlafstörungen;</w:t>
      </w:r>
    </w:p>
    <w:p w14:paraId="600E317F" w14:textId="77777777" w:rsidR="00FE291A" w:rsidRDefault="00C8738F">
      <w:pPr>
        <w:pStyle w:val="BodyText"/>
        <w:keepNext/>
        <w:widowControl/>
        <w:numPr>
          <w:ilvl w:val="0"/>
          <w:numId w:val="56"/>
        </w:numPr>
        <w:tabs>
          <w:tab w:val="left" w:pos="567"/>
        </w:tabs>
        <w:kinsoku w:val="0"/>
        <w:overflowPunct w:val="0"/>
        <w:ind w:left="567"/>
        <w:rPr>
          <w:lang w:val="de-DE"/>
        </w:rPr>
      </w:pPr>
      <w:r>
        <w:rPr>
          <w:lang w:val="de-DE"/>
        </w:rPr>
        <w:t>Impotenz;</w:t>
      </w:r>
    </w:p>
    <w:p w14:paraId="1B8DCC2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Entzündungen.</w:t>
      </w:r>
    </w:p>
    <w:p w14:paraId="29DCAC30" w14:textId="77777777" w:rsidR="00FE291A" w:rsidRDefault="00FE291A">
      <w:pPr>
        <w:pStyle w:val="BodyText"/>
        <w:widowControl/>
        <w:kinsoku w:val="0"/>
        <w:overflowPunct w:val="0"/>
        <w:ind w:left="0"/>
        <w:rPr>
          <w:lang w:val="de-DE"/>
        </w:rPr>
      </w:pPr>
    </w:p>
    <w:p w14:paraId="11C668A2" w14:textId="77777777" w:rsidR="00FE291A" w:rsidRDefault="00C8738F">
      <w:pPr>
        <w:pStyle w:val="BodyText"/>
        <w:keepNext/>
        <w:widowControl/>
        <w:kinsoku w:val="0"/>
        <w:overflowPunct w:val="0"/>
        <w:ind w:left="0"/>
        <w:rPr>
          <w:lang w:val="de-DE"/>
        </w:rPr>
      </w:pPr>
      <w:r>
        <w:rPr>
          <w:lang w:val="de-DE"/>
        </w:rPr>
        <w:t>Selten (kann bis zu 1 von 1.000 Behandelten betreffen):</w:t>
      </w:r>
    </w:p>
    <w:p w14:paraId="03A8D55D" w14:textId="77777777" w:rsidR="00FE291A" w:rsidRDefault="00C8738F">
      <w:pPr>
        <w:pStyle w:val="BodyText"/>
        <w:keepNext/>
        <w:widowControl/>
        <w:numPr>
          <w:ilvl w:val="0"/>
          <w:numId w:val="56"/>
        </w:numPr>
        <w:tabs>
          <w:tab w:val="left" w:pos="567"/>
        </w:tabs>
        <w:kinsoku w:val="0"/>
        <w:overflowPunct w:val="0"/>
        <w:ind w:left="567"/>
        <w:rPr>
          <w:lang w:val="de-DE"/>
        </w:rPr>
      </w:pPr>
      <w:r>
        <w:rPr>
          <w:lang w:val="de-DE"/>
        </w:rPr>
        <w:t>Leukämie (Krebs, der das Blut und das Knochenmark betrifft);</w:t>
      </w:r>
    </w:p>
    <w:p w14:paraId="7F0E015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Schwere allergische Reaktionen mit Schock;</w:t>
      </w:r>
    </w:p>
    <w:p w14:paraId="5756350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Multiple Sklerose;</w:t>
      </w:r>
    </w:p>
    <w:p w14:paraId="213E3AD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Nervenerkrankungen (z. B. Entzündung des Augennervs und Guillain-Barré-Syndrom, das zu Muskelschwäche, gestörten Sinnesempfindungen, Kribbeln in Armen und Oberkörper führen kann);</w:t>
      </w:r>
    </w:p>
    <w:p w14:paraId="6B6350D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Herzstillstand;</w:t>
      </w:r>
    </w:p>
    <w:p w14:paraId="5C2258E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Lungenfibrose (Narbenbildung in der Lunge);</w:t>
      </w:r>
    </w:p>
    <w:p w14:paraId="2CB939F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Darmwanddurchbruch (Loch in der Darmwand);</w:t>
      </w:r>
    </w:p>
    <w:p w14:paraId="58F1540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Hepatitis (Leberentzündung);</w:t>
      </w:r>
    </w:p>
    <w:p w14:paraId="3D3088B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Erneuter Ausbruch von Hepatitis B;</w:t>
      </w:r>
    </w:p>
    <w:p w14:paraId="09F908C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der Leber, die durch das körpereigene Abwehrsystem ausgelöst wird (Autoimmunhepatitis);</w:t>
      </w:r>
    </w:p>
    <w:p w14:paraId="31D38F2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der Blutgefäße der Haut (kutane Vaskulitis);</w:t>
      </w:r>
    </w:p>
    <w:p w14:paraId="1C273CC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Stevens-Johnson-Syndrom (lebensbedrohliche Reaktion mit grippeähnlichen Symptomen und blasenbildendem Ausschlag);</w:t>
      </w:r>
    </w:p>
    <w:p w14:paraId="2853A34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Gesichtsschwellung (Ödem) in Verbindung mit allergischen Reaktionen;</w:t>
      </w:r>
    </w:p>
    <w:p w14:paraId="2BAC378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Entzündlicher Hautausschlag (Erythema multiforme);</w:t>
      </w:r>
    </w:p>
    <w:p w14:paraId="08DB3A9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Lupusähnliches Syndrom;</w:t>
      </w:r>
    </w:p>
    <w:p w14:paraId="5D63990E" w14:textId="77777777" w:rsidR="00FE291A" w:rsidRDefault="00C8738F">
      <w:pPr>
        <w:widowControl/>
        <w:numPr>
          <w:ilvl w:val="0"/>
          <w:numId w:val="56"/>
        </w:numPr>
        <w:autoSpaceDE/>
        <w:autoSpaceDN/>
        <w:adjustRightInd/>
        <w:ind w:left="567"/>
        <w:rPr>
          <w:sz w:val="22"/>
          <w:szCs w:val="22"/>
          <w:lang w:val="de-DE"/>
        </w:rPr>
      </w:pPr>
      <w:r>
        <w:rPr>
          <w:sz w:val="22"/>
          <w:szCs w:val="22"/>
          <w:lang w:val="de-DE"/>
        </w:rPr>
        <w:t>Angioödem (lokalisierte Schwellung der Haut);</w:t>
      </w:r>
    </w:p>
    <w:p w14:paraId="50F3A4FF" w14:textId="77777777" w:rsidR="00FE291A" w:rsidRDefault="00C8738F">
      <w:pPr>
        <w:widowControl/>
        <w:numPr>
          <w:ilvl w:val="0"/>
          <w:numId w:val="56"/>
        </w:numPr>
        <w:autoSpaceDE/>
        <w:autoSpaceDN/>
        <w:adjustRightInd/>
        <w:ind w:left="567"/>
        <w:rPr>
          <w:sz w:val="22"/>
          <w:szCs w:val="22"/>
          <w:lang w:val="de-DE"/>
        </w:rPr>
      </w:pPr>
      <w:r>
        <w:rPr>
          <w:sz w:val="22"/>
          <w:szCs w:val="22"/>
          <w:lang w:val="de-DE"/>
        </w:rPr>
        <w:t>Lichenoide Hautreaktion (juckender, rötlicher bis violetter Hautausschlag).</w:t>
      </w:r>
    </w:p>
    <w:p w14:paraId="2E0DAE98" w14:textId="77777777" w:rsidR="00FE291A" w:rsidRDefault="00FE291A">
      <w:pPr>
        <w:widowControl/>
        <w:kinsoku w:val="0"/>
        <w:overflowPunct w:val="0"/>
        <w:rPr>
          <w:sz w:val="22"/>
          <w:szCs w:val="26"/>
          <w:lang w:val="de-DE"/>
        </w:rPr>
      </w:pPr>
    </w:p>
    <w:p w14:paraId="5DEFBC88" w14:textId="77777777" w:rsidR="00FE291A" w:rsidRDefault="00C8738F">
      <w:pPr>
        <w:pStyle w:val="BodyText"/>
        <w:keepNext/>
        <w:keepLines/>
        <w:widowControl/>
        <w:kinsoku w:val="0"/>
        <w:overflowPunct w:val="0"/>
        <w:ind w:left="0"/>
        <w:rPr>
          <w:lang w:val="de-DE"/>
        </w:rPr>
      </w:pPr>
      <w:r>
        <w:rPr>
          <w:lang w:val="de-DE"/>
        </w:rPr>
        <w:t>Nicht bekannt (Häufigkeit auf Grundlage der verfügbaren Daten nicht abschätzbar):</w:t>
      </w:r>
    </w:p>
    <w:p w14:paraId="512099E7" w14:textId="77777777" w:rsidR="00FE291A" w:rsidRDefault="00C8738F">
      <w:pPr>
        <w:pStyle w:val="BodyText"/>
        <w:widowControl/>
        <w:numPr>
          <w:ilvl w:val="0"/>
          <w:numId w:val="56"/>
        </w:numPr>
        <w:kinsoku w:val="0"/>
        <w:overflowPunct w:val="0"/>
        <w:ind w:left="567"/>
        <w:rPr>
          <w:lang w:val="de-DE"/>
        </w:rPr>
      </w:pPr>
      <w:r>
        <w:rPr>
          <w:lang w:val="de-DE"/>
        </w:rPr>
        <w:t>Hepatosplenales T-Zell-Lymphom (ein selten auftretender Blutkrebs, der oft tödlich ist);</w:t>
      </w:r>
    </w:p>
    <w:p w14:paraId="6ABD0D5B" w14:textId="77777777" w:rsidR="00FE291A" w:rsidRDefault="00C8738F">
      <w:pPr>
        <w:pStyle w:val="BodyText"/>
        <w:widowControl/>
        <w:numPr>
          <w:ilvl w:val="0"/>
          <w:numId w:val="56"/>
        </w:numPr>
        <w:kinsoku w:val="0"/>
        <w:overflowPunct w:val="0"/>
        <w:ind w:left="567"/>
        <w:rPr>
          <w:lang w:val="de-DE"/>
        </w:rPr>
      </w:pPr>
      <w:r>
        <w:rPr>
          <w:lang w:val="de-DE"/>
        </w:rPr>
        <w:t>Merkelzellkarzinom (eine Art von Hautkrebs);</w:t>
      </w:r>
    </w:p>
    <w:p w14:paraId="71B63F1C" w14:textId="77777777" w:rsidR="00FE291A" w:rsidRDefault="00C8738F">
      <w:pPr>
        <w:pStyle w:val="BodyText"/>
        <w:widowControl/>
        <w:numPr>
          <w:ilvl w:val="0"/>
          <w:numId w:val="56"/>
        </w:numPr>
        <w:kinsoku w:val="0"/>
        <w:overflowPunct w:val="0"/>
        <w:ind w:left="567"/>
        <w:rPr>
          <w:lang w:val="de-DE"/>
        </w:rPr>
      </w:pPr>
      <w:r>
        <w:rPr>
          <w:lang w:val="de-DE"/>
        </w:rPr>
        <w:t>Kaposi-Sarkom, eine seltene Krebserkrankung, die mit einer Infektion mit dem humanen Herpesvirus 8 assoziiert ist. Das Kaposi-Sarkom tritt am häufigsten in Form von violetten Hautläsionen auf.</w:t>
      </w:r>
    </w:p>
    <w:p w14:paraId="77A01A51" w14:textId="77777777" w:rsidR="00FE291A" w:rsidRDefault="00C8738F">
      <w:pPr>
        <w:pStyle w:val="BodyText"/>
        <w:widowControl/>
        <w:numPr>
          <w:ilvl w:val="0"/>
          <w:numId w:val="56"/>
        </w:numPr>
        <w:kinsoku w:val="0"/>
        <w:overflowPunct w:val="0"/>
        <w:ind w:left="567"/>
        <w:rPr>
          <w:lang w:val="de-DE"/>
        </w:rPr>
      </w:pPr>
      <w:r>
        <w:rPr>
          <w:lang w:val="de-DE"/>
        </w:rPr>
        <w:t>Leberversagen;</w:t>
      </w:r>
    </w:p>
    <w:p w14:paraId="541E8D16" w14:textId="77777777" w:rsidR="00FE291A" w:rsidRDefault="00C8738F">
      <w:pPr>
        <w:pStyle w:val="BodyText"/>
        <w:widowControl/>
        <w:numPr>
          <w:ilvl w:val="0"/>
          <w:numId w:val="56"/>
        </w:numPr>
        <w:kinsoku w:val="0"/>
        <w:overflowPunct w:val="0"/>
        <w:ind w:left="567"/>
        <w:rPr>
          <w:lang w:val="de-DE"/>
        </w:rPr>
      </w:pPr>
      <w:r>
        <w:rPr>
          <w:lang w:val="de-DE"/>
        </w:rPr>
        <w:t>Verschlechterung einer sogenannten Dermatomyositis (tritt als Hautausschlag in Verbindung mit Muskelschwäche in Erscheinung);</w:t>
      </w:r>
    </w:p>
    <w:p w14:paraId="331761FB" w14:textId="77777777" w:rsidR="00FE291A" w:rsidRDefault="00C8738F">
      <w:pPr>
        <w:pStyle w:val="BodyText"/>
        <w:widowControl/>
        <w:numPr>
          <w:ilvl w:val="0"/>
          <w:numId w:val="56"/>
        </w:numPr>
        <w:kinsoku w:val="0"/>
        <w:overflowPunct w:val="0"/>
        <w:ind w:left="567"/>
        <w:rPr>
          <w:lang w:val="de-DE"/>
        </w:rPr>
      </w:pPr>
      <w:r>
        <w:rPr>
          <w:lang w:val="de-DE"/>
        </w:rPr>
        <w:t>Gewichtszunahme (bei den meisten Patienten war die Gewichtszunahme gering).</w:t>
      </w:r>
    </w:p>
    <w:p w14:paraId="23169D9F" w14:textId="77777777" w:rsidR="00FE291A" w:rsidRDefault="00FE291A">
      <w:pPr>
        <w:widowControl/>
        <w:kinsoku w:val="0"/>
        <w:overflowPunct w:val="0"/>
        <w:rPr>
          <w:sz w:val="22"/>
          <w:lang w:val="de-DE"/>
        </w:rPr>
      </w:pPr>
    </w:p>
    <w:p w14:paraId="35A9A285" w14:textId="77777777" w:rsidR="00FE291A" w:rsidRDefault="00C8738F">
      <w:pPr>
        <w:pStyle w:val="BodyText"/>
        <w:keepNext/>
        <w:widowControl/>
        <w:kinsoku w:val="0"/>
        <w:overflowPunct w:val="0"/>
        <w:ind w:left="0"/>
        <w:rPr>
          <w:lang w:val="de-DE"/>
        </w:rPr>
      </w:pPr>
      <w:r>
        <w:rPr>
          <w:lang w:val="de-DE"/>
        </w:rPr>
        <w:t>Mit Adalimumab wurden einige Nebenwirkungen beobachtet, die keine Anzeichen haben und nur durch Bluttests erkannt werden können. Dazu gehören:</w:t>
      </w:r>
    </w:p>
    <w:p w14:paraId="47CCA647" w14:textId="77777777" w:rsidR="00FE291A" w:rsidRDefault="00FE291A">
      <w:pPr>
        <w:widowControl/>
        <w:kinsoku w:val="0"/>
        <w:overflowPunct w:val="0"/>
        <w:rPr>
          <w:sz w:val="22"/>
          <w:szCs w:val="26"/>
          <w:lang w:val="de-DE"/>
        </w:rPr>
      </w:pPr>
    </w:p>
    <w:p w14:paraId="1113C318" w14:textId="77777777" w:rsidR="00FE291A" w:rsidRDefault="00C8738F">
      <w:pPr>
        <w:pStyle w:val="BodyText"/>
        <w:widowControl/>
        <w:kinsoku w:val="0"/>
        <w:overflowPunct w:val="0"/>
        <w:ind w:left="0"/>
        <w:rPr>
          <w:lang w:val="de-DE"/>
        </w:rPr>
      </w:pPr>
      <w:r>
        <w:rPr>
          <w:lang w:val="de-DE"/>
        </w:rPr>
        <w:t>Sehr häufig (kann mehr als 1 von 10 Behandelten betreffen):</w:t>
      </w:r>
    </w:p>
    <w:p w14:paraId="3E30264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Verringerte Anzahl weißer Blutkörperchen;</w:t>
      </w:r>
    </w:p>
    <w:p w14:paraId="5838E18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Verringerte Anzahl roter Blutkörperchen;</w:t>
      </w:r>
    </w:p>
    <w:p w14:paraId="19310EA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Erhöhte Blutfettwerte;</w:t>
      </w:r>
    </w:p>
    <w:p w14:paraId="0A0BD3E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Erhöhte Werte für Leberenzyme.</w:t>
      </w:r>
    </w:p>
    <w:p w14:paraId="02CCA6A7" w14:textId="77777777" w:rsidR="00FE291A" w:rsidRDefault="00FE291A">
      <w:pPr>
        <w:widowControl/>
        <w:kinsoku w:val="0"/>
        <w:overflowPunct w:val="0"/>
        <w:rPr>
          <w:sz w:val="22"/>
          <w:szCs w:val="26"/>
          <w:lang w:val="de-DE"/>
        </w:rPr>
      </w:pPr>
    </w:p>
    <w:p w14:paraId="0021F976" w14:textId="77777777" w:rsidR="00FE291A" w:rsidRDefault="00C8738F">
      <w:pPr>
        <w:pStyle w:val="BodyText"/>
        <w:keepNext/>
        <w:widowControl/>
        <w:kinsoku w:val="0"/>
        <w:overflowPunct w:val="0"/>
        <w:ind w:left="0"/>
        <w:rPr>
          <w:lang w:val="de-DE"/>
        </w:rPr>
      </w:pPr>
      <w:r>
        <w:rPr>
          <w:lang w:val="de-DE"/>
        </w:rPr>
        <w:t>Häufig (kann bis zu 1 von 10 Behandelten betreffen):</w:t>
      </w:r>
    </w:p>
    <w:p w14:paraId="326BDE7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Erhöhte Anzahl weißer Blutkörperchen;</w:t>
      </w:r>
    </w:p>
    <w:p w14:paraId="6F42475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Verringerte Anzahl von Blutplättchen;</w:t>
      </w:r>
    </w:p>
    <w:p w14:paraId="5CB8264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Erhöhte Harnsäurewerte;</w:t>
      </w:r>
    </w:p>
    <w:p w14:paraId="1FA06E7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Abnormale Blutwerte für Natrium;</w:t>
      </w:r>
    </w:p>
    <w:p w14:paraId="68B9D54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Niedrige Blutwerte für Kalzium;</w:t>
      </w:r>
    </w:p>
    <w:p w14:paraId="3C387BD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Niedrige Blutwerte für Phosphat;</w:t>
      </w:r>
    </w:p>
    <w:p w14:paraId="5DF36F3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Hohe Blutzuckerwerte;</w:t>
      </w:r>
    </w:p>
    <w:p w14:paraId="5EFDC2A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Hohe Blutwerte für Lactatdehydrogenase;</w:t>
      </w:r>
    </w:p>
    <w:p w14:paraId="48226E2B" w14:textId="77777777" w:rsidR="00FE291A" w:rsidRDefault="00C8738F">
      <w:pPr>
        <w:pStyle w:val="BodyText"/>
        <w:keepNext/>
        <w:widowControl/>
        <w:numPr>
          <w:ilvl w:val="0"/>
          <w:numId w:val="56"/>
        </w:numPr>
        <w:tabs>
          <w:tab w:val="left" w:pos="567"/>
        </w:tabs>
        <w:kinsoku w:val="0"/>
        <w:overflowPunct w:val="0"/>
        <w:ind w:left="567"/>
        <w:rPr>
          <w:lang w:val="de-DE"/>
        </w:rPr>
      </w:pPr>
      <w:r>
        <w:rPr>
          <w:lang w:val="de-DE"/>
        </w:rPr>
        <w:t>Nachweis von Autoantikörpern im Blut;</w:t>
      </w:r>
    </w:p>
    <w:p w14:paraId="6BE9431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Hypokaliämie (Kaliummangel im Blut).</w:t>
      </w:r>
    </w:p>
    <w:p w14:paraId="6EC05AB1" w14:textId="77777777" w:rsidR="00FE291A" w:rsidRDefault="00FE291A">
      <w:pPr>
        <w:widowControl/>
        <w:kinsoku w:val="0"/>
        <w:overflowPunct w:val="0"/>
        <w:rPr>
          <w:sz w:val="22"/>
          <w:szCs w:val="26"/>
          <w:lang w:val="de-DE"/>
        </w:rPr>
      </w:pPr>
    </w:p>
    <w:p w14:paraId="64642A1D" w14:textId="77777777" w:rsidR="00FE291A" w:rsidRDefault="00C8738F">
      <w:pPr>
        <w:pStyle w:val="BodyText"/>
        <w:widowControl/>
        <w:kinsoku w:val="0"/>
        <w:overflowPunct w:val="0"/>
        <w:ind w:left="0"/>
        <w:rPr>
          <w:lang w:val="de-DE"/>
        </w:rPr>
      </w:pPr>
      <w:r>
        <w:rPr>
          <w:lang w:val="de-DE"/>
        </w:rPr>
        <w:t>Gelegentlich (kann bis zu 1 von 100 Behandelten betreffen):</w:t>
      </w:r>
    </w:p>
    <w:p w14:paraId="71B09770" w14:textId="77777777" w:rsidR="00FE291A" w:rsidRDefault="00C8738F">
      <w:pPr>
        <w:pStyle w:val="BodyText"/>
        <w:numPr>
          <w:ilvl w:val="0"/>
          <w:numId w:val="57"/>
        </w:numPr>
        <w:tabs>
          <w:tab w:val="clear" w:pos="720"/>
          <w:tab w:val="left" w:pos="567"/>
        </w:tabs>
        <w:kinsoku w:val="0"/>
        <w:overflowPunct w:val="0"/>
        <w:ind w:left="567" w:hanging="567"/>
        <w:rPr>
          <w:lang w:val="de-DE"/>
        </w:rPr>
      </w:pPr>
      <w:r>
        <w:rPr>
          <w:lang w:val="de-DE"/>
        </w:rPr>
        <w:t>Erhöhte Bilirubin-Konzentration im Blut (Leberwerte).</w:t>
      </w:r>
    </w:p>
    <w:p w14:paraId="1EAE9C06" w14:textId="77777777" w:rsidR="00FE291A" w:rsidRDefault="00FE291A">
      <w:pPr>
        <w:widowControl/>
        <w:kinsoku w:val="0"/>
        <w:overflowPunct w:val="0"/>
        <w:rPr>
          <w:sz w:val="22"/>
          <w:szCs w:val="26"/>
          <w:lang w:val="de-DE"/>
        </w:rPr>
      </w:pPr>
    </w:p>
    <w:p w14:paraId="2BA4613B" w14:textId="77777777" w:rsidR="00FE291A" w:rsidRDefault="00C8738F">
      <w:pPr>
        <w:pStyle w:val="BodyText"/>
        <w:keepNext/>
        <w:keepLines/>
        <w:widowControl/>
        <w:kinsoku w:val="0"/>
        <w:overflowPunct w:val="0"/>
        <w:ind w:left="0"/>
        <w:rPr>
          <w:lang w:val="de-DE"/>
        </w:rPr>
      </w:pPr>
      <w:r>
        <w:rPr>
          <w:lang w:val="de-DE"/>
        </w:rPr>
        <w:t>Selten (kann bis zu 1 von 1.000 Behandelten betreffen):</w:t>
      </w:r>
    </w:p>
    <w:p w14:paraId="5C32E01C" w14:textId="77777777" w:rsidR="00FE291A" w:rsidRDefault="00C8738F">
      <w:pPr>
        <w:pStyle w:val="BodyText"/>
        <w:widowControl/>
        <w:numPr>
          <w:ilvl w:val="0"/>
          <w:numId w:val="56"/>
        </w:numPr>
        <w:tabs>
          <w:tab w:val="left" w:pos="567"/>
        </w:tabs>
        <w:kinsoku w:val="0"/>
        <w:overflowPunct w:val="0"/>
        <w:ind w:left="0" w:firstLine="0"/>
        <w:rPr>
          <w:lang w:val="de-DE"/>
        </w:rPr>
      </w:pPr>
      <w:r>
        <w:rPr>
          <w:lang w:val="de-DE"/>
        </w:rPr>
        <w:t xml:space="preserve">Verringerte Anzahl von weißen und roten Blutkörperchen sowie von Blutplättchen. </w:t>
      </w:r>
    </w:p>
    <w:p w14:paraId="26CC7D8C" w14:textId="77777777" w:rsidR="00FE291A" w:rsidRDefault="00FE291A">
      <w:pPr>
        <w:pStyle w:val="BodyText"/>
        <w:widowControl/>
        <w:tabs>
          <w:tab w:val="left" w:pos="690"/>
        </w:tabs>
        <w:kinsoku w:val="0"/>
        <w:overflowPunct w:val="0"/>
        <w:ind w:left="0"/>
        <w:rPr>
          <w:lang w:val="de-DE"/>
        </w:rPr>
      </w:pPr>
    </w:p>
    <w:p w14:paraId="0DF92281" w14:textId="77777777" w:rsidR="00FE291A" w:rsidRDefault="00C8738F">
      <w:pPr>
        <w:pStyle w:val="Heading1"/>
        <w:keepNext/>
        <w:widowControl/>
        <w:kinsoku w:val="0"/>
        <w:overflowPunct w:val="0"/>
        <w:ind w:left="0"/>
        <w:rPr>
          <w:b w:val="0"/>
          <w:bCs w:val="0"/>
          <w:lang w:val="de-DE"/>
        </w:rPr>
      </w:pPr>
      <w:r>
        <w:rPr>
          <w:lang w:val="de-DE"/>
        </w:rPr>
        <w:t>Meldung von Nebenwirkungen</w:t>
      </w:r>
    </w:p>
    <w:p w14:paraId="29AD5CA5" w14:textId="77777777" w:rsidR="00FE291A" w:rsidRDefault="00FE291A">
      <w:pPr>
        <w:keepNext/>
        <w:widowControl/>
        <w:kinsoku w:val="0"/>
        <w:overflowPunct w:val="0"/>
        <w:rPr>
          <w:sz w:val="22"/>
          <w:szCs w:val="22"/>
          <w:lang w:val="de-DE"/>
        </w:rPr>
      </w:pPr>
    </w:p>
    <w:p w14:paraId="7AC7FF1A" w14:textId="77777777" w:rsidR="00FE291A" w:rsidRDefault="00C8738F">
      <w:pPr>
        <w:pStyle w:val="BodyText"/>
        <w:widowControl/>
        <w:kinsoku w:val="0"/>
        <w:overflowPunct w:val="0"/>
        <w:ind w:left="0"/>
        <w:rPr>
          <w:color w:val="000000"/>
          <w:lang w:val="de-DE"/>
        </w:rPr>
      </w:pPr>
      <w:r>
        <w:rPr>
          <w:lang w:val="de-DE"/>
        </w:rPr>
        <w:t xml:space="preserve">Wenn Sie Nebenwirkungen bemerken, wenden Sie sich an Ihren Arzt oder Apotheker. Dies gilt auch für Nebenwirkungen, die nicht in dieser Packungsbeilage angegeben sind. Sie können Nebenwirkungen auch direkt über </w:t>
      </w:r>
      <w:r>
        <w:rPr>
          <w:highlight w:val="lightGray"/>
          <w:lang w:val="de-DE"/>
        </w:rPr>
        <w:t xml:space="preserve">das in </w:t>
      </w:r>
      <w:r>
        <w:fldChar w:fldCharType="begin"/>
      </w:r>
      <w:r w:rsidRPr="00F076DE">
        <w:rPr>
          <w:lang w:val="de-DE"/>
          <w:rPrChange w:id="124" w:author="Author">
            <w:rPr/>
          </w:rPrChange>
        </w:rPr>
        <w:instrText>HYPERLINK "https://www.ema.europa.eu/en/documents/template-form/qrd-appendix-v-adverse-drug-reaction-reporting-details_en.docx" \h</w:instrText>
      </w:r>
      <w:r>
        <w:fldChar w:fldCharType="separate"/>
      </w:r>
      <w:r>
        <w:rPr>
          <w:rStyle w:val="Hyperlink"/>
          <w:rFonts w:eastAsia="Times New Roman"/>
          <w:color w:val="0000FF"/>
          <w:szCs w:val="20"/>
          <w:highlight w:val="lightGray"/>
          <w:lang w:val="de-DE" w:eastAsia="de-DE" w:bidi="de-DE"/>
        </w:rPr>
        <w:t>Anhang V</w:t>
      </w:r>
      <w:r>
        <w:fldChar w:fldCharType="end"/>
      </w:r>
      <w:r>
        <w:rPr>
          <w:rStyle w:val="Hyperlink"/>
          <w:color w:val="auto"/>
          <w:highlight w:val="lightGray"/>
          <w:u w:val="none"/>
          <w:lang w:val="de-DE"/>
        </w:rPr>
        <w:t xml:space="preserve"> </w:t>
      </w:r>
      <w:r>
        <w:rPr>
          <w:color w:val="000000"/>
          <w:highlight w:val="lightGray"/>
          <w:lang w:val="de-DE"/>
        </w:rPr>
        <w:t>aufgeführte nationale Meldesystem</w:t>
      </w:r>
      <w:r>
        <w:rPr>
          <w:color w:val="000000"/>
          <w:lang w:val="de-DE"/>
        </w:rPr>
        <w:t xml:space="preserve"> anzeigen. Indem Sie Nebenwirkungen melden, können Sie dazu beitragen, dass mehr Informationen über die Sicherheit dieses Arzneimittels zur Verfügung gestellt werden.</w:t>
      </w:r>
    </w:p>
    <w:p w14:paraId="65928E7D" w14:textId="77777777" w:rsidR="00FE291A" w:rsidRDefault="00FE291A">
      <w:pPr>
        <w:widowControl/>
        <w:kinsoku w:val="0"/>
        <w:overflowPunct w:val="0"/>
        <w:rPr>
          <w:sz w:val="22"/>
          <w:szCs w:val="22"/>
          <w:lang w:val="de-DE"/>
        </w:rPr>
      </w:pPr>
    </w:p>
    <w:p w14:paraId="42714FF7" w14:textId="77777777" w:rsidR="00FE291A" w:rsidRDefault="00FE291A">
      <w:pPr>
        <w:widowControl/>
        <w:kinsoku w:val="0"/>
        <w:overflowPunct w:val="0"/>
        <w:rPr>
          <w:sz w:val="22"/>
          <w:szCs w:val="22"/>
          <w:lang w:val="de-DE"/>
        </w:rPr>
      </w:pPr>
    </w:p>
    <w:p w14:paraId="1015888E" w14:textId="77777777" w:rsidR="00FE291A" w:rsidRDefault="00C8738F">
      <w:pPr>
        <w:pStyle w:val="Heading1"/>
        <w:keepNext/>
        <w:widowControl/>
        <w:tabs>
          <w:tab w:val="left" w:pos="567"/>
        </w:tabs>
        <w:kinsoku w:val="0"/>
        <w:overflowPunct w:val="0"/>
        <w:ind w:left="567" w:hanging="567"/>
        <w:rPr>
          <w:b w:val="0"/>
          <w:bCs w:val="0"/>
          <w:lang w:val="de-DE"/>
        </w:rPr>
      </w:pPr>
      <w:r>
        <w:rPr>
          <w:lang w:val="de-DE"/>
        </w:rPr>
        <w:t>5.</w:t>
      </w:r>
      <w:r>
        <w:rPr>
          <w:lang w:val="de-DE"/>
        </w:rPr>
        <w:tab/>
        <w:t>Wie ist AMGEVITA aufzubewahren?</w:t>
      </w:r>
    </w:p>
    <w:p w14:paraId="2524708D" w14:textId="77777777" w:rsidR="00FE291A" w:rsidRDefault="00FE291A">
      <w:pPr>
        <w:keepNext/>
        <w:widowControl/>
        <w:kinsoku w:val="0"/>
        <w:overflowPunct w:val="0"/>
        <w:rPr>
          <w:sz w:val="22"/>
          <w:szCs w:val="22"/>
          <w:lang w:val="de-DE"/>
        </w:rPr>
      </w:pPr>
    </w:p>
    <w:p w14:paraId="01FE9736" w14:textId="77777777" w:rsidR="00FE291A" w:rsidRDefault="00C8738F">
      <w:pPr>
        <w:pStyle w:val="BodyText"/>
        <w:widowControl/>
        <w:kinsoku w:val="0"/>
        <w:overflowPunct w:val="0"/>
        <w:ind w:left="0"/>
        <w:rPr>
          <w:lang w:val="de-DE"/>
        </w:rPr>
      </w:pPr>
      <w:r>
        <w:rPr>
          <w:lang w:val="de-DE"/>
        </w:rPr>
        <w:t>Für Kinder unzugänglich aufbewahren.</w:t>
      </w:r>
    </w:p>
    <w:p w14:paraId="1EFB98C2" w14:textId="77777777" w:rsidR="00FE291A" w:rsidRDefault="00FE291A">
      <w:pPr>
        <w:widowControl/>
        <w:kinsoku w:val="0"/>
        <w:overflowPunct w:val="0"/>
        <w:rPr>
          <w:sz w:val="22"/>
          <w:szCs w:val="22"/>
          <w:lang w:val="de-DE"/>
        </w:rPr>
      </w:pPr>
    </w:p>
    <w:p w14:paraId="35200F6A" w14:textId="77777777" w:rsidR="00FE291A" w:rsidRDefault="00C8738F">
      <w:pPr>
        <w:pStyle w:val="BodyText"/>
        <w:widowControl/>
        <w:kinsoku w:val="0"/>
        <w:overflowPunct w:val="0"/>
        <w:ind w:left="0"/>
        <w:rPr>
          <w:lang w:val="de-DE"/>
        </w:rPr>
      </w:pPr>
      <w:r>
        <w:rPr>
          <w:lang w:val="de-DE"/>
        </w:rPr>
        <w:t>Sie dürfen dieses Arzneimittel nach dem auf dem Etikett/Blister und Umkarton nach „EXP“ bzw. „verwendbar bis“ angegebenen Verfalldatum nicht mehr verwenden. Das Verfalldatum bezieht sich auf den letzten Tag des angegebenen Monats.</w:t>
      </w:r>
    </w:p>
    <w:p w14:paraId="29FC242F" w14:textId="77777777" w:rsidR="00FE291A" w:rsidRDefault="00FE291A">
      <w:pPr>
        <w:widowControl/>
        <w:kinsoku w:val="0"/>
        <w:overflowPunct w:val="0"/>
        <w:rPr>
          <w:sz w:val="22"/>
          <w:szCs w:val="22"/>
          <w:lang w:val="de-DE"/>
        </w:rPr>
      </w:pPr>
    </w:p>
    <w:p w14:paraId="4904EE46" w14:textId="77777777" w:rsidR="00FE291A" w:rsidRDefault="00C8738F">
      <w:pPr>
        <w:pStyle w:val="BodyText"/>
        <w:widowControl/>
        <w:kinsoku w:val="0"/>
        <w:overflowPunct w:val="0"/>
        <w:ind w:left="0"/>
        <w:rPr>
          <w:lang w:val="de-DE"/>
        </w:rPr>
      </w:pPr>
      <w:r>
        <w:rPr>
          <w:lang w:val="de-DE"/>
        </w:rPr>
        <w:t>Im Kühlschrank lagern (2 °C – 8 °C). Nicht einfrieren.</w:t>
      </w:r>
    </w:p>
    <w:p w14:paraId="5D35CD0B" w14:textId="77777777" w:rsidR="00FE291A" w:rsidRDefault="00FE291A">
      <w:pPr>
        <w:pStyle w:val="BodyText"/>
        <w:widowControl/>
        <w:kinsoku w:val="0"/>
        <w:overflowPunct w:val="0"/>
        <w:ind w:left="0"/>
        <w:rPr>
          <w:lang w:val="de-DE"/>
        </w:rPr>
      </w:pPr>
    </w:p>
    <w:p w14:paraId="74080220" w14:textId="77777777" w:rsidR="00FE291A" w:rsidRDefault="00C8738F">
      <w:pPr>
        <w:pStyle w:val="BodyText"/>
        <w:widowControl/>
        <w:kinsoku w:val="0"/>
        <w:overflowPunct w:val="0"/>
        <w:ind w:left="0"/>
        <w:rPr>
          <w:lang w:val="de-DE"/>
        </w:rPr>
      </w:pPr>
      <w:r>
        <w:rPr>
          <w:lang w:val="de-DE"/>
        </w:rPr>
        <w:t xml:space="preserve">In der Originalverpackung aufbewahren, um den Inhalt vor Licht zu schützen. </w:t>
      </w:r>
    </w:p>
    <w:p w14:paraId="72466B60" w14:textId="77777777" w:rsidR="00FE291A" w:rsidRDefault="00FE291A">
      <w:pPr>
        <w:pStyle w:val="BodyText"/>
        <w:widowControl/>
        <w:kinsoku w:val="0"/>
        <w:overflowPunct w:val="0"/>
        <w:ind w:left="0"/>
        <w:rPr>
          <w:lang w:val="de-DE"/>
        </w:rPr>
      </w:pPr>
    </w:p>
    <w:p w14:paraId="1292357E" w14:textId="77777777" w:rsidR="00FE291A" w:rsidRDefault="00C8738F">
      <w:pPr>
        <w:pStyle w:val="BodyText"/>
        <w:widowControl/>
        <w:kinsoku w:val="0"/>
        <w:overflowPunct w:val="0"/>
        <w:ind w:left="0"/>
        <w:rPr>
          <w:lang w:val="de-DE"/>
        </w:rPr>
      </w:pPr>
      <w:r>
        <w:rPr>
          <w:lang w:val="de-DE"/>
        </w:rPr>
        <w:t>Eine einzelne AMGEVITA-Fertigspritze kann für einen Zeitraum von bis zu 14 Tagen bei Temperaturen bis zu 25 °C aufbewahrt werden. Die Fertigspritze muss vor Licht geschützt aufbewahrt und weggeworfen werden, wenn sie nicht innerhalb des Zeitraums von 14 Tagen verbraucht wurde.</w:t>
      </w:r>
    </w:p>
    <w:p w14:paraId="0E1AE0BE" w14:textId="77777777" w:rsidR="00FE291A" w:rsidRDefault="00FE291A">
      <w:pPr>
        <w:pStyle w:val="BodyText"/>
        <w:widowControl/>
        <w:kinsoku w:val="0"/>
        <w:overflowPunct w:val="0"/>
        <w:ind w:left="0"/>
        <w:rPr>
          <w:lang w:val="de-DE"/>
        </w:rPr>
      </w:pPr>
    </w:p>
    <w:p w14:paraId="382C94D1" w14:textId="77777777" w:rsidR="00FE291A" w:rsidRDefault="00C8738F">
      <w:pPr>
        <w:pStyle w:val="BodyText"/>
        <w:widowControl/>
        <w:kinsoku w:val="0"/>
        <w:overflowPunct w:val="0"/>
        <w:ind w:left="0"/>
        <w:rPr>
          <w:lang w:val="de-DE"/>
        </w:rPr>
      </w:pPr>
      <w:r>
        <w:rPr>
          <w:lang w:val="de-DE"/>
        </w:rPr>
        <w:t>Entsorgen Sie Arzneimittel nicht im Abwasser oder Haushaltsabfall. Fragen Sie Ihren Apotheker, wie das Arzneimittel zu entsorgen ist, wenn Sie es nicht mehr verwenden. Sie tragen damit zum Schutz der Umwelt bei.</w:t>
      </w:r>
    </w:p>
    <w:p w14:paraId="2155EDD2" w14:textId="77777777" w:rsidR="00FE291A" w:rsidRDefault="00FE291A">
      <w:pPr>
        <w:widowControl/>
        <w:kinsoku w:val="0"/>
        <w:overflowPunct w:val="0"/>
        <w:rPr>
          <w:sz w:val="22"/>
          <w:szCs w:val="22"/>
          <w:lang w:val="de-DE"/>
        </w:rPr>
      </w:pPr>
    </w:p>
    <w:p w14:paraId="7891473C" w14:textId="77777777" w:rsidR="00FE291A" w:rsidRDefault="00FE291A">
      <w:pPr>
        <w:widowControl/>
        <w:kinsoku w:val="0"/>
        <w:overflowPunct w:val="0"/>
        <w:rPr>
          <w:sz w:val="22"/>
          <w:szCs w:val="22"/>
          <w:lang w:val="de-DE"/>
        </w:rPr>
      </w:pPr>
    </w:p>
    <w:p w14:paraId="7866C09B" w14:textId="77777777" w:rsidR="00FE291A" w:rsidRDefault="00C8738F">
      <w:pPr>
        <w:pStyle w:val="Heading1"/>
        <w:keepNext/>
        <w:widowControl/>
        <w:tabs>
          <w:tab w:val="left" w:pos="567"/>
        </w:tabs>
        <w:kinsoku w:val="0"/>
        <w:overflowPunct w:val="0"/>
        <w:ind w:left="0"/>
        <w:rPr>
          <w:b w:val="0"/>
          <w:bCs w:val="0"/>
          <w:lang w:val="de-DE"/>
        </w:rPr>
      </w:pPr>
      <w:r>
        <w:rPr>
          <w:lang w:val="de-DE"/>
        </w:rPr>
        <w:t>6.</w:t>
      </w:r>
      <w:r>
        <w:rPr>
          <w:lang w:val="de-DE"/>
        </w:rPr>
        <w:tab/>
        <w:t xml:space="preserve">Inhalt der Packung und weitere Informationen </w:t>
      </w:r>
    </w:p>
    <w:p w14:paraId="18F7E53C" w14:textId="77777777" w:rsidR="00FE291A" w:rsidRDefault="00FE291A">
      <w:pPr>
        <w:pStyle w:val="Heading1"/>
        <w:keepNext/>
        <w:widowControl/>
        <w:tabs>
          <w:tab w:val="left" w:pos="684"/>
        </w:tabs>
        <w:kinsoku w:val="0"/>
        <w:overflowPunct w:val="0"/>
        <w:ind w:left="0"/>
        <w:rPr>
          <w:b w:val="0"/>
          <w:bCs w:val="0"/>
          <w:lang w:val="de-DE"/>
        </w:rPr>
      </w:pPr>
    </w:p>
    <w:p w14:paraId="7921EA10" w14:textId="77777777" w:rsidR="00FE291A" w:rsidRDefault="00C8738F">
      <w:pPr>
        <w:pStyle w:val="Heading1"/>
        <w:keepNext/>
        <w:widowControl/>
        <w:tabs>
          <w:tab w:val="left" w:pos="684"/>
        </w:tabs>
        <w:kinsoku w:val="0"/>
        <w:overflowPunct w:val="0"/>
        <w:ind w:left="0"/>
        <w:rPr>
          <w:b w:val="0"/>
          <w:bCs w:val="0"/>
          <w:lang w:val="de-DE"/>
        </w:rPr>
      </w:pPr>
      <w:r>
        <w:rPr>
          <w:lang w:val="de-DE"/>
        </w:rPr>
        <w:t>Was AMGEVITA enthält</w:t>
      </w:r>
    </w:p>
    <w:p w14:paraId="251D5BA7" w14:textId="77777777" w:rsidR="00FE291A" w:rsidRDefault="00C8738F">
      <w:pPr>
        <w:pStyle w:val="BodyText"/>
        <w:widowControl/>
        <w:numPr>
          <w:ilvl w:val="0"/>
          <w:numId w:val="58"/>
        </w:numPr>
        <w:kinsoku w:val="0"/>
        <w:overflowPunct w:val="0"/>
        <w:ind w:left="567"/>
        <w:rPr>
          <w:lang w:val="de-DE"/>
        </w:rPr>
      </w:pPr>
      <w:r>
        <w:rPr>
          <w:lang w:val="de-DE"/>
        </w:rPr>
        <w:t>Der Wirkstoff ist: Adalimumab. Jede Fertigspritze enthält 20 mg Adalimumab in 0,4 ml Lösung oder 40 mg Adalimumab in 0,8 ml Lösung.</w:t>
      </w:r>
    </w:p>
    <w:p w14:paraId="7251E89C" w14:textId="77777777" w:rsidR="00FE291A" w:rsidRDefault="00C8738F">
      <w:pPr>
        <w:pStyle w:val="BodyText"/>
        <w:widowControl/>
        <w:numPr>
          <w:ilvl w:val="0"/>
          <w:numId w:val="58"/>
        </w:numPr>
        <w:kinsoku w:val="0"/>
        <w:overflowPunct w:val="0"/>
        <w:ind w:left="567"/>
        <w:rPr>
          <w:lang w:val="de-DE"/>
        </w:rPr>
      </w:pPr>
      <w:r>
        <w:rPr>
          <w:lang w:val="de-DE"/>
        </w:rPr>
        <w:t>Die sonstigen Bestandteile sind: Essigsäure 99 %, Saccharose, Polysorbat 80, Natriumhydroxid und Wasser für Injektionszwecke.</w:t>
      </w:r>
    </w:p>
    <w:p w14:paraId="4B55ABCC" w14:textId="77777777" w:rsidR="00FE291A" w:rsidRDefault="00FE291A">
      <w:pPr>
        <w:widowControl/>
        <w:kinsoku w:val="0"/>
        <w:overflowPunct w:val="0"/>
        <w:rPr>
          <w:sz w:val="22"/>
          <w:szCs w:val="22"/>
          <w:lang w:val="de-DE"/>
        </w:rPr>
      </w:pPr>
    </w:p>
    <w:p w14:paraId="30AC8627" w14:textId="77777777" w:rsidR="00FE291A" w:rsidRDefault="00C8738F">
      <w:pPr>
        <w:pStyle w:val="Heading1"/>
        <w:widowControl/>
        <w:kinsoku w:val="0"/>
        <w:overflowPunct w:val="0"/>
        <w:ind w:left="0"/>
        <w:rPr>
          <w:b w:val="0"/>
          <w:bCs w:val="0"/>
          <w:lang w:val="de-DE"/>
        </w:rPr>
      </w:pPr>
      <w:r>
        <w:rPr>
          <w:lang w:val="de-DE"/>
        </w:rPr>
        <w:t>Wie AMGEVITA aussieht und Inhalt der Packung</w:t>
      </w:r>
    </w:p>
    <w:p w14:paraId="65A36639" w14:textId="77777777" w:rsidR="00FE291A" w:rsidRDefault="00FE291A">
      <w:pPr>
        <w:widowControl/>
        <w:kinsoku w:val="0"/>
        <w:overflowPunct w:val="0"/>
        <w:rPr>
          <w:sz w:val="22"/>
          <w:szCs w:val="22"/>
          <w:lang w:val="de-DE"/>
        </w:rPr>
      </w:pPr>
    </w:p>
    <w:p w14:paraId="489593AA" w14:textId="77777777" w:rsidR="00FE291A" w:rsidRDefault="00C8738F">
      <w:pPr>
        <w:pStyle w:val="BodyText"/>
        <w:widowControl/>
        <w:kinsoku w:val="0"/>
        <w:overflowPunct w:val="0"/>
        <w:ind w:left="0"/>
        <w:rPr>
          <w:lang w:val="de-DE"/>
        </w:rPr>
      </w:pPr>
      <w:r>
        <w:rPr>
          <w:lang w:val="de-DE"/>
        </w:rPr>
        <w:t>AMGEVITA ist eine klare und farblose bis leicht gelbliche Lösung.</w:t>
      </w:r>
    </w:p>
    <w:p w14:paraId="2D4EBD5F" w14:textId="77777777" w:rsidR="00FE291A" w:rsidRDefault="00FE291A">
      <w:pPr>
        <w:pStyle w:val="BodyText"/>
        <w:widowControl/>
        <w:kinsoku w:val="0"/>
        <w:overflowPunct w:val="0"/>
        <w:ind w:left="0"/>
        <w:rPr>
          <w:lang w:val="de-DE"/>
        </w:rPr>
      </w:pPr>
    </w:p>
    <w:p w14:paraId="40C3AC78" w14:textId="77777777" w:rsidR="00FE291A" w:rsidRDefault="00C8738F">
      <w:pPr>
        <w:pStyle w:val="BodyText"/>
        <w:widowControl/>
        <w:kinsoku w:val="0"/>
        <w:overflowPunct w:val="0"/>
        <w:ind w:left="0"/>
        <w:rPr>
          <w:lang w:val="de-DE"/>
        </w:rPr>
      </w:pPr>
      <w:r>
        <w:rPr>
          <w:lang w:val="de-DE"/>
        </w:rPr>
        <w:t>Jede Packung enthält eine 20 mg Fertigspritze zum Einmalgebrauch (mit gelber Kolbenstange).</w:t>
      </w:r>
    </w:p>
    <w:p w14:paraId="2DBC51F5" w14:textId="77777777" w:rsidR="00FE291A" w:rsidRDefault="00C8738F">
      <w:pPr>
        <w:pStyle w:val="BodyText"/>
        <w:widowControl/>
        <w:kinsoku w:val="0"/>
        <w:overflowPunct w:val="0"/>
        <w:ind w:left="0"/>
        <w:rPr>
          <w:lang w:val="de-DE"/>
        </w:rPr>
      </w:pPr>
      <w:r>
        <w:rPr>
          <w:lang w:val="de-DE"/>
        </w:rPr>
        <w:t>Jede Packung enthält eine, zwei, vier oder sechs 40 mg Fertigspritze(n) zum Einmalgebrauch (mit blauer Kolbenstange).</w:t>
      </w:r>
    </w:p>
    <w:p w14:paraId="2CA10018" w14:textId="77777777" w:rsidR="00FE291A" w:rsidRDefault="00FE291A">
      <w:pPr>
        <w:pStyle w:val="BodyText"/>
        <w:widowControl/>
        <w:kinsoku w:val="0"/>
        <w:overflowPunct w:val="0"/>
        <w:ind w:left="0"/>
        <w:rPr>
          <w:lang w:val="de-DE"/>
        </w:rPr>
      </w:pPr>
    </w:p>
    <w:p w14:paraId="378D5543" w14:textId="77777777" w:rsidR="00FE291A" w:rsidRDefault="00C8738F">
      <w:pPr>
        <w:pStyle w:val="BodyText"/>
        <w:keepNext/>
        <w:widowControl/>
        <w:kinsoku w:val="0"/>
        <w:overflowPunct w:val="0"/>
        <w:ind w:left="0"/>
        <w:rPr>
          <w:lang w:val="de-DE"/>
        </w:rPr>
      </w:pPr>
      <w:r>
        <w:rPr>
          <w:b/>
          <w:bCs/>
          <w:lang w:val="de-DE"/>
        </w:rPr>
        <w:t>Pharmazeutischer Unternehmer und Hersteller</w:t>
      </w:r>
    </w:p>
    <w:p w14:paraId="440CBC30" w14:textId="77777777" w:rsidR="00FE291A" w:rsidRDefault="00C8738F">
      <w:pPr>
        <w:pStyle w:val="lbltxt"/>
        <w:keepNext/>
        <w:rPr>
          <w:lang w:val="de-DE"/>
        </w:rPr>
      </w:pPr>
      <w:r>
        <w:rPr>
          <w:lang w:val="de-DE"/>
        </w:rPr>
        <w:t xml:space="preserve">Amgen Europe B.V. </w:t>
      </w:r>
      <w:r>
        <w:rPr>
          <w:lang w:val="de-DE"/>
        </w:rPr>
        <w:br/>
        <w:t xml:space="preserve">Minervum 7061 </w:t>
      </w:r>
      <w:r>
        <w:rPr>
          <w:lang w:val="de-DE"/>
        </w:rPr>
        <w:br/>
        <w:t xml:space="preserve">4817 ZK Breda </w:t>
      </w:r>
      <w:r>
        <w:rPr>
          <w:lang w:val="de-DE"/>
        </w:rPr>
        <w:br/>
        <w:t>Niederlande</w:t>
      </w:r>
    </w:p>
    <w:p w14:paraId="379C56E7" w14:textId="77777777" w:rsidR="00FE291A" w:rsidRDefault="00FE291A">
      <w:pPr>
        <w:widowControl/>
        <w:kinsoku w:val="0"/>
        <w:overflowPunct w:val="0"/>
        <w:rPr>
          <w:sz w:val="22"/>
          <w:lang w:val="de-DE"/>
        </w:rPr>
      </w:pPr>
    </w:p>
    <w:p w14:paraId="03BEB11E" w14:textId="77777777" w:rsidR="00FE291A" w:rsidRDefault="00C8738F">
      <w:pPr>
        <w:pStyle w:val="BodyText"/>
        <w:keepNext/>
        <w:keepLines/>
        <w:widowControl/>
        <w:kinsoku w:val="0"/>
        <w:overflowPunct w:val="0"/>
        <w:ind w:left="0"/>
        <w:rPr>
          <w:b/>
          <w:bCs/>
          <w:highlight w:val="lightGray"/>
          <w:lang w:val="de-DE"/>
        </w:rPr>
      </w:pPr>
      <w:r>
        <w:rPr>
          <w:b/>
          <w:bCs/>
          <w:highlight w:val="lightGray"/>
          <w:lang w:val="de-DE"/>
        </w:rPr>
        <w:t>Pharmazeutischer Unternehmer</w:t>
      </w:r>
    </w:p>
    <w:p w14:paraId="459D6D2B" w14:textId="77777777" w:rsidR="00FE291A" w:rsidRDefault="00C8738F">
      <w:pPr>
        <w:pStyle w:val="lbltxt"/>
        <w:keepNext/>
        <w:keepLines/>
        <w:rPr>
          <w:highlight w:val="lightGray"/>
          <w:lang w:val="de-DE"/>
        </w:rPr>
      </w:pPr>
      <w:r>
        <w:rPr>
          <w:highlight w:val="lightGray"/>
          <w:lang w:val="de-DE"/>
        </w:rPr>
        <w:t xml:space="preserve">Amgen Europe B.V. </w:t>
      </w:r>
      <w:r>
        <w:rPr>
          <w:highlight w:val="lightGray"/>
          <w:lang w:val="de-DE"/>
        </w:rPr>
        <w:br/>
        <w:t xml:space="preserve">Minervum 7061 </w:t>
      </w:r>
      <w:r>
        <w:rPr>
          <w:highlight w:val="lightGray"/>
          <w:lang w:val="de-DE"/>
        </w:rPr>
        <w:br/>
        <w:t xml:space="preserve">4817 ZK Breda </w:t>
      </w:r>
      <w:r>
        <w:rPr>
          <w:highlight w:val="lightGray"/>
          <w:lang w:val="de-DE"/>
        </w:rPr>
        <w:br/>
        <w:t>Niederlande</w:t>
      </w:r>
    </w:p>
    <w:p w14:paraId="4371D6F9" w14:textId="77777777" w:rsidR="00FE291A" w:rsidRDefault="00FE291A">
      <w:pPr>
        <w:pStyle w:val="BodyText"/>
        <w:widowControl/>
        <w:kinsoku w:val="0"/>
        <w:overflowPunct w:val="0"/>
        <w:ind w:left="0"/>
        <w:rPr>
          <w:bCs/>
          <w:highlight w:val="lightGray"/>
          <w:lang w:val="de-DE"/>
        </w:rPr>
      </w:pPr>
    </w:p>
    <w:p w14:paraId="0150EBD2" w14:textId="77777777" w:rsidR="00FE291A" w:rsidRDefault="00C8738F">
      <w:pPr>
        <w:pStyle w:val="BodyText"/>
        <w:widowControl/>
        <w:kinsoku w:val="0"/>
        <w:overflowPunct w:val="0"/>
        <w:ind w:left="0"/>
        <w:rPr>
          <w:highlight w:val="lightGray"/>
          <w:lang w:val="en-US"/>
        </w:rPr>
      </w:pPr>
      <w:r>
        <w:rPr>
          <w:b/>
          <w:bCs/>
          <w:highlight w:val="lightGray"/>
          <w:lang w:val="en-US"/>
        </w:rPr>
        <w:t>Hersteller</w:t>
      </w:r>
    </w:p>
    <w:p w14:paraId="18739735" w14:textId="77777777" w:rsidR="00FE291A" w:rsidRDefault="00C8738F">
      <w:pPr>
        <w:pStyle w:val="lbltxt"/>
        <w:rPr>
          <w:highlight w:val="lightGray"/>
          <w:lang w:val="en-US"/>
        </w:rPr>
      </w:pPr>
      <w:r>
        <w:rPr>
          <w:highlight w:val="lightGray"/>
          <w:lang w:val="en-US"/>
        </w:rPr>
        <w:t xml:space="preserve">Amgen Technology Ireland UC </w:t>
      </w:r>
    </w:p>
    <w:p w14:paraId="257C7D69" w14:textId="77777777" w:rsidR="00FE291A" w:rsidRDefault="00C8738F">
      <w:pPr>
        <w:pStyle w:val="lbltxt"/>
        <w:rPr>
          <w:highlight w:val="lightGray"/>
          <w:lang w:val="en-US"/>
        </w:rPr>
      </w:pPr>
      <w:r>
        <w:rPr>
          <w:highlight w:val="lightGray"/>
          <w:lang w:val="en-US"/>
        </w:rPr>
        <w:t>Pottery Road</w:t>
      </w:r>
    </w:p>
    <w:p w14:paraId="33E3EA1E" w14:textId="77777777" w:rsidR="00FE291A" w:rsidRDefault="00C8738F">
      <w:pPr>
        <w:pStyle w:val="lbltxt"/>
        <w:rPr>
          <w:highlight w:val="lightGray"/>
          <w:lang w:val="en-US"/>
        </w:rPr>
      </w:pPr>
      <w:r>
        <w:rPr>
          <w:highlight w:val="lightGray"/>
          <w:lang w:val="en-US"/>
        </w:rPr>
        <w:t>Dun Laoghaire</w:t>
      </w:r>
    </w:p>
    <w:p w14:paraId="49994F3C" w14:textId="77777777" w:rsidR="00FE291A" w:rsidRDefault="00C8738F">
      <w:pPr>
        <w:pStyle w:val="lbltxt"/>
        <w:rPr>
          <w:highlight w:val="lightGray"/>
          <w:lang w:val="en-US"/>
        </w:rPr>
      </w:pPr>
      <w:r>
        <w:rPr>
          <w:highlight w:val="lightGray"/>
          <w:lang w:val="en-US"/>
        </w:rPr>
        <w:t>Co Dublin</w:t>
      </w:r>
    </w:p>
    <w:p w14:paraId="19819A30" w14:textId="77777777" w:rsidR="00FE291A" w:rsidRDefault="00C8738F">
      <w:pPr>
        <w:pStyle w:val="lbltxt"/>
        <w:rPr>
          <w:lang w:val="de-DE"/>
        </w:rPr>
      </w:pPr>
      <w:r>
        <w:rPr>
          <w:highlight w:val="lightGray"/>
          <w:lang w:val="de-DE"/>
        </w:rPr>
        <w:t>Irland</w:t>
      </w:r>
    </w:p>
    <w:p w14:paraId="1C04D617" w14:textId="77777777" w:rsidR="00FE291A" w:rsidRDefault="00FE291A">
      <w:pPr>
        <w:widowControl/>
        <w:kinsoku w:val="0"/>
        <w:overflowPunct w:val="0"/>
        <w:rPr>
          <w:sz w:val="22"/>
          <w:szCs w:val="22"/>
          <w:lang w:val="de-DE"/>
        </w:rPr>
      </w:pPr>
    </w:p>
    <w:p w14:paraId="0096021B" w14:textId="77777777" w:rsidR="00FE291A" w:rsidRDefault="00C8738F">
      <w:pPr>
        <w:pStyle w:val="BodyText"/>
        <w:widowControl/>
        <w:kinsoku w:val="0"/>
        <w:overflowPunct w:val="0"/>
        <w:ind w:left="0"/>
        <w:rPr>
          <w:highlight w:val="lightGray"/>
          <w:lang w:val="de-DE"/>
        </w:rPr>
      </w:pPr>
      <w:r>
        <w:rPr>
          <w:b/>
          <w:bCs/>
          <w:highlight w:val="lightGray"/>
          <w:lang w:val="de-DE"/>
        </w:rPr>
        <w:t>Hersteller</w:t>
      </w:r>
    </w:p>
    <w:p w14:paraId="15DB7FCE" w14:textId="77777777" w:rsidR="00FE291A" w:rsidRDefault="00C8738F">
      <w:pPr>
        <w:rPr>
          <w:sz w:val="22"/>
          <w:szCs w:val="22"/>
          <w:highlight w:val="lightGray"/>
          <w:lang w:val="de-DE" w:eastAsia="ja-JP"/>
        </w:rPr>
      </w:pPr>
      <w:r>
        <w:rPr>
          <w:sz w:val="22"/>
          <w:szCs w:val="22"/>
          <w:highlight w:val="lightGray"/>
          <w:lang w:val="de-DE" w:eastAsia="ja-JP"/>
        </w:rPr>
        <w:t>Amgen NV</w:t>
      </w:r>
    </w:p>
    <w:p w14:paraId="20C2CBF2" w14:textId="77777777" w:rsidR="00FE291A" w:rsidRDefault="00C8738F">
      <w:pPr>
        <w:rPr>
          <w:sz w:val="22"/>
          <w:szCs w:val="22"/>
          <w:highlight w:val="lightGray"/>
          <w:lang w:val="de-DE" w:eastAsia="ja-JP"/>
        </w:rPr>
      </w:pPr>
      <w:r>
        <w:rPr>
          <w:sz w:val="22"/>
          <w:szCs w:val="22"/>
          <w:highlight w:val="lightGray"/>
          <w:lang w:val="de-DE" w:eastAsia="ja-JP"/>
        </w:rPr>
        <w:t>Telecomlaan 5-7</w:t>
      </w:r>
    </w:p>
    <w:p w14:paraId="6C16B42D" w14:textId="77777777" w:rsidR="00FE291A" w:rsidRDefault="00C8738F">
      <w:pPr>
        <w:rPr>
          <w:sz w:val="22"/>
          <w:szCs w:val="22"/>
          <w:highlight w:val="lightGray"/>
          <w:lang w:val="de-DE" w:eastAsia="ja-JP"/>
        </w:rPr>
      </w:pPr>
      <w:r>
        <w:rPr>
          <w:sz w:val="22"/>
          <w:szCs w:val="22"/>
          <w:highlight w:val="lightGray"/>
          <w:lang w:val="de-DE" w:eastAsia="ja-JP"/>
        </w:rPr>
        <w:t>1831 Diegem</w:t>
      </w:r>
    </w:p>
    <w:p w14:paraId="3E0B1FD1" w14:textId="77777777" w:rsidR="00FE291A" w:rsidRDefault="00C8738F">
      <w:pPr>
        <w:pStyle w:val="BodyText"/>
        <w:widowControl/>
        <w:kinsoku w:val="0"/>
        <w:overflowPunct w:val="0"/>
        <w:ind w:left="0"/>
        <w:rPr>
          <w:lang w:val="de-DE"/>
        </w:rPr>
      </w:pPr>
      <w:r>
        <w:rPr>
          <w:highlight w:val="lightGray"/>
          <w:lang w:val="de-DE"/>
        </w:rPr>
        <w:t>Belgien</w:t>
      </w:r>
      <w:r>
        <w:rPr>
          <w:lang w:val="de-DE"/>
        </w:rPr>
        <w:t xml:space="preserve"> </w:t>
      </w:r>
    </w:p>
    <w:p w14:paraId="4BD061BA" w14:textId="77777777" w:rsidR="00FE291A" w:rsidRDefault="00FE291A">
      <w:pPr>
        <w:pStyle w:val="BodyText"/>
        <w:widowControl/>
        <w:kinsoku w:val="0"/>
        <w:overflowPunct w:val="0"/>
        <w:ind w:left="0"/>
        <w:rPr>
          <w:lang w:val="de-DE"/>
        </w:rPr>
      </w:pPr>
    </w:p>
    <w:p w14:paraId="1441FD61" w14:textId="77777777" w:rsidR="00FE291A" w:rsidRDefault="00C8738F">
      <w:pPr>
        <w:pStyle w:val="BodyText"/>
        <w:keepNext/>
        <w:keepLines/>
        <w:widowControl/>
        <w:kinsoku w:val="0"/>
        <w:overflowPunct w:val="0"/>
        <w:ind w:left="0"/>
        <w:rPr>
          <w:lang w:val="de-DE"/>
        </w:rPr>
      </w:pPr>
      <w:bookmarkStart w:id="125" w:name="_Hlk104900836"/>
      <w:r>
        <w:rPr>
          <w:lang w:val="de-DE"/>
        </w:rPr>
        <w:t>Falls Sie weitere Informationen über dieses Arzneimittel wünschen, setzen Sie sich bitte mit dem örtlichen Vertreter des pharmazeutischen Unternehmers in Verbindung:</w:t>
      </w:r>
    </w:p>
    <w:p w14:paraId="42A23FCA" w14:textId="77777777" w:rsidR="00FE291A" w:rsidRDefault="00FE291A">
      <w:pPr>
        <w:pStyle w:val="Heading1"/>
        <w:keepNext/>
        <w:keepLines/>
        <w:widowControl/>
        <w:kinsoku w:val="0"/>
        <w:overflowPunct w:val="0"/>
        <w:ind w:left="0"/>
        <w:rPr>
          <w:b w:val="0"/>
          <w:lang w:val="de-DE"/>
        </w:rPr>
      </w:pPr>
    </w:p>
    <w:tbl>
      <w:tblPr>
        <w:tblW w:w="0" w:type="auto"/>
        <w:tblInd w:w="108" w:type="dxa"/>
        <w:tblLook w:val="04A0" w:firstRow="1" w:lastRow="0" w:firstColumn="1" w:lastColumn="0" w:noHBand="0" w:noVBand="1"/>
      </w:tblPr>
      <w:tblGrid>
        <w:gridCol w:w="4426"/>
        <w:gridCol w:w="4537"/>
      </w:tblGrid>
      <w:tr w:rsidR="00FE291A" w14:paraId="096FB21A" w14:textId="77777777">
        <w:trPr>
          <w:cantSplit/>
        </w:trPr>
        <w:tc>
          <w:tcPr>
            <w:tcW w:w="4463" w:type="dxa"/>
          </w:tcPr>
          <w:p w14:paraId="65760225" w14:textId="77777777" w:rsidR="00FE291A" w:rsidRDefault="00C8738F">
            <w:pPr>
              <w:pStyle w:val="lbltxt"/>
              <w:keepNext/>
              <w:keepLines/>
              <w:rPr>
                <w:szCs w:val="22"/>
                <w:lang w:val="de-DE"/>
              </w:rPr>
            </w:pPr>
            <w:r>
              <w:rPr>
                <w:b/>
                <w:szCs w:val="22"/>
                <w:lang w:val="de-DE"/>
              </w:rPr>
              <w:t>België/Belgique/Belgien</w:t>
            </w:r>
          </w:p>
          <w:p w14:paraId="7B3D3681" w14:textId="77777777" w:rsidR="00FE291A" w:rsidRDefault="00C8738F">
            <w:pPr>
              <w:pStyle w:val="lbltxt"/>
              <w:keepNext/>
              <w:keepLines/>
              <w:rPr>
                <w:szCs w:val="22"/>
                <w:lang w:val="de-DE"/>
              </w:rPr>
            </w:pPr>
            <w:r>
              <w:rPr>
                <w:szCs w:val="22"/>
                <w:lang w:val="de-DE"/>
              </w:rPr>
              <w:t>s.a. Amgen n.v.</w:t>
            </w:r>
          </w:p>
          <w:p w14:paraId="7660F6BC" w14:textId="77777777" w:rsidR="00FE291A" w:rsidRDefault="00C8738F">
            <w:pPr>
              <w:keepNext/>
              <w:keepLines/>
              <w:widowControl/>
              <w:rPr>
                <w:sz w:val="22"/>
                <w:szCs w:val="22"/>
                <w:lang w:val="de-DE"/>
              </w:rPr>
            </w:pPr>
            <w:r>
              <w:rPr>
                <w:sz w:val="22"/>
                <w:szCs w:val="22"/>
                <w:lang w:val="de-DE"/>
              </w:rPr>
              <w:t>Tél/Tel: +32 (0)2 7752711</w:t>
            </w:r>
          </w:p>
          <w:p w14:paraId="00E67E84" w14:textId="77777777" w:rsidR="00FE291A" w:rsidRDefault="00FE291A">
            <w:pPr>
              <w:keepNext/>
              <w:keepLines/>
              <w:widowControl/>
              <w:kinsoku w:val="0"/>
              <w:overflowPunct w:val="0"/>
              <w:rPr>
                <w:sz w:val="22"/>
                <w:szCs w:val="22"/>
                <w:lang w:val="de-DE"/>
              </w:rPr>
            </w:pPr>
          </w:p>
        </w:tc>
        <w:tc>
          <w:tcPr>
            <w:tcW w:w="4572" w:type="dxa"/>
          </w:tcPr>
          <w:p w14:paraId="259036F1" w14:textId="77777777" w:rsidR="00FE291A" w:rsidRDefault="00C8738F">
            <w:pPr>
              <w:pStyle w:val="lbltxt"/>
              <w:keepNext/>
              <w:keepLines/>
              <w:rPr>
                <w:b/>
                <w:szCs w:val="22"/>
                <w:lang w:val="de-DE"/>
              </w:rPr>
            </w:pPr>
            <w:r>
              <w:rPr>
                <w:b/>
                <w:szCs w:val="22"/>
                <w:lang w:val="de-DE"/>
              </w:rPr>
              <w:t>Lietuva</w:t>
            </w:r>
          </w:p>
          <w:p w14:paraId="28987CBE" w14:textId="77777777" w:rsidR="00FE291A" w:rsidRDefault="00C8738F">
            <w:pPr>
              <w:pStyle w:val="lbltxt"/>
              <w:keepNext/>
              <w:keepLines/>
              <w:rPr>
                <w:bCs/>
                <w:szCs w:val="22"/>
                <w:lang w:val="de-DE"/>
              </w:rPr>
            </w:pPr>
            <w:r>
              <w:rPr>
                <w:szCs w:val="22"/>
                <w:lang w:val="de-DE"/>
              </w:rPr>
              <w:t>Amgen Switzerland AG Vilniaus filialas</w:t>
            </w:r>
          </w:p>
          <w:p w14:paraId="7CF6450C" w14:textId="77777777" w:rsidR="00FE291A" w:rsidRDefault="00C8738F">
            <w:pPr>
              <w:pStyle w:val="lbltxt"/>
              <w:keepNext/>
              <w:keepLines/>
              <w:rPr>
                <w:bCs/>
                <w:szCs w:val="22"/>
                <w:lang w:val="de-DE"/>
              </w:rPr>
            </w:pPr>
            <w:r>
              <w:rPr>
                <w:bCs/>
                <w:szCs w:val="22"/>
                <w:lang w:val="de-DE"/>
              </w:rPr>
              <w:t>Tel</w:t>
            </w:r>
            <w:ins w:id="126" w:author="Author">
              <w:r>
                <w:rPr>
                  <w:bCs/>
                  <w:szCs w:val="22"/>
                  <w:lang w:val="de-DE"/>
                </w:rPr>
                <w:t>.</w:t>
              </w:r>
            </w:ins>
            <w:del w:id="127" w:author="Author">
              <w:r>
                <w:rPr>
                  <w:bCs/>
                  <w:szCs w:val="22"/>
                  <w:lang w:val="de-DE"/>
                </w:rPr>
                <w:delText>:</w:delText>
              </w:r>
            </w:del>
            <w:r>
              <w:rPr>
                <w:bCs/>
                <w:szCs w:val="22"/>
                <w:lang w:val="de-DE"/>
              </w:rPr>
              <w:t xml:space="preserve"> +370 5 219 7474</w:t>
            </w:r>
          </w:p>
          <w:p w14:paraId="0EC3D283" w14:textId="77777777" w:rsidR="00FE291A" w:rsidRDefault="00FE291A">
            <w:pPr>
              <w:keepNext/>
              <w:keepLines/>
              <w:widowControl/>
              <w:kinsoku w:val="0"/>
              <w:overflowPunct w:val="0"/>
              <w:rPr>
                <w:sz w:val="22"/>
                <w:szCs w:val="22"/>
                <w:lang w:val="de-DE"/>
              </w:rPr>
            </w:pPr>
          </w:p>
        </w:tc>
      </w:tr>
      <w:tr w:rsidR="00FE291A" w:rsidRPr="002E6CD3" w14:paraId="0FA0F8BC" w14:textId="77777777">
        <w:trPr>
          <w:cantSplit/>
        </w:trPr>
        <w:tc>
          <w:tcPr>
            <w:tcW w:w="4463" w:type="dxa"/>
          </w:tcPr>
          <w:p w14:paraId="1D104000" w14:textId="77777777" w:rsidR="00FE291A" w:rsidRDefault="00C8738F">
            <w:pPr>
              <w:keepNext/>
              <w:keepLines/>
              <w:widowControl/>
              <w:rPr>
                <w:rFonts w:eastAsia="Arial Unicode MS"/>
                <w:b/>
                <w:bCs/>
                <w:sz w:val="22"/>
                <w:szCs w:val="22"/>
                <w:lang w:val="ru-RU"/>
              </w:rPr>
            </w:pPr>
            <w:r>
              <w:rPr>
                <w:rFonts w:eastAsia="Arial Unicode MS"/>
                <w:b/>
                <w:bCs/>
                <w:sz w:val="22"/>
                <w:szCs w:val="22"/>
                <w:lang w:val="ru-RU"/>
              </w:rPr>
              <w:t>България</w:t>
            </w:r>
          </w:p>
          <w:p w14:paraId="13740E74" w14:textId="77777777" w:rsidR="00FE291A" w:rsidRDefault="00C8738F">
            <w:pPr>
              <w:pStyle w:val="lbltxt"/>
              <w:keepNext/>
              <w:keepLines/>
              <w:rPr>
                <w:rFonts w:eastAsia="Arial Unicode MS"/>
                <w:szCs w:val="22"/>
                <w:lang w:val="ru-RU" w:eastAsia="en-GB"/>
              </w:rPr>
            </w:pPr>
            <w:r>
              <w:rPr>
                <w:rFonts w:eastAsia="Arial Unicode MS"/>
                <w:szCs w:val="22"/>
                <w:lang w:val="ru-RU" w:eastAsia="en-GB"/>
              </w:rPr>
              <w:t>Амджен България ЕООД</w:t>
            </w:r>
          </w:p>
          <w:p w14:paraId="665B326F" w14:textId="77777777" w:rsidR="00FE291A" w:rsidRDefault="00C8738F">
            <w:pPr>
              <w:pStyle w:val="lbltxt"/>
              <w:keepNext/>
              <w:keepLines/>
              <w:rPr>
                <w:szCs w:val="22"/>
                <w:lang w:val="ru-RU"/>
              </w:rPr>
            </w:pPr>
            <w:r>
              <w:rPr>
                <w:rFonts w:eastAsia="Arial Unicode MS"/>
                <w:szCs w:val="22"/>
                <w:lang w:val="ru-RU" w:eastAsia="en-GB"/>
              </w:rPr>
              <w:t xml:space="preserve">Тел.: +359 </w:t>
            </w:r>
            <w:r>
              <w:rPr>
                <w:rFonts w:eastAsia="Arial Unicode MS"/>
                <w:bCs/>
                <w:szCs w:val="22"/>
                <w:lang w:val="ru-RU"/>
              </w:rPr>
              <w:t>(0)2</w:t>
            </w:r>
            <w:r>
              <w:rPr>
                <w:rFonts w:eastAsia="Arial Unicode MS"/>
                <w:bCs/>
                <w:szCs w:val="22"/>
                <w:lang w:val="en-IN"/>
              </w:rPr>
              <w:t> </w:t>
            </w:r>
            <w:r>
              <w:rPr>
                <w:rFonts w:eastAsia="Arial Unicode MS"/>
                <w:bCs/>
                <w:szCs w:val="22"/>
                <w:lang w:val="ru-RU"/>
              </w:rPr>
              <w:t>424 7440</w:t>
            </w:r>
          </w:p>
        </w:tc>
        <w:tc>
          <w:tcPr>
            <w:tcW w:w="4572" w:type="dxa"/>
          </w:tcPr>
          <w:p w14:paraId="53AAB24D" w14:textId="77777777" w:rsidR="00FE291A" w:rsidRDefault="00C8738F">
            <w:pPr>
              <w:pStyle w:val="lbltxt"/>
              <w:keepNext/>
              <w:keepLines/>
              <w:rPr>
                <w:szCs w:val="22"/>
                <w:lang w:val="de-DE"/>
              </w:rPr>
            </w:pPr>
            <w:r>
              <w:rPr>
                <w:b/>
                <w:szCs w:val="22"/>
                <w:lang w:val="de-DE"/>
              </w:rPr>
              <w:t>Luxembourg/Luxemburg</w:t>
            </w:r>
          </w:p>
          <w:p w14:paraId="568715FA" w14:textId="77777777" w:rsidR="00FE291A" w:rsidRDefault="00C8738F">
            <w:pPr>
              <w:pStyle w:val="lbltxt"/>
              <w:keepNext/>
              <w:keepLines/>
              <w:rPr>
                <w:szCs w:val="22"/>
                <w:lang w:val="de-DE"/>
              </w:rPr>
            </w:pPr>
            <w:r>
              <w:rPr>
                <w:szCs w:val="22"/>
                <w:lang w:val="de-DE"/>
              </w:rPr>
              <w:t xml:space="preserve">s.a. Amgen </w:t>
            </w:r>
          </w:p>
          <w:p w14:paraId="17630824" w14:textId="77777777" w:rsidR="00FE291A" w:rsidRDefault="00C8738F">
            <w:pPr>
              <w:pStyle w:val="lbltxt"/>
              <w:keepNext/>
              <w:keepLines/>
              <w:rPr>
                <w:szCs w:val="22"/>
                <w:lang w:val="de-DE"/>
              </w:rPr>
            </w:pPr>
            <w:r>
              <w:rPr>
                <w:szCs w:val="22"/>
                <w:lang w:val="de-DE"/>
              </w:rPr>
              <w:t>Belgique/Belgien</w:t>
            </w:r>
          </w:p>
          <w:p w14:paraId="4D3C0B45" w14:textId="77777777" w:rsidR="00FE291A" w:rsidRDefault="00C8738F">
            <w:pPr>
              <w:pStyle w:val="lbltxt"/>
              <w:keepNext/>
              <w:keepLines/>
              <w:rPr>
                <w:szCs w:val="22"/>
                <w:lang w:val="de-DE"/>
              </w:rPr>
            </w:pPr>
            <w:r>
              <w:rPr>
                <w:szCs w:val="22"/>
                <w:lang w:val="de-DE"/>
              </w:rPr>
              <w:t>Tél/Tel: +32 (0)2 7752711</w:t>
            </w:r>
          </w:p>
          <w:p w14:paraId="138926C4" w14:textId="77777777" w:rsidR="00FE291A" w:rsidRDefault="00FE291A">
            <w:pPr>
              <w:keepNext/>
              <w:keepLines/>
              <w:widowControl/>
              <w:kinsoku w:val="0"/>
              <w:overflowPunct w:val="0"/>
              <w:rPr>
                <w:sz w:val="22"/>
                <w:szCs w:val="22"/>
                <w:lang w:val="de-DE"/>
              </w:rPr>
            </w:pPr>
          </w:p>
        </w:tc>
      </w:tr>
      <w:tr w:rsidR="00FE291A" w14:paraId="33A8BE3F" w14:textId="77777777">
        <w:trPr>
          <w:cantSplit/>
        </w:trPr>
        <w:tc>
          <w:tcPr>
            <w:tcW w:w="4463" w:type="dxa"/>
          </w:tcPr>
          <w:p w14:paraId="2D72FB5F" w14:textId="77777777" w:rsidR="00FE291A" w:rsidRDefault="00C8738F">
            <w:pPr>
              <w:pStyle w:val="lbltxt"/>
              <w:keepNext/>
              <w:rPr>
                <w:b/>
                <w:szCs w:val="22"/>
                <w:lang w:val="sv-SE"/>
              </w:rPr>
            </w:pPr>
            <w:r>
              <w:rPr>
                <w:b/>
                <w:szCs w:val="22"/>
                <w:lang w:val="sv-SE"/>
              </w:rPr>
              <w:t>Česká republika</w:t>
            </w:r>
          </w:p>
          <w:p w14:paraId="2F223265" w14:textId="77777777" w:rsidR="00FE291A" w:rsidRDefault="00C8738F">
            <w:pPr>
              <w:pStyle w:val="lbltxt"/>
              <w:keepNext/>
              <w:rPr>
                <w:bCs/>
                <w:szCs w:val="22"/>
                <w:lang w:val="sv-SE"/>
              </w:rPr>
            </w:pPr>
            <w:r>
              <w:rPr>
                <w:bCs/>
                <w:szCs w:val="22"/>
                <w:lang w:val="sv-SE"/>
              </w:rPr>
              <w:t>Amgen s.r.o.</w:t>
            </w:r>
          </w:p>
          <w:p w14:paraId="4DF42016" w14:textId="77777777" w:rsidR="00FE291A" w:rsidRDefault="00C8738F">
            <w:pPr>
              <w:pStyle w:val="lbltxt"/>
              <w:keepNext/>
              <w:rPr>
                <w:bCs/>
                <w:szCs w:val="22"/>
                <w:lang w:val="de-DE"/>
              </w:rPr>
            </w:pPr>
            <w:r>
              <w:rPr>
                <w:bCs/>
                <w:szCs w:val="22"/>
                <w:lang w:val="de-DE"/>
              </w:rPr>
              <w:t>Tel: +420 221 773 500</w:t>
            </w:r>
          </w:p>
          <w:p w14:paraId="297FCC34" w14:textId="77777777" w:rsidR="00FE291A" w:rsidRDefault="00FE291A">
            <w:pPr>
              <w:widowControl/>
              <w:kinsoku w:val="0"/>
              <w:overflowPunct w:val="0"/>
              <w:rPr>
                <w:sz w:val="22"/>
                <w:szCs w:val="22"/>
                <w:lang w:val="de-DE"/>
              </w:rPr>
            </w:pPr>
          </w:p>
        </w:tc>
        <w:tc>
          <w:tcPr>
            <w:tcW w:w="4572" w:type="dxa"/>
          </w:tcPr>
          <w:p w14:paraId="26C9A30F" w14:textId="77777777" w:rsidR="00FE291A" w:rsidRDefault="00C8738F">
            <w:pPr>
              <w:pStyle w:val="lbltxt"/>
              <w:rPr>
                <w:b/>
                <w:szCs w:val="22"/>
                <w:lang w:val="de-DE"/>
              </w:rPr>
            </w:pPr>
            <w:r>
              <w:rPr>
                <w:b/>
                <w:szCs w:val="22"/>
                <w:lang w:val="de-DE"/>
              </w:rPr>
              <w:t>Magyarország</w:t>
            </w:r>
          </w:p>
          <w:p w14:paraId="20814AD2" w14:textId="77777777" w:rsidR="00FE291A" w:rsidRDefault="00C8738F">
            <w:pPr>
              <w:pStyle w:val="lbltxt"/>
              <w:rPr>
                <w:bCs/>
                <w:szCs w:val="22"/>
                <w:lang w:val="de-DE"/>
              </w:rPr>
            </w:pPr>
            <w:r>
              <w:rPr>
                <w:bCs/>
                <w:szCs w:val="22"/>
                <w:lang w:val="de-DE"/>
              </w:rPr>
              <w:t>Amgen Kft.</w:t>
            </w:r>
          </w:p>
          <w:p w14:paraId="1B2021FF" w14:textId="77777777" w:rsidR="00FE291A" w:rsidRDefault="00C8738F">
            <w:pPr>
              <w:pStyle w:val="lbltxt"/>
              <w:rPr>
                <w:bCs/>
                <w:szCs w:val="22"/>
                <w:lang w:val="de-DE"/>
              </w:rPr>
            </w:pPr>
            <w:r>
              <w:rPr>
                <w:bCs/>
                <w:szCs w:val="22"/>
                <w:lang w:val="de-DE"/>
              </w:rPr>
              <w:t>Tel.: +36 1 35 44 700</w:t>
            </w:r>
          </w:p>
          <w:p w14:paraId="3AC506F5" w14:textId="77777777" w:rsidR="00FE291A" w:rsidRDefault="00FE291A">
            <w:pPr>
              <w:widowControl/>
              <w:kinsoku w:val="0"/>
              <w:overflowPunct w:val="0"/>
              <w:rPr>
                <w:sz w:val="22"/>
                <w:szCs w:val="22"/>
                <w:lang w:val="de-DE"/>
              </w:rPr>
            </w:pPr>
          </w:p>
        </w:tc>
      </w:tr>
      <w:tr w:rsidR="00FE291A" w14:paraId="03B57E4F" w14:textId="77777777">
        <w:trPr>
          <w:cantSplit/>
        </w:trPr>
        <w:tc>
          <w:tcPr>
            <w:tcW w:w="4463" w:type="dxa"/>
          </w:tcPr>
          <w:p w14:paraId="6B97372C" w14:textId="77777777" w:rsidR="00FE291A" w:rsidRDefault="00C8738F">
            <w:pPr>
              <w:pStyle w:val="lbltxt"/>
              <w:rPr>
                <w:szCs w:val="22"/>
                <w:lang w:val="da-DK"/>
              </w:rPr>
            </w:pPr>
            <w:r>
              <w:rPr>
                <w:b/>
                <w:szCs w:val="22"/>
                <w:lang w:val="da-DK"/>
              </w:rPr>
              <w:t>Danmark</w:t>
            </w:r>
          </w:p>
          <w:p w14:paraId="232C8D58" w14:textId="77777777" w:rsidR="00FE291A" w:rsidRDefault="00C8738F">
            <w:pPr>
              <w:pStyle w:val="lbltxt"/>
              <w:rPr>
                <w:szCs w:val="22"/>
                <w:lang w:val="da-DK"/>
              </w:rPr>
            </w:pPr>
            <w:r>
              <w:rPr>
                <w:szCs w:val="22"/>
                <w:lang w:val="da-DK"/>
              </w:rPr>
              <w:t>Amgen, filial af Amgen AB, Sverige</w:t>
            </w:r>
          </w:p>
          <w:p w14:paraId="7F373445" w14:textId="77777777" w:rsidR="00FE291A" w:rsidRDefault="00C8738F">
            <w:pPr>
              <w:pStyle w:val="lbltxt"/>
              <w:rPr>
                <w:szCs w:val="22"/>
                <w:lang w:val="de-DE"/>
              </w:rPr>
            </w:pPr>
            <w:r>
              <w:rPr>
                <w:szCs w:val="22"/>
                <w:lang w:val="de-DE"/>
              </w:rPr>
              <w:t>Tlf</w:t>
            </w:r>
            <w:ins w:id="128" w:author="Author">
              <w:r>
                <w:rPr>
                  <w:szCs w:val="22"/>
                  <w:lang w:val="de-DE"/>
                </w:rPr>
                <w:t>.</w:t>
              </w:r>
            </w:ins>
            <w:r>
              <w:rPr>
                <w:szCs w:val="22"/>
                <w:lang w:val="de-DE"/>
              </w:rPr>
              <w:t>: +45 39617500</w:t>
            </w:r>
          </w:p>
          <w:p w14:paraId="03DD29F7" w14:textId="77777777" w:rsidR="00FE291A" w:rsidRDefault="00FE291A">
            <w:pPr>
              <w:widowControl/>
              <w:kinsoku w:val="0"/>
              <w:overflowPunct w:val="0"/>
              <w:rPr>
                <w:sz w:val="22"/>
                <w:szCs w:val="22"/>
                <w:lang w:val="de-DE"/>
              </w:rPr>
            </w:pPr>
          </w:p>
        </w:tc>
        <w:tc>
          <w:tcPr>
            <w:tcW w:w="4572" w:type="dxa"/>
          </w:tcPr>
          <w:p w14:paraId="569F959D" w14:textId="77777777" w:rsidR="00FE291A" w:rsidRDefault="00C8738F">
            <w:pPr>
              <w:pStyle w:val="lbltxt"/>
              <w:rPr>
                <w:b/>
                <w:szCs w:val="22"/>
                <w:lang w:val="nb-NO"/>
              </w:rPr>
            </w:pPr>
            <w:r>
              <w:rPr>
                <w:b/>
                <w:szCs w:val="22"/>
                <w:lang w:val="nb-NO"/>
              </w:rPr>
              <w:t>Malta</w:t>
            </w:r>
          </w:p>
          <w:p w14:paraId="433B7A4E" w14:textId="77777777" w:rsidR="00FE291A" w:rsidRDefault="00C8738F">
            <w:pPr>
              <w:pStyle w:val="lbltxt"/>
              <w:rPr>
                <w:szCs w:val="22"/>
                <w:lang w:val="nb-NO"/>
              </w:rPr>
            </w:pPr>
            <w:r>
              <w:rPr>
                <w:szCs w:val="22"/>
                <w:lang w:val="nb-NO"/>
              </w:rPr>
              <w:t>Amgen S.r.l.</w:t>
            </w:r>
          </w:p>
          <w:p w14:paraId="5BCFED1B" w14:textId="77777777" w:rsidR="00FE291A" w:rsidRDefault="00C8738F">
            <w:pPr>
              <w:pStyle w:val="lbltxt"/>
              <w:rPr>
                <w:szCs w:val="22"/>
                <w:lang w:val="es-ES"/>
              </w:rPr>
            </w:pPr>
            <w:r>
              <w:rPr>
                <w:szCs w:val="22"/>
                <w:lang w:val="es-ES"/>
              </w:rPr>
              <w:t>Italy</w:t>
            </w:r>
          </w:p>
          <w:p w14:paraId="52C81ECB" w14:textId="77777777" w:rsidR="00FE291A" w:rsidRDefault="00C8738F">
            <w:pPr>
              <w:pStyle w:val="lbltxt"/>
              <w:rPr>
                <w:szCs w:val="22"/>
                <w:lang w:val="es-ES"/>
              </w:rPr>
            </w:pPr>
            <w:r>
              <w:rPr>
                <w:szCs w:val="22"/>
                <w:lang w:val="es-ES"/>
              </w:rPr>
              <w:t>Tel: +39 02 6241121</w:t>
            </w:r>
          </w:p>
          <w:p w14:paraId="6252207E" w14:textId="77777777" w:rsidR="00FE291A" w:rsidRDefault="00FE291A">
            <w:pPr>
              <w:widowControl/>
              <w:kinsoku w:val="0"/>
              <w:overflowPunct w:val="0"/>
              <w:rPr>
                <w:sz w:val="22"/>
                <w:szCs w:val="22"/>
                <w:lang w:val="es-ES"/>
              </w:rPr>
            </w:pPr>
          </w:p>
        </w:tc>
      </w:tr>
      <w:tr w:rsidR="00FE291A" w:rsidRPr="002E6CD3" w14:paraId="19B89F4D" w14:textId="77777777">
        <w:trPr>
          <w:cantSplit/>
        </w:trPr>
        <w:tc>
          <w:tcPr>
            <w:tcW w:w="4463" w:type="dxa"/>
          </w:tcPr>
          <w:p w14:paraId="64BB4BD4" w14:textId="77777777" w:rsidR="00FE291A" w:rsidRDefault="00C8738F">
            <w:pPr>
              <w:pStyle w:val="lbltxt"/>
              <w:rPr>
                <w:szCs w:val="22"/>
                <w:lang w:val="de-DE"/>
              </w:rPr>
            </w:pPr>
            <w:r>
              <w:rPr>
                <w:b/>
                <w:szCs w:val="22"/>
                <w:lang w:val="de-DE"/>
              </w:rPr>
              <w:t>Deutschland</w:t>
            </w:r>
          </w:p>
          <w:p w14:paraId="0058E786" w14:textId="77777777" w:rsidR="00FE291A" w:rsidRDefault="00C8738F">
            <w:pPr>
              <w:pStyle w:val="lbltxt"/>
              <w:rPr>
                <w:szCs w:val="22"/>
                <w:lang w:val="de-DE"/>
              </w:rPr>
            </w:pPr>
            <w:r>
              <w:rPr>
                <w:szCs w:val="22"/>
                <w:lang w:val="de-DE"/>
              </w:rPr>
              <w:t>Amgen GmbH</w:t>
            </w:r>
          </w:p>
          <w:p w14:paraId="6DB6BB8C" w14:textId="77777777" w:rsidR="00FE291A" w:rsidRDefault="00C8738F">
            <w:pPr>
              <w:pStyle w:val="lbltxt"/>
              <w:rPr>
                <w:szCs w:val="22"/>
                <w:lang w:val="de-DE"/>
              </w:rPr>
            </w:pPr>
            <w:r>
              <w:rPr>
                <w:szCs w:val="22"/>
                <w:lang w:val="de-DE"/>
              </w:rPr>
              <w:t>Tel.: +49 89 1490960</w:t>
            </w:r>
          </w:p>
          <w:p w14:paraId="1645C8B9" w14:textId="77777777" w:rsidR="00FE291A" w:rsidRDefault="00FE291A">
            <w:pPr>
              <w:widowControl/>
              <w:kinsoku w:val="0"/>
              <w:overflowPunct w:val="0"/>
              <w:rPr>
                <w:sz w:val="22"/>
                <w:szCs w:val="22"/>
                <w:lang w:val="de-DE"/>
              </w:rPr>
            </w:pPr>
          </w:p>
        </w:tc>
        <w:tc>
          <w:tcPr>
            <w:tcW w:w="4572" w:type="dxa"/>
          </w:tcPr>
          <w:p w14:paraId="0E32216D" w14:textId="77777777" w:rsidR="00FE291A" w:rsidRDefault="00C8738F">
            <w:pPr>
              <w:pStyle w:val="lbltxt"/>
              <w:rPr>
                <w:szCs w:val="22"/>
                <w:lang w:val="de-DE"/>
              </w:rPr>
            </w:pPr>
            <w:r>
              <w:rPr>
                <w:b/>
                <w:szCs w:val="22"/>
                <w:lang w:val="de-DE"/>
              </w:rPr>
              <w:t>Nederland</w:t>
            </w:r>
          </w:p>
          <w:p w14:paraId="3438F943" w14:textId="77777777" w:rsidR="00FE291A" w:rsidRDefault="00C8738F">
            <w:pPr>
              <w:pStyle w:val="lbltxt"/>
              <w:rPr>
                <w:szCs w:val="22"/>
                <w:lang w:val="de-DE"/>
              </w:rPr>
            </w:pPr>
            <w:r>
              <w:rPr>
                <w:szCs w:val="22"/>
                <w:lang w:val="de-DE"/>
              </w:rPr>
              <w:t>Amgen B.V.</w:t>
            </w:r>
          </w:p>
          <w:p w14:paraId="08BF4EB1" w14:textId="77777777" w:rsidR="00FE291A" w:rsidRDefault="00C8738F">
            <w:pPr>
              <w:pStyle w:val="lbltxt"/>
              <w:rPr>
                <w:bCs/>
                <w:szCs w:val="22"/>
                <w:lang w:val="de-DE"/>
              </w:rPr>
            </w:pPr>
            <w:r>
              <w:rPr>
                <w:szCs w:val="22"/>
                <w:lang w:val="de-DE"/>
              </w:rPr>
              <w:t>Tel: +31 (0)76 5732500</w:t>
            </w:r>
          </w:p>
          <w:p w14:paraId="2E3A9D7D" w14:textId="77777777" w:rsidR="00FE291A" w:rsidRDefault="00FE291A">
            <w:pPr>
              <w:widowControl/>
              <w:kinsoku w:val="0"/>
              <w:overflowPunct w:val="0"/>
              <w:rPr>
                <w:sz w:val="22"/>
                <w:szCs w:val="22"/>
                <w:lang w:val="de-DE"/>
              </w:rPr>
            </w:pPr>
          </w:p>
        </w:tc>
      </w:tr>
      <w:tr w:rsidR="00FE291A" w14:paraId="0DFEC896" w14:textId="77777777">
        <w:trPr>
          <w:cantSplit/>
        </w:trPr>
        <w:tc>
          <w:tcPr>
            <w:tcW w:w="4463" w:type="dxa"/>
          </w:tcPr>
          <w:p w14:paraId="5AC40D1C" w14:textId="77777777" w:rsidR="00FE291A" w:rsidRPr="00211AE1" w:rsidRDefault="00C8738F">
            <w:pPr>
              <w:pStyle w:val="lbltxt"/>
              <w:rPr>
                <w:b/>
                <w:szCs w:val="22"/>
                <w:lang w:val="de-DE"/>
              </w:rPr>
            </w:pPr>
            <w:r w:rsidRPr="00211AE1">
              <w:rPr>
                <w:b/>
                <w:szCs w:val="22"/>
                <w:lang w:val="de-DE"/>
              </w:rPr>
              <w:t>Eesti</w:t>
            </w:r>
          </w:p>
          <w:p w14:paraId="2E37D798" w14:textId="77777777" w:rsidR="00FE291A" w:rsidRPr="00211AE1" w:rsidRDefault="00C8738F">
            <w:pPr>
              <w:pStyle w:val="lbltxt"/>
              <w:rPr>
                <w:bCs/>
                <w:szCs w:val="22"/>
                <w:lang w:val="de-DE"/>
              </w:rPr>
            </w:pPr>
            <w:r w:rsidRPr="00211AE1">
              <w:rPr>
                <w:bCs/>
                <w:szCs w:val="22"/>
                <w:lang w:val="de-DE"/>
              </w:rPr>
              <w:t xml:space="preserve">Amgen Switzerland AG </w:t>
            </w:r>
            <w:r w:rsidRPr="00211AE1">
              <w:rPr>
                <w:szCs w:val="22"/>
                <w:lang w:val="de-DE"/>
              </w:rPr>
              <w:t>Vilniaus filialas</w:t>
            </w:r>
          </w:p>
          <w:p w14:paraId="2F56B5B1" w14:textId="77777777" w:rsidR="00FE291A" w:rsidRDefault="00C8738F">
            <w:pPr>
              <w:pStyle w:val="lbltxt"/>
              <w:rPr>
                <w:szCs w:val="22"/>
                <w:lang w:val="de-DE"/>
              </w:rPr>
            </w:pPr>
            <w:r>
              <w:rPr>
                <w:bCs/>
                <w:szCs w:val="22"/>
                <w:lang w:val="de-DE"/>
              </w:rPr>
              <w:t>Tel: +</w:t>
            </w:r>
            <w:r>
              <w:rPr>
                <w:szCs w:val="22"/>
                <w:lang w:val="de-DE"/>
              </w:rPr>
              <w:t>372 586 09553</w:t>
            </w:r>
          </w:p>
          <w:p w14:paraId="2C85081E" w14:textId="77777777" w:rsidR="00FE291A" w:rsidRDefault="00FE291A">
            <w:pPr>
              <w:widowControl/>
              <w:kinsoku w:val="0"/>
              <w:overflowPunct w:val="0"/>
              <w:rPr>
                <w:sz w:val="22"/>
                <w:szCs w:val="22"/>
                <w:lang w:val="de-DE"/>
              </w:rPr>
            </w:pPr>
          </w:p>
        </w:tc>
        <w:tc>
          <w:tcPr>
            <w:tcW w:w="4572" w:type="dxa"/>
          </w:tcPr>
          <w:p w14:paraId="06951EF3" w14:textId="77777777" w:rsidR="00FE291A" w:rsidRDefault="00C8738F">
            <w:pPr>
              <w:pStyle w:val="lbltxt"/>
              <w:rPr>
                <w:b/>
                <w:bCs/>
                <w:szCs w:val="22"/>
                <w:lang w:val="de-DE"/>
              </w:rPr>
            </w:pPr>
            <w:r>
              <w:rPr>
                <w:b/>
                <w:bCs/>
                <w:szCs w:val="22"/>
                <w:lang w:val="de-DE"/>
              </w:rPr>
              <w:t>Norge</w:t>
            </w:r>
          </w:p>
          <w:p w14:paraId="21D0FEA9" w14:textId="77777777" w:rsidR="00FE291A" w:rsidRDefault="00C8738F">
            <w:pPr>
              <w:pStyle w:val="lbltxt"/>
              <w:rPr>
                <w:rStyle w:val="CommentReference"/>
                <w:sz w:val="22"/>
                <w:szCs w:val="22"/>
                <w:lang w:val="de-DE"/>
              </w:rPr>
            </w:pPr>
            <w:r>
              <w:rPr>
                <w:rStyle w:val="CommentReference"/>
                <w:sz w:val="22"/>
                <w:szCs w:val="22"/>
                <w:lang w:val="de-DE"/>
              </w:rPr>
              <w:t>Amgen AB</w:t>
            </w:r>
          </w:p>
          <w:p w14:paraId="69C65D94" w14:textId="77777777" w:rsidR="00FE291A" w:rsidRDefault="00C8738F">
            <w:pPr>
              <w:pStyle w:val="lbltxt"/>
              <w:rPr>
                <w:szCs w:val="22"/>
                <w:lang w:val="de-DE"/>
              </w:rPr>
            </w:pPr>
            <w:r>
              <w:rPr>
                <w:rStyle w:val="CommentReference"/>
                <w:sz w:val="22"/>
                <w:szCs w:val="22"/>
                <w:lang w:val="de-DE"/>
              </w:rPr>
              <w:t>Tlf: +47 23308000</w:t>
            </w:r>
          </w:p>
          <w:p w14:paraId="7A00DBD7" w14:textId="77777777" w:rsidR="00FE291A" w:rsidRDefault="00FE291A">
            <w:pPr>
              <w:widowControl/>
              <w:kinsoku w:val="0"/>
              <w:overflowPunct w:val="0"/>
              <w:rPr>
                <w:sz w:val="22"/>
                <w:szCs w:val="22"/>
                <w:lang w:val="de-DE"/>
              </w:rPr>
            </w:pPr>
          </w:p>
        </w:tc>
      </w:tr>
      <w:tr w:rsidR="00FE291A" w14:paraId="275ABEC2" w14:textId="77777777">
        <w:trPr>
          <w:cantSplit/>
        </w:trPr>
        <w:tc>
          <w:tcPr>
            <w:tcW w:w="4463" w:type="dxa"/>
          </w:tcPr>
          <w:p w14:paraId="0261D12D" w14:textId="77777777" w:rsidR="00FE291A" w:rsidRDefault="00C8738F">
            <w:pPr>
              <w:pStyle w:val="lbltxt"/>
              <w:rPr>
                <w:b/>
                <w:bCs/>
                <w:szCs w:val="22"/>
                <w:lang w:val="el-GR"/>
              </w:rPr>
            </w:pPr>
            <w:r>
              <w:rPr>
                <w:b/>
                <w:bCs/>
                <w:szCs w:val="22"/>
                <w:lang w:val="el-GR"/>
              </w:rPr>
              <w:t>Ελλάδα</w:t>
            </w:r>
          </w:p>
          <w:p w14:paraId="7DA2650A" w14:textId="77777777" w:rsidR="00FE291A" w:rsidRDefault="00C8738F">
            <w:pPr>
              <w:pStyle w:val="lbltxt"/>
              <w:rPr>
                <w:szCs w:val="22"/>
                <w:lang w:val="el-GR"/>
              </w:rPr>
            </w:pPr>
            <w:r>
              <w:rPr>
                <w:szCs w:val="22"/>
                <w:lang w:val="en-IN"/>
              </w:rPr>
              <w:t>Amgen</w:t>
            </w:r>
            <w:r>
              <w:rPr>
                <w:szCs w:val="22"/>
                <w:lang w:val="el-GR"/>
              </w:rPr>
              <w:t xml:space="preserve"> Ελλάς Φαρμακευτικά Ε.Π.Ε. </w:t>
            </w:r>
          </w:p>
          <w:p w14:paraId="5A0B2B97" w14:textId="77777777" w:rsidR="00FE291A" w:rsidRDefault="00C8738F">
            <w:pPr>
              <w:pStyle w:val="lbltxt"/>
              <w:rPr>
                <w:szCs w:val="22"/>
                <w:lang w:val="de-DE"/>
              </w:rPr>
            </w:pPr>
            <w:r>
              <w:rPr>
                <w:szCs w:val="22"/>
                <w:lang w:val="de-DE"/>
              </w:rPr>
              <w:t>Τηλ: +30 210 3447000</w:t>
            </w:r>
          </w:p>
          <w:p w14:paraId="79943377" w14:textId="77777777" w:rsidR="00FE291A" w:rsidRDefault="00FE291A">
            <w:pPr>
              <w:widowControl/>
              <w:kinsoku w:val="0"/>
              <w:overflowPunct w:val="0"/>
              <w:rPr>
                <w:sz w:val="22"/>
                <w:szCs w:val="22"/>
                <w:lang w:val="de-DE"/>
              </w:rPr>
            </w:pPr>
          </w:p>
        </w:tc>
        <w:tc>
          <w:tcPr>
            <w:tcW w:w="4572" w:type="dxa"/>
          </w:tcPr>
          <w:p w14:paraId="458766D9" w14:textId="77777777" w:rsidR="00FE291A" w:rsidRDefault="00C8738F">
            <w:pPr>
              <w:pStyle w:val="lbltxt"/>
              <w:rPr>
                <w:szCs w:val="22"/>
                <w:lang w:val="de-DE"/>
              </w:rPr>
            </w:pPr>
            <w:r>
              <w:rPr>
                <w:b/>
                <w:szCs w:val="22"/>
                <w:lang w:val="de-DE"/>
              </w:rPr>
              <w:t>Österreich</w:t>
            </w:r>
          </w:p>
          <w:p w14:paraId="76816E2B" w14:textId="77777777" w:rsidR="00FE291A" w:rsidRDefault="00C8738F">
            <w:pPr>
              <w:pStyle w:val="lbltxt"/>
              <w:rPr>
                <w:szCs w:val="22"/>
                <w:lang w:val="de-DE"/>
              </w:rPr>
            </w:pPr>
            <w:r>
              <w:rPr>
                <w:szCs w:val="22"/>
                <w:lang w:val="de-DE"/>
              </w:rPr>
              <w:t xml:space="preserve">Amgen GmbH </w:t>
            </w:r>
          </w:p>
          <w:p w14:paraId="5E6C5191" w14:textId="77777777" w:rsidR="00FE291A" w:rsidRDefault="00C8738F">
            <w:pPr>
              <w:pStyle w:val="lbltxt"/>
              <w:rPr>
                <w:szCs w:val="22"/>
                <w:lang w:val="de-DE"/>
              </w:rPr>
            </w:pPr>
            <w:r>
              <w:rPr>
                <w:szCs w:val="22"/>
                <w:lang w:val="de-DE"/>
              </w:rPr>
              <w:t>Tel: +43 (0)1 50 217</w:t>
            </w:r>
          </w:p>
          <w:p w14:paraId="7C8221E1" w14:textId="77777777" w:rsidR="00FE291A" w:rsidRDefault="00FE291A">
            <w:pPr>
              <w:widowControl/>
              <w:kinsoku w:val="0"/>
              <w:overflowPunct w:val="0"/>
              <w:rPr>
                <w:sz w:val="22"/>
                <w:szCs w:val="22"/>
                <w:lang w:val="de-DE"/>
              </w:rPr>
            </w:pPr>
          </w:p>
        </w:tc>
      </w:tr>
      <w:tr w:rsidR="00FE291A" w14:paraId="6F26343A" w14:textId="77777777">
        <w:trPr>
          <w:cantSplit/>
        </w:trPr>
        <w:tc>
          <w:tcPr>
            <w:tcW w:w="4463" w:type="dxa"/>
          </w:tcPr>
          <w:p w14:paraId="5F54E26E" w14:textId="77777777" w:rsidR="00FE291A" w:rsidRDefault="00C8738F">
            <w:pPr>
              <w:pStyle w:val="lbltxt"/>
              <w:rPr>
                <w:szCs w:val="22"/>
                <w:lang w:val="es-ES"/>
              </w:rPr>
            </w:pPr>
            <w:r>
              <w:rPr>
                <w:b/>
                <w:szCs w:val="22"/>
                <w:lang w:val="es-ES"/>
              </w:rPr>
              <w:t>España</w:t>
            </w:r>
          </w:p>
          <w:p w14:paraId="567F7A83" w14:textId="77777777" w:rsidR="00FE291A" w:rsidRDefault="00C8738F">
            <w:pPr>
              <w:pStyle w:val="lbltxt"/>
              <w:rPr>
                <w:szCs w:val="22"/>
                <w:lang w:val="es-ES"/>
              </w:rPr>
            </w:pPr>
            <w:r>
              <w:rPr>
                <w:szCs w:val="22"/>
                <w:lang w:val="es-ES"/>
              </w:rPr>
              <w:t>Amgen S.A.</w:t>
            </w:r>
          </w:p>
          <w:p w14:paraId="738BEAA6" w14:textId="77777777" w:rsidR="00FE291A" w:rsidRDefault="00C8738F">
            <w:pPr>
              <w:pStyle w:val="lbltxt"/>
              <w:rPr>
                <w:rStyle w:val="Initial"/>
                <w:sz w:val="22"/>
                <w:szCs w:val="22"/>
                <w:lang w:val="es-ES"/>
              </w:rPr>
            </w:pPr>
            <w:r>
              <w:rPr>
                <w:szCs w:val="22"/>
                <w:lang w:val="es-ES"/>
              </w:rPr>
              <w:t xml:space="preserve">Tel: +34 93 600 18 60 </w:t>
            </w:r>
          </w:p>
          <w:p w14:paraId="59B5D432" w14:textId="77777777" w:rsidR="00FE291A" w:rsidRDefault="00FE291A">
            <w:pPr>
              <w:widowControl/>
              <w:kinsoku w:val="0"/>
              <w:overflowPunct w:val="0"/>
              <w:rPr>
                <w:sz w:val="22"/>
                <w:szCs w:val="22"/>
                <w:lang w:val="es-ES"/>
              </w:rPr>
            </w:pPr>
          </w:p>
        </w:tc>
        <w:tc>
          <w:tcPr>
            <w:tcW w:w="4572" w:type="dxa"/>
          </w:tcPr>
          <w:p w14:paraId="2F9A5F9A" w14:textId="77777777" w:rsidR="00FE291A" w:rsidRDefault="00C8738F">
            <w:pPr>
              <w:pStyle w:val="lbltxt"/>
              <w:rPr>
                <w:b/>
                <w:szCs w:val="22"/>
                <w:lang w:val="pl-PL"/>
              </w:rPr>
            </w:pPr>
            <w:r>
              <w:rPr>
                <w:b/>
                <w:szCs w:val="22"/>
                <w:lang w:val="pl-PL"/>
              </w:rPr>
              <w:t>Polska</w:t>
            </w:r>
          </w:p>
          <w:p w14:paraId="50525DD4" w14:textId="77777777" w:rsidR="00FE291A" w:rsidRDefault="00C8738F">
            <w:pPr>
              <w:pStyle w:val="lbltxt"/>
              <w:rPr>
                <w:szCs w:val="22"/>
                <w:lang w:val="pl-PL"/>
              </w:rPr>
            </w:pPr>
            <w:r>
              <w:rPr>
                <w:szCs w:val="22"/>
                <w:lang w:val="pl-PL"/>
              </w:rPr>
              <w:t xml:space="preserve">Amgen </w:t>
            </w:r>
            <w:r>
              <w:rPr>
                <w:color w:val="000000"/>
                <w:szCs w:val="22"/>
                <w:lang w:val="pl-PL" w:eastAsia="en-GB"/>
              </w:rPr>
              <w:t>Biotechnologia</w:t>
            </w:r>
            <w:r>
              <w:rPr>
                <w:szCs w:val="22"/>
                <w:lang w:val="pl-PL"/>
              </w:rPr>
              <w:t xml:space="preserve"> Sp. z o.o.</w:t>
            </w:r>
          </w:p>
          <w:p w14:paraId="02E6616A" w14:textId="77777777" w:rsidR="00FE291A" w:rsidRDefault="00C8738F">
            <w:pPr>
              <w:pStyle w:val="lbltxt"/>
              <w:rPr>
                <w:bCs/>
                <w:szCs w:val="22"/>
                <w:lang w:val="de-DE"/>
              </w:rPr>
            </w:pPr>
            <w:r>
              <w:rPr>
                <w:bCs/>
                <w:szCs w:val="22"/>
                <w:lang w:val="de-DE"/>
              </w:rPr>
              <w:t>Tel.: +48 22 581 3000</w:t>
            </w:r>
          </w:p>
          <w:p w14:paraId="5B33D95A" w14:textId="77777777" w:rsidR="00FE291A" w:rsidRDefault="00FE291A">
            <w:pPr>
              <w:widowControl/>
              <w:kinsoku w:val="0"/>
              <w:overflowPunct w:val="0"/>
              <w:rPr>
                <w:sz w:val="22"/>
                <w:szCs w:val="22"/>
                <w:lang w:val="de-DE"/>
              </w:rPr>
            </w:pPr>
          </w:p>
        </w:tc>
      </w:tr>
      <w:tr w:rsidR="00FE291A" w14:paraId="54972056" w14:textId="77777777">
        <w:trPr>
          <w:cantSplit/>
        </w:trPr>
        <w:tc>
          <w:tcPr>
            <w:tcW w:w="4463" w:type="dxa"/>
          </w:tcPr>
          <w:p w14:paraId="27AE8072" w14:textId="77777777" w:rsidR="00FE291A" w:rsidRDefault="00C8738F">
            <w:pPr>
              <w:pStyle w:val="lbltxt"/>
              <w:rPr>
                <w:szCs w:val="22"/>
                <w:lang w:val="fr-FR"/>
              </w:rPr>
            </w:pPr>
            <w:r>
              <w:rPr>
                <w:b/>
                <w:szCs w:val="22"/>
                <w:lang w:val="fr-FR"/>
              </w:rPr>
              <w:t>France</w:t>
            </w:r>
          </w:p>
          <w:p w14:paraId="6C825420" w14:textId="77777777" w:rsidR="00FE291A" w:rsidRDefault="00C8738F">
            <w:pPr>
              <w:pStyle w:val="lbltxt"/>
              <w:rPr>
                <w:szCs w:val="22"/>
                <w:lang w:val="fr-FR"/>
              </w:rPr>
            </w:pPr>
            <w:r>
              <w:rPr>
                <w:szCs w:val="22"/>
                <w:lang w:val="fr-FR"/>
              </w:rPr>
              <w:t>Amgen S.A.S.</w:t>
            </w:r>
          </w:p>
          <w:p w14:paraId="5EE25119" w14:textId="77777777" w:rsidR="00FE291A" w:rsidRDefault="00C8738F">
            <w:pPr>
              <w:widowControl/>
              <w:rPr>
                <w:sz w:val="22"/>
                <w:szCs w:val="22"/>
                <w:lang w:val="fr-FR"/>
              </w:rPr>
            </w:pPr>
            <w:r>
              <w:rPr>
                <w:sz w:val="22"/>
                <w:szCs w:val="22"/>
                <w:lang w:val="fr-FR"/>
              </w:rPr>
              <w:t>Tél: +33 (0)9 69 363 363</w:t>
            </w:r>
          </w:p>
          <w:p w14:paraId="2B4E277E" w14:textId="77777777" w:rsidR="00FE291A" w:rsidRDefault="00FE291A">
            <w:pPr>
              <w:widowControl/>
              <w:kinsoku w:val="0"/>
              <w:overflowPunct w:val="0"/>
              <w:rPr>
                <w:sz w:val="22"/>
                <w:szCs w:val="22"/>
                <w:lang w:val="fr-FR"/>
              </w:rPr>
            </w:pPr>
          </w:p>
        </w:tc>
        <w:tc>
          <w:tcPr>
            <w:tcW w:w="4572" w:type="dxa"/>
          </w:tcPr>
          <w:p w14:paraId="704DC677" w14:textId="77777777" w:rsidR="00FE291A" w:rsidRDefault="00C8738F">
            <w:pPr>
              <w:pStyle w:val="lbltxt"/>
              <w:rPr>
                <w:szCs w:val="22"/>
                <w:lang w:val="es-ES"/>
              </w:rPr>
            </w:pPr>
            <w:r>
              <w:rPr>
                <w:b/>
                <w:szCs w:val="22"/>
                <w:lang w:val="es-ES"/>
              </w:rPr>
              <w:t>Portugal</w:t>
            </w:r>
          </w:p>
          <w:p w14:paraId="72C3BE2F" w14:textId="77777777" w:rsidR="00FE291A" w:rsidRDefault="00C8738F">
            <w:pPr>
              <w:pStyle w:val="lbltxt"/>
              <w:rPr>
                <w:szCs w:val="22"/>
                <w:lang w:val="es-ES"/>
              </w:rPr>
            </w:pPr>
            <w:r>
              <w:rPr>
                <w:szCs w:val="22"/>
                <w:lang w:val="es-ES"/>
              </w:rPr>
              <w:t>Amgen Biofarmacêutica, Lda.</w:t>
            </w:r>
          </w:p>
          <w:p w14:paraId="5A64141F" w14:textId="77777777" w:rsidR="00FE291A" w:rsidRDefault="00C8738F">
            <w:pPr>
              <w:pStyle w:val="lbltxt"/>
              <w:rPr>
                <w:szCs w:val="22"/>
                <w:lang w:val="es-ES"/>
              </w:rPr>
            </w:pPr>
            <w:r>
              <w:rPr>
                <w:szCs w:val="22"/>
                <w:lang w:val="es-ES"/>
              </w:rPr>
              <w:t>Tel: +351 21 4220606</w:t>
            </w:r>
          </w:p>
          <w:p w14:paraId="4C64DDA0" w14:textId="77777777" w:rsidR="00FE291A" w:rsidRDefault="00FE291A">
            <w:pPr>
              <w:widowControl/>
              <w:kinsoku w:val="0"/>
              <w:overflowPunct w:val="0"/>
              <w:rPr>
                <w:sz w:val="22"/>
                <w:szCs w:val="22"/>
                <w:lang w:val="es-ES"/>
              </w:rPr>
            </w:pPr>
          </w:p>
        </w:tc>
      </w:tr>
      <w:tr w:rsidR="00FE291A" w14:paraId="799A12AC" w14:textId="77777777">
        <w:trPr>
          <w:cantSplit/>
        </w:trPr>
        <w:tc>
          <w:tcPr>
            <w:tcW w:w="4463" w:type="dxa"/>
          </w:tcPr>
          <w:p w14:paraId="44C05B95" w14:textId="77777777" w:rsidR="00FE291A" w:rsidRDefault="00C8738F">
            <w:pPr>
              <w:keepNext/>
              <w:keepLines/>
              <w:widowControl/>
              <w:rPr>
                <w:sz w:val="22"/>
                <w:szCs w:val="22"/>
                <w:lang w:val="sv-SE"/>
              </w:rPr>
            </w:pPr>
            <w:r>
              <w:rPr>
                <w:b/>
                <w:sz w:val="22"/>
                <w:szCs w:val="22"/>
                <w:lang w:val="sv-SE"/>
              </w:rPr>
              <w:t>Hrvatska</w:t>
            </w:r>
          </w:p>
          <w:p w14:paraId="228642E4" w14:textId="77777777" w:rsidR="00FE291A" w:rsidRDefault="00C8738F">
            <w:pPr>
              <w:keepNext/>
              <w:keepLines/>
              <w:widowControl/>
              <w:rPr>
                <w:sz w:val="22"/>
                <w:szCs w:val="22"/>
                <w:lang w:val="sv-SE"/>
              </w:rPr>
            </w:pPr>
            <w:r>
              <w:rPr>
                <w:sz w:val="22"/>
                <w:szCs w:val="22"/>
                <w:lang w:val="sv-SE"/>
              </w:rPr>
              <w:t>Amgen d.o.o.</w:t>
            </w:r>
          </w:p>
          <w:p w14:paraId="13C0DD8D" w14:textId="77777777" w:rsidR="00FE291A" w:rsidRDefault="00C8738F">
            <w:pPr>
              <w:keepNext/>
              <w:keepLines/>
              <w:widowControl/>
              <w:rPr>
                <w:sz w:val="22"/>
                <w:szCs w:val="22"/>
                <w:lang w:val="de-DE"/>
              </w:rPr>
            </w:pPr>
            <w:r>
              <w:rPr>
                <w:sz w:val="22"/>
                <w:szCs w:val="22"/>
                <w:lang w:val="de-DE"/>
              </w:rPr>
              <w:t>Tel: +385 (0)1 562 57 20</w:t>
            </w:r>
          </w:p>
          <w:p w14:paraId="690030F4" w14:textId="77777777" w:rsidR="00FE291A" w:rsidRDefault="00FE291A">
            <w:pPr>
              <w:widowControl/>
              <w:kinsoku w:val="0"/>
              <w:overflowPunct w:val="0"/>
              <w:rPr>
                <w:sz w:val="22"/>
                <w:szCs w:val="22"/>
                <w:lang w:val="de-DE"/>
              </w:rPr>
            </w:pPr>
          </w:p>
        </w:tc>
        <w:tc>
          <w:tcPr>
            <w:tcW w:w="4572" w:type="dxa"/>
          </w:tcPr>
          <w:p w14:paraId="4762EC76" w14:textId="77777777" w:rsidR="00FE291A" w:rsidRDefault="00C8738F">
            <w:pPr>
              <w:keepNext/>
              <w:keepLines/>
              <w:widowControl/>
              <w:suppressAutoHyphens/>
              <w:rPr>
                <w:b/>
                <w:sz w:val="22"/>
                <w:szCs w:val="22"/>
                <w:lang w:val="it-IT"/>
              </w:rPr>
            </w:pPr>
            <w:r>
              <w:rPr>
                <w:b/>
                <w:sz w:val="22"/>
                <w:szCs w:val="22"/>
                <w:lang w:val="it-IT"/>
              </w:rPr>
              <w:t>România</w:t>
            </w:r>
          </w:p>
          <w:p w14:paraId="39165351" w14:textId="77777777" w:rsidR="00FE291A" w:rsidRDefault="00C8738F">
            <w:pPr>
              <w:keepNext/>
              <w:keepLines/>
              <w:widowControl/>
              <w:rPr>
                <w:color w:val="000000"/>
                <w:sz w:val="22"/>
                <w:szCs w:val="22"/>
                <w:lang w:val="it-IT"/>
              </w:rPr>
            </w:pPr>
            <w:r>
              <w:rPr>
                <w:color w:val="000000"/>
                <w:sz w:val="22"/>
                <w:szCs w:val="22"/>
                <w:lang w:val="it-IT"/>
              </w:rPr>
              <w:t>Amgen România SRL</w:t>
            </w:r>
          </w:p>
          <w:p w14:paraId="28872C35" w14:textId="77777777" w:rsidR="00FE291A" w:rsidRDefault="00C8738F">
            <w:pPr>
              <w:pStyle w:val="lbltxt"/>
              <w:keepNext/>
              <w:keepLines/>
              <w:rPr>
                <w:szCs w:val="22"/>
                <w:lang w:val="it-IT"/>
              </w:rPr>
            </w:pPr>
            <w:r>
              <w:rPr>
                <w:szCs w:val="22"/>
                <w:lang w:val="it-IT"/>
              </w:rPr>
              <w:t>Tel: +4021 527 3000</w:t>
            </w:r>
          </w:p>
          <w:p w14:paraId="64B7C8AA" w14:textId="77777777" w:rsidR="00FE291A" w:rsidRDefault="00FE291A">
            <w:pPr>
              <w:widowControl/>
              <w:kinsoku w:val="0"/>
              <w:overflowPunct w:val="0"/>
              <w:rPr>
                <w:sz w:val="22"/>
                <w:szCs w:val="22"/>
                <w:lang w:val="it-IT"/>
              </w:rPr>
            </w:pPr>
          </w:p>
        </w:tc>
      </w:tr>
      <w:tr w:rsidR="00FE291A" w14:paraId="4D0ABAD3" w14:textId="77777777">
        <w:trPr>
          <w:cantSplit/>
        </w:trPr>
        <w:tc>
          <w:tcPr>
            <w:tcW w:w="4463" w:type="dxa"/>
          </w:tcPr>
          <w:p w14:paraId="26CB466C" w14:textId="77777777" w:rsidR="00FE291A" w:rsidRDefault="00C8738F">
            <w:pPr>
              <w:pStyle w:val="lbltxt"/>
              <w:rPr>
                <w:rFonts w:eastAsia="Arial Unicode MS"/>
                <w:b/>
                <w:szCs w:val="22"/>
                <w:lang w:val="en-US"/>
              </w:rPr>
            </w:pPr>
            <w:r>
              <w:rPr>
                <w:rFonts w:eastAsia="Arial Unicode MS"/>
                <w:b/>
                <w:szCs w:val="22"/>
                <w:lang w:val="en-US"/>
              </w:rPr>
              <w:t>Ireland</w:t>
            </w:r>
          </w:p>
          <w:p w14:paraId="5F59737A" w14:textId="77777777" w:rsidR="00FE291A" w:rsidRDefault="00C8738F">
            <w:pPr>
              <w:pStyle w:val="lbltxt"/>
              <w:rPr>
                <w:rFonts w:eastAsia="Arial Unicode MS"/>
                <w:bCs/>
                <w:szCs w:val="22"/>
                <w:lang w:val="en-US"/>
              </w:rPr>
            </w:pPr>
            <w:r>
              <w:rPr>
                <w:rFonts w:eastAsia="Arial Unicode MS"/>
                <w:bCs/>
                <w:szCs w:val="22"/>
                <w:lang w:val="en-US"/>
              </w:rPr>
              <w:t>Amgen Ireland Limited</w:t>
            </w:r>
          </w:p>
          <w:p w14:paraId="05AFEBC9" w14:textId="77777777" w:rsidR="00FE291A" w:rsidRDefault="00C8738F">
            <w:pPr>
              <w:pStyle w:val="lbltxt"/>
              <w:rPr>
                <w:rStyle w:val="Initial"/>
                <w:rFonts w:eastAsia="Arial Unicode MS"/>
                <w:bCs/>
                <w:sz w:val="22"/>
                <w:szCs w:val="22"/>
                <w:lang w:val="en-US"/>
              </w:rPr>
            </w:pPr>
            <w:r>
              <w:rPr>
                <w:rFonts w:eastAsia="Arial Unicode MS"/>
                <w:bCs/>
                <w:szCs w:val="22"/>
                <w:lang w:val="en-US"/>
              </w:rPr>
              <w:t>Tel: +353 1 8527400</w:t>
            </w:r>
          </w:p>
          <w:p w14:paraId="48F5370A" w14:textId="77777777" w:rsidR="00FE291A" w:rsidRDefault="00FE291A">
            <w:pPr>
              <w:widowControl/>
              <w:kinsoku w:val="0"/>
              <w:overflowPunct w:val="0"/>
              <w:rPr>
                <w:sz w:val="22"/>
                <w:szCs w:val="22"/>
                <w:lang w:val="en-US"/>
              </w:rPr>
            </w:pPr>
          </w:p>
        </w:tc>
        <w:tc>
          <w:tcPr>
            <w:tcW w:w="4572" w:type="dxa"/>
          </w:tcPr>
          <w:p w14:paraId="024D5D3E" w14:textId="77777777" w:rsidR="00FE291A" w:rsidRDefault="00C8738F">
            <w:pPr>
              <w:pStyle w:val="lbltxt"/>
              <w:rPr>
                <w:b/>
                <w:szCs w:val="22"/>
                <w:lang w:val="en-US"/>
              </w:rPr>
            </w:pPr>
            <w:r>
              <w:rPr>
                <w:b/>
                <w:szCs w:val="22"/>
                <w:lang w:val="en-US"/>
              </w:rPr>
              <w:t>Slovenija</w:t>
            </w:r>
          </w:p>
          <w:p w14:paraId="6CFEC87F" w14:textId="77777777" w:rsidR="00FE291A" w:rsidRDefault="00C8738F">
            <w:pPr>
              <w:pStyle w:val="lbltxt"/>
              <w:rPr>
                <w:bCs/>
                <w:szCs w:val="22"/>
                <w:lang w:val="en-US"/>
              </w:rPr>
            </w:pPr>
            <w:r>
              <w:rPr>
                <w:szCs w:val="22"/>
                <w:lang w:val="en-US"/>
              </w:rPr>
              <w:t>AMGEN zdravila d.o.o.</w:t>
            </w:r>
          </w:p>
          <w:p w14:paraId="055E9A17" w14:textId="77777777" w:rsidR="00FE291A" w:rsidRDefault="00C8738F">
            <w:pPr>
              <w:pStyle w:val="lbltxt"/>
              <w:rPr>
                <w:bCs/>
                <w:szCs w:val="22"/>
                <w:lang w:val="en-US"/>
              </w:rPr>
            </w:pPr>
            <w:r>
              <w:rPr>
                <w:bCs/>
                <w:szCs w:val="22"/>
                <w:lang w:val="en-US"/>
              </w:rPr>
              <w:t>Tel: +386 (0)1 585 1767</w:t>
            </w:r>
          </w:p>
          <w:p w14:paraId="194A28C5" w14:textId="77777777" w:rsidR="00FE291A" w:rsidRDefault="00FE291A">
            <w:pPr>
              <w:widowControl/>
              <w:kinsoku w:val="0"/>
              <w:overflowPunct w:val="0"/>
              <w:rPr>
                <w:sz w:val="22"/>
                <w:szCs w:val="22"/>
                <w:lang w:val="en-US"/>
              </w:rPr>
            </w:pPr>
          </w:p>
        </w:tc>
      </w:tr>
      <w:tr w:rsidR="00FE291A" w14:paraId="1572D397" w14:textId="77777777">
        <w:trPr>
          <w:cantSplit/>
        </w:trPr>
        <w:tc>
          <w:tcPr>
            <w:tcW w:w="4463" w:type="dxa"/>
          </w:tcPr>
          <w:p w14:paraId="2FADFF67" w14:textId="77777777" w:rsidR="00FE291A" w:rsidRDefault="00C8738F">
            <w:pPr>
              <w:pStyle w:val="lbltxt"/>
              <w:rPr>
                <w:b/>
                <w:szCs w:val="22"/>
                <w:lang w:val="de-DE"/>
              </w:rPr>
            </w:pPr>
            <w:r>
              <w:rPr>
                <w:b/>
                <w:szCs w:val="22"/>
                <w:lang w:val="de-DE"/>
              </w:rPr>
              <w:t>Ísland</w:t>
            </w:r>
          </w:p>
          <w:p w14:paraId="412BE896" w14:textId="77777777" w:rsidR="00FE291A" w:rsidRDefault="00C8738F">
            <w:pPr>
              <w:pStyle w:val="lbltxt"/>
              <w:rPr>
                <w:szCs w:val="22"/>
                <w:lang w:val="de-DE"/>
              </w:rPr>
            </w:pPr>
            <w:r>
              <w:rPr>
                <w:szCs w:val="22"/>
                <w:lang w:val="de-DE"/>
              </w:rPr>
              <w:t>Vistor</w:t>
            </w:r>
            <w:del w:id="129" w:author="Author">
              <w:r>
                <w:rPr>
                  <w:szCs w:val="22"/>
                  <w:lang w:val="de-DE"/>
                </w:rPr>
                <w:delText xml:space="preserve"> hf.</w:delText>
              </w:r>
            </w:del>
          </w:p>
          <w:p w14:paraId="4C8697FC" w14:textId="77777777" w:rsidR="00FE291A" w:rsidRDefault="00C8738F">
            <w:pPr>
              <w:pStyle w:val="lbltxt"/>
              <w:rPr>
                <w:szCs w:val="22"/>
                <w:lang w:val="de-DE"/>
              </w:rPr>
            </w:pPr>
            <w:r>
              <w:rPr>
                <w:szCs w:val="22"/>
                <w:lang w:val="de-DE"/>
              </w:rPr>
              <w:t>Sími: +354 535 7000</w:t>
            </w:r>
          </w:p>
          <w:p w14:paraId="6281820D" w14:textId="77777777" w:rsidR="00FE291A" w:rsidRDefault="00FE291A">
            <w:pPr>
              <w:widowControl/>
              <w:kinsoku w:val="0"/>
              <w:overflowPunct w:val="0"/>
              <w:rPr>
                <w:sz w:val="22"/>
                <w:szCs w:val="22"/>
                <w:lang w:val="de-DE"/>
              </w:rPr>
            </w:pPr>
          </w:p>
        </w:tc>
        <w:tc>
          <w:tcPr>
            <w:tcW w:w="4572" w:type="dxa"/>
          </w:tcPr>
          <w:p w14:paraId="1D670EF5" w14:textId="77777777" w:rsidR="00FE291A" w:rsidRDefault="00C8738F">
            <w:pPr>
              <w:pStyle w:val="lbltxt"/>
              <w:rPr>
                <w:b/>
                <w:szCs w:val="22"/>
                <w:lang w:val="de-DE"/>
              </w:rPr>
            </w:pPr>
            <w:r>
              <w:rPr>
                <w:b/>
                <w:szCs w:val="22"/>
                <w:lang w:val="de-DE"/>
              </w:rPr>
              <w:t>Slovenská republika</w:t>
            </w:r>
          </w:p>
          <w:p w14:paraId="15B58581" w14:textId="77777777" w:rsidR="00FE291A" w:rsidRDefault="00C8738F">
            <w:pPr>
              <w:pStyle w:val="lbltxt"/>
              <w:rPr>
                <w:bCs/>
                <w:szCs w:val="22"/>
                <w:lang w:val="de-DE"/>
              </w:rPr>
            </w:pPr>
            <w:r>
              <w:rPr>
                <w:bCs/>
                <w:szCs w:val="22"/>
                <w:lang w:val="de-DE"/>
              </w:rPr>
              <w:t>Amgen Slovakia s.r.o.</w:t>
            </w:r>
          </w:p>
          <w:p w14:paraId="6FCF57B0" w14:textId="77777777" w:rsidR="00FE291A" w:rsidRDefault="00C8738F">
            <w:pPr>
              <w:pStyle w:val="lbltxt"/>
              <w:rPr>
                <w:bCs/>
                <w:szCs w:val="22"/>
                <w:lang w:val="de-DE"/>
              </w:rPr>
            </w:pPr>
            <w:r>
              <w:rPr>
                <w:bCs/>
                <w:szCs w:val="22"/>
                <w:lang w:val="de-DE"/>
              </w:rPr>
              <w:t>Tel: +421 2 321 114 49</w:t>
            </w:r>
          </w:p>
          <w:p w14:paraId="0063F320" w14:textId="77777777" w:rsidR="00FE291A" w:rsidRDefault="00FE291A">
            <w:pPr>
              <w:widowControl/>
              <w:kinsoku w:val="0"/>
              <w:overflowPunct w:val="0"/>
              <w:rPr>
                <w:sz w:val="22"/>
                <w:szCs w:val="22"/>
                <w:lang w:val="de-DE"/>
              </w:rPr>
            </w:pPr>
          </w:p>
        </w:tc>
      </w:tr>
      <w:tr w:rsidR="00FE291A" w14:paraId="5BB53AFD" w14:textId="77777777">
        <w:trPr>
          <w:cantSplit/>
        </w:trPr>
        <w:tc>
          <w:tcPr>
            <w:tcW w:w="4463" w:type="dxa"/>
          </w:tcPr>
          <w:p w14:paraId="712C0DD6" w14:textId="77777777" w:rsidR="00FE291A" w:rsidRDefault="00C8738F">
            <w:pPr>
              <w:pStyle w:val="lbltxt"/>
              <w:rPr>
                <w:szCs w:val="22"/>
                <w:lang w:val="es-ES"/>
              </w:rPr>
            </w:pPr>
            <w:r>
              <w:rPr>
                <w:b/>
                <w:szCs w:val="22"/>
                <w:lang w:val="es-ES"/>
              </w:rPr>
              <w:t>Italia</w:t>
            </w:r>
          </w:p>
          <w:p w14:paraId="421BCBFA" w14:textId="77777777" w:rsidR="00FE291A" w:rsidRDefault="00C8738F">
            <w:pPr>
              <w:pStyle w:val="lbltxt"/>
              <w:rPr>
                <w:szCs w:val="22"/>
                <w:lang w:val="es-ES"/>
              </w:rPr>
            </w:pPr>
            <w:r>
              <w:rPr>
                <w:szCs w:val="22"/>
                <w:lang w:val="es-ES"/>
              </w:rPr>
              <w:t>Amgen S.r.l.</w:t>
            </w:r>
          </w:p>
          <w:p w14:paraId="3F6CFDD4" w14:textId="77777777" w:rsidR="00FE291A" w:rsidRDefault="00C8738F">
            <w:pPr>
              <w:pStyle w:val="lbltxt"/>
              <w:rPr>
                <w:szCs w:val="22"/>
                <w:lang w:val="de-DE"/>
              </w:rPr>
            </w:pPr>
            <w:r>
              <w:rPr>
                <w:szCs w:val="22"/>
                <w:lang w:val="de-DE"/>
              </w:rPr>
              <w:t>Tel: +39 02 6241121</w:t>
            </w:r>
          </w:p>
          <w:p w14:paraId="535276D8" w14:textId="77777777" w:rsidR="00FE291A" w:rsidRDefault="00FE291A">
            <w:pPr>
              <w:widowControl/>
              <w:kinsoku w:val="0"/>
              <w:overflowPunct w:val="0"/>
              <w:rPr>
                <w:sz w:val="22"/>
                <w:szCs w:val="22"/>
                <w:lang w:val="de-DE"/>
              </w:rPr>
            </w:pPr>
          </w:p>
        </w:tc>
        <w:tc>
          <w:tcPr>
            <w:tcW w:w="4572" w:type="dxa"/>
          </w:tcPr>
          <w:p w14:paraId="1DA62B97" w14:textId="77777777" w:rsidR="00FE291A" w:rsidRDefault="00C8738F">
            <w:pPr>
              <w:pStyle w:val="lbltxt"/>
              <w:rPr>
                <w:szCs w:val="22"/>
                <w:lang w:val="de-DE"/>
              </w:rPr>
            </w:pPr>
            <w:r>
              <w:rPr>
                <w:b/>
                <w:szCs w:val="22"/>
                <w:lang w:val="de-DE"/>
              </w:rPr>
              <w:t>Suomi/Finland</w:t>
            </w:r>
          </w:p>
          <w:p w14:paraId="0AE301A5" w14:textId="77777777" w:rsidR="00FE291A" w:rsidRDefault="00C8738F">
            <w:pPr>
              <w:pStyle w:val="lbltxt"/>
              <w:rPr>
                <w:szCs w:val="22"/>
                <w:lang w:val="de-DE"/>
              </w:rPr>
            </w:pPr>
            <w:r>
              <w:rPr>
                <w:szCs w:val="22"/>
                <w:lang w:val="de-DE"/>
              </w:rPr>
              <w:t>Amgen AB, sivuliike Suomessa/Amgen AB, filial i Finland</w:t>
            </w:r>
          </w:p>
          <w:p w14:paraId="41C2DCDA" w14:textId="77777777" w:rsidR="00FE291A" w:rsidRDefault="00C8738F">
            <w:pPr>
              <w:pStyle w:val="lbltxt"/>
              <w:rPr>
                <w:szCs w:val="22"/>
                <w:lang w:val="de-DE"/>
              </w:rPr>
            </w:pPr>
            <w:r>
              <w:rPr>
                <w:szCs w:val="22"/>
                <w:lang w:val="nl-NL"/>
              </w:rPr>
              <w:t>Puh/Tel: +358 (0)9 54900500</w:t>
            </w:r>
          </w:p>
          <w:p w14:paraId="6B9F5CBA" w14:textId="77777777" w:rsidR="00FE291A" w:rsidRDefault="00FE291A">
            <w:pPr>
              <w:pStyle w:val="lbltxt"/>
              <w:rPr>
                <w:szCs w:val="22"/>
                <w:lang w:val="de-DE"/>
              </w:rPr>
            </w:pPr>
          </w:p>
        </w:tc>
      </w:tr>
      <w:tr w:rsidR="00FE291A" w14:paraId="7EADDFA8" w14:textId="77777777">
        <w:trPr>
          <w:cantSplit/>
        </w:trPr>
        <w:tc>
          <w:tcPr>
            <w:tcW w:w="4463" w:type="dxa"/>
          </w:tcPr>
          <w:p w14:paraId="52A4D9A5" w14:textId="77777777" w:rsidR="00FE291A" w:rsidRDefault="00C8738F">
            <w:pPr>
              <w:pStyle w:val="lbltxt"/>
              <w:rPr>
                <w:b/>
                <w:szCs w:val="22"/>
                <w:lang w:val="en-IN"/>
              </w:rPr>
            </w:pPr>
            <w:r>
              <w:rPr>
                <w:b/>
                <w:szCs w:val="22"/>
                <w:lang w:val="en-IN"/>
              </w:rPr>
              <w:t>K</w:t>
            </w:r>
            <w:r>
              <w:rPr>
                <w:b/>
                <w:szCs w:val="22"/>
                <w:lang w:val="de-DE"/>
              </w:rPr>
              <w:t>ύπρος</w:t>
            </w:r>
          </w:p>
          <w:p w14:paraId="193E71B3" w14:textId="77777777" w:rsidR="00FE291A" w:rsidRDefault="00C8738F">
            <w:pPr>
              <w:widowControl/>
              <w:rPr>
                <w:sz w:val="22"/>
                <w:szCs w:val="22"/>
              </w:rPr>
            </w:pPr>
            <w:r>
              <w:rPr>
                <w:sz w:val="22"/>
                <w:szCs w:val="22"/>
              </w:rPr>
              <w:t>C.A. Papaellinas Ltd</w:t>
            </w:r>
          </w:p>
          <w:p w14:paraId="0B9CA2F1" w14:textId="77777777" w:rsidR="00FE291A" w:rsidRDefault="00C8738F">
            <w:pPr>
              <w:pStyle w:val="lbltxt"/>
              <w:rPr>
                <w:szCs w:val="22"/>
                <w:lang w:val="en-IN"/>
              </w:rPr>
            </w:pPr>
            <w:r>
              <w:rPr>
                <w:szCs w:val="22"/>
                <w:lang w:val="de-DE"/>
              </w:rPr>
              <w:t>Τηλ</w:t>
            </w:r>
            <w:r>
              <w:rPr>
                <w:szCs w:val="22"/>
                <w:lang w:val="en-IN"/>
              </w:rPr>
              <w:t>: +357 22741 741</w:t>
            </w:r>
          </w:p>
          <w:p w14:paraId="1323B2E6" w14:textId="77777777" w:rsidR="00FE291A" w:rsidRDefault="00FE291A">
            <w:pPr>
              <w:widowControl/>
              <w:kinsoku w:val="0"/>
              <w:overflowPunct w:val="0"/>
              <w:rPr>
                <w:sz w:val="22"/>
                <w:szCs w:val="22"/>
              </w:rPr>
            </w:pPr>
          </w:p>
        </w:tc>
        <w:tc>
          <w:tcPr>
            <w:tcW w:w="4572" w:type="dxa"/>
          </w:tcPr>
          <w:p w14:paraId="5B92CFA2" w14:textId="77777777" w:rsidR="00FE291A" w:rsidRDefault="00C8738F">
            <w:pPr>
              <w:pStyle w:val="lbltxt"/>
              <w:rPr>
                <w:szCs w:val="22"/>
                <w:lang w:val="de-DE"/>
              </w:rPr>
            </w:pPr>
            <w:r>
              <w:rPr>
                <w:b/>
                <w:szCs w:val="22"/>
                <w:lang w:val="de-DE"/>
              </w:rPr>
              <w:t>Sverige</w:t>
            </w:r>
          </w:p>
          <w:p w14:paraId="2A346EE4" w14:textId="77777777" w:rsidR="00FE291A" w:rsidRDefault="00C8738F">
            <w:pPr>
              <w:pStyle w:val="lbltxt"/>
              <w:rPr>
                <w:szCs w:val="22"/>
                <w:lang w:val="de-DE"/>
              </w:rPr>
            </w:pPr>
            <w:r>
              <w:rPr>
                <w:szCs w:val="22"/>
                <w:lang w:val="de-DE"/>
              </w:rPr>
              <w:t xml:space="preserve">Amgen AB </w:t>
            </w:r>
          </w:p>
          <w:p w14:paraId="388EF007" w14:textId="77777777" w:rsidR="00FE291A" w:rsidRDefault="00C8738F">
            <w:pPr>
              <w:pStyle w:val="lbltxt"/>
              <w:rPr>
                <w:szCs w:val="22"/>
                <w:lang w:val="de-DE"/>
              </w:rPr>
            </w:pPr>
            <w:r>
              <w:rPr>
                <w:szCs w:val="22"/>
                <w:lang w:val="de-DE"/>
              </w:rPr>
              <w:t>Tel: +46 (0)8 6951100</w:t>
            </w:r>
          </w:p>
          <w:p w14:paraId="5E9B1628" w14:textId="77777777" w:rsidR="00FE291A" w:rsidRDefault="00FE291A">
            <w:pPr>
              <w:widowControl/>
              <w:kinsoku w:val="0"/>
              <w:overflowPunct w:val="0"/>
              <w:rPr>
                <w:sz w:val="22"/>
                <w:szCs w:val="22"/>
                <w:lang w:val="de-DE"/>
              </w:rPr>
            </w:pPr>
          </w:p>
        </w:tc>
      </w:tr>
      <w:tr w:rsidR="00FE291A" w14:paraId="0AF039B2" w14:textId="77777777">
        <w:trPr>
          <w:cantSplit/>
        </w:trPr>
        <w:tc>
          <w:tcPr>
            <w:tcW w:w="4463" w:type="dxa"/>
          </w:tcPr>
          <w:p w14:paraId="6F6A3C25" w14:textId="77777777" w:rsidR="00FE291A" w:rsidRPr="00211AE1" w:rsidRDefault="00C8738F">
            <w:pPr>
              <w:pStyle w:val="lbltxt"/>
              <w:rPr>
                <w:b/>
                <w:bCs/>
                <w:szCs w:val="22"/>
                <w:lang w:val="de-DE"/>
              </w:rPr>
            </w:pPr>
            <w:r w:rsidRPr="00211AE1">
              <w:rPr>
                <w:b/>
                <w:bCs/>
                <w:szCs w:val="22"/>
                <w:lang w:val="de-DE"/>
              </w:rPr>
              <w:t>Latvija</w:t>
            </w:r>
          </w:p>
          <w:p w14:paraId="59924B0E" w14:textId="77777777" w:rsidR="00FE291A" w:rsidRPr="00211AE1" w:rsidRDefault="00C8738F">
            <w:pPr>
              <w:pStyle w:val="lbltxt"/>
              <w:rPr>
                <w:szCs w:val="22"/>
                <w:lang w:val="de-DE"/>
              </w:rPr>
            </w:pPr>
            <w:r w:rsidRPr="00211AE1">
              <w:rPr>
                <w:szCs w:val="22"/>
                <w:lang w:val="de-DE"/>
              </w:rPr>
              <w:t>Amgen Switzerland AG Rīgas filiāle</w:t>
            </w:r>
          </w:p>
          <w:p w14:paraId="5C563C6A" w14:textId="77777777" w:rsidR="00FE291A" w:rsidRDefault="00C8738F">
            <w:pPr>
              <w:pStyle w:val="lbltxt"/>
              <w:rPr>
                <w:szCs w:val="22"/>
                <w:lang w:val="de-DE"/>
              </w:rPr>
            </w:pPr>
            <w:r>
              <w:rPr>
                <w:bCs/>
                <w:szCs w:val="22"/>
                <w:lang w:val="de-DE"/>
              </w:rPr>
              <w:t>Tel: +</w:t>
            </w:r>
            <w:r>
              <w:rPr>
                <w:szCs w:val="22"/>
                <w:lang w:val="de-DE"/>
              </w:rPr>
              <w:t>371 257 25888</w:t>
            </w:r>
          </w:p>
          <w:p w14:paraId="735890A9" w14:textId="77777777" w:rsidR="00FE291A" w:rsidRDefault="00FE291A">
            <w:pPr>
              <w:widowControl/>
              <w:kinsoku w:val="0"/>
              <w:overflowPunct w:val="0"/>
              <w:rPr>
                <w:sz w:val="22"/>
                <w:szCs w:val="22"/>
                <w:lang w:val="de-DE"/>
              </w:rPr>
            </w:pPr>
          </w:p>
        </w:tc>
        <w:tc>
          <w:tcPr>
            <w:tcW w:w="4572" w:type="dxa"/>
          </w:tcPr>
          <w:p w14:paraId="27B2A1A7" w14:textId="77777777" w:rsidR="00FE291A" w:rsidRDefault="00FE291A">
            <w:pPr>
              <w:pStyle w:val="lbltxt"/>
              <w:rPr>
                <w:szCs w:val="22"/>
                <w:lang w:val="de-DE"/>
              </w:rPr>
            </w:pPr>
          </w:p>
        </w:tc>
      </w:tr>
    </w:tbl>
    <w:p w14:paraId="3CE213B7" w14:textId="77777777" w:rsidR="00FE291A" w:rsidRDefault="00FE291A">
      <w:pPr>
        <w:widowControl/>
        <w:rPr>
          <w:sz w:val="22"/>
          <w:lang w:val="de-DE"/>
        </w:rPr>
      </w:pPr>
    </w:p>
    <w:bookmarkEnd w:id="125"/>
    <w:p w14:paraId="481B3A35" w14:textId="77777777" w:rsidR="00FE291A" w:rsidRDefault="00C8738F">
      <w:pPr>
        <w:pStyle w:val="Heading1"/>
        <w:keepNext/>
        <w:widowControl/>
        <w:kinsoku w:val="0"/>
        <w:overflowPunct w:val="0"/>
        <w:ind w:left="0"/>
        <w:rPr>
          <w:b w:val="0"/>
          <w:bCs w:val="0"/>
          <w:lang w:val="de-DE"/>
        </w:rPr>
      </w:pPr>
      <w:r>
        <w:rPr>
          <w:lang w:val="de-DE"/>
        </w:rPr>
        <w:t>Diese Packungsbeilage wurde zuletzt überarbeitet im</w:t>
      </w:r>
    </w:p>
    <w:p w14:paraId="5794DE37" w14:textId="77777777" w:rsidR="00FE291A" w:rsidRDefault="00FE291A">
      <w:pPr>
        <w:widowControl/>
        <w:kinsoku w:val="0"/>
        <w:overflowPunct w:val="0"/>
        <w:rPr>
          <w:sz w:val="22"/>
          <w:szCs w:val="22"/>
          <w:lang w:val="de-DE"/>
        </w:rPr>
      </w:pPr>
    </w:p>
    <w:p w14:paraId="051DD174" w14:textId="77777777" w:rsidR="00FE291A" w:rsidRDefault="00C8738F">
      <w:pPr>
        <w:widowControl/>
        <w:kinsoku w:val="0"/>
        <w:overflowPunct w:val="0"/>
        <w:rPr>
          <w:b/>
          <w:sz w:val="22"/>
          <w:szCs w:val="22"/>
          <w:lang w:val="de-DE"/>
        </w:rPr>
      </w:pPr>
      <w:r>
        <w:rPr>
          <w:b/>
          <w:sz w:val="22"/>
          <w:szCs w:val="22"/>
          <w:lang w:val="de-DE"/>
        </w:rPr>
        <w:t>Weitere Informationsquellen</w:t>
      </w:r>
    </w:p>
    <w:p w14:paraId="63F91113" w14:textId="77777777" w:rsidR="00FE291A" w:rsidRDefault="00FE291A">
      <w:pPr>
        <w:widowControl/>
        <w:kinsoku w:val="0"/>
        <w:overflowPunct w:val="0"/>
        <w:rPr>
          <w:sz w:val="22"/>
          <w:szCs w:val="22"/>
          <w:lang w:val="de-DE"/>
        </w:rPr>
      </w:pPr>
    </w:p>
    <w:p w14:paraId="6511001C" w14:textId="77777777" w:rsidR="00FE291A" w:rsidRDefault="00C8738F">
      <w:pPr>
        <w:pStyle w:val="BodyText"/>
        <w:widowControl/>
        <w:kinsoku w:val="0"/>
        <w:overflowPunct w:val="0"/>
        <w:ind w:left="0"/>
        <w:rPr>
          <w:color w:val="000000"/>
          <w:lang w:val="de-DE"/>
        </w:rPr>
      </w:pPr>
      <w:r>
        <w:rPr>
          <w:lang w:val="de-DE"/>
        </w:rPr>
        <w:t xml:space="preserve">Ausführliche Informationen zu diesem Arzneimittel sind auf den Internetseiten der Europäischen Arzneimittel-Agentur </w:t>
      </w:r>
      <w:r>
        <w:fldChar w:fldCharType="begin"/>
      </w:r>
      <w:r w:rsidRPr="00F076DE">
        <w:rPr>
          <w:lang w:val="de-DE"/>
          <w:rPrChange w:id="130" w:author="Author">
            <w:rPr/>
          </w:rPrChange>
        </w:rPr>
        <w:instrText>HYPERLINK "https://www.ema.europa.eu/"</w:instrText>
      </w:r>
      <w:r>
        <w:fldChar w:fldCharType="separate"/>
      </w:r>
      <w:r>
        <w:rPr>
          <w:rStyle w:val="Hyperlink"/>
          <w:color w:val="0000FF"/>
          <w:lang w:val="de-DE" w:eastAsia="en-US"/>
        </w:rPr>
        <w:t>https://www.ema.europa.eu/</w:t>
      </w:r>
      <w:r>
        <w:fldChar w:fldCharType="end"/>
      </w:r>
      <w:r>
        <w:rPr>
          <w:rStyle w:val="Hyperlink"/>
          <w:color w:val="auto"/>
          <w:u w:val="none"/>
          <w:lang w:val="de-DE"/>
        </w:rPr>
        <w:t xml:space="preserve"> </w:t>
      </w:r>
      <w:r>
        <w:rPr>
          <w:color w:val="000000"/>
          <w:lang w:val="de-DE"/>
        </w:rPr>
        <w:t>verfügbar.</w:t>
      </w:r>
    </w:p>
    <w:p w14:paraId="583E15D3" w14:textId="77777777" w:rsidR="00FE291A" w:rsidRDefault="00FE291A">
      <w:pPr>
        <w:pStyle w:val="BodyText"/>
        <w:widowControl/>
        <w:kinsoku w:val="0"/>
        <w:overflowPunct w:val="0"/>
        <w:ind w:left="0"/>
        <w:rPr>
          <w:color w:val="000000"/>
          <w:lang w:val="de-DE"/>
        </w:rPr>
      </w:pPr>
    </w:p>
    <w:p w14:paraId="60D82FD1" w14:textId="77777777" w:rsidR="00FE291A" w:rsidRDefault="00C8738F">
      <w:pPr>
        <w:widowControl/>
        <w:numPr>
          <w:ilvl w:val="12"/>
          <w:numId w:val="0"/>
        </w:numPr>
        <w:ind w:right="-2"/>
        <w:rPr>
          <w:sz w:val="22"/>
          <w:szCs w:val="22"/>
          <w:lang w:val="de-DE"/>
        </w:rPr>
      </w:pPr>
      <w:r>
        <w:rPr>
          <w:sz w:val="22"/>
          <w:szCs w:val="22"/>
          <w:lang w:val="de-DE"/>
        </w:rPr>
        <w:t>-----------------------------------------------------------------------------------------------------------------</w:t>
      </w:r>
    </w:p>
    <w:p w14:paraId="60AF61E8" w14:textId="77777777" w:rsidR="00FE291A" w:rsidRDefault="00FE291A">
      <w:pPr>
        <w:pStyle w:val="BodyText"/>
        <w:widowControl/>
        <w:kinsoku w:val="0"/>
        <w:overflowPunct w:val="0"/>
        <w:ind w:left="0"/>
        <w:rPr>
          <w:color w:val="000000"/>
          <w:lang w:val="de-DE"/>
        </w:rPr>
      </w:pPr>
    </w:p>
    <w:tbl>
      <w:tblPr>
        <w:tblW w:w="5000" w:type="pct"/>
        <w:tblLook w:val="04A0" w:firstRow="1" w:lastRow="0" w:firstColumn="1" w:lastColumn="0" w:noHBand="0" w:noVBand="1"/>
      </w:tblPr>
      <w:tblGrid>
        <w:gridCol w:w="9061"/>
      </w:tblGrid>
      <w:tr w:rsidR="00FE291A" w:rsidRPr="002E6CD3" w14:paraId="50D1F8C6" w14:textId="77777777">
        <w:trPr>
          <w:trHeight w:val="283"/>
        </w:trPr>
        <w:tc>
          <w:tcPr>
            <w:tcW w:w="5000" w:type="pct"/>
            <w:tcBorders>
              <w:top w:val="single" w:sz="4" w:space="0" w:color="auto"/>
              <w:left w:val="single" w:sz="4" w:space="0" w:color="auto"/>
              <w:bottom w:val="single" w:sz="4" w:space="0" w:color="auto"/>
              <w:right w:val="single" w:sz="4" w:space="0" w:color="auto"/>
            </w:tcBorders>
          </w:tcPr>
          <w:p w14:paraId="434BDA39" w14:textId="77777777" w:rsidR="00FE291A" w:rsidRDefault="00C8738F">
            <w:pPr>
              <w:pageBreakBefore/>
              <w:widowControl/>
              <w:rPr>
                <w:sz w:val="22"/>
                <w:szCs w:val="22"/>
                <w:lang w:val="de-DE"/>
              </w:rPr>
            </w:pPr>
            <w:r>
              <w:rPr>
                <w:sz w:val="22"/>
                <w:szCs w:val="22"/>
                <w:lang w:val="de-DE"/>
              </w:rPr>
              <w:t>Gebrauchsanleitung:</w:t>
            </w:r>
          </w:p>
          <w:p w14:paraId="4FFF877C" w14:textId="77777777" w:rsidR="00FE291A" w:rsidRDefault="00C8738F">
            <w:pPr>
              <w:widowControl/>
              <w:rPr>
                <w:sz w:val="22"/>
                <w:szCs w:val="22"/>
                <w:lang w:val="de-DE"/>
              </w:rPr>
            </w:pPr>
            <w:r>
              <w:rPr>
                <w:rFonts w:eastAsia="Calibri"/>
                <w:sz w:val="22"/>
                <w:szCs w:val="22"/>
                <w:lang w:val="de-DE"/>
              </w:rPr>
              <w:t>AMGEVITA-</w:t>
            </w:r>
            <w:r>
              <w:rPr>
                <w:sz w:val="22"/>
                <w:szCs w:val="22"/>
                <w:lang w:val="de-DE"/>
              </w:rPr>
              <w:t>Fertigspritze zum Einmalgebrauch</w:t>
            </w:r>
          </w:p>
          <w:p w14:paraId="18FD8487" w14:textId="77777777" w:rsidR="00FE291A" w:rsidRDefault="00C8738F">
            <w:pPr>
              <w:widowControl/>
              <w:rPr>
                <w:sz w:val="22"/>
                <w:szCs w:val="22"/>
                <w:lang w:val="de-DE"/>
              </w:rPr>
            </w:pPr>
            <w:r>
              <w:rPr>
                <w:sz w:val="22"/>
                <w:szCs w:val="22"/>
                <w:lang w:val="de-DE"/>
              </w:rPr>
              <w:t>Zur subkutanen Anwendung</w:t>
            </w:r>
          </w:p>
        </w:tc>
      </w:tr>
    </w:tbl>
    <w:p w14:paraId="22419395" w14:textId="77777777" w:rsidR="00FE291A" w:rsidRDefault="00FE291A">
      <w:pPr>
        <w:widowControl/>
        <w:rPr>
          <w:sz w:val="22"/>
          <w:szCs w:val="22"/>
          <w:lang w:val="de-DE"/>
        </w:rPr>
      </w:pPr>
    </w:p>
    <w:tbl>
      <w:tblPr>
        <w:tblW w:w="5000" w:type="pct"/>
        <w:tblLayout w:type="fixed"/>
        <w:tblLook w:val="04A0" w:firstRow="1" w:lastRow="0" w:firstColumn="1" w:lastColumn="0" w:noHBand="0" w:noVBand="1"/>
      </w:tblPr>
      <w:tblGrid>
        <w:gridCol w:w="2048"/>
        <w:gridCol w:w="2483"/>
        <w:gridCol w:w="2477"/>
        <w:gridCol w:w="2053"/>
      </w:tblGrid>
      <w:tr w:rsidR="00FE291A" w14:paraId="498B9CDF" w14:textId="77777777">
        <w:tc>
          <w:tcPr>
            <w:tcW w:w="5000" w:type="pct"/>
            <w:gridSpan w:val="4"/>
            <w:tcBorders>
              <w:top w:val="single" w:sz="4" w:space="0" w:color="auto"/>
              <w:left w:val="single" w:sz="4" w:space="0" w:color="auto"/>
              <w:bottom w:val="single" w:sz="4" w:space="0" w:color="auto"/>
              <w:right w:val="single" w:sz="4" w:space="0" w:color="auto"/>
            </w:tcBorders>
          </w:tcPr>
          <w:p w14:paraId="48C771D4" w14:textId="77777777" w:rsidR="00FE291A" w:rsidRDefault="00C8738F">
            <w:pPr>
              <w:keepNext/>
              <w:keepLines/>
              <w:widowControl/>
              <w:jc w:val="center"/>
              <w:rPr>
                <w:b/>
                <w:sz w:val="22"/>
                <w:szCs w:val="22"/>
                <w:lang w:val="de-DE"/>
              </w:rPr>
            </w:pPr>
            <w:r>
              <w:rPr>
                <w:b/>
                <w:sz w:val="22"/>
                <w:szCs w:val="22"/>
                <w:lang w:val="de-DE"/>
              </w:rPr>
              <w:t>Darstellung der Einzelteile</w:t>
            </w:r>
          </w:p>
          <w:p w14:paraId="26669C6C" w14:textId="77777777" w:rsidR="00FE291A" w:rsidRDefault="00FE291A">
            <w:pPr>
              <w:keepNext/>
              <w:keepLines/>
              <w:widowControl/>
              <w:jc w:val="center"/>
              <w:rPr>
                <w:b/>
                <w:sz w:val="22"/>
                <w:szCs w:val="22"/>
                <w:lang w:val="de-DE"/>
              </w:rPr>
            </w:pPr>
          </w:p>
        </w:tc>
      </w:tr>
      <w:tr w:rsidR="00FE291A" w14:paraId="64BE6B7A" w14:textId="77777777">
        <w:trPr>
          <w:trHeight w:val="332"/>
        </w:trPr>
        <w:tc>
          <w:tcPr>
            <w:tcW w:w="2500" w:type="pct"/>
            <w:gridSpan w:val="2"/>
            <w:tcBorders>
              <w:top w:val="single" w:sz="4" w:space="0" w:color="auto"/>
              <w:left w:val="single" w:sz="4" w:space="0" w:color="auto"/>
              <w:bottom w:val="single" w:sz="4" w:space="0" w:color="auto"/>
              <w:right w:val="single" w:sz="4" w:space="0" w:color="auto"/>
            </w:tcBorders>
          </w:tcPr>
          <w:p w14:paraId="0C0DF55A" w14:textId="77777777" w:rsidR="00FE291A" w:rsidRDefault="00C8738F">
            <w:pPr>
              <w:keepNext/>
              <w:keepLines/>
              <w:widowControl/>
              <w:jc w:val="center"/>
              <w:rPr>
                <w:b/>
                <w:bCs/>
                <w:sz w:val="22"/>
                <w:szCs w:val="22"/>
                <w:lang w:val="de-DE"/>
              </w:rPr>
            </w:pPr>
            <w:r>
              <w:rPr>
                <w:rFonts w:eastAsia="HelveticaLTStd-Roman"/>
                <w:b/>
                <w:sz w:val="22"/>
                <w:szCs w:val="22"/>
                <w:lang w:val="de-DE"/>
              </w:rPr>
              <w:t>Vor der Anwendung</w:t>
            </w:r>
          </w:p>
        </w:tc>
        <w:tc>
          <w:tcPr>
            <w:tcW w:w="2500" w:type="pct"/>
            <w:gridSpan w:val="2"/>
            <w:tcBorders>
              <w:top w:val="single" w:sz="4" w:space="0" w:color="auto"/>
              <w:left w:val="single" w:sz="4" w:space="0" w:color="auto"/>
              <w:bottom w:val="single" w:sz="4" w:space="0" w:color="auto"/>
              <w:right w:val="single" w:sz="4" w:space="0" w:color="auto"/>
            </w:tcBorders>
          </w:tcPr>
          <w:p w14:paraId="0E8A251C" w14:textId="77777777" w:rsidR="00FE291A" w:rsidRDefault="00C8738F">
            <w:pPr>
              <w:keepNext/>
              <w:widowControl/>
              <w:jc w:val="center"/>
              <w:rPr>
                <w:b/>
                <w:bCs/>
                <w:sz w:val="22"/>
                <w:szCs w:val="22"/>
                <w:lang w:val="de-DE"/>
              </w:rPr>
            </w:pPr>
            <w:r>
              <w:rPr>
                <w:rFonts w:eastAsia="HelveticaLTStd-Roman"/>
                <w:b/>
                <w:sz w:val="22"/>
                <w:szCs w:val="22"/>
                <w:lang w:val="de-DE"/>
              </w:rPr>
              <w:t>Nach der Anwendung</w:t>
            </w:r>
          </w:p>
        </w:tc>
      </w:tr>
      <w:tr w:rsidR="00FE291A" w14:paraId="35DB1E3C" w14:textId="77777777">
        <w:trPr>
          <w:cantSplit/>
          <w:trHeight w:val="9168"/>
        </w:trPr>
        <w:tc>
          <w:tcPr>
            <w:tcW w:w="1130" w:type="pct"/>
            <w:tcBorders>
              <w:top w:val="single" w:sz="4" w:space="0" w:color="auto"/>
              <w:left w:val="single" w:sz="4" w:space="0" w:color="auto"/>
              <w:bottom w:val="single" w:sz="4" w:space="0" w:color="auto"/>
            </w:tcBorders>
          </w:tcPr>
          <w:tbl>
            <w:tblPr>
              <w:tblW w:w="1921" w:type="dxa"/>
              <w:tblLayout w:type="fixed"/>
              <w:tblLook w:val="04A0" w:firstRow="1" w:lastRow="0" w:firstColumn="1" w:lastColumn="0" w:noHBand="0" w:noVBand="1"/>
            </w:tblPr>
            <w:tblGrid>
              <w:gridCol w:w="1921"/>
            </w:tblGrid>
            <w:tr w:rsidR="00FE291A" w14:paraId="199020D1" w14:textId="77777777">
              <w:trPr>
                <w:trHeight w:val="253"/>
              </w:trPr>
              <w:tc>
                <w:tcPr>
                  <w:tcW w:w="1921" w:type="dxa"/>
                  <w:tcMar>
                    <w:top w:w="113" w:type="dxa"/>
                  </w:tcMar>
                  <w:vAlign w:val="bottom"/>
                </w:tcPr>
                <w:p w14:paraId="782E0C05" w14:textId="77777777" w:rsidR="00FE291A" w:rsidRDefault="00C8738F">
                  <w:pPr>
                    <w:keepNext/>
                    <w:keepLines/>
                    <w:widowControl/>
                    <w:ind w:right="-76"/>
                    <w:jc w:val="right"/>
                    <w:rPr>
                      <w:sz w:val="22"/>
                      <w:szCs w:val="22"/>
                      <w:lang w:val="de-DE"/>
                    </w:rPr>
                  </w:pPr>
                  <w:r>
                    <w:rPr>
                      <w:sz w:val="22"/>
                      <w:szCs w:val="22"/>
                      <w:lang w:val="de-DE"/>
                    </w:rPr>
                    <w:t>Kolbenstange</w:t>
                  </w:r>
                </w:p>
              </w:tc>
            </w:tr>
            <w:tr w:rsidR="00FE291A" w14:paraId="5F0296AC" w14:textId="77777777">
              <w:trPr>
                <w:trHeight w:val="1419"/>
              </w:trPr>
              <w:tc>
                <w:tcPr>
                  <w:tcW w:w="1921" w:type="dxa"/>
                  <w:vAlign w:val="bottom"/>
                </w:tcPr>
                <w:p w14:paraId="4947B549" w14:textId="77777777" w:rsidR="00FE291A" w:rsidRDefault="00C8738F">
                  <w:pPr>
                    <w:keepNext/>
                    <w:keepLines/>
                    <w:widowControl/>
                    <w:ind w:right="-76"/>
                    <w:jc w:val="right"/>
                    <w:rPr>
                      <w:sz w:val="22"/>
                      <w:szCs w:val="22"/>
                      <w:lang w:val="de-DE"/>
                    </w:rPr>
                  </w:pPr>
                  <w:r>
                    <w:rPr>
                      <w:sz w:val="22"/>
                      <w:szCs w:val="22"/>
                      <w:lang w:val="de-DE"/>
                    </w:rPr>
                    <w:t>Fingerflansch</w:t>
                  </w:r>
                </w:p>
              </w:tc>
            </w:tr>
            <w:tr w:rsidR="00FE291A" w14:paraId="20E3599A" w14:textId="77777777">
              <w:trPr>
                <w:trHeight w:val="846"/>
              </w:trPr>
              <w:tc>
                <w:tcPr>
                  <w:tcW w:w="1921" w:type="dxa"/>
                  <w:vAlign w:val="bottom"/>
                </w:tcPr>
                <w:p w14:paraId="015B2692" w14:textId="77777777" w:rsidR="00FE291A" w:rsidRDefault="00C8738F">
                  <w:pPr>
                    <w:keepNext/>
                    <w:keepLines/>
                    <w:widowControl/>
                    <w:ind w:right="-76"/>
                    <w:jc w:val="right"/>
                    <w:rPr>
                      <w:sz w:val="22"/>
                      <w:szCs w:val="22"/>
                      <w:lang w:val="de-DE"/>
                    </w:rPr>
                  </w:pPr>
                  <w:r>
                    <w:rPr>
                      <w:sz w:val="22"/>
                      <w:szCs w:val="22"/>
                      <w:lang w:val="de-DE"/>
                    </w:rPr>
                    <w:t>Etikett und Verfalldatum</w:t>
                  </w:r>
                </w:p>
              </w:tc>
            </w:tr>
            <w:tr w:rsidR="00FE291A" w14:paraId="59D92D07" w14:textId="77777777">
              <w:trPr>
                <w:trHeight w:val="859"/>
              </w:trPr>
              <w:tc>
                <w:tcPr>
                  <w:tcW w:w="1921" w:type="dxa"/>
                  <w:vAlign w:val="bottom"/>
                </w:tcPr>
                <w:p w14:paraId="4CF12304" w14:textId="77777777" w:rsidR="00FE291A" w:rsidRDefault="00C8738F">
                  <w:pPr>
                    <w:widowControl/>
                    <w:jc w:val="right"/>
                    <w:rPr>
                      <w:sz w:val="22"/>
                      <w:szCs w:val="22"/>
                      <w:lang w:val="de-DE"/>
                    </w:rPr>
                  </w:pPr>
                  <w:r>
                    <w:rPr>
                      <w:sz w:val="22"/>
                      <w:szCs w:val="22"/>
                      <w:lang w:val="de-DE"/>
                    </w:rPr>
                    <w:t>Spritzenzylinder</w:t>
                  </w:r>
                </w:p>
              </w:tc>
            </w:tr>
            <w:tr w:rsidR="00FE291A" w14:paraId="738DC9D5" w14:textId="77777777">
              <w:trPr>
                <w:trHeight w:val="998"/>
              </w:trPr>
              <w:tc>
                <w:tcPr>
                  <w:tcW w:w="1921" w:type="dxa"/>
                  <w:vAlign w:val="center"/>
                </w:tcPr>
                <w:p w14:paraId="7BA13C28" w14:textId="77777777" w:rsidR="00FE291A" w:rsidRDefault="00C8738F">
                  <w:pPr>
                    <w:keepNext/>
                    <w:keepLines/>
                    <w:widowControl/>
                    <w:spacing w:before="120"/>
                    <w:ind w:right="-74"/>
                    <w:jc w:val="right"/>
                    <w:rPr>
                      <w:sz w:val="22"/>
                      <w:szCs w:val="22"/>
                      <w:lang w:val="de-DE"/>
                    </w:rPr>
                  </w:pPr>
                  <w:r>
                    <w:rPr>
                      <w:sz w:val="22"/>
                      <w:szCs w:val="22"/>
                      <w:lang w:val="de-DE"/>
                    </w:rPr>
                    <w:t>Arzneimittel</w:t>
                  </w:r>
                </w:p>
              </w:tc>
            </w:tr>
            <w:tr w:rsidR="00FE291A" w14:paraId="0DFE989B" w14:textId="77777777">
              <w:trPr>
                <w:trHeight w:val="998"/>
              </w:trPr>
              <w:tc>
                <w:tcPr>
                  <w:tcW w:w="1921" w:type="dxa"/>
                  <w:vAlign w:val="center"/>
                </w:tcPr>
                <w:p w14:paraId="2184E199" w14:textId="77777777" w:rsidR="00FE291A" w:rsidRDefault="00C8738F">
                  <w:pPr>
                    <w:widowControl/>
                    <w:jc w:val="right"/>
                    <w:rPr>
                      <w:sz w:val="22"/>
                      <w:szCs w:val="22"/>
                      <w:lang w:val="de-DE"/>
                    </w:rPr>
                  </w:pPr>
                  <w:r>
                    <w:rPr>
                      <w:sz w:val="22"/>
                      <w:szCs w:val="22"/>
                      <w:lang w:val="de-DE"/>
                    </w:rPr>
                    <w:t>Nadelschutzkappe,</w:t>
                  </w:r>
                </w:p>
                <w:p w14:paraId="01CF6FBF" w14:textId="77777777" w:rsidR="00FE291A" w:rsidRDefault="00C8738F">
                  <w:pPr>
                    <w:keepNext/>
                    <w:keepLines/>
                    <w:widowControl/>
                    <w:ind w:right="-76"/>
                    <w:jc w:val="right"/>
                    <w:rPr>
                      <w:sz w:val="22"/>
                      <w:szCs w:val="22"/>
                      <w:lang w:val="de-DE"/>
                    </w:rPr>
                  </w:pPr>
                  <w:r>
                    <w:rPr>
                      <w:sz w:val="22"/>
                      <w:szCs w:val="22"/>
                      <w:lang w:val="de-DE"/>
                    </w:rPr>
                    <w:t>aufgesetzt</w:t>
                  </w:r>
                </w:p>
              </w:tc>
            </w:tr>
          </w:tbl>
          <w:p w14:paraId="7B3117D9" w14:textId="77777777" w:rsidR="00FE291A" w:rsidRDefault="00FE291A">
            <w:pPr>
              <w:keepNext/>
              <w:keepLines/>
              <w:widowControl/>
              <w:jc w:val="right"/>
              <w:rPr>
                <w:sz w:val="22"/>
                <w:szCs w:val="22"/>
                <w:lang w:val="de-DE"/>
              </w:rPr>
            </w:pPr>
          </w:p>
        </w:tc>
        <w:tc>
          <w:tcPr>
            <w:tcW w:w="1370" w:type="pct"/>
            <w:tcBorders>
              <w:top w:val="single" w:sz="4" w:space="0" w:color="auto"/>
              <w:bottom w:val="single" w:sz="4" w:space="0" w:color="auto"/>
              <w:right w:val="single" w:sz="4" w:space="0" w:color="auto"/>
            </w:tcBorders>
          </w:tcPr>
          <w:p w14:paraId="256CD0C0" w14:textId="64F82CD2" w:rsidR="00FE291A" w:rsidRDefault="009C5B62">
            <w:pPr>
              <w:keepNext/>
              <w:keepLines/>
              <w:widowControl/>
              <w:ind w:left="-75"/>
              <w:rPr>
                <w:sz w:val="22"/>
                <w:szCs w:val="22"/>
                <w:lang w:val="de-DE"/>
              </w:rPr>
            </w:pPr>
            <w:r>
              <w:rPr>
                <w:noProof/>
                <w:sz w:val="22"/>
                <w:szCs w:val="22"/>
                <w:lang w:val="de-DE" w:eastAsia="en-GB"/>
              </w:rPr>
              <w:drawing>
                <wp:inline distT="0" distB="0" distL="0" distR="0" wp14:anchorId="6D3610B7" wp14:editId="0F7A616C">
                  <wp:extent cx="1297305" cy="3503295"/>
                  <wp:effectExtent l="0" t="0" r="0" b="0"/>
                  <wp:docPr id="17" name="Picture 15" descr="ILL0326 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LL0326 v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7305" cy="3503295"/>
                          </a:xfrm>
                          <a:prstGeom prst="rect">
                            <a:avLst/>
                          </a:prstGeom>
                          <a:noFill/>
                          <a:ln>
                            <a:noFill/>
                          </a:ln>
                        </pic:spPr>
                      </pic:pic>
                    </a:graphicData>
                  </a:graphic>
                </wp:inline>
              </w:drawing>
            </w:r>
          </w:p>
        </w:tc>
        <w:tc>
          <w:tcPr>
            <w:tcW w:w="1367" w:type="pct"/>
            <w:tcBorders>
              <w:top w:val="single" w:sz="4" w:space="0" w:color="auto"/>
              <w:left w:val="single" w:sz="4" w:space="0" w:color="auto"/>
              <w:bottom w:val="single" w:sz="4" w:space="0" w:color="auto"/>
            </w:tcBorders>
          </w:tcPr>
          <w:p w14:paraId="5A912566" w14:textId="5714224E" w:rsidR="00FE291A" w:rsidRDefault="009C5B62">
            <w:pPr>
              <w:widowControl/>
              <w:ind w:right="139"/>
              <w:jc w:val="right"/>
              <w:rPr>
                <w:sz w:val="22"/>
                <w:szCs w:val="22"/>
                <w:lang w:val="de-DE"/>
              </w:rPr>
            </w:pPr>
            <w:r>
              <w:rPr>
                <w:noProof/>
                <w:sz w:val="22"/>
                <w:szCs w:val="22"/>
                <w:lang w:val="de-DE" w:eastAsia="en-GB"/>
              </w:rPr>
              <w:drawing>
                <wp:inline distT="0" distB="0" distL="0" distR="0" wp14:anchorId="43A6CCEF" wp14:editId="60206D76">
                  <wp:extent cx="1383030" cy="3731895"/>
                  <wp:effectExtent l="0" t="0" r="0" b="0"/>
                  <wp:docPr id="18" name="Picture 16" descr="ILL0327 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LL0327 v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83030" cy="3731895"/>
                          </a:xfrm>
                          <a:prstGeom prst="rect">
                            <a:avLst/>
                          </a:prstGeom>
                          <a:noFill/>
                          <a:ln>
                            <a:noFill/>
                          </a:ln>
                        </pic:spPr>
                      </pic:pic>
                    </a:graphicData>
                  </a:graphic>
                </wp:inline>
              </w:drawing>
            </w:r>
          </w:p>
        </w:tc>
        <w:tc>
          <w:tcPr>
            <w:tcW w:w="1133" w:type="pct"/>
            <w:tcBorders>
              <w:top w:val="single" w:sz="4" w:space="0" w:color="auto"/>
              <w:bottom w:val="single" w:sz="4" w:space="0" w:color="auto"/>
              <w:right w:val="single" w:sz="4" w:space="0" w:color="auto"/>
            </w:tcBorders>
          </w:tcPr>
          <w:tbl>
            <w:tblPr>
              <w:tblW w:w="0" w:type="auto"/>
              <w:tblLayout w:type="fixed"/>
              <w:tblLook w:val="04A0" w:firstRow="1" w:lastRow="0" w:firstColumn="1" w:lastColumn="0" w:noHBand="0" w:noVBand="1"/>
              <w:tblPrChange w:id="131" w:author="Author">
                <w:tblPr>
                  <w:tblW w:w="0" w:type="auto"/>
                  <w:tblLayout w:type="fixed"/>
                  <w:tblLook w:val="04A0" w:firstRow="1" w:lastRow="0" w:firstColumn="1" w:lastColumn="0" w:noHBand="0" w:noVBand="1"/>
                </w:tblPr>
              </w:tblPrChange>
            </w:tblPr>
            <w:tblGrid>
              <w:gridCol w:w="2070"/>
              <w:tblGridChange w:id="132">
                <w:tblGrid>
                  <w:gridCol w:w="2070"/>
                </w:tblGrid>
              </w:tblGridChange>
            </w:tblGrid>
            <w:tr w:rsidR="00FE291A" w14:paraId="0136244E" w14:textId="77777777" w:rsidTr="005C4114">
              <w:trPr>
                <w:trHeight w:val="224"/>
                <w:trPrChange w:id="133" w:author="Author">
                  <w:trPr>
                    <w:trHeight w:val="565"/>
                  </w:trPr>
                </w:trPrChange>
              </w:trPr>
              <w:tc>
                <w:tcPr>
                  <w:tcW w:w="2070" w:type="dxa"/>
                  <w:tcMar>
                    <w:left w:w="113" w:type="dxa"/>
                  </w:tcMar>
                  <w:tcPrChange w:id="134" w:author="Author">
                    <w:tcPr>
                      <w:tcW w:w="2070" w:type="dxa"/>
                      <w:tcMar>
                        <w:left w:w="113" w:type="dxa"/>
                      </w:tcMar>
                    </w:tcPr>
                  </w:tcPrChange>
                </w:tcPr>
                <w:p w14:paraId="0D54971E" w14:textId="77777777" w:rsidR="00FE291A" w:rsidRDefault="00C8738F">
                  <w:pPr>
                    <w:widowControl/>
                    <w:rPr>
                      <w:sz w:val="22"/>
                      <w:szCs w:val="22"/>
                      <w:lang w:val="de-DE"/>
                    </w:rPr>
                  </w:pPr>
                  <w:r>
                    <w:rPr>
                      <w:sz w:val="22"/>
                      <w:szCs w:val="22"/>
                      <w:lang w:val="de-DE"/>
                    </w:rPr>
                    <w:t>Kolbenstange nach der Anwendung</w:t>
                  </w:r>
                </w:p>
              </w:tc>
            </w:tr>
            <w:tr w:rsidR="00FE291A" w14:paraId="5BEF7FCB" w14:textId="77777777">
              <w:trPr>
                <w:trHeight w:val="549"/>
              </w:trPr>
              <w:tc>
                <w:tcPr>
                  <w:tcW w:w="2070" w:type="dxa"/>
                  <w:tcMar>
                    <w:left w:w="113" w:type="dxa"/>
                  </w:tcMar>
                </w:tcPr>
                <w:p w14:paraId="151B85FA" w14:textId="77777777" w:rsidR="00FE291A" w:rsidRDefault="00C8738F">
                  <w:pPr>
                    <w:widowControl/>
                    <w:rPr>
                      <w:sz w:val="22"/>
                      <w:szCs w:val="22"/>
                      <w:lang w:val="de-DE"/>
                    </w:rPr>
                  </w:pPr>
                  <w:r>
                    <w:rPr>
                      <w:sz w:val="22"/>
                      <w:szCs w:val="22"/>
                      <w:lang w:val="de-DE"/>
                    </w:rPr>
                    <w:t>Fingerflansch</w:t>
                  </w:r>
                </w:p>
              </w:tc>
            </w:tr>
            <w:tr w:rsidR="00FE291A" w14:paraId="26D18519" w14:textId="77777777">
              <w:trPr>
                <w:trHeight w:val="978"/>
              </w:trPr>
              <w:tc>
                <w:tcPr>
                  <w:tcW w:w="2070" w:type="dxa"/>
                  <w:tcMar>
                    <w:left w:w="113" w:type="dxa"/>
                  </w:tcMar>
                  <w:vAlign w:val="center"/>
                </w:tcPr>
                <w:p w14:paraId="0E066807" w14:textId="77777777" w:rsidR="00FE291A" w:rsidRDefault="00C8738F">
                  <w:pPr>
                    <w:widowControl/>
                    <w:rPr>
                      <w:sz w:val="22"/>
                      <w:szCs w:val="22"/>
                      <w:lang w:val="de-DE"/>
                    </w:rPr>
                  </w:pPr>
                  <w:r>
                    <w:rPr>
                      <w:sz w:val="22"/>
                      <w:szCs w:val="22"/>
                      <w:lang w:val="de-DE"/>
                    </w:rPr>
                    <w:t>Etikett und Verfalldatum</w:t>
                  </w:r>
                </w:p>
              </w:tc>
            </w:tr>
            <w:tr w:rsidR="00FE291A" w14:paraId="220793CB" w14:textId="77777777">
              <w:trPr>
                <w:trHeight w:val="1540"/>
              </w:trPr>
              <w:tc>
                <w:tcPr>
                  <w:tcW w:w="2070" w:type="dxa"/>
                  <w:tcMar>
                    <w:left w:w="113" w:type="dxa"/>
                  </w:tcMar>
                </w:tcPr>
                <w:p w14:paraId="4EEBDE88" w14:textId="77777777" w:rsidR="00FE291A" w:rsidRDefault="00C8738F">
                  <w:pPr>
                    <w:widowControl/>
                    <w:rPr>
                      <w:sz w:val="22"/>
                      <w:szCs w:val="22"/>
                      <w:lang w:val="de-DE"/>
                    </w:rPr>
                  </w:pPr>
                  <w:r>
                    <w:rPr>
                      <w:sz w:val="22"/>
                      <w:szCs w:val="22"/>
                      <w:lang w:val="de-DE"/>
                    </w:rPr>
                    <w:t>Spritzenzylinder nach der Anwendung</w:t>
                  </w:r>
                </w:p>
                <w:p w14:paraId="49C4E810" w14:textId="77777777" w:rsidR="00FE291A" w:rsidRDefault="00FE291A">
                  <w:pPr>
                    <w:widowControl/>
                    <w:rPr>
                      <w:sz w:val="22"/>
                      <w:szCs w:val="22"/>
                      <w:lang w:val="de-DE"/>
                    </w:rPr>
                  </w:pPr>
                </w:p>
              </w:tc>
            </w:tr>
            <w:tr w:rsidR="00FE291A" w14:paraId="123688D1" w14:textId="77777777">
              <w:trPr>
                <w:trHeight w:val="1415"/>
              </w:trPr>
              <w:tc>
                <w:tcPr>
                  <w:tcW w:w="2070" w:type="dxa"/>
                  <w:tcMar>
                    <w:left w:w="113" w:type="dxa"/>
                  </w:tcMar>
                  <w:vAlign w:val="center"/>
                </w:tcPr>
                <w:p w14:paraId="17BD8E64" w14:textId="77777777" w:rsidR="00FE291A" w:rsidRDefault="00C8738F">
                  <w:pPr>
                    <w:widowControl/>
                    <w:rPr>
                      <w:sz w:val="22"/>
                      <w:szCs w:val="22"/>
                      <w:lang w:val="de-DE"/>
                    </w:rPr>
                  </w:pPr>
                  <w:r>
                    <w:rPr>
                      <w:sz w:val="22"/>
                      <w:szCs w:val="22"/>
                      <w:lang w:val="de-DE"/>
                    </w:rPr>
                    <w:t>Nadel nach der</w:t>
                  </w:r>
                </w:p>
                <w:p w14:paraId="5E0C5C48" w14:textId="77777777" w:rsidR="00FE291A" w:rsidRDefault="00C8738F">
                  <w:pPr>
                    <w:widowControl/>
                    <w:rPr>
                      <w:sz w:val="22"/>
                      <w:szCs w:val="22"/>
                      <w:lang w:val="de-DE"/>
                    </w:rPr>
                  </w:pPr>
                  <w:r>
                    <w:rPr>
                      <w:sz w:val="22"/>
                      <w:szCs w:val="22"/>
                      <w:lang w:val="de-DE"/>
                    </w:rPr>
                    <w:t>Anwendung</w:t>
                  </w:r>
                </w:p>
                <w:p w14:paraId="1B3D1AB6" w14:textId="77777777" w:rsidR="00FE291A" w:rsidRDefault="00FE291A">
                  <w:pPr>
                    <w:widowControl/>
                    <w:rPr>
                      <w:sz w:val="22"/>
                      <w:szCs w:val="22"/>
                      <w:lang w:val="de-DE"/>
                    </w:rPr>
                  </w:pPr>
                </w:p>
              </w:tc>
            </w:tr>
            <w:tr w:rsidR="00FE291A" w14:paraId="09D644A7" w14:textId="77777777">
              <w:trPr>
                <w:trHeight w:val="428"/>
              </w:trPr>
              <w:tc>
                <w:tcPr>
                  <w:tcW w:w="2070" w:type="dxa"/>
                  <w:tcMar>
                    <w:left w:w="113" w:type="dxa"/>
                  </w:tcMar>
                  <w:vAlign w:val="center"/>
                </w:tcPr>
                <w:p w14:paraId="512B8574" w14:textId="77777777" w:rsidR="00FE291A" w:rsidRDefault="00C8738F">
                  <w:pPr>
                    <w:widowControl/>
                    <w:rPr>
                      <w:sz w:val="22"/>
                      <w:szCs w:val="22"/>
                      <w:lang w:val="de-DE"/>
                    </w:rPr>
                  </w:pPr>
                  <w:r>
                    <w:rPr>
                      <w:sz w:val="22"/>
                      <w:szCs w:val="22"/>
                      <w:lang w:val="de-DE"/>
                    </w:rPr>
                    <w:t>Nadelschutzkappe,</w:t>
                  </w:r>
                </w:p>
                <w:p w14:paraId="0DAB9094" w14:textId="77777777" w:rsidR="00FE291A" w:rsidRDefault="00C8738F">
                  <w:pPr>
                    <w:widowControl/>
                    <w:rPr>
                      <w:sz w:val="22"/>
                      <w:szCs w:val="22"/>
                      <w:lang w:val="de-DE"/>
                    </w:rPr>
                  </w:pPr>
                  <w:r>
                    <w:rPr>
                      <w:sz w:val="22"/>
                      <w:szCs w:val="22"/>
                      <w:lang w:val="de-DE"/>
                    </w:rPr>
                    <w:t>abgezogen</w:t>
                  </w:r>
                </w:p>
              </w:tc>
            </w:tr>
          </w:tbl>
          <w:p w14:paraId="7C1467B2" w14:textId="77777777" w:rsidR="00FE291A" w:rsidRDefault="00FE291A">
            <w:pPr>
              <w:widowControl/>
              <w:rPr>
                <w:sz w:val="22"/>
                <w:szCs w:val="22"/>
                <w:lang w:val="de-DE"/>
              </w:rPr>
            </w:pPr>
          </w:p>
        </w:tc>
      </w:tr>
      <w:tr w:rsidR="00FE291A" w:rsidRPr="00723069" w14:paraId="217C58E3" w14:textId="77777777">
        <w:trPr>
          <w:trHeight w:val="485"/>
        </w:trPr>
        <w:tc>
          <w:tcPr>
            <w:tcW w:w="5000" w:type="pct"/>
            <w:gridSpan w:val="4"/>
            <w:tcBorders>
              <w:top w:val="single" w:sz="4" w:space="0" w:color="auto"/>
              <w:left w:val="single" w:sz="4" w:space="0" w:color="auto"/>
              <w:bottom w:val="single" w:sz="4" w:space="0" w:color="auto"/>
              <w:right w:val="single" w:sz="4" w:space="0" w:color="auto"/>
            </w:tcBorders>
            <w:vAlign w:val="center"/>
          </w:tcPr>
          <w:p w14:paraId="3223C654" w14:textId="77777777" w:rsidR="00FE291A" w:rsidRDefault="00C8738F">
            <w:pPr>
              <w:widowControl/>
              <w:rPr>
                <w:sz w:val="22"/>
                <w:szCs w:val="22"/>
                <w:lang w:val="de-DE"/>
              </w:rPr>
            </w:pPr>
            <w:r>
              <w:rPr>
                <w:b/>
                <w:sz w:val="22"/>
                <w:szCs w:val="22"/>
                <w:lang w:val="de-DE"/>
              </w:rPr>
              <w:t xml:space="preserve">Wichtig: </w:t>
            </w:r>
            <w:r>
              <w:rPr>
                <w:sz w:val="22"/>
                <w:szCs w:val="22"/>
                <w:lang w:val="de-DE"/>
              </w:rPr>
              <w:t>Die Nadel ist im Inneren.</w:t>
            </w:r>
          </w:p>
        </w:tc>
      </w:tr>
    </w:tbl>
    <w:p w14:paraId="3A6AC42C" w14:textId="77777777" w:rsidR="00FE291A" w:rsidRDefault="00C8738F">
      <w:pPr>
        <w:widowControl/>
        <w:rPr>
          <w:sz w:val="22"/>
          <w:szCs w:val="22"/>
          <w:lang w:val="de-DE"/>
        </w:rPr>
      </w:pPr>
      <w:r>
        <w:rPr>
          <w:sz w:val="22"/>
          <w:szCs w:val="22"/>
          <w:lang w:val="de-DE"/>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left w:w="28" w:type="dxa"/>
          <w:right w:w="0" w:type="dxa"/>
        </w:tblCellMar>
        <w:tblLook w:val="04A0" w:firstRow="1" w:lastRow="0" w:firstColumn="1" w:lastColumn="0" w:noHBand="0" w:noVBand="1"/>
      </w:tblPr>
      <w:tblGrid>
        <w:gridCol w:w="569"/>
        <w:gridCol w:w="8492"/>
      </w:tblGrid>
      <w:tr w:rsidR="00FE291A" w14:paraId="3F904C93" w14:textId="77777777">
        <w:trPr>
          <w:cantSplit/>
          <w:trHeight w:val="399"/>
        </w:trPr>
        <w:tc>
          <w:tcPr>
            <w:tcW w:w="5000" w:type="pct"/>
            <w:gridSpan w:val="2"/>
            <w:tcBorders>
              <w:top w:val="single" w:sz="4" w:space="0" w:color="auto"/>
              <w:left w:val="single" w:sz="4" w:space="0" w:color="auto"/>
              <w:bottom w:val="nil"/>
              <w:right w:val="single" w:sz="4" w:space="0" w:color="auto"/>
            </w:tcBorders>
            <w:tcMar>
              <w:top w:w="57" w:type="dxa"/>
              <w:left w:w="57" w:type="dxa"/>
              <w:bottom w:w="57" w:type="dxa"/>
              <w:right w:w="57" w:type="dxa"/>
            </w:tcMar>
          </w:tcPr>
          <w:p w14:paraId="2CF49F4E" w14:textId="77777777" w:rsidR="00FE291A" w:rsidRDefault="00C8738F">
            <w:pPr>
              <w:keepNext/>
              <w:keepLines/>
              <w:widowControl/>
              <w:jc w:val="center"/>
              <w:rPr>
                <w:b/>
                <w:sz w:val="22"/>
                <w:szCs w:val="22"/>
                <w:lang w:val="de-DE"/>
              </w:rPr>
            </w:pPr>
            <w:r>
              <w:rPr>
                <w:b/>
                <w:sz w:val="22"/>
                <w:szCs w:val="22"/>
                <w:lang w:val="de-DE"/>
              </w:rPr>
              <w:t>Wichtig</w:t>
            </w:r>
          </w:p>
        </w:tc>
      </w:tr>
      <w:tr w:rsidR="00FE291A" w:rsidRPr="00723069" w14:paraId="6DFE63DB" w14:textId="77777777">
        <w:trPr>
          <w:cantSplit/>
        </w:trPr>
        <w:tc>
          <w:tcPr>
            <w:tcW w:w="5000" w:type="pct"/>
            <w:gridSpan w:val="2"/>
            <w:tcBorders>
              <w:top w:val="nil"/>
              <w:left w:val="single" w:sz="4" w:space="0" w:color="auto"/>
              <w:bottom w:val="nil"/>
              <w:right w:val="single" w:sz="4" w:space="0" w:color="auto"/>
            </w:tcBorders>
            <w:tcMar>
              <w:top w:w="57" w:type="dxa"/>
              <w:left w:w="57" w:type="dxa"/>
              <w:bottom w:w="57" w:type="dxa"/>
              <w:right w:w="57" w:type="dxa"/>
            </w:tcMar>
          </w:tcPr>
          <w:p w14:paraId="1DD68A0E" w14:textId="77777777" w:rsidR="00FE291A" w:rsidRDefault="00C8738F">
            <w:pPr>
              <w:keepNext/>
              <w:widowControl/>
              <w:rPr>
                <w:rFonts w:eastAsia="Calibri"/>
                <w:b/>
                <w:bCs/>
                <w:color w:val="000000"/>
                <w:sz w:val="22"/>
                <w:szCs w:val="22"/>
                <w:lang w:val="de-DE"/>
              </w:rPr>
            </w:pPr>
            <w:r>
              <w:rPr>
                <w:rFonts w:eastAsia="Calibri"/>
                <w:b/>
                <w:bCs/>
                <w:color w:val="000000"/>
                <w:sz w:val="22"/>
                <w:szCs w:val="22"/>
                <w:lang w:val="de-DE"/>
              </w:rPr>
              <w:t>Lesen Sie diese wichtige Information, bevor Sie eine AMGEVITA-Fertigspritze anwenden:</w:t>
            </w:r>
          </w:p>
          <w:p w14:paraId="4A7B0F15" w14:textId="77777777" w:rsidR="00FE291A" w:rsidRDefault="00FE291A">
            <w:pPr>
              <w:keepNext/>
              <w:keepLines/>
              <w:widowControl/>
              <w:suppressAutoHyphens/>
              <w:textAlignment w:val="center"/>
              <w:rPr>
                <w:b/>
                <w:bCs/>
                <w:color w:val="000000"/>
                <w:sz w:val="22"/>
                <w:szCs w:val="22"/>
                <w:lang w:val="de-DE"/>
              </w:rPr>
            </w:pPr>
          </w:p>
        </w:tc>
      </w:tr>
      <w:tr w:rsidR="00FE291A" w14:paraId="4D045C7D" w14:textId="77777777">
        <w:trPr>
          <w:cantSplit/>
          <w:trHeight w:val="273"/>
        </w:trPr>
        <w:tc>
          <w:tcPr>
            <w:tcW w:w="5000" w:type="pct"/>
            <w:gridSpan w:val="2"/>
            <w:tcBorders>
              <w:top w:val="nil"/>
              <w:left w:val="single" w:sz="4" w:space="0" w:color="auto"/>
              <w:bottom w:val="nil"/>
              <w:right w:val="single" w:sz="4" w:space="0" w:color="auto"/>
            </w:tcBorders>
            <w:tcMar>
              <w:left w:w="57" w:type="dxa"/>
            </w:tcMar>
            <w:vAlign w:val="center"/>
          </w:tcPr>
          <w:p w14:paraId="5349B07C" w14:textId="77777777" w:rsidR="00FE291A" w:rsidRDefault="00C8738F">
            <w:pPr>
              <w:widowControl/>
              <w:rPr>
                <w:rFonts w:eastAsia="Calibri"/>
                <w:b/>
                <w:bCs/>
                <w:sz w:val="22"/>
                <w:szCs w:val="22"/>
                <w:lang w:val="de-DE"/>
              </w:rPr>
            </w:pPr>
            <w:r>
              <w:rPr>
                <w:rFonts w:eastAsia="Calibri"/>
                <w:b/>
                <w:bCs/>
                <w:sz w:val="22"/>
                <w:szCs w:val="22"/>
                <w:lang w:val="de-DE"/>
              </w:rPr>
              <w:t>Anwendung Ihrer AMGEVITA-Fertigspritze</w:t>
            </w:r>
          </w:p>
        </w:tc>
      </w:tr>
      <w:tr w:rsidR="00FE291A" w:rsidRPr="002E6CD3" w14:paraId="30F3678C" w14:textId="77777777">
        <w:trPr>
          <w:cantSplit/>
        </w:trPr>
        <w:tc>
          <w:tcPr>
            <w:tcW w:w="314" w:type="pct"/>
            <w:tcBorders>
              <w:top w:val="nil"/>
              <w:left w:val="single" w:sz="4" w:space="0" w:color="auto"/>
              <w:bottom w:val="nil"/>
              <w:right w:val="nil"/>
            </w:tcBorders>
            <w:tcMar>
              <w:left w:w="57" w:type="dxa"/>
            </w:tcMar>
          </w:tcPr>
          <w:p w14:paraId="3B5D0047" w14:textId="77777777" w:rsidR="00FE291A" w:rsidRDefault="00C8738F">
            <w:pPr>
              <w:widowControl/>
              <w:rPr>
                <w:rFonts w:eastAsia="Calibri"/>
                <w:sz w:val="22"/>
                <w:szCs w:val="22"/>
                <w:lang w:val="de-DE"/>
              </w:rPr>
            </w:pPr>
            <w:r>
              <w:rPr>
                <w:rFonts w:eastAsia="Calibri"/>
                <w:sz w:val="22"/>
                <w:szCs w:val="22"/>
                <w:lang w:val="de-DE"/>
              </w:rPr>
              <w:t>●</w:t>
            </w:r>
          </w:p>
        </w:tc>
        <w:tc>
          <w:tcPr>
            <w:tcW w:w="4686" w:type="pct"/>
            <w:tcBorders>
              <w:top w:val="nil"/>
              <w:left w:val="nil"/>
              <w:bottom w:val="nil"/>
              <w:right w:val="single" w:sz="4" w:space="0" w:color="auto"/>
            </w:tcBorders>
            <w:tcMar>
              <w:top w:w="57" w:type="dxa"/>
              <w:left w:w="0" w:type="dxa"/>
              <w:bottom w:w="57" w:type="dxa"/>
              <w:right w:w="57" w:type="dxa"/>
            </w:tcMar>
          </w:tcPr>
          <w:p w14:paraId="79E0679A" w14:textId="77777777" w:rsidR="00FE291A" w:rsidRDefault="00C8738F">
            <w:pPr>
              <w:widowControl/>
              <w:rPr>
                <w:rFonts w:eastAsia="Calibri"/>
                <w:sz w:val="22"/>
                <w:szCs w:val="22"/>
                <w:lang w:val="de-DE"/>
              </w:rPr>
            </w:pPr>
            <w:r>
              <w:rPr>
                <w:rFonts w:eastAsia="Calibri"/>
                <w:sz w:val="22"/>
                <w:szCs w:val="22"/>
                <w:lang w:val="de-DE"/>
              </w:rPr>
              <w:t xml:space="preserve">Es ist wichtig, dass Sie nicht versuchen, sich selbst die Injektion zu geben, es sei denn, Sie oder Ihre Pflegekraft sind geschult worden. </w:t>
            </w:r>
          </w:p>
        </w:tc>
      </w:tr>
      <w:tr w:rsidR="00FE291A" w14:paraId="0BAFB779" w14:textId="77777777">
        <w:trPr>
          <w:cantSplit/>
        </w:trPr>
        <w:tc>
          <w:tcPr>
            <w:tcW w:w="314" w:type="pct"/>
            <w:tcBorders>
              <w:top w:val="nil"/>
              <w:left w:val="single" w:sz="4" w:space="0" w:color="auto"/>
              <w:bottom w:val="single" w:sz="4" w:space="0" w:color="auto"/>
              <w:right w:val="nil"/>
            </w:tcBorders>
            <w:tcMar>
              <w:left w:w="57" w:type="dxa"/>
            </w:tcMar>
          </w:tcPr>
          <w:p w14:paraId="04D82F38" w14:textId="77777777" w:rsidR="00FE291A" w:rsidRDefault="00C8738F">
            <w:pPr>
              <w:pStyle w:val="ListParagraph"/>
              <w:widowControl/>
              <w:tabs>
                <w:tab w:val="left" w:pos="90"/>
              </w:tabs>
              <w:suppressAutoHyphens/>
              <w:textAlignment w:val="center"/>
              <w:rPr>
                <w:color w:val="000000"/>
                <w:sz w:val="22"/>
                <w:szCs w:val="22"/>
                <w:lang w:val="de-DE"/>
              </w:rPr>
            </w:pPr>
            <w:r>
              <w:rPr>
                <w:color w:val="000000"/>
                <w:sz w:val="22"/>
                <w:szCs w:val="22"/>
                <w:lang w:val="de-DE"/>
              </w:rPr>
              <w:t>●</w:t>
            </w:r>
          </w:p>
        </w:tc>
        <w:tc>
          <w:tcPr>
            <w:tcW w:w="4686" w:type="pct"/>
            <w:tcBorders>
              <w:top w:val="nil"/>
              <w:left w:val="nil"/>
              <w:bottom w:val="single" w:sz="4" w:space="0" w:color="auto"/>
              <w:right w:val="single" w:sz="4" w:space="0" w:color="auto"/>
            </w:tcBorders>
            <w:tcMar>
              <w:top w:w="57" w:type="dxa"/>
              <w:left w:w="0" w:type="dxa"/>
              <w:bottom w:w="57" w:type="dxa"/>
              <w:right w:w="57" w:type="dxa"/>
            </w:tcMar>
          </w:tcPr>
          <w:p w14:paraId="74982426" w14:textId="77777777" w:rsidR="00FE291A" w:rsidRDefault="00C8738F">
            <w:pPr>
              <w:widowControl/>
              <w:rPr>
                <w:rFonts w:eastAsia="Calibri"/>
                <w:sz w:val="22"/>
                <w:szCs w:val="22"/>
                <w:lang w:val="de-DE"/>
              </w:rPr>
            </w:pPr>
            <w:r>
              <w:rPr>
                <w:rFonts w:eastAsia="Calibri"/>
                <w:sz w:val="22"/>
                <w:szCs w:val="22"/>
                <w:lang w:val="de-DE"/>
              </w:rPr>
              <w:t xml:space="preserve">Benutzen Sie </w:t>
            </w:r>
            <w:r>
              <w:rPr>
                <w:rFonts w:eastAsia="Calibri"/>
                <w:bCs/>
                <w:sz w:val="22"/>
                <w:szCs w:val="22"/>
                <w:lang w:val="de-DE"/>
              </w:rPr>
              <w:t xml:space="preserve">eine </w:t>
            </w:r>
            <w:r>
              <w:rPr>
                <w:rFonts w:eastAsia="Calibri"/>
                <w:sz w:val="22"/>
                <w:szCs w:val="22"/>
                <w:lang w:val="de-DE"/>
              </w:rPr>
              <w:t>AMGEVITA-Fertigspritze</w:t>
            </w:r>
            <w:r>
              <w:rPr>
                <w:rFonts w:eastAsia="Calibri"/>
                <w:bCs/>
                <w:sz w:val="22"/>
                <w:szCs w:val="22"/>
                <w:lang w:val="de-DE"/>
              </w:rPr>
              <w:t xml:space="preserve"> </w:t>
            </w:r>
            <w:r>
              <w:rPr>
                <w:rFonts w:eastAsia="Calibri"/>
                <w:b/>
                <w:sz w:val="22"/>
                <w:szCs w:val="22"/>
                <w:lang w:val="de-DE"/>
              </w:rPr>
              <w:t>nicht</w:t>
            </w:r>
            <w:r>
              <w:rPr>
                <w:rFonts w:eastAsia="Calibri"/>
                <w:sz w:val="22"/>
                <w:szCs w:val="22"/>
                <w:lang w:val="de-DE"/>
              </w:rPr>
              <w:t>, wenn sie auf eine harte Oberfläche gefallen ist. Teile der AMGEVITA-Fertigspritze</w:t>
            </w:r>
            <w:r>
              <w:rPr>
                <w:rFonts w:eastAsia="Calibri"/>
                <w:bCs/>
                <w:sz w:val="22"/>
                <w:szCs w:val="22"/>
                <w:lang w:val="de-DE"/>
              </w:rPr>
              <w:t xml:space="preserve"> können </w:t>
            </w:r>
            <w:r>
              <w:rPr>
                <w:rFonts w:eastAsia="Calibri"/>
                <w:sz w:val="22"/>
                <w:szCs w:val="22"/>
                <w:lang w:val="de-DE"/>
              </w:rPr>
              <w:t>beschädigt sein, selbst wenn Sie keine Beschädigung erkennen können. Benutzen Sie eine neue AMGEVITA-Fertigspritze.</w:t>
            </w:r>
          </w:p>
        </w:tc>
      </w:tr>
    </w:tbl>
    <w:p w14:paraId="6F1E658F" w14:textId="77777777" w:rsidR="00FE291A" w:rsidRDefault="00FE291A">
      <w:pPr>
        <w:widowControl/>
        <w:rPr>
          <w:sz w:val="22"/>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9061"/>
      </w:tblGrid>
      <w:tr w:rsidR="00FE291A" w14:paraId="1D654C32" w14:textId="77777777">
        <w:tc>
          <w:tcPr>
            <w:tcW w:w="500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2B1F86" w14:textId="77777777" w:rsidR="00FE291A" w:rsidRDefault="00C8738F">
            <w:pPr>
              <w:keepNext/>
              <w:keepLines/>
              <w:widowControl/>
              <w:suppressAutoHyphens/>
              <w:jc w:val="center"/>
              <w:textAlignment w:val="center"/>
              <w:rPr>
                <w:b/>
                <w:color w:val="000000"/>
                <w:sz w:val="22"/>
                <w:szCs w:val="22"/>
                <w:lang w:val="de-DE"/>
              </w:rPr>
            </w:pPr>
            <w:r>
              <w:rPr>
                <w:b/>
                <w:bCs/>
                <w:sz w:val="22"/>
                <w:szCs w:val="22"/>
                <w:lang w:val="de-DE"/>
              </w:rPr>
              <w:t>Schritt 1: Vorbereitung</w:t>
            </w:r>
          </w:p>
        </w:tc>
      </w:tr>
    </w:tbl>
    <w:p w14:paraId="5228DF06" w14:textId="77777777" w:rsidR="00FE291A" w:rsidRDefault="00FE291A">
      <w:pPr>
        <w:keepNext/>
        <w:keepLines/>
        <w:widowControl/>
        <w:ind w:left="567" w:hanging="567"/>
        <w:rPr>
          <w:b/>
          <w:bCs/>
          <w:sz w:val="22"/>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9"/>
        <w:gridCol w:w="2445"/>
        <w:gridCol w:w="6067"/>
      </w:tblGrid>
      <w:tr w:rsidR="00FE291A" w:rsidRPr="002E6CD3" w14:paraId="7CF60ED7" w14:textId="77777777">
        <w:tc>
          <w:tcPr>
            <w:tcW w:w="30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500C040" w14:textId="77777777" w:rsidR="00FE291A" w:rsidRDefault="00C8738F">
            <w:pPr>
              <w:keepNext/>
              <w:keepLines/>
              <w:widowControl/>
              <w:suppressAutoHyphens/>
              <w:textAlignment w:val="center"/>
              <w:rPr>
                <w:b/>
                <w:color w:val="000000"/>
                <w:sz w:val="22"/>
                <w:szCs w:val="22"/>
                <w:lang w:val="de-DE"/>
              </w:rPr>
            </w:pPr>
            <w:r>
              <w:rPr>
                <w:b/>
                <w:sz w:val="22"/>
                <w:szCs w:val="22"/>
                <w:lang w:val="de-DE"/>
              </w:rPr>
              <w:t>A.</w:t>
            </w:r>
          </w:p>
        </w:tc>
        <w:tc>
          <w:tcPr>
            <w:tcW w:w="4697"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DC0D47" w14:textId="77777777" w:rsidR="00FE291A" w:rsidRDefault="00C8738F">
            <w:pPr>
              <w:keepNext/>
              <w:keepLines/>
              <w:widowControl/>
              <w:rPr>
                <w:color w:val="000000"/>
                <w:sz w:val="22"/>
                <w:szCs w:val="22"/>
                <w:lang w:val="de-DE"/>
              </w:rPr>
            </w:pPr>
            <w:r>
              <w:rPr>
                <w:bCs/>
                <w:sz w:val="22"/>
                <w:szCs w:val="22"/>
                <w:lang w:val="de-DE"/>
              </w:rPr>
              <w:t>Entnehmen Sie die Anzahl an AMGEVITA-Fertigspritzen aus der Packung, die Sie benötigen.</w:t>
            </w:r>
          </w:p>
        </w:tc>
      </w:tr>
      <w:tr w:rsidR="00FE291A" w14:paraId="51B4C9AF" w14:textId="77777777">
        <w:tc>
          <w:tcPr>
            <w:tcW w:w="5000" w:type="pct"/>
            <w:gridSpan w:val="3"/>
            <w:tcBorders>
              <w:top w:val="single" w:sz="4" w:space="0" w:color="auto"/>
              <w:left w:val="single" w:sz="4" w:space="0" w:color="auto"/>
              <w:bottom w:val="nil"/>
              <w:right w:val="single" w:sz="4" w:space="0" w:color="auto"/>
            </w:tcBorders>
            <w:tcMar>
              <w:top w:w="28" w:type="dxa"/>
              <w:left w:w="57" w:type="dxa"/>
              <w:bottom w:w="28" w:type="dxa"/>
              <w:right w:w="57" w:type="dxa"/>
            </w:tcMar>
          </w:tcPr>
          <w:tbl>
            <w:tblPr>
              <w:tblW w:w="8981" w:type="dxa"/>
              <w:tblLayout w:type="fixed"/>
              <w:tblLook w:val="04A0" w:firstRow="1" w:lastRow="0" w:firstColumn="1" w:lastColumn="0" w:noHBand="0" w:noVBand="1"/>
            </w:tblPr>
            <w:tblGrid>
              <w:gridCol w:w="1894"/>
              <w:gridCol w:w="7087"/>
            </w:tblGrid>
            <w:tr w:rsidR="00FE291A" w14:paraId="2102436C" w14:textId="77777777">
              <w:trPr>
                <w:trHeight w:val="3038"/>
              </w:trPr>
              <w:tc>
                <w:tcPr>
                  <w:tcW w:w="1894" w:type="dxa"/>
                  <w:vAlign w:val="center"/>
                </w:tcPr>
                <w:p w14:paraId="06A45B33" w14:textId="77777777" w:rsidR="00FE291A" w:rsidRDefault="00C8738F">
                  <w:pPr>
                    <w:keepNext/>
                    <w:keepLines/>
                    <w:widowControl/>
                    <w:suppressAutoHyphens/>
                    <w:textAlignment w:val="center"/>
                    <w:rPr>
                      <w:color w:val="000000"/>
                      <w:sz w:val="22"/>
                      <w:szCs w:val="22"/>
                      <w:lang w:val="de-DE" w:eastAsia="en-GB"/>
                    </w:rPr>
                  </w:pPr>
                  <w:r>
                    <w:rPr>
                      <w:bCs/>
                      <w:sz w:val="22"/>
                      <w:szCs w:val="22"/>
                      <w:lang w:val="de-DE"/>
                    </w:rPr>
                    <w:t>Greifen Sie den Spritzenzylinder, um die Spritze aus dem Einsatz zu entnehmen.</w:t>
                  </w:r>
                  <w:r>
                    <w:rPr>
                      <w:color w:val="000000"/>
                      <w:sz w:val="22"/>
                      <w:szCs w:val="22"/>
                      <w:lang w:val="de-DE" w:eastAsia="en-GB"/>
                    </w:rPr>
                    <w:t xml:space="preserve"> </w:t>
                  </w:r>
                </w:p>
                <w:p w14:paraId="6A4B6833" w14:textId="77777777" w:rsidR="00FE291A" w:rsidRDefault="00FE291A">
                  <w:pPr>
                    <w:keepNext/>
                    <w:keepLines/>
                    <w:widowControl/>
                    <w:suppressAutoHyphens/>
                    <w:textAlignment w:val="center"/>
                    <w:rPr>
                      <w:color w:val="000000"/>
                      <w:sz w:val="22"/>
                      <w:szCs w:val="22"/>
                      <w:lang w:val="de-DE" w:eastAsia="en-GB"/>
                    </w:rPr>
                  </w:pPr>
                </w:p>
                <w:p w14:paraId="69E960F7" w14:textId="37F8566E" w:rsidR="00FE291A" w:rsidRDefault="009C5B62">
                  <w:pPr>
                    <w:keepNext/>
                    <w:keepLines/>
                    <w:widowControl/>
                    <w:suppressAutoHyphens/>
                    <w:textAlignment w:val="center"/>
                    <w:rPr>
                      <w:color w:val="000000"/>
                      <w:sz w:val="22"/>
                      <w:szCs w:val="22"/>
                      <w:lang w:val="de-DE"/>
                    </w:rPr>
                  </w:pPr>
                  <w:r>
                    <w:rPr>
                      <w:noProof/>
                      <w:color w:val="000000"/>
                      <w:szCs w:val="22"/>
                      <w:lang w:val="de-DE"/>
                    </w:rPr>
                    <w:drawing>
                      <wp:inline distT="0" distB="0" distL="0" distR="0" wp14:anchorId="03943F05" wp14:editId="5E2E7982">
                        <wp:extent cx="1068705" cy="1297305"/>
                        <wp:effectExtent l="0" t="0" r="0" b="0"/>
                        <wp:docPr id="19" name="Bild 22" descr="ILL0315 SYRINGE MISC 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ILL0315 SYRINGE MISC N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68705" cy="1297305"/>
                                </a:xfrm>
                                <a:prstGeom prst="rect">
                                  <a:avLst/>
                                </a:prstGeom>
                                <a:noFill/>
                                <a:ln>
                                  <a:noFill/>
                                </a:ln>
                              </pic:spPr>
                            </pic:pic>
                          </a:graphicData>
                        </a:graphic>
                      </wp:inline>
                    </w:drawing>
                  </w:r>
                </w:p>
              </w:tc>
              <w:tc>
                <w:tcPr>
                  <w:tcW w:w="7087" w:type="dxa"/>
                </w:tcPr>
                <w:p w14:paraId="3939C7E9" w14:textId="77777777" w:rsidR="00FE291A" w:rsidRDefault="00FE291A">
                  <w:pPr>
                    <w:keepNext/>
                    <w:keepLines/>
                    <w:widowControl/>
                    <w:suppressAutoHyphens/>
                    <w:jc w:val="center"/>
                    <w:textAlignment w:val="center"/>
                    <w:rPr>
                      <w:color w:val="000000"/>
                      <w:szCs w:val="22"/>
                      <w:lang w:val="de-DE"/>
                    </w:rPr>
                  </w:pPr>
                </w:p>
                <w:p w14:paraId="78B709DC" w14:textId="056BF520" w:rsidR="00FE291A" w:rsidRDefault="009C5B62">
                  <w:pPr>
                    <w:keepNext/>
                    <w:keepLines/>
                    <w:widowControl/>
                    <w:suppressAutoHyphens/>
                    <w:jc w:val="center"/>
                    <w:textAlignment w:val="center"/>
                    <w:rPr>
                      <w:color w:val="000000"/>
                      <w:sz w:val="22"/>
                      <w:szCs w:val="22"/>
                      <w:lang w:val="de-DE"/>
                    </w:rPr>
                  </w:pPr>
                  <w:r>
                    <w:rPr>
                      <w:noProof/>
                      <w:color w:val="000000"/>
                      <w:szCs w:val="22"/>
                      <w:lang w:val="de-DE"/>
                    </w:rPr>
                    <w:drawing>
                      <wp:inline distT="0" distB="0" distL="0" distR="0" wp14:anchorId="1B46C59C" wp14:editId="1D775105">
                        <wp:extent cx="2806065" cy="1760220"/>
                        <wp:effectExtent l="0" t="0" r="0" b="0"/>
                        <wp:docPr id="20" name="Bild 24" descr="ILL0314 SYRINGE MISC 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 descr="ILL0314 SYRINGE MISC N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06065" cy="1760220"/>
                                </a:xfrm>
                                <a:prstGeom prst="rect">
                                  <a:avLst/>
                                </a:prstGeom>
                                <a:noFill/>
                                <a:ln>
                                  <a:noFill/>
                                </a:ln>
                              </pic:spPr>
                            </pic:pic>
                          </a:graphicData>
                        </a:graphic>
                      </wp:inline>
                    </w:drawing>
                  </w:r>
                </w:p>
              </w:tc>
            </w:tr>
          </w:tbl>
          <w:p w14:paraId="6EE13B81" w14:textId="77777777" w:rsidR="00FE291A" w:rsidRDefault="00FE291A">
            <w:pPr>
              <w:keepNext/>
              <w:keepLines/>
              <w:widowControl/>
              <w:suppressAutoHyphens/>
              <w:textAlignment w:val="center"/>
              <w:rPr>
                <w:color w:val="000000"/>
                <w:sz w:val="22"/>
                <w:szCs w:val="22"/>
                <w:lang w:val="de-DE"/>
              </w:rPr>
            </w:pPr>
          </w:p>
        </w:tc>
      </w:tr>
      <w:tr w:rsidR="00FE291A" w14:paraId="2A22F0A9" w14:textId="77777777">
        <w:trPr>
          <w:trHeight w:val="942"/>
        </w:trPr>
        <w:tc>
          <w:tcPr>
            <w:tcW w:w="1652" w:type="pct"/>
            <w:gridSpan w:val="2"/>
            <w:tcBorders>
              <w:top w:val="nil"/>
              <w:left w:val="single" w:sz="4" w:space="0" w:color="auto"/>
              <w:bottom w:val="nil"/>
              <w:right w:val="nil"/>
            </w:tcBorders>
            <w:tcMar>
              <w:top w:w="28" w:type="dxa"/>
              <w:left w:w="57" w:type="dxa"/>
              <w:bottom w:w="28" w:type="dxa"/>
              <w:right w:w="57" w:type="dxa"/>
            </w:tcMar>
          </w:tcPr>
          <w:p w14:paraId="1FAA284D" w14:textId="77777777" w:rsidR="00FE291A" w:rsidRDefault="00C8738F">
            <w:pPr>
              <w:keepNext/>
              <w:keepLines/>
              <w:widowControl/>
              <w:rPr>
                <w:sz w:val="22"/>
                <w:szCs w:val="22"/>
                <w:lang w:val="de-DE"/>
              </w:rPr>
            </w:pPr>
            <w:r>
              <w:rPr>
                <w:sz w:val="22"/>
                <w:szCs w:val="22"/>
                <w:lang w:val="de-DE"/>
              </w:rPr>
              <w:t>Halten Sie mit Ihrem Finger oder dem Daumen eine Ecke des Einsatzes, um diesen zu fixieren, während Sie die Spritze entnehmen.</w:t>
            </w:r>
          </w:p>
          <w:p w14:paraId="5DD8D0C3" w14:textId="77777777" w:rsidR="00FE291A" w:rsidRDefault="00FE291A">
            <w:pPr>
              <w:keepNext/>
              <w:keepLines/>
              <w:widowControl/>
              <w:rPr>
                <w:sz w:val="22"/>
                <w:szCs w:val="22"/>
                <w:lang w:val="de-DE"/>
              </w:rPr>
            </w:pPr>
          </w:p>
        </w:tc>
        <w:tc>
          <w:tcPr>
            <w:tcW w:w="3348" w:type="pct"/>
            <w:tcBorders>
              <w:top w:val="nil"/>
              <w:left w:val="nil"/>
              <w:bottom w:val="nil"/>
              <w:right w:val="single" w:sz="4" w:space="0" w:color="auto"/>
            </w:tcBorders>
            <w:tcMar>
              <w:left w:w="1134" w:type="dxa"/>
            </w:tcMar>
          </w:tcPr>
          <w:p w14:paraId="61CDAAEB" w14:textId="77777777" w:rsidR="00FE291A" w:rsidRDefault="00C8738F">
            <w:pPr>
              <w:keepNext/>
              <w:keepLines/>
              <w:widowControl/>
              <w:ind w:left="853"/>
              <w:rPr>
                <w:b/>
                <w:color w:val="FF0000"/>
                <w:sz w:val="22"/>
                <w:szCs w:val="22"/>
                <w:lang w:val="de-DE"/>
              </w:rPr>
            </w:pPr>
            <w:r>
              <w:rPr>
                <w:b/>
                <w:color w:val="FF0000"/>
                <w:sz w:val="22"/>
                <w:szCs w:val="22"/>
                <w:lang w:val="de-DE"/>
              </w:rPr>
              <w:t>Hier greifen</w:t>
            </w:r>
          </w:p>
        </w:tc>
      </w:tr>
      <w:tr w:rsidR="00FE291A" w14:paraId="486817CD" w14:textId="77777777">
        <w:tc>
          <w:tcPr>
            <w:tcW w:w="5000" w:type="pct"/>
            <w:gridSpan w:val="3"/>
            <w:tcBorders>
              <w:top w:val="nil"/>
              <w:left w:val="single" w:sz="4" w:space="0" w:color="auto"/>
              <w:bottom w:val="nil"/>
              <w:right w:val="single" w:sz="4" w:space="0" w:color="auto"/>
            </w:tcBorders>
            <w:tcMar>
              <w:top w:w="28" w:type="dxa"/>
              <w:left w:w="57" w:type="dxa"/>
              <w:bottom w:w="28" w:type="dxa"/>
              <w:right w:w="57" w:type="dxa"/>
            </w:tcMar>
          </w:tcPr>
          <w:p w14:paraId="19773D77" w14:textId="77777777" w:rsidR="00FE291A" w:rsidRDefault="00C8738F">
            <w:pPr>
              <w:keepNext/>
              <w:keepLines/>
              <w:widowControl/>
              <w:suppressAutoHyphens/>
              <w:textAlignment w:val="center"/>
              <w:rPr>
                <w:color w:val="000000"/>
                <w:sz w:val="22"/>
                <w:szCs w:val="22"/>
                <w:lang w:val="de-DE"/>
              </w:rPr>
            </w:pPr>
            <w:r>
              <w:rPr>
                <w:color w:val="000000"/>
                <w:sz w:val="22"/>
                <w:szCs w:val="22"/>
                <w:lang w:val="de-DE"/>
              </w:rPr>
              <w:t>Stellen Sie die Originalverpackung mit unbenutzten Spritzen zurück in den Kühlschrank.</w:t>
            </w:r>
          </w:p>
          <w:p w14:paraId="0E7DCF4E" w14:textId="77777777" w:rsidR="00FE291A" w:rsidRDefault="00FE291A">
            <w:pPr>
              <w:keepNext/>
              <w:keepLines/>
              <w:widowControl/>
              <w:suppressAutoHyphens/>
              <w:textAlignment w:val="center"/>
              <w:rPr>
                <w:color w:val="000000"/>
                <w:sz w:val="22"/>
                <w:szCs w:val="22"/>
                <w:lang w:val="de-DE"/>
              </w:rPr>
            </w:pPr>
          </w:p>
          <w:p w14:paraId="0B86AB58" w14:textId="77777777" w:rsidR="00FE291A" w:rsidRDefault="00C8738F">
            <w:pPr>
              <w:keepNext/>
              <w:keepLines/>
              <w:widowControl/>
              <w:suppressAutoHyphens/>
              <w:textAlignment w:val="center"/>
              <w:rPr>
                <w:color w:val="000000"/>
                <w:sz w:val="22"/>
                <w:szCs w:val="22"/>
                <w:lang w:val="de-DE"/>
              </w:rPr>
            </w:pPr>
            <w:r>
              <w:rPr>
                <w:color w:val="000000"/>
                <w:sz w:val="22"/>
                <w:szCs w:val="22"/>
                <w:lang w:val="de-DE"/>
              </w:rPr>
              <w:t>Aus Sicherheitsgründen:</w:t>
            </w:r>
          </w:p>
        </w:tc>
      </w:tr>
      <w:tr w:rsidR="00FE291A" w:rsidRPr="002E6CD3" w14:paraId="0A09A19E" w14:textId="77777777">
        <w:tc>
          <w:tcPr>
            <w:tcW w:w="303" w:type="pct"/>
            <w:tcBorders>
              <w:top w:val="nil"/>
              <w:left w:val="single" w:sz="4" w:space="0" w:color="auto"/>
              <w:bottom w:val="nil"/>
              <w:right w:val="nil"/>
            </w:tcBorders>
            <w:tcMar>
              <w:top w:w="28" w:type="dxa"/>
              <w:left w:w="57" w:type="dxa"/>
              <w:bottom w:w="28" w:type="dxa"/>
              <w:right w:w="57" w:type="dxa"/>
            </w:tcMar>
          </w:tcPr>
          <w:p w14:paraId="5C65DC3A" w14:textId="77777777" w:rsidR="00FE291A" w:rsidRDefault="00C8738F">
            <w:pPr>
              <w:pStyle w:val="ListParagraph"/>
              <w:keepNext/>
              <w:keepLines/>
              <w:widowControl/>
              <w:tabs>
                <w:tab w:val="left" w:pos="90"/>
              </w:tabs>
              <w:suppressAutoHyphens/>
              <w:textAlignment w:val="center"/>
              <w:rPr>
                <w:color w:val="000000"/>
                <w:sz w:val="22"/>
                <w:szCs w:val="22"/>
                <w:lang w:val="de-DE"/>
              </w:rPr>
            </w:pPr>
            <w:r>
              <w:rPr>
                <w:color w:val="000000"/>
                <w:sz w:val="22"/>
                <w:szCs w:val="22"/>
                <w:lang w:val="de-DE"/>
              </w:rPr>
              <w:t>●</w:t>
            </w:r>
          </w:p>
        </w:tc>
        <w:tc>
          <w:tcPr>
            <w:tcW w:w="4697" w:type="pct"/>
            <w:gridSpan w:val="2"/>
            <w:tcBorders>
              <w:top w:val="nil"/>
              <w:left w:val="nil"/>
              <w:bottom w:val="nil"/>
              <w:right w:val="single" w:sz="4" w:space="0" w:color="auto"/>
            </w:tcBorders>
            <w:tcMar>
              <w:left w:w="0" w:type="dxa"/>
            </w:tcMar>
          </w:tcPr>
          <w:p w14:paraId="4ABE8538" w14:textId="77777777" w:rsidR="00FE291A" w:rsidRDefault="00C8738F">
            <w:pPr>
              <w:keepNext/>
              <w:keepLines/>
              <w:widowControl/>
              <w:rPr>
                <w:rFonts w:eastAsia="Calibri"/>
                <w:sz w:val="22"/>
                <w:szCs w:val="22"/>
                <w:lang w:val="de-DE"/>
              </w:rPr>
            </w:pPr>
            <w:r>
              <w:rPr>
                <w:rFonts w:eastAsia="Calibri"/>
                <w:bCs/>
                <w:sz w:val="22"/>
                <w:szCs w:val="22"/>
                <w:lang w:val="de-DE"/>
              </w:rPr>
              <w:t xml:space="preserve">Greifen Sie </w:t>
            </w:r>
            <w:r>
              <w:rPr>
                <w:rFonts w:eastAsia="Calibri"/>
                <w:b/>
                <w:bCs/>
                <w:sz w:val="22"/>
                <w:szCs w:val="22"/>
                <w:lang w:val="de-DE"/>
              </w:rPr>
              <w:t>nicht</w:t>
            </w:r>
            <w:r>
              <w:rPr>
                <w:rFonts w:eastAsia="Calibri"/>
                <w:bCs/>
                <w:sz w:val="22"/>
                <w:szCs w:val="22"/>
                <w:lang w:val="de-DE"/>
              </w:rPr>
              <w:t xml:space="preserve"> die Kolbenstange.</w:t>
            </w:r>
          </w:p>
        </w:tc>
      </w:tr>
      <w:tr w:rsidR="00FE291A" w:rsidRPr="002E6CD3" w14:paraId="634BD166" w14:textId="77777777">
        <w:tc>
          <w:tcPr>
            <w:tcW w:w="303" w:type="pct"/>
            <w:tcBorders>
              <w:top w:val="nil"/>
              <w:left w:val="single" w:sz="4" w:space="0" w:color="auto"/>
              <w:bottom w:val="nil"/>
              <w:right w:val="nil"/>
            </w:tcBorders>
            <w:tcMar>
              <w:top w:w="28" w:type="dxa"/>
              <w:left w:w="57" w:type="dxa"/>
              <w:bottom w:w="28" w:type="dxa"/>
              <w:right w:w="57" w:type="dxa"/>
            </w:tcMar>
          </w:tcPr>
          <w:p w14:paraId="2E89EFEF" w14:textId="77777777" w:rsidR="00FE291A" w:rsidRDefault="00C8738F">
            <w:pPr>
              <w:pStyle w:val="ListParagraph"/>
              <w:keepNext/>
              <w:keepLines/>
              <w:widowControl/>
              <w:tabs>
                <w:tab w:val="left" w:pos="90"/>
              </w:tabs>
              <w:suppressAutoHyphens/>
              <w:textAlignment w:val="center"/>
              <w:rPr>
                <w:color w:val="000000"/>
                <w:sz w:val="22"/>
                <w:szCs w:val="22"/>
                <w:lang w:val="de-DE"/>
              </w:rPr>
            </w:pPr>
            <w:r>
              <w:rPr>
                <w:color w:val="000000"/>
                <w:sz w:val="22"/>
                <w:szCs w:val="22"/>
                <w:lang w:val="de-DE"/>
              </w:rPr>
              <w:t>●</w:t>
            </w:r>
          </w:p>
        </w:tc>
        <w:tc>
          <w:tcPr>
            <w:tcW w:w="4697" w:type="pct"/>
            <w:gridSpan w:val="2"/>
            <w:tcBorders>
              <w:top w:val="nil"/>
              <w:left w:val="nil"/>
              <w:bottom w:val="nil"/>
              <w:right w:val="single" w:sz="4" w:space="0" w:color="auto"/>
            </w:tcBorders>
            <w:tcMar>
              <w:left w:w="0" w:type="dxa"/>
            </w:tcMar>
          </w:tcPr>
          <w:p w14:paraId="7CC66CE0" w14:textId="77777777" w:rsidR="00FE291A" w:rsidRDefault="00C8738F">
            <w:pPr>
              <w:keepNext/>
              <w:keepLines/>
              <w:widowControl/>
              <w:rPr>
                <w:rFonts w:eastAsia="Calibri"/>
                <w:sz w:val="22"/>
                <w:szCs w:val="22"/>
                <w:lang w:val="de-DE"/>
              </w:rPr>
            </w:pPr>
            <w:r>
              <w:rPr>
                <w:rFonts w:eastAsia="Calibri"/>
                <w:bCs/>
                <w:sz w:val="22"/>
                <w:szCs w:val="22"/>
                <w:lang w:val="de-DE"/>
              </w:rPr>
              <w:t xml:space="preserve">Greifen Sie </w:t>
            </w:r>
            <w:r>
              <w:rPr>
                <w:rFonts w:eastAsia="Calibri"/>
                <w:b/>
                <w:bCs/>
                <w:sz w:val="22"/>
                <w:szCs w:val="22"/>
                <w:lang w:val="de-DE"/>
              </w:rPr>
              <w:t>nicht</w:t>
            </w:r>
            <w:r>
              <w:rPr>
                <w:rFonts w:eastAsia="Calibri"/>
                <w:bCs/>
                <w:sz w:val="22"/>
                <w:szCs w:val="22"/>
                <w:lang w:val="de-DE"/>
              </w:rPr>
              <w:t xml:space="preserve"> die Nadelschutzkappe</w:t>
            </w:r>
            <w:r>
              <w:rPr>
                <w:rFonts w:eastAsia="Calibri"/>
                <w:sz w:val="22"/>
                <w:szCs w:val="22"/>
                <w:lang w:val="de-DE"/>
              </w:rPr>
              <w:t>.</w:t>
            </w:r>
          </w:p>
        </w:tc>
      </w:tr>
      <w:tr w:rsidR="00FE291A" w:rsidRPr="00723069" w14:paraId="6500ADC3" w14:textId="77777777">
        <w:tc>
          <w:tcPr>
            <w:tcW w:w="303" w:type="pct"/>
            <w:tcBorders>
              <w:top w:val="nil"/>
              <w:left w:val="single" w:sz="4" w:space="0" w:color="auto"/>
              <w:bottom w:val="nil"/>
              <w:right w:val="nil"/>
            </w:tcBorders>
            <w:tcMar>
              <w:top w:w="28" w:type="dxa"/>
              <w:left w:w="57" w:type="dxa"/>
              <w:bottom w:w="28" w:type="dxa"/>
              <w:right w:w="57" w:type="dxa"/>
            </w:tcMar>
          </w:tcPr>
          <w:p w14:paraId="6EAD11FD" w14:textId="77777777" w:rsidR="00FE291A" w:rsidRDefault="00C8738F">
            <w:pPr>
              <w:pStyle w:val="ListParagraph"/>
              <w:keepNext/>
              <w:keepLines/>
              <w:widowControl/>
              <w:tabs>
                <w:tab w:val="left" w:pos="90"/>
              </w:tabs>
              <w:suppressAutoHyphens/>
              <w:textAlignment w:val="center"/>
              <w:rPr>
                <w:color w:val="000000"/>
                <w:sz w:val="22"/>
                <w:szCs w:val="22"/>
                <w:lang w:val="de-DE"/>
              </w:rPr>
            </w:pPr>
            <w:r>
              <w:rPr>
                <w:color w:val="000000"/>
                <w:sz w:val="22"/>
                <w:szCs w:val="22"/>
                <w:lang w:val="de-DE"/>
              </w:rPr>
              <w:t>●</w:t>
            </w:r>
          </w:p>
        </w:tc>
        <w:tc>
          <w:tcPr>
            <w:tcW w:w="4697" w:type="pct"/>
            <w:gridSpan w:val="2"/>
            <w:tcBorders>
              <w:top w:val="nil"/>
              <w:left w:val="nil"/>
              <w:bottom w:val="nil"/>
              <w:right w:val="single" w:sz="4" w:space="0" w:color="auto"/>
            </w:tcBorders>
            <w:tcMar>
              <w:left w:w="0" w:type="dxa"/>
            </w:tcMar>
          </w:tcPr>
          <w:p w14:paraId="0098123F" w14:textId="77777777" w:rsidR="00FE291A" w:rsidRDefault="00C8738F">
            <w:pPr>
              <w:keepNext/>
              <w:keepLines/>
              <w:widowControl/>
              <w:ind w:left="720" w:hanging="720"/>
              <w:rPr>
                <w:rFonts w:eastAsia="Calibri"/>
                <w:sz w:val="22"/>
                <w:szCs w:val="22"/>
                <w:lang w:val="de-DE"/>
              </w:rPr>
            </w:pPr>
            <w:r>
              <w:rPr>
                <w:rFonts w:eastAsia="Calibri"/>
                <w:bCs/>
                <w:sz w:val="22"/>
                <w:szCs w:val="22"/>
                <w:lang w:val="de-DE"/>
              </w:rPr>
              <w:t xml:space="preserve">Entfernen Sie </w:t>
            </w:r>
            <w:r>
              <w:rPr>
                <w:rFonts w:eastAsia="Calibri"/>
                <w:b/>
                <w:bCs/>
                <w:sz w:val="22"/>
                <w:szCs w:val="22"/>
                <w:lang w:val="de-DE"/>
              </w:rPr>
              <w:t>nicht</w:t>
            </w:r>
            <w:r>
              <w:rPr>
                <w:rFonts w:eastAsia="Calibri"/>
                <w:bCs/>
                <w:sz w:val="22"/>
                <w:szCs w:val="22"/>
                <w:lang w:val="de-DE"/>
              </w:rPr>
              <w:t xml:space="preserve"> die Nadelschutzkappe, bevor Sie für die Injektion bereit sind. </w:t>
            </w:r>
          </w:p>
        </w:tc>
      </w:tr>
      <w:tr w:rsidR="00FE291A" w:rsidRPr="002E6CD3" w14:paraId="51659602" w14:textId="77777777">
        <w:trPr>
          <w:trHeight w:val="397"/>
        </w:trPr>
        <w:tc>
          <w:tcPr>
            <w:tcW w:w="303" w:type="pct"/>
            <w:tcBorders>
              <w:top w:val="nil"/>
              <w:left w:val="single" w:sz="4" w:space="0" w:color="auto"/>
              <w:bottom w:val="nil"/>
              <w:right w:val="nil"/>
            </w:tcBorders>
            <w:tcMar>
              <w:top w:w="28" w:type="dxa"/>
              <w:left w:w="57" w:type="dxa"/>
              <w:bottom w:w="28" w:type="dxa"/>
              <w:right w:w="57" w:type="dxa"/>
            </w:tcMar>
          </w:tcPr>
          <w:p w14:paraId="6616F87E" w14:textId="77777777" w:rsidR="00FE291A" w:rsidRDefault="00C8738F">
            <w:pPr>
              <w:pStyle w:val="ListParagraph"/>
              <w:keepNext/>
              <w:keepLines/>
              <w:widowControl/>
              <w:tabs>
                <w:tab w:val="left" w:pos="90"/>
              </w:tabs>
              <w:suppressAutoHyphens/>
              <w:textAlignment w:val="center"/>
              <w:rPr>
                <w:color w:val="000000"/>
                <w:sz w:val="22"/>
                <w:szCs w:val="22"/>
                <w:lang w:val="de-DE"/>
              </w:rPr>
            </w:pPr>
            <w:r>
              <w:rPr>
                <w:color w:val="000000"/>
                <w:sz w:val="22"/>
                <w:szCs w:val="22"/>
                <w:lang w:val="de-DE"/>
              </w:rPr>
              <w:t>●</w:t>
            </w:r>
          </w:p>
        </w:tc>
        <w:tc>
          <w:tcPr>
            <w:tcW w:w="4697" w:type="pct"/>
            <w:gridSpan w:val="2"/>
            <w:tcBorders>
              <w:top w:val="nil"/>
              <w:left w:val="nil"/>
              <w:bottom w:val="nil"/>
              <w:right w:val="single" w:sz="4" w:space="0" w:color="auto"/>
            </w:tcBorders>
            <w:tcMar>
              <w:left w:w="0" w:type="dxa"/>
            </w:tcMar>
          </w:tcPr>
          <w:p w14:paraId="1A47D93C" w14:textId="77777777" w:rsidR="00FE291A" w:rsidRDefault="00C8738F">
            <w:pPr>
              <w:keepNext/>
              <w:keepLines/>
              <w:widowControl/>
              <w:rPr>
                <w:rFonts w:eastAsia="Calibri"/>
                <w:sz w:val="22"/>
                <w:szCs w:val="22"/>
                <w:lang w:val="de-DE"/>
              </w:rPr>
            </w:pPr>
            <w:r>
              <w:rPr>
                <w:rFonts w:eastAsia="Calibri"/>
                <w:bCs/>
                <w:sz w:val="22"/>
                <w:szCs w:val="22"/>
                <w:lang w:val="de-DE"/>
              </w:rPr>
              <w:t xml:space="preserve">Entfernen Sie </w:t>
            </w:r>
            <w:r>
              <w:rPr>
                <w:rFonts w:eastAsia="Calibri"/>
                <w:b/>
                <w:bCs/>
                <w:sz w:val="22"/>
                <w:szCs w:val="22"/>
                <w:lang w:val="de-DE"/>
              </w:rPr>
              <w:t>nicht</w:t>
            </w:r>
            <w:r>
              <w:rPr>
                <w:rFonts w:eastAsia="Calibri"/>
                <w:bCs/>
                <w:sz w:val="22"/>
                <w:szCs w:val="22"/>
                <w:lang w:val="de-DE"/>
              </w:rPr>
              <w:t xml:space="preserve"> den Fingerflansch</w:t>
            </w:r>
            <w:r>
              <w:rPr>
                <w:rFonts w:eastAsia="Calibri"/>
                <w:sz w:val="22"/>
                <w:szCs w:val="22"/>
                <w:lang w:val="de-DE"/>
              </w:rPr>
              <w:t>. Er ist Teil der Spritze.</w:t>
            </w:r>
          </w:p>
        </w:tc>
      </w:tr>
      <w:tr w:rsidR="00FE291A" w:rsidRPr="002E6CD3" w14:paraId="34A984E0" w14:textId="77777777">
        <w:tc>
          <w:tcPr>
            <w:tcW w:w="5000" w:type="pct"/>
            <w:gridSpan w:val="3"/>
            <w:tcBorders>
              <w:top w:val="nil"/>
              <w:left w:val="single" w:sz="4" w:space="0" w:color="auto"/>
              <w:bottom w:val="nil"/>
              <w:right w:val="single" w:sz="4" w:space="0" w:color="auto"/>
            </w:tcBorders>
            <w:tcMar>
              <w:top w:w="28" w:type="dxa"/>
              <w:left w:w="57" w:type="dxa"/>
              <w:bottom w:w="28" w:type="dxa"/>
              <w:right w:w="57" w:type="dxa"/>
            </w:tcMar>
          </w:tcPr>
          <w:p w14:paraId="4138A1F1" w14:textId="77777777" w:rsidR="00FE291A" w:rsidRDefault="00C8738F">
            <w:pPr>
              <w:keepNext/>
              <w:keepLines/>
              <w:widowControl/>
              <w:rPr>
                <w:rFonts w:eastAsia="Calibri"/>
                <w:sz w:val="22"/>
                <w:szCs w:val="22"/>
                <w:lang w:val="de-DE"/>
              </w:rPr>
            </w:pPr>
            <w:r>
              <w:rPr>
                <w:rFonts w:eastAsia="Calibri"/>
                <w:sz w:val="22"/>
                <w:szCs w:val="22"/>
                <w:lang w:val="de-DE"/>
              </w:rPr>
              <w:t xml:space="preserve">Lassen Sie die Spritze für eine angenehmere Injektion für </w:t>
            </w:r>
            <w:r>
              <w:rPr>
                <w:rFonts w:eastAsia="Calibri"/>
                <w:b/>
                <w:sz w:val="22"/>
                <w:szCs w:val="22"/>
                <w:lang w:val="de-DE"/>
              </w:rPr>
              <w:t>15 bis 30</w:t>
            </w:r>
            <w:r>
              <w:rPr>
                <w:rFonts w:eastAsia="Calibri"/>
                <w:sz w:val="22"/>
                <w:szCs w:val="22"/>
                <w:lang w:val="de-DE"/>
              </w:rPr>
              <w:t xml:space="preserve"> Minuten bei Raumtemperatur liegen, bevor Sie injizieren.</w:t>
            </w:r>
          </w:p>
        </w:tc>
      </w:tr>
      <w:tr w:rsidR="00FE291A" w:rsidRPr="00723069" w14:paraId="346B8E2A" w14:textId="77777777">
        <w:tc>
          <w:tcPr>
            <w:tcW w:w="303" w:type="pct"/>
            <w:tcBorders>
              <w:top w:val="nil"/>
              <w:left w:val="single" w:sz="4" w:space="0" w:color="auto"/>
              <w:bottom w:val="nil"/>
              <w:right w:val="nil"/>
            </w:tcBorders>
            <w:tcMar>
              <w:top w:w="28" w:type="dxa"/>
              <w:left w:w="57" w:type="dxa"/>
              <w:bottom w:w="28" w:type="dxa"/>
              <w:right w:w="57" w:type="dxa"/>
            </w:tcMar>
          </w:tcPr>
          <w:p w14:paraId="665B558C" w14:textId="77777777" w:rsidR="00FE291A" w:rsidRDefault="00C8738F">
            <w:pPr>
              <w:pStyle w:val="ListParagraph"/>
              <w:keepNext/>
              <w:widowControl/>
              <w:tabs>
                <w:tab w:val="left" w:pos="90"/>
              </w:tabs>
              <w:suppressAutoHyphens/>
              <w:textAlignment w:val="center"/>
              <w:rPr>
                <w:color w:val="000000"/>
                <w:sz w:val="22"/>
                <w:szCs w:val="22"/>
                <w:lang w:val="de-DE"/>
              </w:rPr>
            </w:pPr>
            <w:r>
              <w:rPr>
                <w:color w:val="000000"/>
                <w:sz w:val="22"/>
                <w:szCs w:val="22"/>
                <w:lang w:val="de-DE"/>
              </w:rPr>
              <w:t>●</w:t>
            </w:r>
          </w:p>
        </w:tc>
        <w:tc>
          <w:tcPr>
            <w:tcW w:w="4697" w:type="pct"/>
            <w:gridSpan w:val="2"/>
            <w:tcBorders>
              <w:top w:val="nil"/>
              <w:left w:val="nil"/>
              <w:bottom w:val="nil"/>
              <w:right w:val="single" w:sz="4" w:space="0" w:color="auto"/>
            </w:tcBorders>
            <w:tcMar>
              <w:left w:w="0" w:type="dxa"/>
            </w:tcMar>
          </w:tcPr>
          <w:p w14:paraId="58EDC356" w14:textId="77777777" w:rsidR="00FE291A" w:rsidRDefault="00C8738F">
            <w:pPr>
              <w:keepNext/>
              <w:widowControl/>
              <w:rPr>
                <w:rFonts w:eastAsia="Calibri"/>
                <w:sz w:val="22"/>
                <w:szCs w:val="22"/>
                <w:lang w:val="de-DE"/>
              </w:rPr>
            </w:pPr>
            <w:r>
              <w:rPr>
                <w:rFonts w:eastAsia="Calibri"/>
                <w:bCs/>
                <w:sz w:val="22"/>
                <w:szCs w:val="22"/>
                <w:lang w:val="de-DE"/>
              </w:rPr>
              <w:t xml:space="preserve">Legen Sie die Spritze </w:t>
            </w:r>
            <w:r>
              <w:rPr>
                <w:rFonts w:eastAsia="Calibri"/>
                <w:b/>
                <w:bCs/>
                <w:sz w:val="22"/>
                <w:szCs w:val="22"/>
                <w:lang w:val="de-DE"/>
              </w:rPr>
              <w:t>nicht</w:t>
            </w:r>
            <w:r>
              <w:rPr>
                <w:rFonts w:eastAsia="Calibri"/>
                <w:bCs/>
                <w:sz w:val="22"/>
                <w:szCs w:val="22"/>
                <w:lang w:val="de-DE"/>
              </w:rPr>
              <w:t xml:space="preserve"> zurück in den Kühlschrank, sobald diese Raumtemperatur erreicht hat. </w:t>
            </w:r>
          </w:p>
        </w:tc>
      </w:tr>
      <w:tr w:rsidR="00FE291A" w:rsidRPr="002E6CD3" w14:paraId="6CB9C7FD" w14:textId="77777777">
        <w:tc>
          <w:tcPr>
            <w:tcW w:w="303" w:type="pct"/>
            <w:tcBorders>
              <w:top w:val="nil"/>
              <w:left w:val="single" w:sz="4" w:space="0" w:color="auto"/>
              <w:bottom w:val="nil"/>
              <w:right w:val="nil"/>
            </w:tcBorders>
            <w:tcMar>
              <w:top w:w="28" w:type="dxa"/>
              <w:left w:w="57" w:type="dxa"/>
              <w:bottom w:w="28" w:type="dxa"/>
              <w:right w:w="57" w:type="dxa"/>
            </w:tcMar>
          </w:tcPr>
          <w:p w14:paraId="1D39A585" w14:textId="77777777" w:rsidR="00FE291A" w:rsidRDefault="00C8738F">
            <w:pPr>
              <w:pStyle w:val="ListParagraph"/>
              <w:keepNext/>
              <w:widowControl/>
              <w:tabs>
                <w:tab w:val="left" w:pos="90"/>
              </w:tabs>
              <w:suppressAutoHyphens/>
              <w:textAlignment w:val="center"/>
              <w:rPr>
                <w:color w:val="000000"/>
                <w:sz w:val="22"/>
                <w:szCs w:val="22"/>
                <w:lang w:val="de-DE"/>
              </w:rPr>
            </w:pPr>
            <w:r>
              <w:rPr>
                <w:color w:val="000000"/>
                <w:sz w:val="22"/>
                <w:szCs w:val="22"/>
                <w:lang w:val="de-DE"/>
              </w:rPr>
              <w:t>●</w:t>
            </w:r>
          </w:p>
        </w:tc>
        <w:tc>
          <w:tcPr>
            <w:tcW w:w="4697" w:type="pct"/>
            <w:gridSpan w:val="2"/>
            <w:tcBorders>
              <w:top w:val="nil"/>
              <w:left w:val="nil"/>
              <w:bottom w:val="nil"/>
              <w:right w:val="single" w:sz="4" w:space="0" w:color="auto"/>
            </w:tcBorders>
            <w:tcMar>
              <w:left w:w="0" w:type="dxa"/>
            </w:tcMar>
          </w:tcPr>
          <w:p w14:paraId="478FA500" w14:textId="77777777" w:rsidR="00FE291A" w:rsidRDefault="00C8738F">
            <w:pPr>
              <w:keepNext/>
              <w:widowControl/>
              <w:rPr>
                <w:rFonts w:eastAsia="Calibri"/>
                <w:b/>
                <w:bCs/>
                <w:sz w:val="22"/>
                <w:szCs w:val="22"/>
                <w:lang w:val="de-DE"/>
              </w:rPr>
            </w:pPr>
            <w:r>
              <w:rPr>
                <w:rFonts w:eastAsia="Calibri"/>
                <w:sz w:val="22"/>
                <w:szCs w:val="22"/>
                <w:lang w:val="de-DE"/>
              </w:rPr>
              <w:t xml:space="preserve">Versuchen Sie </w:t>
            </w:r>
            <w:r>
              <w:rPr>
                <w:rFonts w:eastAsia="Calibri"/>
                <w:b/>
                <w:sz w:val="22"/>
                <w:szCs w:val="22"/>
                <w:lang w:val="de-DE"/>
              </w:rPr>
              <w:t>nicht</w:t>
            </w:r>
            <w:r>
              <w:rPr>
                <w:rFonts w:eastAsia="Calibri"/>
                <w:sz w:val="22"/>
                <w:szCs w:val="22"/>
                <w:lang w:val="de-DE"/>
              </w:rPr>
              <w:t xml:space="preserve">, die Spritze </w:t>
            </w:r>
            <w:r>
              <w:rPr>
                <w:rFonts w:eastAsia="HelveticaLTStd-Roman"/>
                <w:sz w:val="22"/>
                <w:szCs w:val="22"/>
                <w:lang w:val="de-DE"/>
              </w:rPr>
              <w:t>durch Verwendung einer Wärmequelle wie z. B. heißen Wassers oder einer Mikrowelle zu erwärmen.</w:t>
            </w:r>
          </w:p>
        </w:tc>
      </w:tr>
      <w:tr w:rsidR="00FE291A" w:rsidRPr="002E6CD3" w14:paraId="62274218" w14:textId="77777777">
        <w:tc>
          <w:tcPr>
            <w:tcW w:w="303" w:type="pct"/>
            <w:tcBorders>
              <w:top w:val="nil"/>
              <w:left w:val="single" w:sz="4" w:space="0" w:color="auto"/>
              <w:bottom w:val="nil"/>
              <w:right w:val="nil"/>
            </w:tcBorders>
            <w:tcMar>
              <w:top w:w="28" w:type="dxa"/>
              <w:left w:w="57" w:type="dxa"/>
              <w:bottom w:w="28" w:type="dxa"/>
              <w:right w:w="57" w:type="dxa"/>
            </w:tcMar>
          </w:tcPr>
          <w:p w14:paraId="2E3A30B1" w14:textId="77777777" w:rsidR="00FE291A" w:rsidRDefault="00C8738F">
            <w:pPr>
              <w:pStyle w:val="ListParagraph"/>
              <w:keepNext/>
              <w:widowControl/>
              <w:tabs>
                <w:tab w:val="left" w:pos="90"/>
              </w:tabs>
              <w:suppressAutoHyphens/>
              <w:textAlignment w:val="center"/>
              <w:rPr>
                <w:color w:val="000000"/>
                <w:sz w:val="22"/>
                <w:szCs w:val="22"/>
                <w:lang w:val="de-DE"/>
              </w:rPr>
            </w:pPr>
            <w:r>
              <w:rPr>
                <w:color w:val="000000"/>
                <w:sz w:val="22"/>
                <w:szCs w:val="22"/>
                <w:lang w:val="de-DE"/>
              </w:rPr>
              <w:t>●</w:t>
            </w:r>
          </w:p>
        </w:tc>
        <w:tc>
          <w:tcPr>
            <w:tcW w:w="4697" w:type="pct"/>
            <w:gridSpan w:val="2"/>
            <w:tcBorders>
              <w:top w:val="nil"/>
              <w:left w:val="nil"/>
              <w:bottom w:val="nil"/>
              <w:right w:val="single" w:sz="4" w:space="0" w:color="auto"/>
            </w:tcBorders>
            <w:tcMar>
              <w:left w:w="0" w:type="dxa"/>
            </w:tcMar>
          </w:tcPr>
          <w:p w14:paraId="096AD2D7" w14:textId="77777777" w:rsidR="00FE291A" w:rsidRDefault="00C8738F">
            <w:pPr>
              <w:keepNext/>
              <w:widowControl/>
              <w:rPr>
                <w:rFonts w:eastAsia="Calibri"/>
                <w:bCs/>
                <w:sz w:val="22"/>
                <w:szCs w:val="22"/>
                <w:lang w:val="de-DE"/>
              </w:rPr>
            </w:pPr>
            <w:r>
              <w:rPr>
                <w:rFonts w:eastAsia="Calibri"/>
                <w:bCs/>
                <w:sz w:val="22"/>
                <w:szCs w:val="22"/>
                <w:lang w:val="de-DE"/>
              </w:rPr>
              <w:t xml:space="preserve">Setzen Sie die Spritze </w:t>
            </w:r>
            <w:r>
              <w:rPr>
                <w:rFonts w:eastAsia="Calibri"/>
                <w:b/>
                <w:bCs/>
                <w:sz w:val="22"/>
                <w:szCs w:val="22"/>
                <w:lang w:val="de-DE"/>
              </w:rPr>
              <w:t>nicht</w:t>
            </w:r>
            <w:r>
              <w:rPr>
                <w:rFonts w:eastAsia="Calibri"/>
                <w:bCs/>
                <w:sz w:val="22"/>
                <w:szCs w:val="22"/>
                <w:lang w:val="de-DE"/>
              </w:rPr>
              <w:t xml:space="preserve"> direktem Sonnenlicht aus.</w:t>
            </w:r>
          </w:p>
        </w:tc>
      </w:tr>
      <w:tr w:rsidR="00FE291A" w14:paraId="2F650160" w14:textId="77777777">
        <w:tc>
          <w:tcPr>
            <w:tcW w:w="303" w:type="pct"/>
            <w:tcBorders>
              <w:top w:val="nil"/>
              <w:left w:val="single" w:sz="4" w:space="0" w:color="auto"/>
              <w:bottom w:val="nil"/>
              <w:right w:val="nil"/>
            </w:tcBorders>
            <w:tcMar>
              <w:top w:w="28" w:type="dxa"/>
              <w:left w:w="57" w:type="dxa"/>
              <w:bottom w:w="28" w:type="dxa"/>
              <w:right w:w="57" w:type="dxa"/>
            </w:tcMar>
          </w:tcPr>
          <w:p w14:paraId="171F7135" w14:textId="77777777" w:rsidR="00FE291A" w:rsidRDefault="00C8738F">
            <w:pPr>
              <w:pStyle w:val="ListParagraph"/>
              <w:widowControl/>
              <w:tabs>
                <w:tab w:val="left" w:pos="90"/>
              </w:tabs>
              <w:suppressAutoHyphens/>
              <w:textAlignment w:val="center"/>
              <w:rPr>
                <w:color w:val="000000"/>
                <w:sz w:val="22"/>
                <w:szCs w:val="22"/>
                <w:lang w:val="de-DE"/>
              </w:rPr>
            </w:pPr>
            <w:r>
              <w:rPr>
                <w:color w:val="000000"/>
                <w:sz w:val="22"/>
                <w:szCs w:val="22"/>
                <w:lang w:val="de-DE"/>
              </w:rPr>
              <w:t>●</w:t>
            </w:r>
          </w:p>
        </w:tc>
        <w:tc>
          <w:tcPr>
            <w:tcW w:w="4697" w:type="pct"/>
            <w:gridSpan w:val="2"/>
            <w:tcBorders>
              <w:top w:val="nil"/>
              <w:left w:val="nil"/>
              <w:bottom w:val="nil"/>
              <w:right w:val="single" w:sz="4" w:space="0" w:color="auto"/>
            </w:tcBorders>
            <w:tcMar>
              <w:left w:w="0" w:type="dxa"/>
            </w:tcMar>
          </w:tcPr>
          <w:p w14:paraId="2C46B39B" w14:textId="77777777" w:rsidR="00FE291A" w:rsidRDefault="00C8738F">
            <w:pPr>
              <w:widowControl/>
              <w:ind w:left="720" w:hanging="720"/>
              <w:rPr>
                <w:rFonts w:eastAsia="Calibri"/>
                <w:bCs/>
                <w:sz w:val="22"/>
                <w:szCs w:val="22"/>
                <w:lang w:val="de-DE"/>
              </w:rPr>
            </w:pPr>
            <w:r>
              <w:rPr>
                <w:rFonts w:eastAsia="Calibri"/>
                <w:bCs/>
                <w:sz w:val="22"/>
                <w:szCs w:val="22"/>
                <w:lang w:val="de-DE"/>
              </w:rPr>
              <w:t xml:space="preserve">Die Spritze </w:t>
            </w:r>
            <w:r>
              <w:rPr>
                <w:rFonts w:eastAsia="Calibri"/>
                <w:b/>
                <w:bCs/>
                <w:sz w:val="22"/>
                <w:szCs w:val="22"/>
                <w:lang w:val="de-DE"/>
              </w:rPr>
              <w:t>nicht</w:t>
            </w:r>
            <w:r>
              <w:rPr>
                <w:rFonts w:eastAsia="Calibri"/>
                <w:bCs/>
                <w:sz w:val="22"/>
                <w:szCs w:val="22"/>
                <w:lang w:val="de-DE"/>
              </w:rPr>
              <w:t xml:space="preserve"> schütteln</w:t>
            </w:r>
            <w:r>
              <w:rPr>
                <w:rFonts w:eastAsia="Calibri"/>
                <w:sz w:val="22"/>
                <w:szCs w:val="22"/>
                <w:lang w:val="de-DE"/>
              </w:rPr>
              <w:t>.</w:t>
            </w:r>
          </w:p>
        </w:tc>
      </w:tr>
      <w:tr w:rsidR="00FE291A" w:rsidRPr="00723069" w14:paraId="01FDA153" w14:textId="77777777">
        <w:trPr>
          <w:trHeight w:val="441"/>
        </w:trPr>
        <w:tc>
          <w:tcPr>
            <w:tcW w:w="5000" w:type="pct"/>
            <w:gridSpan w:val="3"/>
            <w:tcBorders>
              <w:top w:val="nil"/>
              <w:left w:val="single" w:sz="4" w:space="0" w:color="auto"/>
              <w:bottom w:val="single" w:sz="4" w:space="0" w:color="auto"/>
              <w:right w:val="single" w:sz="4" w:space="0" w:color="auto"/>
            </w:tcBorders>
            <w:tcMar>
              <w:top w:w="28" w:type="dxa"/>
              <w:left w:w="57" w:type="dxa"/>
              <w:bottom w:w="28" w:type="dxa"/>
              <w:right w:w="57" w:type="dxa"/>
            </w:tcMar>
            <w:vAlign w:val="center"/>
          </w:tcPr>
          <w:p w14:paraId="50F27EF7" w14:textId="77777777" w:rsidR="00FE291A" w:rsidRDefault="00C8738F">
            <w:pPr>
              <w:pStyle w:val="trianglemarkcopy"/>
              <w:widowControl/>
              <w:tabs>
                <w:tab w:val="clear" w:pos="828"/>
              </w:tabs>
              <w:spacing w:before="0" w:line="240" w:lineRule="auto"/>
              <w:ind w:left="0" w:firstLine="0"/>
              <w:rPr>
                <w:rFonts w:ascii="Times New Roman" w:hAnsi="Times New Roman" w:cs="Times New Roman"/>
                <w:color w:val="auto"/>
                <w:sz w:val="22"/>
                <w:szCs w:val="22"/>
                <w:lang w:val="de-DE"/>
              </w:rPr>
            </w:pPr>
            <w:r>
              <w:rPr>
                <w:rFonts w:ascii="Times New Roman" w:hAnsi="Times New Roman" w:cs="Times New Roman"/>
                <w:sz w:val="22"/>
                <w:szCs w:val="22"/>
                <w:lang w:val="de-DE"/>
              </w:rPr>
              <w:t xml:space="preserve">Wichtig: </w:t>
            </w:r>
            <w:r>
              <w:rPr>
                <w:rFonts w:ascii="Times New Roman" w:hAnsi="Times New Roman" w:cs="Times New Roman"/>
                <w:b w:val="0"/>
                <w:sz w:val="22"/>
                <w:szCs w:val="22"/>
                <w:lang w:val="de-DE"/>
              </w:rPr>
              <w:t>Halten Sie die Fertigspritze immer am Spritzenzylinder.</w:t>
            </w:r>
          </w:p>
        </w:tc>
      </w:tr>
    </w:tbl>
    <w:p w14:paraId="7A22AD96" w14:textId="77777777" w:rsidR="00FE291A" w:rsidRDefault="00FE291A">
      <w:pPr>
        <w:pStyle w:val="trianglemarkcopy"/>
        <w:widowControl/>
        <w:tabs>
          <w:tab w:val="clear" w:pos="828"/>
        </w:tabs>
        <w:spacing w:before="0" w:line="240" w:lineRule="auto"/>
        <w:ind w:left="0" w:firstLine="0"/>
        <w:rPr>
          <w:rStyle w:val="bodybold"/>
          <w:rFonts w:ascii="Times New Roman" w:hAnsi="Times New Roman"/>
          <w:b/>
          <w:bCs/>
          <w:color w:val="auto"/>
          <w:sz w:val="22"/>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98"/>
        <w:gridCol w:w="8463"/>
      </w:tblGrid>
      <w:tr w:rsidR="00FE291A" w:rsidRPr="002E6CD3" w14:paraId="750FD21E" w14:textId="77777777">
        <w:tc>
          <w:tcPr>
            <w:tcW w:w="30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6A5BCB" w14:textId="77777777" w:rsidR="00FE291A" w:rsidRDefault="00C8738F">
            <w:pPr>
              <w:keepNext/>
              <w:keepLines/>
              <w:widowControl/>
              <w:suppressAutoHyphens/>
              <w:textAlignment w:val="center"/>
              <w:rPr>
                <w:b/>
                <w:color w:val="000000"/>
                <w:sz w:val="22"/>
                <w:szCs w:val="22"/>
                <w:lang w:val="de-DE"/>
              </w:rPr>
            </w:pPr>
            <w:r>
              <w:rPr>
                <w:rStyle w:val="bodybold"/>
                <w:sz w:val="22"/>
                <w:szCs w:val="22"/>
                <w:lang w:val="de-DE"/>
              </w:rPr>
              <w:t>B.</w:t>
            </w:r>
          </w:p>
        </w:tc>
        <w:tc>
          <w:tcPr>
            <w:tcW w:w="4697" w:type="pct"/>
            <w:tcBorders>
              <w:top w:val="single" w:sz="4" w:space="0" w:color="auto"/>
              <w:left w:val="single" w:sz="4" w:space="0" w:color="auto"/>
              <w:bottom w:val="single" w:sz="4" w:space="0" w:color="auto"/>
              <w:right w:val="single" w:sz="4" w:space="0" w:color="auto"/>
            </w:tcBorders>
            <w:tcMar>
              <w:left w:w="57" w:type="dxa"/>
            </w:tcMar>
          </w:tcPr>
          <w:p w14:paraId="4E502E5F" w14:textId="77777777" w:rsidR="00FE291A" w:rsidRDefault="00C8738F">
            <w:pPr>
              <w:pStyle w:val="BasicParagraph"/>
              <w:keepNext/>
              <w:keepLines/>
              <w:widowControl/>
              <w:suppressAutoHyphens/>
              <w:spacing w:line="240" w:lineRule="auto"/>
              <w:rPr>
                <w:rFonts w:ascii="Times New Roman" w:hAnsi="Times New Roman" w:cs="Times New Roman"/>
                <w:b/>
                <w:bCs/>
                <w:szCs w:val="22"/>
                <w:lang w:val="de-DE"/>
              </w:rPr>
            </w:pPr>
            <w:r>
              <w:rPr>
                <w:rFonts w:ascii="Times New Roman" w:hAnsi="Times New Roman" w:cs="Times New Roman"/>
                <w:bCs/>
                <w:szCs w:val="22"/>
                <w:lang w:val="de-DE"/>
              </w:rPr>
              <w:t>Überprüfen Sie die AMGEVITA-Fertigspritze.</w:t>
            </w:r>
          </w:p>
        </w:tc>
      </w:tr>
      <w:tr w:rsidR="00FE291A" w14:paraId="7993F1D8" w14:textId="77777777">
        <w:trPr>
          <w:trHeight w:val="3467"/>
        </w:trPr>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tbl>
            <w:tblPr>
              <w:tblW w:w="9230" w:type="dxa"/>
              <w:tblLook w:val="04A0" w:firstRow="1" w:lastRow="0" w:firstColumn="1" w:lastColumn="0" w:noHBand="0" w:noVBand="1"/>
            </w:tblPr>
            <w:tblGrid>
              <w:gridCol w:w="1985"/>
              <w:gridCol w:w="567"/>
              <w:gridCol w:w="1276"/>
              <w:gridCol w:w="1713"/>
              <w:gridCol w:w="129"/>
              <w:gridCol w:w="3437"/>
              <w:gridCol w:w="123"/>
            </w:tblGrid>
            <w:tr w:rsidR="00FE291A" w14:paraId="4E8F1637" w14:textId="77777777">
              <w:tc>
                <w:tcPr>
                  <w:tcW w:w="1985" w:type="dxa"/>
                  <w:vAlign w:val="bottom"/>
                </w:tcPr>
                <w:p w14:paraId="7AFCC068" w14:textId="77777777" w:rsidR="00FE291A" w:rsidRDefault="00FE291A">
                  <w:pPr>
                    <w:keepNext/>
                    <w:keepLines/>
                    <w:widowControl/>
                    <w:rPr>
                      <w:rFonts w:eastAsia="Calibri"/>
                      <w:bCs/>
                      <w:sz w:val="22"/>
                      <w:szCs w:val="22"/>
                      <w:lang w:val="de-DE"/>
                    </w:rPr>
                  </w:pPr>
                </w:p>
              </w:tc>
              <w:tc>
                <w:tcPr>
                  <w:tcW w:w="1843" w:type="dxa"/>
                  <w:gridSpan w:val="2"/>
                  <w:vAlign w:val="bottom"/>
                </w:tcPr>
                <w:p w14:paraId="4D6E4B32" w14:textId="77777777" w:rsidR="00FE291A" w:rsidRDefault="00C8738F">
                  <w:pPr>
                    <w:keepNext/>
                    <w:keepLines/>
                    <w:widowControl/>
                    <w:rPr>
                      <w:rFonts w:eastAsia="Calibri"/>
                      <w:bCs/>
                      <w:sz w:val="22"/>
                      <w:szCs w:val="22"/>
                      <w:lang w:val="de-DE"/>
                    </w:rPr>
                  </w:pPr>
                  <w:r>
                    <w:rPr>
                      <w:bCs/>
                      <w:sz w:val="22"/>
                      <w:szCs w:val="22"/>
                      <w:lang w:val="de-DE"/>
                    </w:rPr>
                    <w:t>Spritzenzylinder</w:t>
                  </w:r>
                </w:p>
              </w:tc>
              <w:tc>
                <w:tcPr>
                  <w:tcW w:w="1713" w:type="dxa"/>
                  <w:vAlign w:val="bottom"/>
                </w:tcPr>
                <w:p w14:paraId="1B4788EB" w14:textId="77777777" w:rsidR="00FE291A" w:rsidRDefault="00C8738F">
                  <w:pPr>
                    <w:keepNext/>
                    <w:keepLines/>
                    <w:widowControl/>
                    <w:rPr>
                      <w:rFonts w:eastAsia="Calibri"/>
                      <w:bCs/>
                      <w:sz w:val="22"/>
                      <w:szCs w:val="22"/>
                      <w:lang w:val="de-DE"/>
                    </w:rPr>
                  </w:pPr>
                  <w:r>
                    <w:rPr>
                      <w:bCs/>
                      <w:sz w:val="22"/>
                      <w:szCs w:val="22"/>
                      <w:lang w:val="de-DE"/>
                    </w:rPr>
                    <w:t>Verfalldatum auf dem Etikett</w:t>
                  </w:r>
                </w:p>
              </w:tc>
              <w:tc>
                <w:tcPr>
                  <w:tcW w:w="3689" w:type="dxa"/>
                  <w:gridSpan w:val="3"/>
                  <w:vAlign w:val="bottom"/>
                </w:tcPr>
                <w:p w14:paraId="225C6B5A" w14:textId="77777777" w:rsidR="00FE291A" w:rsidRDefault="00C8738F">
                  <w:pPr>
                    <w:keepNext/>
                    <w:keepLines/>
                    <w:widowControl/>
                    <w:rPr>
                      <w:rFonts w:eastAsia="Calibri"/>
                      <w:bCs/>
                      <w:sz w:val="22"/>
                      <w:szCs w:val="22"/>
                      <w:lang w:val="de-DE"/>
                    </w:rPr>
                  </w:pPr>
                  <w:r>
                    <w:rPr>
                      <w:bCs/>
                      <w:sz w:val="22"/>
                      <w:szCs w:val="22"/>
                      <w:lang w:val="de-DE"/>
                    </w:rPr>
                    <w:t>Kolbenstange</w:t>
                  </w:r>
                </w:p>
              </w:tc>
            </w:tr>
            <w:tr w:rsidR="00FE291A" w14:paraId="4E09D424" w14:textId="77777777">
              <w:trPr>
                <w:gridAfter w:val="1"/>
                <w:wAfter w:w="123" w:type="dxa"/>
              </w:trPr>
              <w:tc>
                <w:tcPr>
                  <w:tcW w:w="9107" w:type="dxa"/>
                  <w:gridSpan w:val="6"/>
                </w:tcPr>
                <w:p w14:paraId="6254107F" w14:textId="036904F7" w:rsidR="00FE291A" w:rsidRDefault="009C5B62">
                  <w:pPr>
                    <w:keepNext/>
                    <w:keepLines/>
                    <w:widowControl/>
                    <w:rPr>
                      <w:rFonts w:eastAsia="Calibri"/>
                      <w:bCs/>
                      <w:sz w:val="22"/>
                      <w:szCs w:val="22"/>
                      <w:lang w:val="de-DE"/>
                    </w:rPr>
                  </w:pPr>
                  <w:r>
                    <w:rPr>
                      <w:rFonts w:eastAsia="Calibri"/>
                      <w:noProof/>
                      <w:sz w:val="22"/>
                      <w:szCs w:val="22"/>
                      <w:lang w:val="de-DE" w:eastAsia="en-GB"/>
                    </w:rPr>
                    <w:drawing>
                      <wp:inline distT="0" distB="0" distL="0" distR="0" wp14:anchorId="2989E001" wp14:editId="46D8BA1F">
                        <wp:extent cx="4726305" cy="1760220"/>
                        <wp:effectExtent l="0" t="0" r="0" b="0"/>
                        <wp:docPr id="21" name="Picture 19" descr="ILL0328 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LL0328 v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26305" cy="1760220"/>
                                </a:xfrm>
                                <a:prstGeom prst="rect">
                                  <a:avLst/>
                                </a:prstGeom>
                                <a:noFill/>
                                <a:ln>
                                  <a:noFill/>
                                </a:ln>
                              </pic:spPr>
                            </pic:pic>
                          </a:graphicData>
                        </a:graphic>
                      </wp:inline>
                    </w:drawing>
                  </w:r>
                </w:p>
              </w:tc>
            </w:tr>
            <w:tr w:rsidR="00FE291A" w14:paraId="231C7ECA" w14:textId="77777777">
              <w:trPr>
                <w:gridAfter w:val="1"/>
                <w:wAfter w:w="123" w:type="dxa"/>
              </w:trPr>
              <w:tc>
                <w:tcPr>
                  <w:tcW w:w="2552" w:type="dxa"/>
                  <w:gridSpan w:val="2"/>
                </w:tcPr>
                <w:p w14:paraId="6A1C5A84" w14:textId="77777777" w:rsidR="00FE291A" w:rsidRDefault="00C8738F">
                  <w:pPr>
                    <w:widowControl/>
                    <w:ind w:right="480"/>
                    <w:rPr>
                      <w:sz w:val="22"/>
                      <w:szCs w:val="22"/>
                      <w:lang w:val="de-DE"/>
                    </w:rPr>
                  </w:pPr>
                  <w:r>
                    <w:rPr>
                      <w:sz w:val="22"/>
                      <w:szCs w:val="22"/>
                      <w:lang w:val="de-DE"/>
                    </w:rPr>
                    <w:t>Nadelschutzkappe,</w:t>
                  </w:r>
                </w:p>
                <w:p w14:paraId="5CC97A4E" w14:textId="77777777" w:rsidR="00FE291A" w:rsidRDefault="00C8738F">
                  <w:pPr>
                    <w:keepNext/>
                    <w:keepLines/>
                    <w:widowControl/>
                    <w:rPr>
                      <w:rFonts w:eastAsia="Calibri"/>
                      <w:bCs/>
                      <w:sz w:val="22"/>
                      <w:szCs w:val="22"/>
                      <w:lang w:val="de-DE"/>
                    </w:rPr>
                  </w:pPr>
                  <w:r>
                    <w:rPr>
                      <w:sz w:val="22"/>
                      <w:szCs w:val="22"/>
                      <w:lang w:val="de-DE"/>
                    </w:rPr>
                    <w:t>aufgesetzt</w:t>
                  </w:r>
                </w:p>
              </w:tc>
              <w:tc>
                <w:tcPr>
                  <w:tcW w:w="3118" w:type="dxa"/>
                  <w:gridSpan w:val="3"/>
                </w:tcPr>
                <w:p w14:paraId="3865E1F2" w14:textId="77777777" w:rsidR="00FE291A" w:rsidRDefault="00C8738F">
                  <w:pPr>
                    <w:keepNext/>
                    <w:keepLines/>
                    <w:widowControl/>
                    <w:rPr>
                      <w:rFonts w:eastAsia="Calibri"/>
                      <w:bCs/>
                      <w:sz w:val="22"/>
                      <w:szCs w:val="22"/>
                      <w:lang w:val="de-DE"/>
                    </w:rPr>
                  </w:pPr>
                  <w:r>
                    <w:rPr>
                      <w:bCs/>
                      <w:sz w:val="22"/>
                      <w:szCs w:val="22"/>
                      <w:lang w:val="de-DE"/>
                    </w:rPr>
                    <w:t>Arzneimittel</w:t>
                  </w:r>
                </w:p>
              </w:tc>
              <w:tc>
                <w:tcPr>
                  <w:tcW w:w="3437" w:type="dxa"/>
                </w:tcPr>
                <w:p w14:paraId="3799D210" w14:textId="77777777" w:rsidR="00FE291A" w:rsidRDefault="00C8738F">
                  <w:pPr>
                    <w:keepNext/>
                    <w:keepLines/>
                    <w:widowControl/>
                    <w:rPr>
                      <w:rFonts w:eastAsia="Calibri"/>
                      <w:bCs/>
                      <w:sz w:val="22"/>
                      <w:szCs w:val="22"/>
                      <w:lang w:val="de-DE"/>
                    </w:rPr>
                  </w:pPr>
                  <w:r>
                    <w:rPr>
                      <w:bCs/>
                      <w:sz w:val="22"/>
                      <w:szCs w:val="22"/>
                      <w:lang w:val="de-DE"/>
                    </w:rPr>
                    <w:t>Fingerflansch</w:t>
                  </w:r>
                </w:p>
              </w:tc>
            </w:tr>
          </w:tbl>
          <w:p w14:paraId="1738D018" w14:textId="77777777" w:rsidR="00FE291A" w:rsidRDefault="00FE291A">
            <w:pPr>
              <w:keepNext/>
              <w:keepLines/>
              <w:widowControl/>
              <w:rPr>
                <w:rFonts w:eastAsia="Calibri"/>
                <w:bCs/>
                <w:sz w:val="22"/>
                <w:szCs w:val="22"/>
                <w:lang w:val="de-DE"/>
              </w:rPr>
            </w:pPr>
          </w:p>
        </w:tc>
      </w:tr>
      <w:tr w:rsidR="00FE291A" w:rsidRPr="00723069" w14:paraId="18BCBD0D"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3BB1F676" w14:textId="77777777" w:rsidR="00FE291A" w:rsidRDefault="00C8738F">
            <w:pPr>
              <w:keepNext/>
              <w:keepLines/>
              <w:widowControl/>
              <w:rPr>
                <w:rFonts w:eastAsia="Calibri"/>
                <w:b/>
                <w:bCs/>
                <w:sz w:val="22"/>
                <w:szCs w:val="22"/>
                <w:lang w:val="de-DE"/>
              </w:rPr>
            </w:pPr>
            <w:r>
              <w:rPr>
                <w:b/>
                <w:sz w:val="22"/>
                <w:szCs w:val="22"/>
                <w:lang w:val="de-DE"/>
              </w:rPr>
              <w:t>Halten Sie die Spritze immer am Spritzenzylinder</w:t>
            </w:r>
            <w:r>
              <w:rPr>
                <w:rFonts w:eastAsia="Calibri"/>
                <w:b/>
                <w:bCs/>
                <w:sz w:val="22"/>
                <w:szCs w:val="22"/>
                <w:lang w:val="de-DE"/>
              </w:rPr>
              <w:t>.</w:t>
            </w:r>
          </w:p>
          <w:p w14:paraId="3548E49C" w14:textId="77777777" w:rsidR="00FE291A" w:rsidRDefault="00FE291A">
            <w:pPr>
              <w:keepNext/>
              <w:keepLines/>
              <w:widowControl/>
              <w:rPr>
                <w:rFonts w:eastAsia="Calibri"/>
                <w:b/>
                <w:bCs/>
                <w:sz w:val="22"/>
                <w:szCs w:val="22"/>
                <w:lang w:val="de-DE"/>
              </w:rPr>
            </w:pPr>
          </w:p>
          <w:p w14:paraId="4877030C" w14:textId="77777777" w:rsidR="00FE291A" w:rsidRDefault="00C8738F">
            <w:pPr>
              <w:keepNext/>
              <w:keepLines/>
              <w:widowControl/>
              <w:rPr>
                <w:rFonts w:eastAsia="Calibri"/>
                <w:b/>
                <w:bCs/>
                <w:sz w:val="22"/>
                <w:szCs w:val="22"/>
                <w:lang w:val="de-DE"/>
              </w:rPr>
            </w:pPr>
            <w:r>
              <w:rPr>
                <w:rFonts w:eastAsia="Calibri"/>
                <w:b/>
                <w:bCs/>
                <w:sz w:val="22"/>
                <w:szCs w:val="22"/>
                <w:lang w:val="de-DE"/>
              </w:rPr>
              <w:t>Stellen Sie sicher, dass das Arzneimittel in der Spritze klar sowie farblos bis leicht gelblich ist.</w:t>
            </w:r>
          </w:p>
        </w:tc>
      </w:tr>
      <w:tr w:rsidR="00FE291A" w:rsidRPr="00723069" w14:paraId="141D2532" w14:textId="77777777">
        <w:tc>
          <w:tcPr>
            <w:tcW w:w="303" w:type="pct"/>
            <w:tcBorders>
              <w:top w:val="nil"/>
              <w:left w:val="single" w:sz="4" w:space="0" w:color="auto"/>
              <w:bottom w:val="nil"/>
              <w:right w:val="nil"/>
            </w:tcBorders>
            <w:tcMar>
              <w:top w:w="28" w:type="dxa"/>
              <w:left w:w="57" w:type="dxa"/>
              <w:bottom w:w="28" w:type="dxa"/>
              <w:right w:w="57" w:type="dxa"/>
            </w:tcMar>
          </w:tcPr>
          <w:p w14:paraId="1BAD5F76" w14:textId="77777777" w:rsidR="00FE291A" w:rsidRDefault="00C8738F">
            <w:pPr>
              <w:keepNext/>
              <w:keepLines/>
              <w:widowControl/>
              <w:rPr>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57" w:type="dxa"/>
            </w:tcMar>
          </w:tcPr>
          <w:p w14:paraId="6533ED22" w14:textId="77777777" w:rsidR="00FE291A" w:rsidRDefault="00C8738F">
            <w:pPr>
              <w:pStyle w:val="ListParagraph"/>
              <w:keepNext/>
              <w:keepLines/>
              <w:widowControl/>
              <w:suppressAutoHyphens/>
              <w:textAlignment w:val="center"/>
              <w:rPr>
                <w:color w:val="000000"/>
                <w:sz w:val="22"/>
                <w:szCs w:val="22"/>
                <w:lang w:val="de-DE"/>
              </w:rPr>
            </w:pPr>
            <w:r>
              <w:rPr>
                <w:bCs/>
                <w:color w:val="000000"/>
                <w:sz w:val="22"/>
                <w:szCs w:val="22"/>
                <w:lang w:val="de-DE"/>
              </w:rPr>
              <w:t xml:space="preserve">Wenden Sie die Spritze </w:t>
            </w:r>
            <w:r>
              <w:rPr>
                <w:b/>
                <w:bCs/>
                <w:color w:val="000000"/>
                <w:sz w:val="22"/>
                <w:szCs w:val="22"/>
                <w:lang w:val="de-DE"/>
              </w:rPr>
              <w:t>nicht</w:t>
            </w:r>
            <w:r>
              <w:rPr>
                <w:bCs/>
                <w:color w:val="000000"/>
                <w:sz w:val="22"/>
                <w:szCs w:val="22"/>
                <w:lang w:val="de-DE"/>
              </w:rPr>
              <w:t xml:space="preserve"> an, wenn</w:t>
            </w:r>
            <w:r>
              <w:rPr>
                <w:color w:val="000000"/>
                <w:sz w:val="22"/>
                <w:szCs w:val="22"/>
                <w:lang w:val="de-DE"/>
              </w:rPr>
              <w:t>:</w:t>
            </w:r>
          </w:p>
        </w:tc>
      </w:tr>
      <w:tr w:rsidR="00FE291A" w:rsidRPr="002E6CD3" w14:paraId="6D5665A0" w14:textId="77777777">
        <w:tc>
          <w:tcPr>
            <w:tcW w:w="303" w:type="pct"/>
            <w:tcBorders>
              <w:top w:val="nil"/>
              <w:left w:val="single" w:sz="4" w:space="0" w:color="auto"/>
              <w:bottom w:val="nil"/>
              <w:right w:val="nil"/>
            </w:tcBorders>
            <w:tcMar>
              <w:top w:w="28" w:type="dxa"/>
              <w:left w:w="57" w:type="dxa"/>
              <w:bottom w:w="28" w:type="dxa"/>
              <w:right w:w="57" w:type="dxa"/>
            </w:tcMar>
          </w:tcPr>
          <w:p w14:paraId="3D289B99" w14:textId="77777777" w:rsidR="00FE291A" w:rsidRDefault="00FE291A">
            <w:pPr>
              <w:widowControl/>
              <w:rPr>
                <w:color w:val="000000"/>
                <w:sz w:val="22"/>
                <w:szCs w:val="22"/>
                <w:lang w:val="de-DE"/>
              </w:rPr>
            </w:pPr>
          </w:p>
        </w:tc>
        <w:tc>
          <w:tcPr>
            <w:tcW w:w="4697" w:type="pct"/>
            <w:tcBorders>
              <w:top w:val="nil"/>
              <w:left w:val="nil"/>
              <w:bottom w:val="nil"/>
              <w:right w:val="single" w:sz="4" w:space="0" w:color="auto"/>
            </w:tcBorders>
            <w:tcMar>
              <w:left w:w="57" w:type="dxa"/>
            </w:tcMar>
          </w:tcPr>
          <w:p w14:paraId="59E60B68" w14:textId="77777777" w:rsidR="00FE291A" w:rsidRDefault="00C8738F">
            <w:pPr>
              <w:pStyle w:val="ListParagraph"/>
              <w:widowControl/>
              <w:numPr>
                <w:ilvl w:val="0"/>
                <w:numId w:val="59"/>
              </w:numPr>
              <w:suppressAutoHyphens/>
              <w:contextualSpacing/>
              <w:textAlignment w:val="center"/>
              <w:rPr>
                <w:color w:val="000000"/>
                <w:sz w:val="22"/>
                <w:szCs w:val="22"/>
                <w:lang w:val="de-DE"/>
              </w:rPr>
            </w:pPr>
            <w:r>
              <w:rPr>
                <w:color w:val="000000"/>
                <w:sz w:val="22"/>
                <w:szCs w:val="22"/>
                <w:lang w:val="de-DE"/>
              </w:rPr>
              <w:t xml:space="preserve">das Arzneimittel trübe oder </w:t>
            </w:r>
            <w:r>
              <w:rPr>
                <w:rFonts w:eastAsia="Calibri"/>
                <w:sz w:val="22"/>
                <w:szCs w:val="22"/>
                <w:lang w:val="de-DE"/>
              </w:rPr>
              <w:t>verfärbt ist oder Flocken oder Partikel enthält.</w:t>
            </w:r>
          </w:p>
          <w:p w14:paraId="695071EA" w14:textId="77777777" w:rsidR="00FE291A" w:rsidRDefault="00C8738F">
            <w:pPr>
              <w:pStyle w:val="ListParagraph"/>
              <w:widowControl/>
              <w:numPr>
                <w:ilvl w:val="0"/>
                <w:numId w:val="59"/>
              </w:numPr>
              <w:suppressAutoHyphens/>
              <w:contextualSpacing/>
              <w:textAlignment w:val="center"/>
              <w:rPr>
                <w:color w:val="000000"/>
                <w:sz w:val="22"/>
                <w:szCs w:val="22"/>
                <w:lang w:val="de-DE"/>
              </w:rPr>
            </w:pPr>
            <w:r>
              <w:rPr>
                <w:rFonts w:eastAsia="Calibri"/>
                <w:sz w:val="22"/>
                <w:szCs w:val="22"/>
                <w:lang w:val="de-DE"/>
              </w:rPr>
              <w:t>wenn Teile davon gesprungen oder gebrochen erscheinen</w:t>
            </w:r>
            <w:r>
              <w:rPr>
                <w:color w:val="000000"/>
                <w:sz w:val="22"/>
                <w:szCs w:val="22"/>
                <w:lang w:val="de-DE"/>
              </w:rPr>
              <w:t>.</w:t>
            </w:r>
          </w:p>
          <w:p w14:paraId="4E2F15BE" w14:textId="77777777" w:rsidR="00FE291A" w:rsidRDefault="00C8738F">
            <w:pPr>
              <w:pStyle w:val="ListParagraph"/>
              <w:widowControl/>
              <w:numPr>
                <w:ilvl w:val="0"/>
                <w:numId w:val="59"/>
              </w:numPr>
              <w:suppressAutoHyphens/>
              <w:contextualSpacing/>
              <w:textAlignment w:val="center"/>
              <w:rPr>
                <w:color w:val="000000"/>
                <w:sz w:val="22"/>
                <w:szCs w:val="22"/>
                <w:lang w:val="de-DE"/>
              </w:rPr>
            </w:pPr>
            <w:r>
              <w:rPr>
                <w:color w:val="000000"/>
                <w:sz w:val="22"/>
                <w:szCs w:val="22"/>
                <w:lang w:val="de-DE"/>
              </w:rPr>
              <w:t>die Nadelschutzkappe fehlt oder nicht sicher angebracht ist.</w:t>
            </w:r>
          </w:p>
          <w:p w14:paraId="7F61FDE6" w14:textId="77777777" w:rsidR="00FE291A" w:rsidRDefault="00C8738F">
            <w:pPr>
              <w:pStyle w:val="ListParagraph"/>
              <w:widowControl/>
              <w:numPr>
                <w:ilvl w:val="0"/>
                <w:numId w:val="59"/>
              </w:numPr>
              <w:suppressAutoHyphens/>
              <w:contextualSpacing/>
              <w:textAlignment w:val="center"/>
              <w:rPr>
                <w:color w:val="000000"/>
                <w:sz w:val="22"/>
                <w:szCs w:val="22"/>
                <w:lang w:val="de-DE"/>
              </w:rPr>
            </w:pPr>
            <w:r>
              <w:rPr>
                <w:rFonts w:eastAsia="Calibri"/>
                <w:sz w:val="22"/>
                <w:szCs w:val="22"/>
                <w:lang w:val="de-DE"/>
              </w:rPr>
              <w:t>das Verfalldatum, das auf dem Etikett aufgedruckt ist, überschritten ist.</w:t>
            </w:r>
          </w:p>
        </w:tc>
      </w:tr>
      <w:tr w:rsidR="00FE291A" w:rsidRPr="00723069" w14:paraId="6EB4A229" w14:textId="77777777">
        <w:tc>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tcPr>
          <w:p w14:paraId="26859BBE" w14:textId="77777777" w:rsidR="00FE291A" w:rsidRDefault="00C8738F">
            <w:pPr>
              <w:pStyle w:val="BasicParagraph"/>
              <w:keepNext/>
              <w:keepLines/>
              <w:widowControl/>
              <w:suppressAutoHyphens/>
              <w:spacing w:line="240" w:lineRule="auto"/>
              <w:rPr>
                <w:szCs w:val="22"/>
                <w:lang w:val="de-DE"/>
              </w:rPr>
            </w:pPr>
            <w:r>
              <w:rPr>
                <w:rFonts w:ascii="Times New Roman" w:hAnsi="Times New Roman" w:cs="Times New Roman"/>
                <w:bCs/>
                <w:szCs w:val="22"/>
                <w:lang w:val="de-DE"/>
              </w:rPr>
              <w:t>Benutzen Sie in allen Fällen eine neue Spritze.</w:t>
            </w:r>
          </w:p>
        </w:tc>
      </w:tr>
    </w:tbl>
    <w:p w14:paraId="22BDEC71" w14:textId="77777777" w:rsidR="00FE291A" w:rsidRDefault="00FE291A">
      <w:pPr>
        <w:pStyle w:val="BodyText"/>
        <w:widowControl/>
        <w:kinsoku w:val="0"/>
        <w:overflowPunct w:val="0"/>
        <w:ind w:left="0"/>
        <w:rPr>
          <w:color w:val="000000"/>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49"/>
        <w:gridCol w:w="8512"/>
      </w:tblGrid>
      <w:tr w:rsidR="00FE291A" w:rsidRPr="00723069" w14:paraId="081C9089" w14:textId="77777777">
        <w:tc>
          <w:tcPr>
            <w:tcW w:w="30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24741B" w14:textId="77777777" w:rsidR="00FE291A" w:rsidRDefault="00C8738F">
            <w:pPr>
              <w:widowControl/>
              <w:suppressAutoHyphens/>
              <w:textAlignment w:val="center"/>
              <w:rPr>
                <w:b/>
                <w:color w:val="000000"/>
                <w:sz w:val="22"/>
                <w:szCs w:val="22"/>
                <w:lang w:val="de-DE"/>
              </w:rPr>
            </w:pPr>
            <w:r>
              <w:rPr>
                <w:rStyle w:val="bodybold"/>
                <w:sz w:val="22"/>
                <w:szCs w:val="22"/>
                <w:lang w:val="de-DE"/>
              </w:rPr>
              <w:t>C.</w:t>
            </w:r>
          </w:p>
        </w:tc>
        <w:tc>
          <w:tcPr>
            <w:tcW w:w="4697" w:type="pct"/>
            <w:tcBorders>
              <w:top w:val="single" w:sz="4" w:space="0" w:color="auto"/>
              <w:left w:val="single" w:sz="4" w:space="0" w:color="auto"/>
              <w:bottom w:val="single" w:sz="4" w:space="0" w:color="auto"/>
              <w:right w:val="single" w:sz="4" w:space="0" w:color="auto"/>
            </w:tcBorders>
            <w:tcMar>
              <w:left w:w="57" w:type="dxa"/>
            </w:tcMar>
          </w:tcPr>
          <w:p w14:paraId="70870D77" w14:textId="77777777" w:rsidR="00FE291A" w:rsidRDefault="00C8738F">
            <w:pPr>
              <w:pStyle w:val="BasicParagraph"/>
              <w:widowControl/>
              <w:suppressAutoHyphens/>
              <w:spacing w:line="240" w:lineRule="auto"/>
              <w:rPr>
                <w:rFonts w:ascii="Times New Roman" w:hAnsi="Times New Roman" w:cs="Times New Roman"/>
                <w:b/>
                <w:bCs/>
                <w:szCs w:val="22"/>
                <w:lang w:val="de-DE"/>
              </w:rPr>
            </w:pPr>
            <w:r>
              <w:rPr>
                <w:rFonts w:ascii="Times New Roman" w:hAnsi="Times New Roman" w:cs="Times New Roman"/>
                <w:bCs/>
                <w:szCs w:val="22"/>
                <w:lang w:val="de-DE"/>
              </w:rPr>
              <w:t>Stellen Sie alle Gegenstände zusammen, die Sie für Ihre Injektion(en) benötigen.</w:t>
            </w:r>
          </w:p>
        </w:tc>
      </w:tr>
      <w:tr w:rsidR="00FE291A" w:rsidRPr="00723069" w14:paraId="48A77E84" w14:textId="77777777">
        <w:trPr>
          <w:trHeight w:val="541"/>
        </w:trPr>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p w14:paraId="4AE18673" w14:textId="77777777" w:rsidR="00FE291A" w:rsidRDefault="00C8738F">
            <w:pPr>
              <w:widowControl/>
              <w:rPr>
                <w:sz w:val="22"/>
                <w:szCs w:val="22"/>
                <w:lang w:val="de-DE"/>
              </w:rPr>
            </w:pPr>
            <w:r>
              <w:rPr>
                <w:rFonts w:eastAsia="Calibri"/>
                <w:bCs/>
                <w:sz w:val="22"/>
                <w:szCs w:val="22"/>
                <w:lang w:val="de-DE"/>
              </w:rPr>
              <w:t>Waschen Sie Ihre Hände gründlich mit Seife und Wasser.</w:t>
            </w:r>
          </w:p>
          <w:p w14:paraId="48EFC9D6" w14:textId="77777777" w:rsidR="00FE291A" w:rsidRDefault="00C8738F">
            <w:pPr>
              <w:widowControl/>
              <w:rPr>
                <w:sz w:val="22"/>
                <w:szCs w:val="22"/>
                <w:lang w:val="de-DE"/>
              </w:rPr>
            </w:pPr>
            <w:r>
              <w:rPr>
                <w:rFonts w:eastAsia="Calibri"/>
                <w:bCs/>
                <w:sz w:val="22"/>
                <w:szCs w:val="22"/>
                <w:lang w:val="de-DE"/>
              </w:rPr>
              <w:t>Legen Sie auf eine saubere, gut beleuchtete Arbeitsfläche</w:t>
            </w:r>
            <w:r>
              <w:rPr>
                <w:sz w:val="22"/>
                <w:szCs w:val="22"/>
                <w:lang w:val="de-DE"/>
              </w:rPr>
              <w:t xml:space="preserve"> eine neue Fertigspritze.</w:t>
            </w:r>
          </w:p>
          <w:p w14:paraId="321EEB56" w14:textId="77777777" w:rsidR="00FE291A" w:rsidRDefault="00FE291A">
            <w:pPr>
              <w:widowControl/>
              <w:rPr>
                <w:sz w:val="22"/>
                <w:szCs w:val="22"/>
                <w:lang w:val="de-DE"/>
              </w:rPr>
            </w:pPr>
          </w:p>
          <w:p w14:paraId="67371EDA" w14:textId="77777777" w:rsidR="00FE291A" w:rsidRDefault="00C8738F">
            <w:pPr>
              <w:widowControl/>
              <w:rPr>
                <w:sz w:val="22"/>
                <w:szCs w:val="22"/>
                <w:lang w:val="de-DE"/>
              </w:rPr>
            </w:pPr>
            <w:r>
              <w:rPr>
                <w:sz w:val="22"/>
                <w:szCs w:val="22"/>
                <w:lang w:val="de-DE"/>
              </w:rPr>
              <w:t>Sie benötigen auch die folgenden zusätzlichen Gegenstände, da diese nicht im Karton enthalten sind:</w:t>
            </w:r>
          </w:p>
        </w:tc>
      </w:tr>
      <w:tr w:rsidR="00FE291A" w14:paraId="0AFDCF80" w14:textId="77777777">
        <w:tc>
          <w:tcPr>
            <w:tcW w:w="303" w:type="pct"/>
            <w:tcBorders>
              <w:top w:val="nil"/>
              <w:left w:val="single" w:sz="4" w:space="0" w:color="auto"/>
              <w:bottom w:val="nil"/>
              <w:right w:val="nil"/>
            </w:tcBorders>
            <w:tcMar>
              <w:top w:w="28" w:type="dxa"/>
              <w:left w:w="57" w:type="dxa"/>
              <w:bottom w:w="28" w:type="dxa"/>
              <w:right w:w="57" w:type="dxa"/>
            </w:tcMar>
          </w:tcPr>
          <w:p w14:paraId="5CAD6851" w14:textId="77777777" w:rsidR="00FE291A" w:rsidRDefault="00C8738F">
            <w:pPr>
              <w:widowControl/>
              <w:rPr>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57" w:type="dxa"/>
            </w:tcMar>
          </w:tcPr>
          <w:p w14:paraId="0387C784" w14:textId="77777777" w:rsidR="00FE291A" w:rsidRDefault="00C8738F">
            <w:pPr>
              <w:pStyle w:val="ListParagraph"/>
              <w:widowControl/>
              <w:suppressAutoHyphens/>
              <w:textAlignment w:val="center"/>
              <w:rPr>
                <w:color w:val="000000"/>
                <w:sz w:val="22"/>
                <w:szCs w:val="22"/>
                <w:lang w:val="de-DE"/>
              </w:rPr>
            </w:pPr>
            <w:r>
              <w:rPr>
                <w:color w:val="000000"/>
                <w:sz w:val="22"/>
                <w:szCs w:val="22"/>
                <w:lang w:val="de-DE"/>
              </w:rPr>
              <w:t>Alkoholtupfer</w:t>
            </w:r>
          </w:p>
        </w:tc>
      </w:tr>
      <w:tr w:rsidR="00FE291A" w14:paraId="13E3F449" w14:textId="77777777">
        <w:tc>
          <w:tcPr>
            <w:tcW w:w="303" w:type="pct"/>
            <w:tcBorders>
              <w:top w:val="nil"/>
              <w:left w:val="single" w:sz="4" w:space="0" w:color="auto"/>
              <w:bottom w:val="nil"/>
              <w:right w:val="nil"/>
            </w:tcBorders>
            <w:tcMar>
              <w:top w:w="28" w:type="dxa"/>
              <w:left w:w="57" w:type="dxa"/>
              <w:bottom w:w="28" w:type="dxa"/>
              <w:right w:w="57" w:type="dxa"/>
            </w:tcMar>
          </w:tcPr>
          <w:p w14:paraId="460E0BFC" w14:textId="77777777" w:rsidR="00FE291A" w:rsidRDefault="00C8738F">
            <w:pPr>
              <w:widowControl/>
              <w:rPr>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57" w:type="dxa"/>
            </w:tcMar>
          </w:tcPr>
          <w:p w14:paraId="23EE9C03" w14:textId="77777777" w:rsidR="00FE291A" w:rsidRDefault="00C8738F">
            <w:pPr>
              <w:pStyle w:val="ListParagraph"/>
              <w:widowControl/>
              <w:suppressAutoHyphens/>
              <w:textAlignment w:val="center"/>
              <w:rPr>
                <w:color w:val="000000"/>
                <w:sz w:val="22"/>
                <w:szCs w:val="22"/>
                <w:lang w:val="de-DE"/>
              </w:rPr>
            </w:pPr>
            <w:r>
              <w:rPr>
                <w:rFonts w:eastAsia="Calibri"/>
                <w:sz w:val="22"/>
                <w:szCs w:val="22"/>
                <w:lang w:val="de-DE"/>
              </w:rPr>
              <w:t>Wattebausch oder Verbandmull</w:t>
            </w:r>
          </w:p>
        </w:tc>
      </w:tr>
      <w:tr w:rsidR="00FE291A" w14:paraId="5BC99BAD" w14:textId="77777777">
        <w:tc>
          <w:tcPr>
            <w:tcW w:w="303" w:type="pct"/>
            <w:tcBorders>
              <w:top w:val="nil"/>
              <w:left w:val="single" w:sz="4" w:space="0" w:color="auto"/>
              <w:bottom w:val="nil"/>
              <w:right w:val="nil"/>
            </w:tcBorders>
            <w:tcMar>
              <w:top w:w="28" w:type="dxa"/>
              <w:left w:w="57" w:type="dxa"/>
              <w:bottom w:w="28" w:type="dxa"/>
              <w:right w:w="57" w:type="dxa"/>
            </w:tcMar>
          </w:tcPr>
          <w:p w14:paraId="2B1F5C27" w14:textId="77777777" w:rsidR="00FE291A" w:rsidRDefault="00C8738F">
            <w:pPr>
              <w:widowControl/>
              <w:rPr>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57" w:type="dxa"/>
            </w:tcMar>
          </w:tcPr>
          <w:p w14:paraId="6D1F1084" w14:textId="77777777" w:rsidR="00FE291A" w:rsidRDefault="00C8738F">
            <w:pPr>
              <w:pStyle w:val="ListParagraph"/>
              <w:widowControl/>
              <w:suppressAutoHyphens/>
              <w:textAlignment w:val="center"/>
              <w:rPr>
                <w:color w:val="000000"/>
                <w:sz w:val="22"/>
                <w:szCs w:val="22"/>
                <w:lang w:val="de-DE"/>
              </w:rPr>
            </w:pPr>
            <w:r>
              <w:rPr>
                <w:color w:val="000000"/>
                <w:sz w:val="22"/>
                <w:szCs w:val="22"/>
                <w:lang w:val="de-DE"/>
              </w:rPr>
              <w:t>Pflaster</w:t>
            </w:r>
          </w:p>
        </w:tc>
      </w:tr>
      <w:tr w:rsidR="00FE291A" w14:paraId="4341CA1A" w14:textId="77777777">
        <w:tc>
          <w:tcPr>
            <w:tcW w:w="303" w:type="pct"/>
            <w:tcBorders>
              <w:top w:val="nil"/>
              <w:left w:val="single" w:sz="4" w:space="0" w:color="auto"/>
              <w:bottom w:val="nil"/>
              <w:right w:val="nil"/>
            </w:tcBorders>
            <w:tcMar>
              <w:top w:w="28" w:type="dxa"/>
              <w:left w:w="57" w:type="dxa"/>
              <w:bottom w:w="28" w:type="dxa"/>
              <w:right w:w="57" w:type="dxa"/>
            </w:tcMar>
          </w:tcPr>
          <w:p w14:paraId="60662246" w14:textId="77777777" w:rsidR="00FE291A" w:rsidRDefault="00C8738F">
            <w:pPr>
              <w:widowControl/>
              <w:rPr>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57" w:type="dxa"/>
            </w:tcMar>
          </w:tcPr>
          <w:p w14:paraId="493DBCE2" w14:textId="77777777" w:rsidR="00FE291A" w:rsidRDefault="00C8738F">
            <w:pPr>
              <w:pStyle w:val="ListParagraph"/>
              <w:widowControl/>
              <w:suppressAutoHyphens/>
              <w:textAlignment w:val="center"/>
              <w:rPr>
                <w:rFonts w:eastAsia="Calibri"/>
                <w:sz w:val="22"/>
                <w:szCs w:val="22"/>
                <w:lang w:val="de-DE"/>
              </w:rPr>
            </w:pPr>
            <w:r>
              <w:rPr>
                <w:rFonts w:eastAsia="Calibri"/>
                <w:sz w:val="22"/>
                <w:szCs w:val="22"/>
                <w:lang w:val="de-DE"/>
              </w:rPr>
              <w:t>durchstichsicherer Behälter</w:t>
            </w:r>
          </w:p>
          <w:p w14:paraId="608401B1" w14:textId="77777777" w:rsidR="00FE291A" w:rsidRDefault="00FE291A">
            <w:pPr>
              <w:pStyle w:val="ListParagraph"/>
              <w:widowControl/>
              <w:suppressAutoHyphens/>
              <w:textAlignment w:val="center"/>
              <w:rPr>
                <w:color w:val="000000"/>
                <w:sz w:val="22"/>
                <w:szCs w:val="22"/>
                <w:lang w:val="de-DE"/>
              </w:rPr>
            </w:pPr>
          </w:p>
        </w:tc>
      </w:tr>
      <w:tr w:rsidR="00FE291A" w14:paraId="47A59B7B" w14:textId="77777777">
        <w:tc>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tcPr>
          <w:tbl>
            <w:tblPr>
              <w:tblW w:w="0" w:type="auto"/>
              <w:tblLook w:val="04A0" w:firstRow="1" w:lastRow="0" w:firstColumn="1" w:lastColumn="0" w:noHBand="0" w:noVBand="1"/>
            </w:tblPr>
            <w:tblGrid>
              <w:gridCol w:w="2961"/>
              <w:gridCol w:w="5986"/>
            </w:tblGrid>
            <w:tr w:rsidR="00FE291A" w14:paraId="0D4ABFEE" w14:textId="77777777">
              <w:tc>
                <w:tcPr>
                  <w:tcW w:w="2835" w:type="dxa"/>
                  <w:vAlign w:val="center"/>
                </w:tcPr>
                <w:p w14:paraId="4DF32960" w14:textId="77777777" w:rsidR="00FE291A" w:rsidRDefault="00FE291A">
                  <w:pPr>
                    <w:pStyle w:val="DONOT"/>
                    <w:spacing w:line="240" w:lineRule="auto"/>
                    <w:jc w:val="center"/>
                    <w:rPr>
                      <w:sz w:val="22"/>
                      <w:szCs w:val="22"/>
                      <w:lang w:val="de-DE" w:eastAsia="en-GB"/>
                    </w:rPr>
                  </w:pPr>
                </w:p>
                <w:p w14:paraId="0487313A" w14:textId="332561D2" w:rsidR="00FE291A" w:rsidRDefault="009C5B62">
                  <w:pPr>
                    <w:pStyle w:val="DONOT"/>
                    <w:spacing w:line="240" w:lineRule="auto"/>
                    <w:jc w:val="center"/>
                    <w:rPr>
                      <w:sz w:val="22"/>
                      <w:szCs w:val="22"/>
                      <w:lang w:val="de-DE"/>
                    </w:rPr>
                  </w:pPr>
                  <w:r>
                    <w:rPr>
                      <w:noProof/>
                      <w:sz w:val="22"/>
                      <w:szCs w:val="22"/>
                      <w:lang w:val="de-DE" w:eastAsia="en-GB"/>
                    </w:rPr>
                    <w:drawing>
                      <wp:inline distT="0" distB="0" distL="0" distR="0" wp14:anchorId="120567B8" wp14:editId="762CE3A0">
                        <wp:extent cx="1743075" cy="611505"/>
                        <wp:effectExtent l="0" t="0" r="0" b="0"/>
                        <wp:docPr id="22" name="Picture 20" descr="ILL0329 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LL0329 v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43075" cy="611505"/>
                                </a:xfrm>
                                <a:prstGeom prst="rect">
                                  <a:avLst/>
                                </a:prstGeom>
                                <a:noFill/>
                                <a:ln>
                                  <a:noFill/>
                                </a:ln>
                              </pic:spPr>
                            </pic:pic>
                          </a:graphicData>
                        </a:graphic>
                      </wp:inline>
                    </w:drawing>
                  </w:r>
                </w:p>
              </w:tc>
              <w:tc>
                <w:tcPr>
                  <w:tcW w:w="6272" w:type="dxa"/>
                </w:tcPr>
                <w:p w14:paraId="51784062" w14:textId="4F52AB11" w:rsidR="00FE291A" w:rsidRDefault="009C5B62">
                  <w:pPr>
                    <w:pStyle w:val="DONOT"/>
                    <w:spacing w:line="240" w:lineRule="auto"/>
                    <w:rPr>
                      <w:sz w:val="22"/>
                      <w:szCs w:val="22"/>
                      <w:lang w:val="de-DE"/>
                    </w:rPr>
                  </w:pPr>
                  <w:r>
                    <w:rPr>
                      <w:noProof/>
                      <w:sz w:val="22"/>
                      <w:szCs w:val="22"/>
                      <w:lang w:val="de-DE" w:eastAsia="en-GB"/>
                    </w:rPr>
                    <w:drawing>
                      <wp:inline distT="0" distB="0" distL="0" distR="0" wp14:anchorId="489DA441" wp14:editId="13917C1A">
                        <wp:extent cx="1743075" cy="1068705"/>
                        <wp:effectExtent l="0" t="0" r="0" b="0"/>
                        <wp:docPr id="23" name="Picture 21" descr="ILL0012 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LL0012 v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43075" cy="1068705"/>
                                </a:xfrm>
                                <a:prstGeom prst="rect">
                                  <a:avLst/>
                                </a:prstGeom>
                                <a:noFill/>
                                <a:ln>
                                  <a:noFill/>
                                </a:ln>
                              </pic:spPr>
                            </pic:pic>
                          </a:graphicData>
                        </a:graphic>
                      </wp:inline>
                    </w:drawing>
                  </w:r>
                </w:p>
              </w:tc>
            </w:tr>
          </w:tbl>
          <w:p w14:paraId="07B1B627" w14:textId="77777777" w:rsidR="00FE291A" w:rsidRDefault="00FE291A">
            <w:pPr>
              <w:pStyle w:val="DONOT"/>
              <w:spacing w:line="240" w:lineRule="auto"/>
              <w:rPr>
                <w:sz w:val="22"/>
                <w:szCs w:val="22"/>
                <w:lang w:val="de-DE"/>
              </w:rPr>
            </w:pPr>
          </w:p>
        </w:tc>
      </w:tr>
    </w:tbl>
    <w:p w14:paraId="374AA90F" w14:textId="77777777" w:rsidR="00FE291A" w:rsidRDefault="00FE291A">
      <w:pPr>
        <w:pStyle w:val="BodyText"/>
        <w:widowControl/>
        <w:kinsoku w:val="0"/>
        <w:overflowPunct w:val="0"/>
        <w:ind w:left="0"/>
        <w:rPr>
          <w:color w:val="000000"/>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49"/>
        <w:gridCol w:w="8512"/>
      </w:tblGrid>
      <w:tr w:rsidR="00FE291A" w:rsidRPr="002E6CD3" w14:paraId="603630AA" w14:textId="77777777">
        <w:trPr>
          <w:cantSplit/>
        </w:trPr>
        <w:tc>
          <w:tcPr>
            <w:tcW w:w="30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6446317" w14:textId="77777777" w:rsidR="00FE291A" w:rsidRDefault="00C8738F">
            <w:pPr>
              <w:keepNext/>
              <w:widowControl/>
              <w:suppressAutoHyphens/>
              <w:textAlignment w:val="center"/>
              <w:rPr>
                <w:b/>
                <w:color w:val="000000"/>
                <w:sz w:val="22"/>
                <w:szCs w:val="22"/>
                <w:lang w:val="de-DE"/>
              </w:rPr>
            </w:pPr>
            <w:r>
              <w:rPr>
                <w:rStyle w:val="bodybold"/>
                <w:sz w:val="22"/>
                <w:szCs w:val="22"/>
                <w:lang w:val="de-DE"/>
              </w:rPr>
              <w:t>D.</w:t>
            </w:r>
          </w:p>
        </w:tc>
        <w:tc>
          <w:tcPr>
            <w:tcW w:w="4697" w:type="pct"/>
            <w:tcBorders>
              <w:top w:val="single" w:sz="4" w:space="0" w:color="auto"/>
              <w:left w:val="single" w:sz="4" w:space="0" w:color="auto"/>
              <w:bottom w:val="single" w:sz="4" w:space="0" w:color="auto"/>
              <w:right w:val="single" w:sz="4" w:space="0" w:color="auto"/>
            </w:tcBorders>
            <w:tcMar>
              <w:left w:w="57" w:type="dxa"/>
            </w:tcMar>
          </w:tcPr>
          <w:p w14:paraId="489A3D80" w14:textId="77777777" w:rsidR="00FE291A" w:rsidRDefault="00C8738F">
            <w:pPr>
              <w:pStyle w:val="BasicParagraph"/>
              <w:keepNext/>
              <w:widowControl/>
              <w:suppressAutoHyphens/>
              <w:spacing w:line="240" w:lineRule="auto"/>
              <w:rPr>
                <w:rFonts w:ascii="Times New Roman" w:hAnsi="Times New Roman" w:cs="Times New Roman"/>
                <w:b/>
                <w:bCs/>
                <w:szCs w:val="22"/>
                <w:lang w:val="de-DE"/>
              </w:rPr>
            </w:pPr>
            <w:r>
              <w:rPr>
                <w:rFonts w:ascii="Times New Roman" w:hAnsi="Times New Roman" w:cs="Times New Roman"/>
                <w:bCs/>
                <w:szCs w:val="22"/>
                <w:lang w:val="de-DE"/>
              </w:rPr>
              <w:t>Bereiten Sie Ihre Injektionsstelle(n) vor und reinigen Sie diese.</w:t>
            </w:r>
          </w:p>
        </w:tc>
      </w:tr>
      <w:tr w:rsidR="00FE291A" w14:paraId="7EBC1FF5" w14:textId="77777777">
        <w:trPr>
          <w:cantSplit/>
          <w:trHeight w:val="541"/>
        </w:trPr>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tbl>
            <w:tblPr>
              <w:tblW w:w="0" w:type="auto"/>
              <w:jc w:val="right"/>
              <w:tblLook w:val="04A0" w:firstRow="1" w:lastRow="0" w:firstColumn="1" w:lastColumn="0" w:noHBand="0" w:noVBand="1"/>
            </w:tblPr>
            <w:tblGrid>
              <w:gridCol w:w="2637"/>
              <w:gridCol w:w="3593"/>
            </w:tblGrid>
            <w:tr w:rsidR="00FE291A" w14:paraId="2ECE587A" w14:textId="77777777">
              <w:trPr>
                <w:trHeight w:val="1634"/>
                <w:jc w:val="right"/>
              </w:trPr>
              <w:tc>
                <w:tcPr>
                  <w:tcW w:w="2598" w:type="dxa"/>
                  <w:vMerge w:val="restart"/>
                </w:tcPr>
                <w:p w14:paraId="19F5C972" w14:textId="51851670" w:rsidR="00FE291A" w:rsidRDefault="009C5B62">
                  <w:pPr>
                    <w:pStyle w:val="BasicParagraph"/>
                    <w:widowControl/>
                    <w:suppressAutoHyphens/>
                    <w:spacing w:line="240" w:lineRule="auto"/>
                    <w:ind w:right="-108"/>
                    <w:rPr>
                      <w:rFonts w:ascii="Times New Roman" w:hAnsi="Times New Roman" w:cs="Times New Roman"/>
                      <w:b/>
                      <w:bCs/>
                      <w:szCs w:val="22"/>
                      <w:lang w:val="de-DE"/>
                    </w:rPr>
                  </w:pPr>
                  <w:r>
                    <w:rPr>
                      <w:rFonts w:ascii="Times New Roman" w:hAnsi="Times New Roman" w:cs="Times New Roman"/>
                      <w:b/>
                      <w:noProof/>
                      <w:szCs w:val="22"/>
                      <w:lang w:val="de-DE" w:eastAsia="en-GB"/>
                    </w:rPr>
                    <w:drawing>
                      <wp:inline distT="0" distB="0" distL="0" distR="0" wp14:anchorId="4DFF85D9" wp14:editId="7359A7BE">
                        <wp:extent cx="1537335" cy="2131695"/>
                        <wp:effectExtent l="0" t="0" r="0" b="0"/>
                        <wp:docPr id="24" name="Bild 25" descr="ILL0124 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 descr="ILL0124 v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37335" cy="2131695"/>
                                </a:xfrm>
                                <a:prstGeom prst="rect">
                                  <a:avLst/>
                                </a:prstGeom>
                                <a:noFill/>
                                <a:ln>
                                  <a:noFill/>
                                </a:ln>
                              </pic:spPr>
                            </pic:pic>
                          </a:graphicData>
                        </a:graphic>
                      </wp:inline>
                    </w:drawing>
                  </w:r>
                </w:p>
              </w:tc>
              <w:tc>
                <w:tcPr>
                  <w:tcW w:w="3593" w:type="dxa"/>
                  <w:vAlign w:val="bottom"/>
                </w:tcPr>
                <w:p w14:paraId="053DCC2C" w14:textId="77777777" w:rsidR="00FE291A" w:rsidRDefault="00C8738F">
                  <w:pPr>
                    <w:pStyle w:val="BasicParagraph"/>
                    <w:widowControl/>
                    <w:suppressAutoHyphens/>
                    <w:spacing w:line="240" w:lineRule="auto"/>
                    <w:ind w:left="-36"/>
                    <w:rPr>
                      <w:rFonts w:ascii="Times New Roman" w:hAnsi="Times New Roman" w:cs="Times New Roman"/>
                      <w:bCs/>
                      <w:szCs w:val="22"/>
                      <w:lang w:val="de-DE"/>
                    </w:rPr>
                  </w:pPr>
                  <w:r>
                    <w:rPr>
                      <w:rFonts w:ascii="Times New Roman" w:hAnsi="Times New Roman" w:cs="Times New Roman"/>
                      <w:bCs/>
                      <w:szCs w:val="22"/>
                      <w:lang w:val="de-DE"/>
                    </w:rPr>
                    <w:t>Bauch</w:t>
                  </w:r>
                </w:p>
              </w:tc>
            </w:tr>
            <w:tr w:rsidR="00FE291A" w14:paraId="3BACC85A" w14:textId="77777777">
              <w:trPr>
                <w:jc w:val="right"/>
              </w:trPr>
              <w:tc>
                <w:tcPr>
                  <w:tcW w:w="2598" w:type="dxa"/>
                  <w:vMerge/>
                </w:tcPr>
                <w:p w14:paraId="3D250568" w14:textId="77777777" w:rsidR="00FE291A" w:rsidRDefault="00FE291A">
                  <w:pPr>
                    <w:pStyle w:val="BasicParagraph"/>
                    <w:widowControl/>
                    <w:suppressAutoHyphens/>
                    <w:spacing w:line="240" w:lineRule="auto"/>
                    <w:rPr>
                      <w:rFonts w:ascii="Times New Roman" w:hAnsi="Times New Roman" w:cs="Times New Roman"/>
                      <w:b/>
                      <w:bCs/>
                      <w:szCs w:val="22"/>
                      <w:lang w:val="de-DE"/>
                    </w:rPr>
                  </w:pPr>
                </w:p>
              </w:tc>
              <w:tc>
                <w:tcPr>
                  <w:tcW w:w="3593" w:type="dxa"/>
                  <w:vAlign w:val="center"/>
                </w:tcPr>
                <w:p w14:paraId="504D2C64" w14:textId="77777777" w:rsidR="00FE291A" w:rsidRDefault="00C8738F">
                  <w:pPr>
                    <w:pStyle w:val="BasicParagraph"/>
                    <w:widowControl/>
                    <w:suppressAutoHyphens/>
                    <w:spacing w:line="240" w:lineRule="auto"/>
                    <w:ind w:left="-36"/>
                    <w:rPr>
                      <w:rFonts w:ascii="Times New Roman" w:hAnsi="Times New Roman" w:cs="Times New Roman"/>
                      <w:bCs/>
                      <w:szCs w:val="22"/>
                      <w:lang w:val="de-DE"/>
                    </w:rPr>
                  </w:pPr>
                  <w:r>
                    <w:rPr>
                      <w:rFonts w:ascii="Times New Roman" w:hAnsi="Times New Roman" w:cs="Times New Roman"/>
                      <w:bCs/>
                      <w:szCs w:val="22"/>
                      <w:lang w:val="de-DE"/>
                    </w:rPr>
                    <w:t>Oberschenkel</w:t>
                  </w:r>
                </w:p>
              </w:tc>
            </w:tr>
          </w:tbl>
          <w:p w14:paraId="6E8EFE3B" w14:textId="77777777" w:rsidR="00FE291A" w:rsidRDefault="00FE291A">
            <w:pPr>
              <w:widowControl/>
              <w:rPr>
                <w:sz w:val="22"/>
                <w:szCs w:val="22"/>
                <w:lang w:val="de-DE"/>
              </w:rPr>
            </w:pPr>
          </w:p>
        </w:tc>
      </w:tr>
      <w:tr w:rsidR="00FE291A" w14:paraId="5F92BB48" w14:textId="77777777">
        <w:trPr>
          <w:cantSplit/>
          <w:trHeight w:val="355"/>
        </w:trPr>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1222E408" w14:textId="77777777" w:rsidR="00FE291A" w:rsidRDefault="00C8738F">
            <w:pPr>
              <w:widowControl/>
              <w:suppressAutoHyphens/>
              <w:textAlignment w:val="center"/>
              <w:rPr>
                <w:b/>
                <w:bCs/>
                <w:color w:val="000000"/>
                <w:sz w:val="22"/>
                <w:szCs w:val="22"/>
                <w:lang w:val="de-DE"/>
              </w:rPr>
            </w:pPr>
            <w:r>
              <w:rPr>
                <w:b/>
                <w:bCs/>
                <w:color w:val="000000"/>
                <w:sz w:val="22"/>
                <w:szCs w:val="22"/>
                <w:lang w:val="de-DE"/>
              </w:rPr>
              <w:t>Sie können verwenden:</w:t>
            </w:r>
          </w:p>
        </w:tc>
      </w:tr>
      <w:tr w:rsidR="00FE291A" w14:paraId="340131F3" w14:textId="77777777">
        <w:tc>
          <w:tcPr>
            <w:tcW w:w="303" w:type="pct"/>
            <w:tcBorders>
              <w:top w:val="nil"/>
              <w:left w:val="single" w:sz="4" w:space="0" w:color="auto"/>
              <w:bottom w:val="nil"/>
              <w:right w:val="nil"/>
            </w:tcBorders>
            <w:tcMar>
              <w:top w:w="28" w:type="dxa"/>
              <w:left w:w="57" w:type="dxa"/>
              <w:bottom w:w="28" w:type="dxa"/>
              <w:right w:w="57" w:type="dxa"/>
            </w:tcMar>
          </w:tcPr>
          <w:p w14:paraId="1B2791B9" w14:textId="77777777" w:rsidR="00FE291A" w:rsidRDefault="00C8738F">
            <w:pPr>
              <w:widowControl/>
              <w:rPr>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57" w:type="dxa"/>
            </w:tcMar>
          </w:tcPr>
          <w:p w14:paraId="580E3482" w14:textId="77777777" w:rsidR="00FE291A" w:rsidRDefault="00C8738F">
            <w:pPr>
              <w:pStyle w:val="ListParagraph"/>
              <w:widowControl/>
              <w:suppressAutoHyphens/>
              <w:textAlignment w:val="center"/>
              <w:rPr>
                <w:color w:val="000000"/>
                <w:sz w:val="22"/>
                <w:szCs w:val="22"/>
                <w:lang w:val="de-DE"/>
              </w:rPr>
            </w:pPr>
            <w:r>
              <w:rPr>
                <w:color w:val="000000"/>
                <w:sz w:val="22"/>
                <w:szCs w:val="22"/>
                <w:lang w:val="de-DE"/>
              </w:rPr>
              <w:t>Ihren Oberschenkel</w:t>
            </w:r>
          </w:p>
        </w:tc>
      </w:tr>
      <w:tr w:rsidR="00FE291A" w:rsidRPr="002E6CD3" w14:paraId="6A79DDAB" w14:textId="77777777">
        <w:tc>
          <w:tcPr>
            <w:tcW w:w="303" w:type="pct"/>
            <w:tcBorders>
              <w:top w:val="nil"/>
              <w:left w:val="single" w:sz="4" w:space="0" w:color="auto"/>
              <w:bottom w:val="nil"/>
              <w:right w:val="nil"/>
            </w:tcBorders>
            <w:tcMar>
              <w:top w:w="28" w:type="dxa"/>
              <w:left w:w="57" w:type="dxa"/>
              <w:bottom w:w="28" w:type="dxa"/>
              <w:right w:w="57" w:type="dxa"/>
            </w:tcMar>
          </w:tcPr>
          <w:p w14:paraId="2CE5FF23" w14:textId="77777777" w:rsidR="00FE291A" w:rsidRDefault="00C8738F">
            <w:pPr>
              <w:widowControl/>
              <w:rPr>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57" w:type="dxa"/>
            </w:tcMar>
          </w:tcPr>
          <w:p w14:paraId="0E799C9D" w14:textId="77777777" w:rsidR="00FE291A" w:rsidRDefault="00C8738F">
            <w:pPr>
              <w:pStyle w:val="ListParagraph"/>
              <w:widowControl/>
              <w:suppressAutoHyphens/>
              <w:textAlignment w:val="center"/>
              <w:rPr>
                <w:color w:val="000000"/>
                <w:sz w:val="22"/>
                <w:szCs w:val="22"/>
                <w:lang w:val="de-DE"/>
              </w:rPr>
            </w:pPr>
            <w:r>
              <w:rPr>
                <w:color w:val="000000"/>
                <w:sz w:val="22"/>
                <w:szCs w:val="22"/>
                <w:lang w:val="de-DE"/>
              </w:rPr>
              <w:t xml:space="preserve">Bauch, </w:t>
            </w:r>
            <w:r>
              <w:rPr>
                <w:rFonts w:eastAsia="Calibri"/>
                <w:sz w:val="22"/>
                <w:szCs w:val="22"/>
                <w:lang w:val="de-DE"/>
              </w:rPr>
              <w:t>mit Ausnahme eines 5 Zentimeter (2 Zoll)-Bereiches um Ihren Bauchnabel herum</w:t>
            </w:r>
          </w:p>
        </w:tc>
      </w:tr>
      <w:tr w:rsidR="00FE291A" w:rsidRPr="00723069" w14:paraId="43711C3B"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6039D085" w14:textId="77777777" w:rsidR="00FE291A" w:rsidRDefault="00FE291A">
            <w:pPr>
              <w:pStyle w:val="ListParagraph"/>
              <w:widowControl/>
              <w:suppressAutoHyphens/>
              <w:textAlignment w:val="center"/>
              <w:rPr>
                <w:color w:val="000000"/>
                <w:sz w:val="22"/>
                <w:szCs w:val="22"/>
                <w:lang w:val="de-DE"/>
              </w:rPr>
            </w:pPr>
          </w:p>
          <w:p w14:paraId="250171A2" w14:textId="77777777" w:rsidR="00FE291A" w:rsidRDefault="00C8738F">
            <w:pPr>
              <w:pStyle w:val="ListParagraph"/>
              <w:widowControl/>
              <w:suppressAutoHyphens/>
              <w:textAlignment w:val="center"/>
              <w:rPr>
                <w:color w:val="000000"/>
                <w:sz w:val="22"/>
                <w:szCs w:val="22"/>
                <w:lang w:val="de-DE"/>
              </w:rPr>
            </w:pPr>
            <w:r>
              <w:rPr>
                <w:rFonts w:eastAsia="Calibri"/>
                <w:sz w:val="22"/>
                <w:szCs w:val="22"/>
                <w:lang w:val="de-DE"/>
              </w:rPr>
              <w:t>Reinigen Sie Ihre Injektionsstelle mit einem Alkoholtupfer. Lassen Sie Ihre Haut trocknen.</w:t>
            </w:r>
          </w:p>
        </w:tc>
      </w:tr>
      <w:tr w:rsidR="00FE291A" w:rsidRPr="00723069" w14:paraId="078368D1" w14:textId="77777777">
        <w:tc>
          <w:tcPr>
            <w:tcW w:w="303" w:type="pct"/>
            <w:tcBorders>
              <w:top w:val="nil"/>
              <w:left w:val="single" w:sz="4" w:space="0" w:color="auto"/>
              <w:bottom w:val="nil"/>
              <w:right w:val="nil"/>
            </w:tcBorders>
            <w:tcMar>
              <w:top w:w="28" w:type="dxa"/>
              <w:left w:w="57" w:type="dxa"/>
              <w:bottom w:w="28" w:type="dxa"/>
              <w:right w:w="57" w:type="dxa"/>
            </w:tcMar>
          </w:tcPr>
          <w:p w14:paraId="6554EF1B" w14:textId="77777777" w:rsidR="00FE291A" w:rsidRDefault="00C8738F">
            <w:pPr>
              <w:widowControl/>
              <w:rPr>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57" w:type="dxa"/>
            </w:tcMar>
          </w:tcPr>
          <w:p w14:paraId="0665B953" w14:textId="77777777" w:rsidR="00FE291A" w:rsidRDefault="00C8738F">
            <w:pPr>
              <w:pStyle w:val="ListParagraph"/>
              <w:widowControl/>
              <w:suppressAutoHyphens/>
              <w:textAlignment w:val="center"/>
              <w:rPr>
                <w:color w:val="000000"/>
                <w:sz w:val="22"/>
                <w:szCs w:val="22"/>
                <w:lang w:val="de-DE"/>
              </w:rPr>
            </w:pPr>
            <w:r>
              <w:rPr>
                <w:rFonts w:eastAsia="HelveticaLTStd-Roman"/>
                <w:b/>
                <w:sz w:val="22"/>
                <w:szCs w:val="22"/>
                <w:lang w:val="de-DE"/>
              </w:rPr>
              <w:t>Nicht</w:t>
            </w:r>
            <w:r>
              <w:rPr>
                <w:rFonts w:eastAsia="HelveticaLTStd-Roman"/>
                <w:sz w:val="22"/>
                <w:szCs w:val="22"/>
                <w:lang w:val="de-DE"/>
              </w:rPr>
              <w:t xml:space="preserve"> diesen Bereich vor der Injektion noch einmal berühren</w:t>
            </w:r>
            <w:r>
              <w:rPr>
                <w:b/>
                <w:bCs/>
                <w:color w:val="000000"/>
                <w:sz w:val="22"/>
                <w:szCs w:val="22"/>
                <w:lang w:val="de-DE"/>
              </w:rPr>
              <w:t>.</w:t>
            </w:r>
          </w:p>
        </w:tc>
      </w:tr>
      <w:tr w:rsidR="00FE291A" w:rsidRPr="002E6CD3" w14:paraId="7A126A8A" w14:textId="77777777">
        <w:tc>
          <w:tcPr>
            <w:tcW w:w="303" w:type="pct"/>
            <w:tcBorders>
              <w:top w:val="nil"/>
              <w:left w:val="single" w:sz="4" w:space="0" w:color="auto"/>
              <w:bottom w:val="nil"/>
              <w:right w:val="nil"/>
            </w:tcBorders>
            <w:tcMar>
              <w:top w:w="28" w:type="dxa"/>
              <w:left w:w="57" w:type="dxa"/>
              <w:bottom w:w="28" w:type="dxa"/>
              <w:right w:w="57" w:type="dxa"/>
            </w:tcMar>
          </w:tcPr>
          <w:p w14:paraId="5758CE3A" w14:textId="77777777" w:rsidR="00FE291A" w:rsidRDefault="00C8738F">
            <w:pPr>
              <w:widowControl/>
              <w:rPr>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57" w:type="dxa"/>
            </w:tcMar>
          </w:tcPr>
          <w:p w14:paraId="04EC58AC" w14:textId="77777777" w:rsidR="00FE291A" w:rsidRDefault="00C8738F">
            <w:pPr>
              <w:pStyle w:val="ListParagraph"/>
              <w:widowControl/>
              <w:suppressAutoHyphens/>
              <w:textAlignment w:val="center"/>
              <w:rPr>
                <w:color w:val="000000"/>
                <w:sz w:val="22"/>
                <w:szCs w:val="22"/>
                <w:lang w:val="de-DE"/>
              </w:rPr>
            </w:pPr>
            <w:r>
              <w:rPr>
                <w:rFonts w:eastAsia="Times New Roman"/>
                <w:sz w:val="22"/>
                <w:szCs w:val="22"/>
                <w:lang w:val="de-DE"/>
              </w:rPr>
              <w:t xml:space="preserve">Wenn Sie dieselbe Injektionsstelle verwenden wollen, müssen Sie sicherstellen, dass es nicht derselbe Punkt </w:t>
            </w:r>
            <w:r>
              <w:rPr>
                <w:rFonts w:eastAsia="HelveticaLTStd-Roman"/>
                <w:sz w:val="22"/>
                <w:szCs w:val="22"/>
                <w:lang w:val="de-DE"/>
              </w:rPr>
              <w:t>an der Injektionsstelle ist, den Sie bei einer vorherigen Injektion verwendet haben</w:t>
            </w:r>
            <w:r>
              <w:rPr>
                <w:rFonts w:eastAsia="Times New Roman"/>
                <w:sz w:val="22"/>
                <w:szCs w:val="22"/>
                <w:lang w:val="de-DE"/>
              </w:rPr>
              <w:t>.</w:t>
            </w:r>
          </w:p>
        </w:tc>
      </w:tr>
      <w:tr w:rsidR="00FE291A" w:rsidRPr="002E6CD3" w14:paraId="50D38133" w14:textId="77777777">
        <w:tc>
          <w:tcPr>
            <w:tcW w:w="303" w:type="pct"/>
            <w:tcBorders>
              <w:top w:val="nil"/>
              <w:left w:val="single" w:sz="4" w:space="0" w:color="auto"/>
              <w:bottom w:val="nil"/>
              <w:right w:val="nil"/>
            </w:tcBorders>
            <w:tcMar>
              <w:top w:w="28" w:type="dxa"/>
              <w:left w:w="57" w:type="dxa"/>
              <w:bottom w:w="28" w:type="dxa"/>
              <w:right w:w="57" w:type="dxa"/>
            </w:tcMar>
          </w:tcPr>
          <w:p w14:paraId="2F8E28D8" w14:textId="77777777" w:rsidR="00FE291A" w:rsidRDefault="00FE291A">
            <w:pPr>
              <w:widowControl/>
              <w:rPr>
                <w:color w:val="000000"/>
                <w:sz w:val="22"/>
                <w:szCs w:val="22"/>
                <w:lang w:val="de-DE"/>
              </w:rPr>
            </w:pPr>
          </w:p>
        </w:tc>
        <w:tc>
          <w:tcPr>
            <w:tcW w:w="4697" w:type="pct"/>
            <w:tcBorders>
              <w:top w:val="nil"/>
              <w:left w:val="nil"/>
              <w:bottom w:val="nil"/>
              <w:right w:val="single" w:sz="4" w:space="0" w:color="auto"/>
            </w:tcBorders>
            <w:tcMar>
              <w:left w:w="57" w:type="dxa"/>
            </w:tcMar>
          </w:tcPr>
          <w:p w14:paraId="7BC1B1EB" w14:textId="77777777" w:rsidR="00FE291A" w:rsidRDefault="00C8738F">
            <w:pPr>
              <w:pStyle w:val="ListParagraph"/>
              <w:widowControl/>
              <w:numPr>
                <w:ilvl w:val="0"/>
                <w:numId w:val="60"/>
              </w:numPr>
              <w:autoSpaceDE/>
              <w:autoSpaceDN/>
              <w:adjustRightInd/>
              <w:contextualSpacing/>
              <w:rPr>
                <w:sz w:val="22"/>
                <w:szCs w:val="22"/>
                <w:lang w:val="de-DE"/>
              </w:rPr>
            </w:pPr>
            <w:r>
              <w:rPr>
                <w:b/>
                <w:bCs/>
                <w:sz w:val="22"/>
                <w:szCs w:val="22"/>
                <w:lang w:val="de-DE"/>
              </w:rPr>
              <w:t>Nicht</w:t>
            </w:r>
            <w:r>
              <w:rPr>
                <w:bCs/>
                <w:sz w:val="22"/>
                <w:szCs w:val="22"/>
                <w:lang w:val="de-DE"/>
              </w:rPr>
              <w:t xml:space="preserve"> in Bereiche </w:t>
            </w:r>
            <w:r>
              <w:rPr>
                <w:sz w:val="22"/>
                <w:szCs w:val="22"/>
                <w:lang w:val="de-DE"/>
              </w:rPr>
              <w:t>injizieren</w:t>
            </w:r>
            <w:r>
              <w:rPr>
                <w:bCs/>
                <w:sz w:val="22"/>
                <w:szCs w:val="22"/>
                <w:lang w:val="de-DE"/>
              </w:rPr>
              <w:t xml:space="preserve">, </w:t>
            </w:r>
            <w:r>
              <w:rPr>
                <w:sz w:val="22"/>
                <w:szCs w:val="22"/>
                <w:lang w:val="de-DE"/>
              </w:rPr>
              <w:t>in denen die Haut</w:t>
            </w:r>
            <w:r>
              <w:rPr>
                <w:bCs/>
                <w:sz w:val="22"/>
                <w:szCs w:val="22"/>
                <w:lang w:val="de-DE"/>
              </w:rPr>
              <w:t xml:space="preserve"> </w:t>
            </w:r>
            <w:r>
              <w:rPr>
                <w:sz w:val="22"/>
                <w:szCs w:val="22"/>
                <w:lang w:val="de-DE"/>
              </w:rPr>
              <w:t>empfindlich, verletzt, gerötet oder verhärtet ist. Vermeiden Sie, in Bereiche mit Narben oder Dehnungsstreifen zu injizieren.</w:t>
            </w:r>
          </w:p>
        </w:tc>
      </w:tr>
      <w:tr w:rsidR="00FE291A" w:rsidRPr="00723069" w14:paraId="1B2D6521" w14:textId="77777777">
        <w:tc>
          <w:tcPr>
            <w:tcW w:w="303" w:type="pct"/>
            <w:tcBorders>
              <w:top w:val="nil"/>
              <w:left w:val="single" w:sz="4" w:space="0" w:color="auto"/>
              <w:bottom w:val="single" w:sz="4" w:space="0" w:color="auto"/>
              <w:right w:val="nil"/>
            </w:tcBorders>
            <w:tcMar>
              <w:top w:w="28" w:type="dxa"/>
              <w:left w:w="57" w:type="dxa"/>
              <w:bottom w:w="28" w:type="dxa"/>
              <w:right w:w="57" w:type="dxa"/>
            </w:tcMar>
          </w:tcPr>
          <w:p w14:paraId="5D10730B" w14:textId="77777777" w:rsidR="00FE291A" w:rsidRDefault="00C8738F">
            <w:pPr>
              <w:widowControl/>
              <w:rPr>
                <w:sz w:val="22"/>
                <w:szCs w:val="22"/>
                <w:lang w:val="de-DE"/>
              </w:rPr>
            </w:pPr>
            <w:r>
              <w:rPr>
                <w:color w:val="000000"/>
                <w:sz w:val="22"/>
                <w:szCs w:val="22"/>
                <w:lang w:val="de-DE"/>
              </w:rPr>
              <w:t>●</w:t>
            </w:r>
          </w:p>
        </w:tc>
        <w:tc>
          <w:tcPr>
            <w:tcW w:w="4697" w:type="pct"/>
            <w:tcBorders>
              <w:top w:val="nil"/>
              <w:left w:val="nil"/>
              <w:bottom w:val="single" w:sz="4" w:space="0" w:color="auto"/>
              <w:right w:val="single" w:sz="4" w:space="0" w:color="auto"/>
            </w:tcBorders>
            <w:tcMar>
              <w:left w:w="57" w:type="dxa"/>
            </w:tcMar>
          </w:tcPr>
          <w:p w14:paraId="5B1A4DF4" w14:textId="77777777" w:rsidR="00FE291A" w:rsidRDefault="00C8738F">
            <w:pPr>
              <w:pStyle w:val="ListParagraph"/>
              <w:widowControl/>
              <w:suppressAutoHyphens/>
              <w:textAlignment w:val="center"/>
              <w:rPr>
                <w:color w:val="000000"/>
                <w:sz w:val="22"/>
                <w:szCs w:val="22"/>
                <w:lang w:val="de-DE"/>
              </w:rPr>
            </w:pPr>
            <w:r>
              <w:rPr>
                <w:color w:val="000000"/>
                <w:sz w:val="22"/>
                <w:szCs w:val="22"/>
                <w:lang w:val="de-DE"/>
              </w:rPr>
              <w:t>Wenn Sie unter Psoriasis leiden, vermeiden Sie eine direkte Injektion in geschwollene, dicke, gerötete oder schuppige Hautbereiche oder Läsionen.</w:t>
            </w:r>
          </w:p>
        </w:tc>
      </w:tr>
    </w:tbl>
    <w:p w14:paraId="378D7483" w14:textId="77777777" w:rsidR="00FE291A" w:rsidRDefault="00FE291A">
      <w:pPr>
        <w:pStyle w:val="BodyText"/>
        <w:widowControl/>
        <w:kinsoku w:val="0"/>
        <w:overflowPunct w:val="0"/>
        <w:ind w:left="0"/>
        <w:rPr>
          <w:color w:val="000000"/>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9061"/>
      </w:tblGrid>
      <w:tr w:rsidR="00FE291A" w:rsidRPr="00723069" w14:paraId="5EB82976" w14:textId="77777777">
        <w:tc>
          <w:tcPr>
            <w:tcW w:w="500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BB910B" w14:textId="77777777" w:rsidR="00FE291A" w:rsidRDefault="00C8738F">
            <w:pPr>
              <w:keepLines/>
              <w:widowControl/>
              <w:suppressAutoHyphens/>
              <w:jc w:val="center"/>
              <w:textAlignment w:val="center"/>
              <w:rPr>
                <w:b/>
                <w:bCs/>
                <w:color w:val="000000"/>
                <w:sz w:val="22"/>
                <w:szCs w:val="22"/>
                <w:lang w:val="de-DE"/>
              </w:rPr>
            </w:pPr>
            <w:r>
              <w:rPr>
                <w:b/>
                <w:bCs/>
                <w:sz w:val="22"/>
                <w:szCs w:val="22"/>
                <w:lang w:val="de-DE"/>
              </w:rPr>
              <w:t>Schritt 2: Machen Sie sich bereit</w:t>
            </w:r>
          </w:p>
        </w:tc>
      </w:tr>
    </w:tbl>
    <w:p w14:paraId="5A1B853C" w14:textId="77777777" w:rsidR="00FE291A" w:rsidRDefault="00FE291A">
      <w:pPr>
        <w:keepLines/>
        <w:widowControl/>
        <w:ind w:left="567" w:hanging="567"/>
        <w:rPr>
          <w:b/>
          <w:bCs/>
          <w:sz w:val="22"/>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49"/>
        <w:gridCol w:w="8512"/>
      </w:tblGrid>
      <w:tr w:rsidR="00FE291A" w:rsidRPr="002E6CD3" w14:paraId="7A3527E0" w14:textId="77777777">
        <w:tc>
          <w:tcPr>
            <w:tcW w:w="30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CD321D1" w14:textId="77777777" w:rsidR="00FE291A" w:rsidRDefault="00C8738F">
            <w:pPr>
              <w:keepLines/>
              <w:widowControl/>
              <w:suppressAutoHyphens/>
              <w:textAlignment w:val="center"/>
              <w:rPr>
                <w:b/>
                <w:color w:val="000000"/>
                <w:sz w:val="22"/>
                <w:szCs w:val="22"/>
                <w:lang w:val="de-DE"/>
              </w:rPr>
            </w:pPr>
            <w:r>
              <w:rPr>
                <w:b/>
                <w:sz w:val="22"/>
                <w:szCs w:val="22"/>
                <w:lang w:val="de-DE"/>
              </w:rPr>
              <w:t>E.</w:t>
            </w:r>
          </w:p>
        </w:tc>
        <w:tc>
          <w:tcPr>
            <w:tcW w:w="4697"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C532A7" w14:textId="77777777" w:rsidR="00FE291A" w:rsidRDefault="00C8738F">
            <w:pPr>
              <w:keepLines/>
              <w:widowControl/>
              <w:rPr>
                <w:color w:val="000000"/>
                <w:sz w:val="22"/>
                <w:szCs w:val="22"/>
                <w:lang w:val="de-DE"/>
              </w:rPr>
            </w:pPr>
            <w:r>
              <w:rPr>
                <w:sz w:val="22"/>
                <w:szCs w:val="22"/>
                <w:lang w:val="de-DE"/>
              </w:rPr>
              <w:t>Ziehen Sie die Nadelschutzkappe ab, in gerader Richtung und weg von Ihrem Körper, sobald Sie für die Injektion bereit sind.</w:t>
            </w:r>
          </w:p>
        </w:tc>
      </w:tr>
      <w:tr w:rsidR="00FE291A" w14:paraId="2F0ECC08" w14:textId="77777777">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p w14:paraId="6447BC47" w14:textId="3FD655A3" w:rsidR="00FE291A" w:rsidRDefault="009C5B62">
            <w:pPr>
              <w:widowControl/>
              <w:suppressAutoHyphens/>
              <w:textAlignment w:val="center"/>
              <w:rPr>
                <w:color w:val="000000"/>
                <w:sz w:val="22"/>
                <w:szCs w:val="22"/>
                <w:lang w:val="de-DE"/>
              </w:rPr>
            </w:pPr>
            <w:r>
              <w:rPr>
                <w:b/>
                <w:noProof/>
                <w:sz w:val="10"/>
                <w:szCs w:val="10"/>
                <w:lang w:val="de-DE" w:eastAsia="en-GB"/>
              </w:rPr>
              <w:drawing>
                <wp:inline distT="0" distB="0" distL="0" distR="0" wp14:anchorId="033A4C61" wp14:editId="05E8677A">
                  <wp:extent cx="1674495" cy="2131695"/>
                  <wp:effectExtent l="0" t="0" r="0" b="0"/>
                  <wp:docPr id="25" name="Picture 2" descr="ILL0330 SYRINGE MISC 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LL0330 SYRINGE MISC N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74495" cy="2131695"/>
                          </a:xfrm>
                          <a:prstGeom prst="rect">
                            <a:avLst/>
                          </a:prstGeom>
                          <a:noFill/>
                          <a:ln>
                            <a:noFill/>
                          </a:ln>
                        </pic:spPr>
                      </pic:pic>
                    </a:graphicData>
                  </a:graphic>
                </wp:inline>
              </w:drawing>
            </w:r>
          </w:p>
        </w:tc>
      </w:tr>
      <w:tr w:rsidR="00FE291A" w:rsidRPr="002E6CD3" w14:paraId="15F8B393"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65B61962" w14:textId="77777777" w:rsidR="00FE291A" w:rsidRDefault="00C8738F">
            <w:pPr>
              <w:widowControl/>
              <w:suppressAutoHyphens/>
              <w:textAlignment w:val="center"/>
              <w:rPr>
                <w:color w:val="000000"/>
                <w:sz w:val="22"/>
                <w:szCs w:val="22"/>
                <w:lang w:val="de-DE"/>
              </w:rPr>
            </w:pPr>
            <w:r>
              <w:rPr>
                <w:rFonts w:eastAsia="HelveticaLTStd-Roman"/>
                <w:sz w:val="22"/>
                <w:szCs w:val="22"/>
                <w:lang w:val="de-DE"/>
              </w:rPr>
              <w:t>Es ist normal, einen Tropfen Flüssigkeit an der Nadelspitze zu sehen</w:t>
            </w:r>
            <w:r>
              <w:rPr>
                <w:color w:val="000000"/>
                <w:sz w:val="22"/>
                <w:szCs w:val="22"/>
                <w:lang w:val="de-DE"/>
              </w:rPr>
              <w:t>.</w:t>
            </w:r>
          </w:p>
        </w:tc>
      </w:tr>
      <w:tr w:rsidR="00FE291A" w:rsidRPr="00723069" w14:paraId="0503F4FE" w14:textId="77777777">
        <w:tc>
          <w:tcPr>
            <w:tcW w:w="303" w:type="pct"/>
            <w:tcBorders>
              <w:top w:val="nil"/>
              <w:left w:val="single" w:sz="4" w:space="0" w:color="auto"/>
              <w:bottom w:val="nil"/>
              <w:right w:val="nil"/>
            </w:tcBorders>
            <w:tcMar>
              <w:top w:w="28" w:type="dxa"/>
              <w:left w:w="57" w:type="dxa"/>
              <w:bottom w:w="28" w:type="dxa"/>
              <w:right w:w="57" w:type="dxa"/>
            </w:tcMar>
          </w:tcPr>
          <w:p w14:paraId="010DC242" w14:textId="77777777" w:rsidR="00FE291A" w:rsidRDefault="00C8738F">
            <w:pPr>
              <w:pStyle w:val="ListParagraph"/>
              <w:widowControl/>
              <w:tabs>
                <w:tab w:val="left" w:pos="90"/>
              </w:tabs>
              <w:suppressAutoHyphens/>
              <w:textAlignment w:val="center"/>
              <w:rPr>
                <w:color w:val="000000"/>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0" w:type="dxa"/>
            </w:tcMar>
          </w:tcPr>
          <w:p w14:paraId="07E205C4" w14:textId="77777777" w:rsidR="00FE291A" w:rsidRDefault="00C8738F">
            <w:pPr>
              <w:widowControl/>
              <w:rPr>
                <w:rFonts w:eastAsia="Calibri"/>
                <w:sz w:val="22"/>
                <w:szCs w:val="22"/>
                <w:lang w:val="de-DE"/>
              </w:rPr>
            </w:pPr>
            <w:r>
              <w:rPr>
                <w:rFonts w:eastAsia="HelveticaLTStd-Roman"/>
                <w:sz w:val="22"/>
                <w:szCs w:val="22"/>
                <w:lang w:val="de-DE"/>
              </w:rPr>
              <w:t xml:space="preserve">Die Nadelschutzkappe </w:t>
            </w:r>
            <w:r>
              <w:rPr>
                <w:rFonts w:eastAsia="HelveticaLTStd-Roman"/>
                <w:b/>
                <w:sz w:val="22"/>
                <w:szCs w:val="22"/>
                <w:lang w:val="de-DE"/>
              </w:rPr>
              <w:t>nicht</w:t>
            </w:r>
            <w:r>
              <w:rPr>
                <w:rFonts w:eastAsia="HelveticaLTStd-Roman"/>
                <w:sz w:val="22"/>
                <w:szCs w:val="22"/>
                <w:lang w:val="de-DE"/>
              </w:rPr>
              <w:t xml:space="preserve"> drehen oder biegen.</w:t>
            </w:r>
          </w:p>
        </w:tc>
      </w:tr>
      <w:tr w:rsidR="00FE291A" w:rsidRPr="002E6CD3" w14:paraId="629F7B0D" w14:textId="77777777">
        <w:tc>
          <w:tcPr>
            <w:tcW w:w="303" w:type="pct"/>
            <w:tcBorders>
              <w:top w:val="nil"/>
              <w:left w:val="single" w:sz="4" w:space="0" w:color="auto"/>
              <w:bottom w:val="nil"/>
              <w:right w:val="nil"/>
            </w:tcBorders>
            <w:tcMar>
              <w:top w:w="28" w:type="dxa"/>
              <w:left w:w="57" w:type="dxa"/>
              <w:bottom w:w="28" w:type="dxa"/>
              <w:right w:w="57" w:type="dxa"/>
            </w:tcMar>
          </w:tcPr>
          <w:p w14:paraId="03DA6984" w14:textId="77777777" w:rsidR="00FE291A" w:rsidRDefault="00C8738F">
            <w:pPr>
              <w:pStyle w:val="ListParagraph"/>
              <w:widowControl/>
              <w:tabs>
                <w:tab w:val="left" w:pos="90"/>
              </w:tabs>
              <w:suppressAutoHyphens/>
              <w:textAlignment w:val="center"/>
              <w:rPr>
                <w:color w:val="000000"/>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0" w:type="dxa"/>
            </w:tcMar>
          </w:tcPr>
          <w:p w14:paraId="6D0E8F61" w14:textId="77777777" w:rsidR="00FE291A" w:rsidRDefault="00C8738F">
            <w:pPr>
              <w:widowControl/>
              <w:ind w:left="720" w:hanging="720"/>
              <w:rPr>
                <w:rFonts w:eastAsia="Calibri"/>
                <w:sz w:val="22"/>
                <w:szCs w:val="22"/>
                <w:lang w:val="de-DE"/>
              </w:rPr>
            </w:pPr>
            <w:r>
              <w:rPr>
                <w:rFonts w:eastAsia="HelveticaLTStd-Roman"/>
                <w:sz w:val="22"/>
                <w:szCs w:val="22"/>
                <w:lang w:val="de-DE"/>
              </w:rPr>
              <w:t xml:space="preserve">Die Nadelschutzkappe </w:t>
            </w:r>
            <w:r>
              <w:rPr>
                <w:rFonts w:eastAsia="HelveticaLTStd-Roman"/>
                <w:b/>
                <w:sz w:val="22"/>
                <w:szCs w:val="22"/>
                <w:lang w:val="de-DE"/>
              </w:rPr>
              <w:t>nicht</w:t>
            </w:r>
            <w:r>
              <w:rPr>
                <w:rFonts w:eastAsia="HelveticaLTStd-Roman"/>
                <w:sz w:val="22"/>
                <w:szCs w:val="22"/>
                <w:lang w:val="de-DE"/>
              </w:rPr>
              <w:t xml:space="preserve"> wieder auf die Fertigspritze aufsetzen.</w:t>
            </w:r>
          </w:p>
        </w:tc>
      </w:tr>
      <w:tr w:rsidR="00FE291A" w:rsidRPr="002E6CD3" w14:paraId="620BC4E4" w14:textId="77777777">
        <w:tc>
          <w:tcPr>
            <w:tcW w:w="303" w:type="pct"/>
            <w:tcBorders>
              <w:top w:val="nil"/>
              <w:left w:val="single" w:sz="4" w:space="0" w:color="auto"/>
              <w:bottom w:val="nil"/>
              <w:right w:val="nil"/>
            </w:tcBorders>
            <w:tcMar>
              <w:top w:w="28" w:type="dxa"/>
              <w:left w:w="57" w:type="dxa"/>
              <w:bottom w:w="28" w:type="dxa"/>
              <w:right w:w="57" w:type="dxa"/>
            </w:tcMar>
          </w:tcPr>
          <w:p w14:paraId="1B409F3B" w14:textId="77777777" w:rsidR="00FE291A" w:rsidRDefault="00C8738F">
            <w:pPr>
              <w:pStyle w:val="ListParagraph"/>
              <w:widowControl/>
              <w:tabs>
                <w:tab w:val="left" w:pos="90"/>
              </w:tabs>
              <w:suppressAutoHyphens/>
              <w:textAlignment w:val="center"/>
              <w:rPr>
                <w:color w:val="000000"/>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0" w:type="dxa"/>
            </w:tcMar>
          </w:tcPr>
          <w:p w14:paraId="1929576E" w14:textId="77777777" w:rsidR="00FE291A" w:rsidRDefault="00C8738F">
            <w:pPr>
              <w:widowControl/>
              <w:tabs>
                <w:tab w:val="left" w:pos="5520"/>
              </w:tabs>
              <w:rPr>
                <w:rFonts w:eastAsia="Calibri"/>
                <w:sz w:val="22"/>
                <w:szCs w:val="22"/>
                <w:lang w:val="de-DE"/>
              </w:rPr>
            </w:pPr>
            <w:r>
              <w:rPr>
                <w:rFonts w:eastAsia="HelveticaLTStd-Roman"/>
                <w:sz w:val="22"/>
                <w:szCs w:val="22"/>
                <w:lang w:val="de-DE"/>
              </w:rPr>
              <w:t xml:space="preserve">Die Nadelschutzkappe </w:t>
            </w:r>
            <w:r>
              <w:rPr>
                <w:rFonts w:eastAsia="HelveticaLTStd-Roman"/>
                <w:b/>
                <w:sz w:val="22"/>
                <w:szCs w:val="22"/>
                <w:lang w:val="de-DE"/>
              </w:rPr>
              <w:t>nicht</w:t>
            </w:r>
            <w:r>
              <w:rPr>
                <w:rFonts w:eastAsia="HelveticaLTStd-Roman"/>
                <w:sz w:val="22"/>
                <w:szCs w:val="22"/>
                <w:lang w:val="de-DE"/>
              </w:rPr>
              <w:t xml:space="preserve"> von der Spritze abziehen, bevor Sie für die Injektion bereit sind.</w:t>
            </w:r>
          </w:p>
        </w:tc>
      </w:tr>
      <w:tr w:rsidR="00FE291A" w:rsidRPr="002E6CD3" w14:paraId="5EC092E7" w14:textId="77777777">
        <w:trPr>
          <w:trHeight w:val="397"/>
        </w:trPr>
        <w:tc>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vAlign w:val="center"/>
          </w:tcPr>
          <w:p w14:paraId="788D45ED" w14:textId="77777777" w:rsidR="00FE291A" w:rsidRDefault="00C8738F">
            <w:pPr>
              <w:widowControl/>
              <w:tabs>
                <w:tab w:val="left" w:pos="5520"/>
              </w:tabs>
              <w:rPr>
                <w:rFonts w:eastAsia="Calibri"/>
                <w:b/>
                <w:bCs/>
                <w:sz w:val="22"/>
                <w:szCs w:val="22"/>
                <w:lang w:val="de-DE"/>
              </w:rPr>
            </w:pPr>
            <w:r>
              <w:rPr>
                <w:rFonts w:eastAsia="Calibri"/>
                <w:b/>
                <w:bCs/>
                <w:sz w:val="22"/>
                <w:szCs w:val="22"/>
                <w:lang w:val="de-DE"/>
              </w:rPr>
              <w:t xml:space="preserve">Wichtig: </w:t>
            </w:r>
            <w:r>
              <w:rPr>
                <w:rFonts w:eastAsia="HelveticaLTStd-Roman"/>
                <w:sz w:val="22"/>
                <w:szCs w:val="22"/>
                <w:lang w:val="de-DE"/>
              </w:rPr>
              <w:t>Werfen Sie die Nadelschutzkappe in den bereitgestellten durchstichsicheren Behälter</w:t>
            </w:r>
            <w:r>
              <w:rPr>
                <w:rFonts w:eastAsia="Calibri"/>
                <w:sz w:val="22"/>
                <w:szCs w:val="22"/>
                <w:lang w:val="de-DE"/>
              </w:rPr>
              <w:t>.</w:t>
            </w:r>
          </w:p>
        </w:tc>
      </w:tr>
    </w:tbl>
    <w:p w14:paraId="1CD080DC" w14:textId="77777777" w:rsidR="00FE291A" w:rsidRDefault="00FE291A">
      <w:pPr>
        <w:pStyle w:val="trianglemarkcopy"/>
        <w:widowControl/>
        <w:tabs>
          <w:tab w:val="clear" w:pos="828"/>
        </w:tabs>
        <w:spacing w:before="0" w:line="240" w:lineRule="auto"/>
        <w:ind w:left="0" w:firstLine="0"/>
        <w:rPr>
          <w:rStyle w:val="bodybold"/>
          <w:rFonts w:ascii="Times New Roman" w:hAnsi="Times New Roman"/>
          <w:bCs/>
          <w:color w:val="auto"/>
          <w:sz w:val="22"/>
          <w:szCs w:val="22"/>
          <w:lang w:val="de-DE"/>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33"/>
        <w:gridCol w:w="8532"/>
      </w:tblGrid>
      <w:tr w:rsidR="00FE291A" w:rsidRPr="002E6CD3" w14:paraId="2EF191F5" w14:textId="77777777">
        <w:tc>
          <w:tcPr>
            <w:tcW w:w="29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5EC42B4" w14:textId="77777777" w:rsidR="00FE291A" w:rsidRDefault="00C8738F">
            <w:pPr>
              <w:keepLines/>
              <w:widowControl/>
              <w:suppressAutoHyphens/>
              <w:textAlignment w:val="center"/>
              <w:rPr>
                <w:b/>
                <w:color w:val="000000"/>
                <w:sz w:val="22"/>
                <w:szCs w:val="22"/>
                <w:lang w:val="de-DE"/>
              </w:rPr>
            </w:pPr>
            <w:r>
              <w:rPr>
                <w:b/>
                <w:sz w:val="22"/>
                <w:szCs w:val="22"/>
                <w:lang w:val="de-DE"/>
              </w:rPr>
              <w:t>F.</w:t>
            </w:r>
          </w:p>
        </w:tc>
        <w:tc>
          <w:tcPr>
            <w:tcW w:w="470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C7B181" w14:textId="77777777" w:rsidR="00FE291A" w:rsidRDefault="00C8738F">
            <w:pPr>
              <w:keepLines/>
              <w:widowControl/>
              <w:rPr>
                <w:color w:val="000000"/>
                <w:sz w:val="22"/>
                <w:szCs w:val="22"/>
                <w:lang w:val="de-DE"/>
              </w:rPr>
            </w:pPr>
            <w:r>
              <w:rPr>
                <w:rFonts w:eastAsia="Calibri"/>
                <w:bCs/>
                <w:sz w:val="22"/>
                <w:szCs w:val="22"/>
                <w:lang w:val="de-DE"/>
              </w:rPr>
              <w:t>Drücken Sie Ihre Injektionsstelle zusammen, um eine feste Oberfläche zu erzeugen.</w:t>
            </w:r>
          </w:p>
        </w:tc>
      </w:tr>
      <w:tr w:rsidR="00FE291A" w14:paraId="38BF6ABB"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047933A8" w14:textId="397CFA09" w:rsidR="00FE291A" w:rsidRDefault="009C5B62">
            <w:pPr>
              <w:widowControl/>
              <w:ind w:left="720" w:hanging="720"/>
              <w:rPr>
                <w:rFonts w:eastAsia="Calibri"/>
                <w:b/>
                <w:bCs/>
                <w:sz w:val="22"/>
                <w:szCs w:val="22"/>
                <w:lang w:val="de-DE"/>
              </w:rPr>
            </w:pPr>
            <w:r>
              <w:rPr>
                <w:noProof/>
                <w:sz w:val="22"/>
                <w:szCs w:val="22"/>
                <w:lang w:val="de-DE" w:eastAsia="en-GB"/>
              </w:rPr>
              <w:drawing>
                <wp:inline distT="0" distB="0" distL="0" distR="0" wp14:anchorId="62876F29" wp14:editId="44A6439F">
                  <wp:extent cx="2440305" cy="1445895"/>
                  <wp:effectExtent l="0" t="0" r="0" b="0"/>
                  <wp:docPr id="26" name="Picture 24" descr="ILL0718 v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LL0718 v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40305" cy="1445895"/>
                          </a:xfrm>
                          <a:prstGeom prst="rect">
                            <a:avLst/>
                          </a:prstGeom>
                          <a:noFill/>
                          <a:ln>
                            <a:noFill/>
                          </a:ln>
                        </pic:spPr>
                      </pic:pic>
                    </a:graphicData>
                  </a:graphic>
                </wp:inline>
              </w:drawing>
            </w:r>
          </w:p>
        </w:tc>
      </w:tr>
      <w:tr w:rsidR="00FE291A" w:rsidRPr="00723069" w14:paraId="7D59953D"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226E5257" w14:textId="77777777" w:rsidR="00FE291A" w:rsidRDefault="00C8738F">
            <w:pPr>
              <w:widowControl/>
              <w:suppressAutoHyphens/>
              <w:textAlignment w:val="center"/>
              <w:rPr>
                <w:color w:val="000000"/>
                <w:sz w:val="22"/>
                <w:szCs w:val="22"/>
                <w:lang w:val="de-DE"/>
              </w:rPr>
            </w:pPr>
            <w:r>
              <w:rPr>
                <w:rFonts w:eastAsia="HelveticaLTStd-Roman"/>
                <w:sz w:val="22"/>
                <w:szCs w:val="22"/>
                <w:lang w:val="de-DE"/>
              </w:rPr>
              <w:t>Drücken Sie die Haut fest zwischen Ihrem Daumen und Ihren Fingern zusammen, um eine etwa 5 Zentimeter (2 Zoll) breite Fläche zu bilden.</w:t>
            </w:r>
          </w:p>
        </w:tc>
      </w:tr>
      <w:tr w:rsidR="00FE291A" w:rsidRPr="002E6CD3" w14:paraId="75814AC5" w14:textId="77777777">
        <w:trPr>
          <w:trHeight w:val="419"/>
        </w:trPr>
        <w:tc>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vAlign w:val="center"/>
          </w:tcPr>
          <w:p w14:paraId="70BF49DB" w14:textId="77777777" w:rsidR="00FE291A" w:rsidRDefault="00C8738F">
            <w:pPr>
              <w:widowControl/>
              <w:rPr>
                <w:rFonts w:eastAsia="Calibri"/>
                <w:sz w:val="22"/>
                <w:szCs w:val="22"/>
                <w:lang w:val="de-DE"/>
              </w:rPr>
            </w:pPr>
            <w:r>
              <w:rPr>
                <w:rFonts w:eastAsia="Calibri"/>
                <w:b/>
                <w:bCs/>
                <w:sz w:val="22"/>
                <w:szCs w:val="22"/>
                <w:lang w:val="de-DE"/>
              </w:rPr>
              <w:t xml:space="preserve">Wichtig: </w:t>
            </w:r>
            <w:r>
              <w:rPr>
                <w:rFonts w:eastAsia="Calibri"/>
                <w:bCs/>
                <w:sz w:val="22"/>
                <w:szCs w:val="22"/>
                <w:lang w:val="de-DE"/>
              </w:rPr>
              <w:t xml:space="preserve">Halten Sie </w:t>
            </w:r>
            <w:r>
              <w:rPr>
                <w:sz w:val="22"/>
                <w:szCs w:val="22"/>
                <w:lang w:val="de-DE"/>
              </w:rPr>
              <w:t>die Haut während der Injektion zusammengedrückt</w:t>
            </w:r>
            <w:r>
              <w:rPr>
                <w:rFonts w:eastAsia="HelveticaLTStd-Roman"/>
                <w:sz w:val="22"/>
                <w:szCs w:val="22"/>
                <w:lang w:val="de-DE"/>
              </w:rPr>
              <w:t>.</w:t>
            </w:r>
          </w:p>
        </w:tc>
      </w:tr>
    </w:tbl>
    <w:p w14:paraId="7C1E5D47" w14:textId="77777777" w:rsidR="00FE291A" w:rsidRDefault="00FE291A">
      <w:pPr>
        <w:pStyle w:val="BULLETED"/>
        <w:widowControl/>
        <w:numPr>
          <w:ilvl w:val="0"/>
          <w:numId w:val="0"/>
        </w:numPr>
        <w:spacing w:before="0" w:line="240" w:lineRule="auto"/>
        <w:rPr>
          <w:sz w:val="22"/>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9061"/>
      </w:tblGrid>
      <w:tr w:rsidR="00FE291A" w14:paraId="32CC6ECE" w14:textId="77777777">
        <w:tc>
          <w:tcPr>
            <w:tcW w:w="500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ED546B" w14:textId="77777777" w:rsidR="00FE291A" w:rsidRDefault="00C8738F">
            <w:pPr>
              <w:pStyle w:val="BULLETED"/>
              <w:widowControl/>
              <w:numPr>
                <w:ilvl w:val="0"/>
                <w:numId w:val="0"/>
              </w:numPr>
              <w:spacing w:before="0" w:line="240" w:lineRule="auto"/>
              <w:jc w:val="center"/>
              <w:rPr>
                <w:b/>
                <w:sz w:val="22"/>
                <w:szCs w:val="22"/>
                <w:lang w:val="de-DE"/>
              </w:rPr>
            </w:pPr>
            <w:r>
              <w:rPr>
                <w:b/>
                <w:bCs/>
                <w:sz w:val="22"/>
                <w:szCs w:val="22"/>
                <w:lang w:val="de-DE"/>
              </w:rPr>
              <w:t>Schritt 3: Injektion</w:t>
            </w:r>
          </w:p>
        </w:tc>
      </w:tr>
    </w:tbl>
    <w:p w14:paraId="67C397D2" w14:textId="77777777" w:rsidR="00FE291A" w:rsidRDefault="00FE291A">
      <w:pPr>
        <w:keepLines/>
        <w:widowControl/>
        <w:ind w:left="567" w:hanging="567"/>
        <w:rPr>
          <w:b/>
          <w:bCs/>
          <w:sz w:val="22"/>
          <w:szCs w:val="22"/>
          <w:lang w:val="de-DE"/>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33"/>
        <w:gridCol w:w="8530"/>
      </w:tblGrid>
      <w:tr w:rsidR="00FE291A" w:rsidRPr="002E6CD3" w14:paraId="64223F22" w14:textId="77777777">
        <w:tc>
          <w:tcPr>
            <w:tcW w:w="29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A43BF6" w14:textId="77777777" w:rsidR="00FE291A" w:rsidRDefault="00C8738F">
            <w:pPr>
              <w:keepLines/>
              <w:widowControl/>
              <w:suppressAutoHyphens/>
              <w:textAlignment w:val="center"/>
              <w:rPr>
                <w:b/>
                <w:color w:val="000000"/>
                <w:sz w:val="22"/>
                <w:szCs w:val="22"/>
                <w:lang w:val="de-DE"/>
              </w:rPr>
            </w:pPr>
            <w:r>
              <w:rPr>
                <w:b/>
                <w:sz w:val="22"/>
                <w:szCs w:val="22"/>
                <w:lang w:val="de-DE"/>
              </w:rPr>
              <w:t>G.</w:t>
            </w:r>
          </w:p>
        </w:tc>
        <w:tc>
          <w:tcPr>
            <w:tcW w:w="470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9D430E" w14:textId="77777777" w:rsidR="00FE291A" w:rsidRDefault="00C8738F">
            <w:pPr>
              <w:keepLines/>
              <w:widowControl/>
              <w:rPr>
                <w:color w:val="000000"/>
                <w:sz w:val="22"/>
                <w:szCs w:val="22"/>
                <w:lang w:val="de-DE"/>
              </w:rPr>
            </w:pPr>
            <w:r>
              <w:rPr>
                <w:rFonts w:eastAsia="Calibri"/>
                <w:bCs/>
                <w:sz w:val="22"/>
                <w:szCs w:val="22"/>
                <w:lang w:val="de-DE"/>
              </w:rPr>
              <w:t>Halten Sie die Haut zusammengedrückt</w:t>
            </w:r>
            <w:r>
              <w:rPr>
                <w:sz w:val="22"/>
                <w:szCs w:val="22"/>
                <w:lang w:val="de-DE"/>
              </w:rPr>
              <w:t xml:space="preserve">. </w:t>
            </w:r>
            <w:r>
              <w:rPr>
                <w:rFonts w:eastAsia="Calibri"/>
                <w:bCs/>
                <w:sz w:val="22"/>
                <w:szCs w:val="22"/>
                <w:lang w:val="de-DE"/>
              </w:rPr>
              <w:t>Stechen Sie die Nadel in einem Winkel von 45 bis 90 Grad in Ihre Haut, nachdem die Nadelschutzkappe entfernt wurde.</w:t>
            </w:r>
          </w:p>
        </w:tc>
      </w:tr>
      <w:tr w:rsidR="00FE291A" w14:paraId="068C00B4" w14:textId="77777777">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p w14:paraId="10DCED65" w14:textId="5308D626" w:rsidR="00FE291A" w:rsidRDefault="009C5B62">
            <w:pPr>
              <w:widowControl/>
              <w:suppressAutoHyphens/>
              <w:textAlignment w:val="center"/>
              <w:rPr>
                <w:color w:val="000000"/>
                <w:sz w:val="22"/>
                <w:szCs w:val="22"/>
                <w:lang w:val="de-DE"/>
              </w:rPr>
            </w:pPr>
            <w:r>
              <w:rPr>
                <w:noProof/>
                <w:sz w:val="22"/>
                <w:szCs w:val="22"/>
                <w:lang w:val="de-DE" w:eastAsia="en-GB"/>
              </w:rPr>
              <w:drawing>
                <wp:inline distT="0" distB="0" distL="0" distR="0" wp14:anchorId="2DF660EB" wp14:editId="51194F6C">
                  <wp:extent cx="3126105" cy="1297305"/>
                  <wp:effectExtent l="0" t="0" r="0" b="0"/>
                  <wp:docPr id="27" name="Picture 25" descr="ILL0442 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LL0442 v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26105" cy="1297305"/>
                          </a:xfrm>
                          <a:prstGeom prst="rect">
                            <a:avLst/>
                          </a:prstGeom>
                          <a:noFill/>
                          <a:ln>
                            <a:noFill/>
                          </a:ln>
                        </pic:spPr>
                      </pic:pic>
                    </a:graphicData>
                  </a:graphic>
                </wp:inline>
              </w:drawing>
            </w:r>
          </w:p>
        </w:tc>
      </w:tr>
      <w:tr w:rsidR="00FE291A" w:rsidRPr="00723069" w14:paraId="5DB7DF0D" w14:textId="77777777">
        <w:tc>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tcPr>
          <w:p w14:paraId="4403B808" w14:textId="77777777" w:rsidR="00FE291A" w:rsidRDefault="00C8738F">
            <w:pPr>
              <w:widowControl/>
              <w:suppressAutoHyphens/>
              <w:textAlignment w:val="center"/>
              <w:rPr>
                <w:b/>
                <w:color w:val="000000"/>
                <w:sz w:val="22"/>
                <w:szCs w:val="22"/>
                <w:lang w:val="de-DE"/>
              </w:rPr>
            </w:pPr>
            <w:r>
              <w:rPr>
                <w:rFonts w:eastAsia="HelveticaLTStd-Roman"/>
                <w:sz w:val="22"/>
                <w:szCs w:val="22"/>
                <w:lang w:val="de-DE"/>
              </w:rPr>
              <w:t xml:space="preserve">Legen Sie </w:t>
            </w:r>
            <w:r>
              <w:rPr>
                <w:rFonts w:eastAsia="HelveticaLTStd-Roman"/>
                <w:b/>
                <w:sz w:val="22"/>
                <w:szCs w:val="22"/>
                <w:lang w:val="de-DE"/>
              </w:rPr>
              <w:t>niemals</w:t>
            </w:r>
            <w:r>
              <w:rPr>
                <w:rFonts w:eastAsia="HelveticaLTStd-Roman"/>
                <w:sz w:val="22"/>
                <w:szCs w:val="22"/>
                <w:lang w:val="de-DE"/>
              </w:rPr>
              <w:t xml:space="preserve"> Ihre Finger auf die Kolbenstange, während Sie die Nadel einstechen</w:t>
            </w:r>
            <w:r>
              <w:rPr>
                <w:bCs/>
                <w:color w:val="000000"/>
                <w:sz w:val="22"/>
                <w:szCs w:val="22"/>
                <w:lang w:val="de-DE"/>
              </w:rPr>
              <w:t>.</w:t>
            </w:r>
          </w:p>
        </w:tc>
      </w:tr>
    </w:tbl>
    <w:p w14:paraId="71F4CEE2" w14:textId="77777777" w:rsidR="00FE291A" w:rsidRDefault="00FE291A">
      <w:pPr>
        <w:pStyle w:val="trianglemarkcopy"/>
        <w:widowControl/>
        <w:tabs>
          <w:tab w:val="clear" w:pos="828"/>
        </w:tabs>
        <w:spacing w:before="0" w:line="240" w:lineRule="auto"/>
        <w:ind w:left="0" w:firstLine="0"/>
        <w:rPr>
          <w:rStyle w:val="bodybold"/>
          <w:rFonts w:ascii="Times New Roman" w:hAnsi="Times New Roman"/>
          <w:b/>
          <w:bCs/>
          <w:color w:val="auto"/>
          <w:sz w:val="22"/>
          <w:szCs w:val="22"/>
          <w:lang w:val="de-DE"/>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33"/>
        <w:gridCol w:w="8530"/>
      </w:tblGrid>
      <w:tr w:rsidR="00FE291A" w:rsidRPr="002E6CD3" w14:paraId="0821D776" w14:textId="77777777">
        <w:tc>
          <w:tcPr>
            <w:tcW w:w="29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7B1BA26" w14:textId="77777777" w:rsidR="00FE291A" w:rsidRDefault="00C8738F">
            <w:pPr>
              <w:keepLines/>
              <w:widowControl/>
              <w:suppressAutoHyphens/>
              <w:textAlignment w:val="center"/>
              <w:rPr>
                <w:b/>
                <w:color w:val="000000"/>
                <w:sz w:val="22"/>
                <w:szCs w:val="22"/>
                <w:lang w:val="de-DE"/>
              </w:rPr>
            </w:pPr>
            <w:r>
              <w:rPr>
                <w:b/>
                <w:sz w:val="22"/>
                <w:szCs w:val="22"/>
                <w:lang w:val="de-DE"/>
              </w:rPr>
              <w:t>H.</w:t>
            </w:r>
          </w:p>
        </w:tc>
        <w:tc>
          <w:tcPr>
            <w:tcW w:w="470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3F1BFE" w14:textId="77777777" w:rsidR="00FE291A" w:rsidRDefault="00C8738F">
            <w:pPr>
              <w:keepLines/>
              <w:widowControl/>
              <w:rPr>
                <w:color w:val="000000"/>
                <w:sz w:val="22"/>
                <w:szCs w:val="22"/>
                <w:lang w:val="de-DE"/>
              </w:rPr>
            </w:pPr>
            <w:r>
              <w:rPr>
                <w:rFonts w:eastAsia="Calibri"/>
                <w:bCs/>
                <w:sz w:val="22"/>
                <w:szCs w:val="22"/>
                <w:lang w:val="de-DE"/>
              </w:rPr>
              <w:t>Schieben Sie die Kolbenstange langsam und mit gleichmäßigem Druck ganz nach unten, bis sie sich nicht weiterbewegt.</w:t>
            </w:r>
          </w:p>
        </w:tc>
      </w:tr>
      <w:tr w:rsidR="00FE291A" w14:paraId="4101D35D" w14:textId="77777777">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5538AD5" w14:textId="4DA8A06E" w:rsidR="00FE291A" w:rsidRDefault="009C5B62">
            <w:pPr>
              <w:widowControl/>
              <w:suppressAutoHyphens/>
              <w:textAlignment w:val="center"/>
              <w:rPr>
                <w:color w:val="000000"/>
                <w:sz w:val="22"/>
                <w:szCs w:val="22"/>
                <w:lang w:val="de-DE"/>
              </w:rPr>
            </w:pPr>
            <w:r>
              <w:rPr>
                <w:noProof/>
                <w:sz w:val="22"/>
                <w:lang w:val="de-DE" w:eastAsia="en-GB"/>
              </w:rPr>
              <w:drawing>
                <wp:inline distT="0" distB="0" distL="0" distR="0" wp14:anchorId="01BEC3A0" wp14:editId="7CAB2B4A">
                  <wp:extent cx="2897505" cy="1445895"/>
                  <wp:effectExtent l="0" t="0" r="0" b="0"/>
                  <wp:docPr id="28" name="Picture 26" descr="ILL0454 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LL0454 v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97505" cy="1445895"/>
                          </a:xfrm>
                          <a:prstGeom prst="rect">
                            <a:avLst/>
                          </a:prstGeom>
                          <a:noFill/>
                          <a:ln>
                            <a:noFill/>
                          </a:ln>
                        </pic:spPr>
                      </pic:pic>
                    </a:graphicData>
                  </a:graphic>
                </wp:inline>
              </w:drawing>
            </w:r>
          </w:p>
        </w:tc>
      </w:tr>
    </w:tbl>
    <w:p w14:paraId="7E166349" w14:textId="77777777" w:rsidR="00FE291A" w:rsidRDefault="00FE291A">
      <w:pPr>
        <w:pStyle w:val="trianglemarkcopy"/>
        <w:widowControl/>
        <w:tabs>
          <w:tab w:val="clear" w:pos="828"/>
        </w:tabs>
        <w:spacing w:before="0" w:line="240" w:lineRule="auto"/>
        <w:ind w:left="0" w:firstLine="0"/>
        <w:rPr>
          <w:rStyle w:val="bodybold"/>
          <w:rFonts w:ascii="Times New Roman" w:hAnsi="Times New Roman"/>
          <w:b/>
          <w:bCs/>
          <w:color w:val="auto"/>
          <w:sz w:val="22"/>
          <w:szCs w:val="22"/>
          <w:lang w:val="de-DE"/>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33"/>
        <w:gridCol w:w="8530"/>
      </w:tblGrid>
      <w:tr w:rsidR="00FE291A" w:rsidRPr="00723069" w14:paraId="5D6AAAA2" w14:textId="77777777">
        <w:tc>
          <w:tcPr>
            <w:tcW w:w="29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BEBD2D1" w14:textId="77777777" w:rsidR="00FE291A" w:rsidRDefault="00C8738F">
            <w:pPr>
              <w:keepLines/>
              <w:widowControl/>
              <w:suppressAutoHyphens/>
              <w:textAlignment w:val="center"/>
              <w:rPr>
                <w:b/>
                <w:color w:val="000000"/>
                <w:sz w:val="22"/>
                <w:szCs w:val="22"/>
                <w:lang w:val="de-DE"/>
              </w:rPr>
            </w:pPr>
            <w:r>
              <w:rPr>
                <w:b/>
                <w:sz w:val="22"/>
                <w:szCs w:val="22"/>
                <w:lang w:val="de-DE"/>
              </w:rPr>
              <w:t>I.</w:t>
            </w:r>
          </w:p>
        </w:tc>
        <w:tc>
          <w:tcPr>
            <w:tcW w:w="470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0379F6" w14:textId="77777777" w:rsidR="00FE291A" w:rsidRDefault="00C8738F">
            <w:pPr>
              <w:keepLines/>
              <w:widowControl/>
              <w:rPr>
                <w:color w:val="000000"/>
                <w:sz w:val="22"/>
                <w:szCs w:val="22"/>
                <w:lang w:val="de-DE"/>
              </w:rPr>
            </w:pPr>
            <w:r>
              <w:rPr>
                <w:sz w:val="22"/>
                <w:szCs w:val="22"/>
                <w:lang w:val="de-DE"/>
              </w:rPr>
              <w:t xml:space="preserve">Anschließend lassen Sie Ihren Daumen los und </w:t>
            </w:r>
            <w:r>
              <w:rPr>
                <w:rFonts w:eastAsia="Calibri"/>
                <w:bCs/>
                <w:sz w:val="22"/>
                <w:szCs w:val="22"/>
                <w:lang w:val="de-DE"/>
              </w:rPr>
              <w:t>heben die Spritze behutsam von Ihrer Haut ab.</w:t>
            </w:r>
          </w:p>
        </w:tc>
      </w:tr>
      <w:tr w:rsidR="00FE291A" w14:paraId="687D33C8" w14:textId="77777777">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20E1A4" w14:textId="462362D5" w:rsidR="00FE291A" w:rsidRDefault="009C5B62">
            <w:pPr>
              <w:widowControl/>
              <w:suppressAutoHyphens/>
              <w:textAlignment w:val="center"/>
              <w:rPr>
                <w:color w:val="000000"/>
                <w:sz w:val="22"/>
                <w:szCs w:val="22"/>
                <w:lang w:val="de-DE"/>
              </w:rPr>
            </w:pPr>
            <w:r>
              <w:rPr>
                <w:noProof/>
                <w:sz w:val="16"/>
                <w:szCs w:val="16"/>
                <w:lang w:val="de-DE" w:eastAsia="en-GB"/>
              </w:rPr>
              <w:drawing>
                <wp:inline distT="0" distB="0" distL="0" distR="0" wp14:anchorId="324EB2D6" wp14:editId="40B6F6B5">
                  <wp:extent cx="2503170" cy="1445895"/>
                  <wp:effectExtent l="0" t="0" r="0" b="0"/>
                  <wp:docPr id="29" name="Bild 30" descr="ILL0441 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 descr="ILL0441 v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03170" cy="1445895"/>
                          </a:xfrm>
                          <a:prstGeom prst="rect">
                            <a:avLst/>
                          </a:prstGeom>
                          <a:noFill/>
                          <a:ln>
                            <a:noFill/>
                          </a:ln>
                        </pic:spPr>
                      </pic:pic>
                    </a:graphicData>
                  </a:graphic>
                </wp:inline>
              </w:drawing>
            </w:r>
          </w:p>
        </w:tc>
      </w:tr>
    </w:tbl>
    <w:p w14:paraId="26386C61" w14:textId="77777777" w:rsidR="00FE291A" w:rsidRDefault="00FE291A">
      <w:pPr>
        <w:pStyle w:val="SUBSTEP"/>
        <w:widowControl/>
        <w:spacing w:before="0" w:line="240" w:lineRule="auto"/>
        <w:ind w:left="0" w:firstLine="0"/>
        <w:rPr>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9061"/>
      </w:tblGrid>
      <w:tr w:rsidR="00FE291A" w14:paraId="4036D109" w14:textId="77777777">
        <w:tc>
          <w:tcPr>
            <w:tcW w:w="500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DA28E38" w14:textId="77777777" w:rsidR="00FE291A" w:rsidRDefault="00C8738F">
            <w:pPr>
              <w:pStyle w:val="BULLETED"/>
              <w:keepNext/>
              <w:keepLines/>
              <w:widowControl/>
              <w:numPr>
                <w:ilvl w:val="0"/>
                <w:numId w:val="0"/>
              </w:numPr>
              <w:spacing w:before="0" w:line="240" w:lineRule="auto"/>
              <w:jc w:val="center"/>
              <w:rPr>
                <w:b/>
                <w:sz w:val="22"/>
                <w:szCs w:val="22"/>
                <w:lang w:val="de-DE"/>
              </w:rPr>
            </w:pPr>
            <w:r>
              <w:rPr>
                <w:b/>
                <w:sz w:val="22"/>
                <w:szCs w:val="22"/>
                <w:lang w:val="de-DE"/>
              </w:rPr>
              <w:t>Schritt 4: Abschluss</w:t>
            </w:r>
          </w:p>
        </w:tc>
      </w:tr>
    </w:tbl>
    <w:p w14:paraId="11FE262E" w14:textId="77777777" w:rsidR="00FE291A" w:rsidRDefault="00FE291A">
      <w:pPr>
        <w:keepNext/>
        <w:keepLines/>
        <w:widowControl/>
        <w:ind w:left="567" w:hanging="567"/>
        <w:rPr>
          <w:b/>
          <w:bCs/>
          <w:sz w:val="22"/>
          <w:szCs w:val="22"/>
          <w:lang w:val="de-DE"/>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33"/>
        <w:gridCol w:w="16"/>
        <w:gridCol w:w="8514"/>
      </w:tblGrid>
      <w:tr w:rsidR="00FE291A" w:rsidRPr="002E6CD3" w14:paraId="0B731C93" w14:textId="77777777">
        <w:tc>
          <w:tcPr>
            <w:tcW w:w="29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E0B795E" w14:textId="77777777" w:rsidR="00FE291A" w:rsidRDefault="00C8738F">
            <w:pPr>
              <w:keepNext/>
              <w:keepLines/>
              <w:widowControl/>
              <w:suppressAutoHyphens/>
              <w:textAlignment w:val="center"/>
              <w:rPr>
                <w:b/>
                <w:color w:val="000000"/>
                <w:sz w:val="22"/>
                <w:szCs w:val="22"/>
                <w:lang w:val="de-DE"/>
              </w:rPr>
            </w:pPr>
            <w:r>
              <w:rPr>
                <w:b/>
                <w:sz w:val="22"/>
                <w:szCs w:val="22"/>
                <w:lang w:val="de-DE"/>
              </w:rPr>
              <w:t>J.</w:t>
            </w:r>
          </w:p>
        </w:tc>
        <w:tc>
          <w:tcPr>
            <w:tcW w:w="4706"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3BF000" w14:textId="77777777" w:rsidR="00FE291A" w:rsidRDefault="00C8738F">
            <w:pPr>
              <w:keepNext/>
              <w:keepLines/>
              <w:widowControl/>
              <w:rPr>
                <w:color w:val="000000"/>
                <w:sz w:val="22"/>
                <w:szCs w:val="22"/>
                <w:lang w:val="de-DE"/>
              </w:rPr>
            </w:pPr>
            <w:r>
              <w:rPr>
                <w:rFonts w:eastAsia="Calibri"/>
                <w:bCs/>
                <w:sz w:val="22"/>
                <w:szCs w:val="22"/>
                <w:lang w:val="de-DE"/>
              </w:rPr>
              <w:t>Entsorgen Sie die gebrauchte Spritze und die Nadelschutzkappe</w:t>
            </w:r>
            <w:r>
              <w:rPr>
                <w:sz w:val="22"/>
                <w:szCs w:val="22"/>
                <w:lang w:val="de-DE"/>
              </w:rPr>
              <w:t>.</w:t>
            </w:r>
          </w:p>
        </w:tc>
      </w:tr>
      <w:tr w:rsidR="00FE291A" w14:paraId="7C9A4A37" w14:textId="77777777">
        <w:trPr>
          <w:trHeight w:val="3361"/>
        </w:trPr>
        <w:tc>
          <w:tcPr>
            <w:tcW w:w="5000" w:type="pct"/>
            <w:gridSpan w:val="3"/>
            <w:tcBorders>
              <w:top w:val="single" w:sz="4" w:space="0" w:color="auto"/>
              <w:left w:val="single" w:sz="4" w:space="0" w:color="auto"/>
              <w:bottom w:val="nil"/>
              <w:right w:val="single" w:sz="4" w:space="0" w:color="auto"/>
            </w:tcBorders>
            <w:tcMar>
              <w:top w:w="28" w:type="dxa"/>
              <w:left w:w="57" w:type="dxa"/>
              <w:bottom w:w="28" w:type="dxa"/>
              <w:right w:w="57" w:type="dxa"/>
            </w:tcMar>
          </w:tcPr>
          <w:p w14:paraId="5A1BEE85" w14:textId="2F735B15" w:rsidR="00FE291A" w:rsidRDefault="009C5B62">
            <w:pPr>
              <w:keepNext/>
              <w:keepLines/>
              <w:widowControl/>
              <w:suppressAutoHyphens/>
              <w:textAlignment w:val="center"/>
              <w:rPr>
                <w:color w:val="000000"/>
                <w:sz w:val="22"/>
                <w:szCs w:val="22"/>
                <w:lang w:val="de-DE"/>
              </w:rPr>
            </w:pPr>
            <w:r>
              <w:rPr>
                <w:noProof/>
                <w:sz w:val="10"/>
                <w:szCs w:val="10"/>
                <w:lang w:val="de-DE" w:eastAsia="en-GB"/>
              </w:rPr>
              <w:drawing>
                <wp:inline distT="0" distB="0" distL="0" distR="0" wp14:anchorId="706319B4" wp14:editId="63899058">
                  <wp:extent cx="1674495" cy="2057400"/>
                  <wp:effectExtent l="0" t="0" r="0" b="0"/>
                  <wp:docPr id="30" name="Picture 28" descr="ILL0331 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LL0331 v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74495" cy="2057400"/>
                          </a:xfrm>
                          <a:prstGeom prst="rect">
                            <a:avLst/>
                          </a:prstGeom>
                          <a:noFill/>
                          <a:ln>
                            <a:noFill/>
                          </a:ln>
                        </pic:spPr>
                      </pic:pic>
                    </a:graphicData>
                  </a:graphic>
                </wp:inline>
              </w:drawing>
            </w:r>
          </w:p>
        </w:tc>
      </w:tr>
      <w:tr w:rsidR="00FE291A" w:rsidRPr="00723069" w14:paraId="73B902E5" w14:textId="77777777">
        <w:tc>
          <w:tcPr>
            <w:tcW w:w="303" w:type="pct"/>
            <w:gridSpan w:val="2"/>
            <w:tcBorders>
              <w:top w:val="nil"/>
              <w:left w:val="single" w:sz="4" w:space="0" w:color="auto"/>
              <w:bottom w:val="nil"/>
              <w:right w:val="nil"/>
            </w:tcBorders>
            <w:tcMar>
              <w:top w:w="28" w:type="dxa"/>
              <w:left w:w="57" w:type="dxa"/>
              <w:bottom w:w="28" w:type="dxa"/>
              <w:right w:w="57" w:type="dxa"/>
            </w:tcMar>
          </w:tcPr>
          <w:p w14:paraId="461E2162" w14:textId="77777777" w:rsidR="00FE291A" w:rsidRDefault="00C8738F">
            <w:pPr>
              <w:pStyle w:val="ListParagraph"/>
              <w:widowControl/>
              <w:tabs>
                <w:tab w:val="left" w:pos="90"/>
              </w:tabs>
              <w:suppressAutoHyphens/>
              <w:textAlignment w:val="center"/>
              <w:rPr>
                <w:color w:val="000000"/>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0" w:type="dxa"/>
            </w:tcMar>
          </w:tcPr>
          <w:p w14:paraId="0CF37AC1" w14:textId="77777777" w:rsidR="00FE291A" w:rsidRDefault="00C8738F">
            <w:pPr>
              <w:widowControl/>
              <w:rPr>
                <w:rFonts w:eastAsia="Calibri"/>
                <w:sz w:val="22"/>
                <w:szCs w:val="22"/>
                <w:lang w:val="de-DE"/>
              </w:rPr>
            </w:pPr>
            <w:r>
              <w:rPr>
                <w:rFonts w:eastAsia="Calibri"/>
                <w:sz w:val="22"/>
                <w:szCs w:val="22"/>
                <w:lang w:val="de-DE"/>
              </w:rPr>
              <w:t xml:space="preserve">Die gebrauchte Spritze </w:t>
            </w:r>
            <w:r>
              <w:rPr>
                <w:rFonts w:eastAsia="Calibri"/>
                <w:b/>
                <w:sz w:val="22"/>
                <w:szCs w:val="22"/>
                <w:lang w:val="de-DE"/>
              </w:rPr>
              <w:t>nicht</w:t>
            </w:r>
            <w:r>
              <w:rPr>
                <w:rFonts w:eastAsia="Calibri"/>
                <w:sz w:val="22"/>
                <w:szCs w:val="22"/>
                <w:lang w:val="de-DE"/>
              </w:rPr>
              <w:t xml:space="preserve"> wieder verwenden.</w:t>
            </w:r>
          </w:p>
        </w:tc>
      </w:tr>
      <w:tr w:rsidR="00FE291A" w:rsidRPr="002E6CD3" w14:paraId="42DC2A42" w14:textId="77777777">
        <w:tc>
          <w:tcPr>
            <w:tcW w:w="303" w:type="pct"/>
            <w:gridSpan w:val="2"/>
            <w:tcBorders>
              <w:top w:val="nil"/>
              <w:left w:val="single" w:sz="4" w:space="0" w:color="auto"/>
              <w:bottom w:val="nil"/>
              <w:right w:val="nil"/>
            </w:tcBorders>
            <w:tcMar>
              <w:top w:w="28" w:type="dxa"/>
              <w:left w:w="57" w:type="dxa"/>
              <w:bottom w:w="28" w:type="dxa"/>
              <w:right w:w="57" w:type="dxa"/>
            </w:tcMar>
          </w:tcPr>
          <w:p w14:paraId="1BB101A8" w14:textId="77777777" w:rsidR="00FE291A" w:rsidRDefault="00C8738F">
            <w:pPr>
              <w:pStyle w:val="ListParagraph"/>
              <w:widowControl/>
              <w:tabs>
                <w:tab w:val="left" w:pos="90"/>
              </w:tabs>
              <w:suppressAutoHyphens/>
              <w:textAlignment w:val="center"/>
              <w:rPr>
                <w:color w:val="000000"/>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0" w:type="dxa"/>
            </w:tcMar>
          </w:tcPr>
          <w:p w14:paraId="7099443F" w14:textId="77777777" w:rsidR="00FE291A" w:rsidRDefault="00C8738F">
            <w:pPr>
              <w:widowControl/>
              <w:rPr>
                <w:rFonts w:eastAsia="Calibri"/>
                <w:sz w:val="22"/>
                <w:szCs w:val="22"/>
                <w:lang w:val="de-DE"/>
              </w:rPr>
            </w:pPr>
            <w:r>
              <w:rPr>
                <w:rFonts w:eastAsia="HelveticaLTStd-Roman"/>
                <w:sz w:val="22"/>
                <w:szCs w:val="22"/>
                <w:lang w:val="de-DE"/>
              </w:rPr>
              <w:t xml:space="preserve">Arzneimittel, das in der gebrauchten Spritze zurückbleibt, </w:t>
            </w:r>
            <w:r>
              <w:rPr>
                <w:rFonts w:eastAsia="HelveticaLTStd-Roman"/>
                <w:b/>
                <w:sz w:val="22"/>
                <w:szCs w:val="22"/>
                <w:lang w:val="de-DE"/>
              </w:rPr>
              <w:t>nicht</w:t>
            </w:r>
            <w:r>
              <w:rPr>
                <w:rFonts w:eastAsia="HelveticaLTStd-Roman"/>
                <w:sz w:val="22"/>
                <w:szCs w:val="22"/>
                <w:lang w:val="de-DE"/>
              </w:rPr>
              <w:t xml:space="preserve"> wieder verwenden</w:t>
            </w:r>
            <w:r>
              <w:rPr>
                <w:rFonts w:eastAsia="Calibri"/>
                <w:sz w:val="22"/>
                <w:szCs w:val="22"/>
                <w:lang w:val="de-DE"/>
              </w:rPr>
              <w:t>.</w:t>
            </w:r>
          </w:p>
        </w:tc>
      </w:tr>
      <w:tr w:rsidR="00FE291A" w:rsidRPr="002E6CD3" w14:paraId="2AFA8B0B" w14:textId="77777777">
        <w:tc>
          <w:tcPr>
            <w:tcW w:w="303" w:type="pct"/>
            <w:gridSpan w:val="2"/>
            <w:tcBorders>
              <w:top w:val="nil"/>
              <w:left w:val="single" w:sz="4" w:space="0" w:color="auto"/>
              <w:bottom w:val="nil"/>
              <w:right w:val="nil"/>
            </w:tcBorders>
            <w:tcMar>
              <w:top w:w="28" w:type="dxa"/>
              <w:left w:w="57" w:type="dxa"/>
              <w:bottom w:w="28" w:type="dxa"/>
              <w:right w:w="57" w:type="dxa"/>
            </w:tcMar>
          </w:tcPr>
          <w:p w14:paraId="134E0C1B" w14:textId="77777777" w:rsidR="00FE291A" w:rsidRDefault="00C8738F">
            <w:pPr>
              <w:pStyle w:val="ListParagraph"/>
              <w:widowControl/>
              <w:tabs>
                <w:tab w:val="left" w:pos="90"/>
              </w:tabs>
              <w:suppressAutoHyphens/>
              <w:textAlignment w:val="center"/>
              <w:rPr>
                <w:color w:val="000000"/>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0" w:type="dxa"/>
            </w:tcMar>
          </w:tcPr>
          <w:p w14:paraId="34333164" w14:textId="77777777" w:rsidR="00FE291A" w:rsidRDefault="00C8738F">
            <w:pPr>
              <w:widowControl/>
              <w:rPr>
                <w:rFonts w:eastAsia="Calibri"/>
                <w:sz w:val="22"/>
                <w:szCs w:val="22"/>
                <w:lang w:val="de-DE"/>
              </w:rPr>
            </w:pPr>
            <w:r>
              <w:rPr>
                <w:rFonts w:eastAsia="Calibri"/>
                <w:sz w:val="22"/>
                <w:szCs w:val="22"/>
                <w:lang w:val="de-DE"/>
              </w:rPr>
              <w:t xml:space="preserve">Werfen Sie die gebrauchte AMGEVITA-Spritze sofort nach Anwendung </w:t>
            </w:r>
            <w:r>
              <w:rPr>
                <w:rFonts w:eastAsia="Calibri"/>
                <w:bCs/>
                <w:sz w:val="22"/>
                <w:szCs w:val="22"/>
                <w:lang w:val="de-DE"/>
              </w:rPr>
              <w:t>in einen durchstichsicheren Behälter</w:t>
            </w:r>
            <w:r>
              <w:rPr>
                <w:rFonts w:eastAsia="Calibri"/>
                <w:sz w:val="22"/>
                <w:szCs w:val="22"/>
                <w:lang w:val="de-DE"/>
              </w:rPr>
              <w:t xml:space="preserve">. Werfen oder entsorgen Sie die Spritze </w:t>
            </w:r>
            <w:r>
              <w:rPr>
                <w:rFonts w:eastAsia="Calibri"/>
                <w:b/>
                <w:sz w:val="22"/>
                <w:szCs w:val="22"/>
                <w:lang w:val="de-DE"/>
              </w:rPr>
              <w:t>nicht</w:t>
            </w:r>
            <w:r>
              <w:rPr>
                <w:rFonts w:eastAsia="Calibri"/>
                <w:sz w:val="22"/>
                <w:szCs w:val="22"/>
                <w:lang w:val="de-DE"/>
              </w:rPr>
              <w:t xml:space="preserve"> in Ihren Haushaltsabfall.</w:t>
            </w:r>
          </w:p>
        </w:tc>
      </w:tr>
      <w:tr w:rsidR="00FE291A" w14:paraId="57002226" w14:textId="77777777">
        <w:tc>
          <w:tcPr>
            <w:tcW w:w="303" w:type="pct"/>
            <w:gridSpan w:val="2"/>
            <w:tcBorders>
              <w:top w:val="nil"/>
              <w:left w:val="single" w:sz="4" w:space="0" w:color="auto"/>
              <w:bottom w:val="nil"/>
              <w:right w:val="nil"/>
            </w:tcBorders>
            <w:tcMar>
              <w:top w:w="28" w:type="dxa"/>
              <w:left w:w="57" w:type="dxa"/>
              <w:bottom w:w="28" w:type="dxa"/>
              <w:right w:w="57" w:type="dxa"/>
            </w:tcMar>
          </w:tcPr>
          <w:p w14:paraId="68B4E3EF" w14:textId="77777777" w:rsidR="00FE291A" w:rsidRDefault="00C8738F">
            <w:pPr>
              <w:pStyle w:val="ListParagraph"/>
              <w:widowControl/>
              <w:tabs>
                <w:tab w:val="left" w:pos="90"/>
              </w:tabs>
              <w:suppressAutoHyphens/>
              <w:textAlignment w:val="center"/>
              <w:rPr>
                <w:color w:val="000000"/>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0" w:type="dxa"/>
            </w:tcMar>
          </w:tcPr>
          <w:p w14:paraId="7E9937D7" w14:textId="77777777" w:rsidR="00FE291A" w:rsidRDefault="00C8738F">
            <w:pPr>
              <w:widowControl/>
              <w:tabs>
                <w:tab w:val="left" w:pos="567"/>
              </w:tabs>
              <w:suppressAutoHyphens/>
              <w:textAlignment w:val="center"/>
              <w:rPr>
                <w:color w:val="000000"/>
                <w:sz w:val="22"/>
                <w:szCs w:val="22"/>
                <w:lang w:val="de-DE"/>
              </w:rPr>
            </w:pPr>
            <w:r>
              <w:rPr>
                <w:rFonts w:eastAsia="Calibri"/>
                <w:sz w:val="22"/>
                <w:szCs w:val="22"/>
                <w:lang w:val="de-DE"/>
              </w:rPr>
              <w:t>Sprechen Sie mit Ihrem Arzt oder Apotheker über die ordnungsgemäße Entsorgung. Möglicherweise gibt es nationale Richtlinien für die Entsorgung.</w:t>
            </w:r>
          </w:p>
        </w:tc>
      </w:tr>
      <w:tr w:rsidR="00FE291A" w:rsidRPr="002E6CD3" w14:paraId="18AA097E" w14:textId="77777777">
        <w:tc>
          <w:tcPr>
            <w:tcW w:w="303" w:type="pct"/>
            <w:gridSpan w:val="2"/>
            <w:tcBorders>
              <w:top w:val="nil"/>
              <w:left w:val="single" w:sz="4" w:space="0" w:color="auto"/>
              <w:bottom w:val="nil"/>
              <w:right w:val="nil"/>
            </w:tcBorders>
            <w:tcMar>
              <w:top w:w="28" w:type="dxa"/>
              <w:left w:w="57" w:type="dxa"/>
              <w:bottom w:w="28" w:type="dxa"/>
              <w:right w:w="57" w:type="dxa"/>
            </w:tcMar>
          </w:tcPr>
          <w:p w14:paraId="3B2AED23" w14:textId="77777777" w:rsidR="00FE291A" w:rsidRDefault="00C8738F">
            <w:pPr>
              <w:pStyle w:val="ListParagraph"/>
              <w:widowControl/>
              <w:tabs>
                <w:tab w:val="left" w:pos="90"/>
              </w:tabs>
              <w:suppressAutoHyphens/>
              <w:textAlignment w:val="center"/>
              <w:rPr>
                <w:color w:val="000000"/>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0" w:type="dxa"/>
            </w:tcMar>
          </w:tcPr>
          <w:p w14:paraId="78D82FAD" w14:textId="77777777" w:rsidR="00FE291A" w:rsidRDefault="00C8738F">
            <w:pPr>
              <w:widowControl/>
              <w:rPr>
                <w:rFonts w:eastAsia="Calibri"/>
                <w:sz w:val="22"/>
                <w:szCs w:val="22"/>
                <w:lang w:val="de-DE"/>
              </w:rPr>
            </w:pPr>
            <w:r>
              <w:rPr>
                <w:sz w:val="22"/>
                <w:szCs w:val="22"/>
                <w:lang w:val="de-DE"/>
              </w:rPr>
              <w:t xml:space="preserve">Die Spritze oder den durchstichsicheren Behälter </w:t>
            </w:r>
            <w:r>
              <w:rPr>
                <w:b/>
                <w:sz w:val="22"/>
                <w:szCs w:val="22"/>
                <w:lang w:val="de-DE"/>
              </w:rPr>
              <w:t>nicht</w:t>
            </w:r>
            <w:r>
              <w:rPr>
                <w:sz w:val="22"/>
                <w:szCs w:val="22"/>
                <w:lang w:val="de-DE"/>
              </w:rPr>
              <w:t xml:space="preserve"> recyceln oder in den Haushaltsabfall werfen</w:t>
            </w:r>
            <w:r>
              <w:rPr>
                <w:rFonts w:eastAsia="Calibri"/>
                <w:sz w:val="22"/>
                <w:szCs w:val="22"/>
                <w:lang w:val="de-DE"/>
              </w:rPr>
              <w:t>.</w:t>
            </w:r>
          </w:p>
        </w:tc>
      </w:tr>
      <w:tr w:rsidR="00FE291A" w:rsidRPr="002E6CD3" w14:paraId="46B62E2D" w14:textId="77777777">
        <w:tc>
          <w:tcPr>
            <w:tcW w:w="5000" w:type="pct"/>
            <w:gridSpan w:val="3"/>
            <w:tcBorders>
              <w:top w:val="nil"/>
              <w:left w:val="single" w:sz="4" w:space="0" w:color="auto"/>
              <w:bottom w:val="single" w:sz="4" w:space="0" w:color="auto"/>
              <w:right w:val="single" w:sz="4" w:space="0" w:color="auto"/>
            </w:tcBorders>
            <w:tcMar>
              <w:top w:w="28" w:type="dxa"/>
              <w:left w:w="57" w:type="dxa"/>
              <w:bottom w:w="28" w:type="dxa"/>
              <w:right w:w="57" w:type="dxa"/>
            </w:tcMar>
          </w:tcPr>
          <w:p w14:paraId="4E3AF42C" w14:textId="77777777" w:rsidR="00FE291A" w:rsidRDefault="00C8738F">
            <w:pPr>
              <w:pStyle w:val="SUBSTEP"/>
              <w:widowControl/>
              <w:tabs>
                <w:tab w:val="clear" w:pos="240"/>
                <w:tab w:val="clear" w:pos="360"/>
                <w:tab w:val="clear" w:pos="660"/>
                <w:tab w:val="clear" w:pos="780"/>
              </w:tabs>
              <w:spacing w:before="0" w:line="240" w:lineRule="auto"/>
              <w:ind w:left="0" w:firstLine="0"/>
              <w:rPr>
                <w:b w:val="0"/>
                <w:szCs w:val="22"/>
                <w:lang w:val="de-DE"/>
              </w:rPr>
            </w:pPr>
            <w:r>
              <w:rPr>
                <w:bCs w:val="0"/>
                <w:szCs w:val="22"/>
                <w:lang w:val="de-DE"/>
              </w:rPr>
              <w:t xml:space="preserve">Wichtig: </w:t>
            </w:r>
            <w:r>
              <w:rPr>
                <w:b w:val="0"/>
                <w:color w:val="auto"/>
                <w:szCs w:val="22"/>
                <w:lang w:val="de-DE"/>
              </w:rPr>
              <w:t>Den durchstichsicheren Behälter immer für Kinder unzugänglich aufbewahren.</w:t>
            </w:r>
          </w:p>
        </w:tc>
      </w:tr>
    </w:tbl>
    <w:p w14:paraId="5616474B" w14:textId="77777777" w:rsidR="00FE291A" w:rsidRDefault="00FE291A">
      <w:pPr>
        <w:pStyle w:val="trianglemarkcopy"/>
        <w:widowControl/>
        <w:tabs>
          <w:tab w:val="clear" w:pos="828"/>
        </w:tabs>
        <w:spacing w:before="0" w:line="240" w:lineRule="auto"/>
        <w:ind w:left="0" w:firstLine="0"/>
        <w:rPr>
          <w:rStyle w:val="bodybold"/>
          <w:rFonts w:ascii="Times New Roman" w:hAnsi="Times New Roman"/>
          <w:b/>
          <w:bCs/>
          <w:color w:val="auto"/>
          <w:sz w:val="22"/>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49"/>
        <w:gridCol w:w="8512"/>
      </w:tblGrid>
      <w:tr w:rsidR="00FE291A" w14:paraId="73D56FE1" w14:textId="77777777">
        <w:tc>
          <w:tcPr>
            <w:tcW w:w="30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FB9E502" w14:textId="77777777" w:rsidR="00FE291A" w:rsidRDefault="00C8738F">
            <w:pPr>
              <w:keepLines/>
              <w:widowControl/>
              <w:suppressAutoHyphens/>
              <w:textAlignment w:val="center"/>
              <w:rPr>
                <w:b/>
                <w:color w:val="000000"/>
                <w:sz w:val="22"/>
                <w:szCs w:val="22"/>
                <w:lang w:val="de-DE"/>
              </w:rPr>
            </w:pPr>
            <w:r>
              <w:rPr>
                <w:b/>
                <w:sz w:val="22"/>
                <w:szCs w:val="22"/>
                <w:lang w:val="de-DE"/>
              </w:rPr>
              <w:t>K.</w:t>
            </w:r>
          </w:p>
        </w:tc>
        <w:tc>
          <w:tcPr>
            <w:tcW w:w="4697"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9352A0" w14:textId="77777777" w:rsidR="00FE291A" w:rsidRDefault="00C8738F">
            <w:pPr>
              <w:keepLines/>
              <w:widowControl/>
              <w:rPr>
                <w:color w:val="000000"/>
                <w:sz w:val="22"/>
                <w:szCs w:val="22"/>
                <w:lang w:val="de-DE"/>
              </w:rPr>
            </w:pPr>
            <w:r>
              <w:rPr>
                <w:rFonts w:eastAsia="Calibri"/>
                <w:bCs/>
                <w:sz w:val="22"/>
                <w:szCs w:val="22"/>
                <w:lang w:val="de-DE"/>
              </w:rPr>
              <w:t>Überprüfen Sie die Injektionsstelle.</w:t>
            </w:r>
          </w:p>
        </w:tc>
      </w:tr>
      <w:tr w:rsidR="00FE291A" w:rsidRPr="002E6CD3" w14:paraId="414D8C20" w14:textId="77777777">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E320DF0" w14:textId="77777777" w:rsidR="00FE291A" w:rsidRDefault="00C8738F">
            <w:pPr>
              <w:widowControl/>
              <w:suppressAutoHyphens/>
              <w:textAlignment w:val="center"/>
              <w:rPr>
                <w:color w:val="000000"/>
                <w:sz w:val="22"/>
                <w:szCs w:val="22"/>
                <w:lang w:val="de-DE"/>
              </w:rPr>
            </w:pPr>
            <w:r>
              <w:rPr>
                <w:sz w:val="22"/>
                <w:szCs w:val="22"/>
                <w:lang w:val="de-DE"/>
              </w:rPr>
              <w:t>Falls Sie Blut bemerken</w:t>
            </w:r>
            <w:r>
              <w:rPr>
                <w:rFonts w:eastAsia="Calibri"/>
                <w:sz w:val="22"/>
                <w:szCs w:val="22"/>
                <w:lang w:val="de-DE"/>
              </w:rPr>
              <w:t xml:space="preserve">, drücken Sie einen Wattebausch oder Verbandmull auf Ihre Injektionsstelle. </w:t>
            </w:r>
            <w:r>
              <w:rPr>
                <w:rFonts w:eastAsia="Calibri"/>
                <w:b/>
                <w:sz w:val="22"/>
                <w:szCs w:val="22"/>
                <w:lang w:val="de-DE"/>
              </w:rPr>
              <w:t>Niemals</w:t>
            </w:r>
            <w:r>
              <w:rPr>
                <w:rFonts w:eastAsia="Calibri"/>
                <w:sz w:val="22"/>
                <w:szCs w:val="22"/>
                <w:lang w:val="de-DE"/>
              </w:rPr>
              <w:t xml:space="preserve"> die Injektionsstelle reiben. </w:t>
            </w:r>
            <w:r>
              <w:rPr>
                <w:sz w:val="22"/>
                <w:szCs w:val="22"/>
                <w:lang w:val="de-DE"/>
              </w:rPr>
              <w:t>Falls erforderlich, verwenden Sie ein Pflaster.</w:t>
            </w:r>
          </w:p>
        </w:tc>
      </w:tr>
    </w:tbl>
    <w:p w14:paraId="57057C98" w14:textId="77777777" w:rsidR="00FE291A" w:rsidRDefault="00FE291A">
      <w:pPr>
        <w:widowControl/>
        <w:outlineLvl w:val="0"/>
        <w:rPr>
          <w:b/>
          <w:sz w:val="22"/>
          <w:szCs w:val="22"/>
          <w:lang w:val="de-DE"/>
        </w:rPr>
      </w:pPr>
    </w:p>
    <w:p w14:paraId="0889AC50" w14:textId="77777777" w:rsidR="00FE291A" w:rsidRDefault="00FE291A">
      <w:pPr>
        <w:pStyle w:val="BodyText"/>
        <w:widowControl/>
        <w:kinsoku w:val="0"/>
        <w:overflowPunct w:val="0"/>
        <w:ind w:left="0"/>
        <w:rPr>
          <w:color w:val="000000"/>
          <w:lang w:val="de-DE"/>
        </w:rPr>
      </w:pPr>
    </w:p>
    <w:p w14:paraId="24A42B6B" w14:textId="77777777" w:rsidR="00FE291A" w:rsidRDefault="00C8738F">
      <w:pPr>
        <w:pStyle w:val="BodyText"/>
        <w:widowControl/>
        <w:kinsoku w:val="0"/>
        <w:overflowPunct w:val="0"/>
        <w:ind w:left="0"/>
        <w:jc w:val="center"/>
        <w:rPr>
          <w:b/>
          <w:bCs/>
          <w:lang w:val="de-DE"/>
        </w:rPr>
      </w:pPr>
      <w:r>
        <w:rPr>
          <w:color w:val="000000"/>
          <w:lang w:val="de-DE"/>
        </w:rPr>
        <w:br w:type="page"/>
      </w:r>
      <w:r>
        <w:rPr>
          <w:b/>
          <w:lang w:val="de-DE"/>
        </w:rPr>
        <w:t>Gebrauchsinformation: Information für den Patienten</w:t>
      </w:r>
    </w:p>
    <w:p w14:paraId="49225DBF" w14:textId="77777777" w:rsidR="00FE291A" w:rsidRDefault="00FE291A">
      <w:pPr>
        <w:widowControl/>
        <w:kinsoku w:val="0"/>
        <w:overflowPunct w:val="0"/>
        <w:rPr>
          <w:sz w:val="22"/>
          <w:szCs w:val="22"/>
          <w:lang w:val="de-DE"/>
        </w:rPr>
      </w:pPr>
    </w:p>
    <w:p w14:paraId="467332DE" w14:textId="77777777" w:rsidR="00FE291A" w:rsidRDefault="00C8738F">
      <w:pPr>
        <w:widowControl/>
        <w:kinsoku w:val="0"/>
        <w:overflowPunct w:val="0"/>
        <w:jc w:val="center"/>
        <w:rPr>
          <w:sz w:val="22"/>
          <w:szCs w:val="22"/>
          <w:lang w:val="de-DE"/>
        </w:rPr>
      </w:pPr>
      <w:r>
        <w:rPr>
          <w:b/>
          <w:bCs/>
          <w:sz w:val="22"/>
          <w:szCs w:val="22"/>
          <w:lang w:val="de-DE"/>
        </w:rPr>
        <w:t>AMGEVITA 40 mg Injektionslösung im Fertigpen</w:t>
      </w:r>
    </w:p>
    <w:p w14:paraId="4C733741" w14:textId="77777777" w:rsidR="00FE291A" w:rsidRDefault="00C8738F">
      <w:pPr>
        <w:pStyle w:val="BodyText"/>
        <w:widowControl/>
        <w:kinsoku w:val="0"/>
        <w:overflowPunct w:val="0"/>
        <w:ind w:left="0"/>
        <w:jc w:val="center"/>
        <w:rPr>
          <w:lang w:val="de-DE"/>
        </w:rPr>
      </w:pPr>
      <w:r>
        <w:rPr>
          <w:lang w:val="de-DE"/>
        </w:rPr>
        <w:t>Adalimumab</w:t>
      </w:r>
    </w:p>
    <w:p w14:paraId="7B1B92D3" w14:textId="77777777" w:rsidR="00FE291A" w:rsidRDefault="00FE291A">
      <w:pPr>
        <w:pStyle w:val="BodyText"/>
        <w:widowControl/>
        <w:kinsoku w:val="0"/>
        <w:overflowPunct w:val="0"/>
        <w:ind w:left="0"/>
        <w:jc w:val="center"/>
        <w:rPr>
          <w:lang w:val="de-DE"/>
        </w:rPr>
      </w:pPr>
    </w:p>
    <w:p w14:paraId="6BDC9D2A" w14:textId="77777777" w:rsidR="00FE291A" w:rsidRDefault="00FE291A">
      <w:pPr>
        <w:widowControl/>
        <w:kinsoku w:val="0"/>
        <w:overflowPunct w:val="0"/>
        <w:rPr>
          <w:sz w:val="22"/>
          <w:szCs w:val="22"/>
          <w:lang w:val="de-DE"/>
        </w:rPr>
      </w:pPr>
    </w:p>
    <w:p w14:paraId="09863F7C" w14:textId="77777777" w:rsidR="00FE291A" w:rsidRDefault="00C8738F">
      <w:pPr>
        <w:pStyle w:val="Heading1"/>
        <w:widowControl/>
        <w:kinsoku w:val="0"/>
        <w:overflowPunct w:val="0"/>
        <w:ind w:left="0"/>
        <w:rPr>
          <w:b w:val="0"/>
          <w:bCs w:val="0"/>
          <w:lang w:val="de-DE"/>
        </w:rPr>
      </w:pPr>
      <w:r>
        <w:rPr>
          <w:lang w:val="de-DE"/>
        </w:rPr>
        <w:t>Lesen Sie die gesamte Packungsbeilage sorgfältig durch, bevor Sie mit der Anwendung dieses Arzneimittels beginnen, denn sie enthält wichtige Informationen.</w:t>
      </w:r>
    </w:p>
    <w:p w14:paraId="7E3E28D2"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Heben Sie die Packungsbeilage auf. Vielleicht möchten Sie diese später nochmals lesen.</w:t>
      </w:r>
    </w:p>
    <w:p w14:paraId="31B10A02"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 xml:space="preserve">Ihr Arzt wird Ihnen auch einen </w:t>
      </w:r>
      <w:r>
        <w:rPr>
          <w:b/>
          <w:lang w:val="de-DE"/>
        </w:rPr>
        <w:t>Patientenpass</w:t>
      </w:r>
      <w:r>
        <w:rPr>
          <w:lang w:val="de-DE"/>
        </w:rPr>
        <w:t xml:space="preserve"> aushändigen, der wichtige Informationen zur Sicherheit enthält, die Sie vor und während der Behandlung mit AMGEVITA beachten sollten. Führen Sie diesen </w:t>
      </w:r>
      <w:r>
        <w:rPr>
          <w:b/>
          <w:lang w:val="de-DE"/>
        </w:rPr>
        <w:t>Patientenpass</w:t>
      </w:r>
      <w:r>
        <w:rPr>
          <w:lang w:val="de-DE"/>
        </w:rPr>
        <w:t xml:space="preserve"> mit sich.</w:t>
      </w:r>
    </w:p>
    <w:p w14:paraId="6FD9C32B"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Wenn Sie weitere Fragen haben, wenden Sie sich an Ihren Arzt oder Apotheker.</w:t>
      </w:r>
    </w:p>
    <w:p w14:paraId="10213DAA"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Dieses Arzneimittel wurde Ihnen persönlich verschrieben. Geben Sie es nicht an Dritte weiter. Es kann anderen Menschen schaden, auch wenn diese die gleichen Beschwerden haben wie Sie.</w:t>
      </w:r>
    </w:p>
    <w:p w14:paraId="66474BBE"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Wenn Sie Nebenwirkungen bemerken, wenden Sie sich an Ihren Arzt oder Apotheker. Dies gilt auch für Nebenwirkungen, die nicht in dieser Packungsbeilage angegeben sind (siehe Abschnitt 4).</w:t>
      </w:r>
    </w:p>
    <w:p w14:paraId="58319F93" w14:textId="77777777" w:rsidR="00FE291A" w:rsidRDefault="00FE291A">
      <w:pPr>
        <w:widowControl/>
        <w:kinsoku w:val="0"/>
        <w:overflowPunct w:val="0"/>
        <w:rPr>
          <w:sz w:val="22"/>
          <w:szCs w:val="26"/>
          <w:lang w:val="de-DE"/>
        </w:rPr>
      </w:pPr>
    </w:p>
    <w:p w14:paraId="02C3A54B" w14:textId="77777777" w:rsidR="00FE291A" w:rsidRDefault="00C8738F">
      <w:pPr>
        <w:pStyle w:val="Heading1"/>
        <w:widowControl/>
        <w:kinsoku w:val="0"/>
        <w:overflowPunct w:val="0"/>
        <w:ind w:left="0"/>
        <w:rPr>
          <w:lang w:val="de-DE"/>
        </w:rPr>
      </w:pPr>
      <w:r>
        <w:rPr>
          <w:lang w:val="de-DE"/>
        </w:rPr>
        <w:t>Diese Packungsbeilage beinhaltet</w:t>
      </w:r>
    </w:p>
    <w:p w14:paraId="26A8EE63" w14:textId="77777777" w:rsidR="00FE291A" w:rsidRDefault="00FE291A">
      <w:pPr>
        <w:widowControl/>
        <w:rPr>
          <w:sz w:val="22"/>
          <w:lang w:val="de-DE"/>
        </w:rPr>
      </w:pPr>
    </w:p>
    <w:p w14:paraId="39CE1207" w14:textId="77777777" w:rsidR="00FE291A" w:rsidRDefault="00C8738F">
      <w:pPr>
        <w:pStyle w:val="BodyText"/>
        <w:widowControl/>
        <w:tabs>
          <w:tab w:val="left" w:pos="567"/>
        </w:tabs>
        <w:kinsoku w:val="0"/>
        <w:overflowPunct w:val="0"/>
        <w:ind w:left="567" w:hanging="567"/>
        <w:rPr>
          <w:lang w:val="de-DE"/>
        </w:rPr>
      </w:pPr>
      <w:r>
        <w:rPr>
          <w:lang w:val="de-DE"/>
        </w:rPr>
        <w:t>1.</w:t>
      </w:r>
      <w:r>
        <w:rPr>
          <w:lang w:val="de-DE"/>
        </w:rPr>
        <w:tab/>
        <w:t>Was ist AMGEVITA und wofür wird es angewendet?</w:t>
      </w:r>
    </w:p>
    <w:p w14:paraId="31965AA7" w14:textId="77777777" w:rsidR="00FE291A" w:rsidRDefault="00C8738F">
      <w:pPr>
        <w:pStyle w:val="BodyText"/>
        <w:widowControl/>
        <w:tabs>
          <w:tab w:val="left" w:pos="567"/>
        </w:tabs>
        <w:kinsoku w:val="0"/>
        <w:overflowPunct w:val="0"/>
        <w:ind w:left="0"/>
        <w:rPr>
          <w:lang w:val="de-DE"/>
        </w:rPr>
      </w:pPr>
      <w:r>
        <w:rPr>
          <w:lang w:val="de-DE"/>
        </w:rPr>
        <w:t>2.</w:t>
      </w:r>
      <w:r>
        <w:rPr>
          <w:lang w:val="de-DE"/>
        </w:rPr>
        <w:tab/>
        <w:t>Was sollten Sie vor der Anwendung von AMGEVITA beachten?</w:t>
      </w:r>
    </w:p>
    <w:p w14:paraId="702096C6" w14:textId="77777777" w:rsidR="00FE291A" w:rsidRDefault="00C8738F">
      <w:pPr>
        <w:pStyle w:val="BodyText"/>
        <w:widowControl/>
        <w:tabs>
          <w:tab w:val="left" w:pos="567"/>
        </w:tabs>
        <w:kinsoku w:val="0"/>
        <w:overflowPunct w:val="0"/>
        <w:ind w:left="0"/>
        <w:rPr>
          <w:lang w:val="de-DE"/>
        </w:rPr>
      </w:pPr>
      <w:r>
        <w:rPr>
          <w:lang w:val="de-DE"/>
        </w:rPr>
        <w:t>3.</w:t>
      </w:r>
      <w:r>
        <w:rPr>
          <w:lang w:val="de-DE"/>
        </w:rPr>
        <w:tab/>
        <w:t>Wie ist AMGEVITA anzuwenden?</w:t>
      </w:r>
    </w:p>
    <w:p w14:paraId="2D452F87" w14:textId="77777777" w:rsidR="00FE291A" w:rsidRDefault="00C8738F">
      <w:pPr>
        <w:pStyle w:val="BodyText"/>
        <w:widowControl/>
        <w:tabs>
          <w:tab w:val="left" w:pos="567"/>
        </w:tabs>
        <w:kinsoku w:val="0"/>
        <w:overflowPunct w:val="0"/>
        <w:ind w:left="0"/>
        <w:rPr>
          <w:lang w:val="de-DE"/>
        </w:rPr>
      </w:pPr>
      <w:r>
        <w:rPr>
          <w:lang w:val="de-DE"/>
        </w:rPr>
        <w:t>4.</w:t>
      </w:r>
      <w:r>
        <w:rPr>
          <w:lang w:val="de-DE"/>
        </w:rPr>
        <w:tab/>
        <w:t>Welche Nebenwirkungen sind möglich?</w:t>
      </w:r>
    </w:p>
    <w:p w14:paraId="523D22C9" w14:textId="77777777" w:rsidR="00FE291A" w:rsidRDefault="00C8738F">
      <w:pPr>
        <w:pStyle w:val="BodyText"/>
        <w:widowControl/>
        <w:tabs>
          <w:tab w:val="left" w:pos="567"/>
        </w:tabs>
        <w:kinsoku w:val="0"/>
        <w:overflowPunct w:val="0"/>
        <w:ind w:left="0"/>
        <w:rPr>
          <w:lang w:val="de-DE"/>
        </w:rPr>
      </w:pPr>
      <w:r>
        <w:rPr>
          <w:lang w:val="de-DE"/>
        </w:rPr>
        <w:t>5.</w:t>
      </w:r>
      <w:r>
        <w:rPr>
          <w:lang w:val="de-DE"/>
        </w:rPr>
        <w:tab/>
        <w:t>Wie ist AMGEVITA aufzubewahren?</w:t>
      </w:r>
    </w:p>
    <w:p w14:paraId="0E6C6392" w14:textId="77777777" w:rsidR="00FE291A" w:rsidRDefault="00C8738F">
      <w:pPr>
        <w:pStyle w:val="BodyText"/>
        <w:widowControl/>
        <w:tabs>
          <w:tab w:val="left" w:pos="567"/>
        </w:tabs>
        <w:kinsoku w:val="0"/>
        <w:overflowPunct w:val="0"/>
        <w:ind w:left="0"/>
        <w:rPr>
          <w:lang w:val="de-DE"/>
        </w:rPr>
      </w:pPr>
      <w:r>
        <w:rPr>
          <w:lang w:val="de-DE"/>
        </w:rPr>
        <w:t>6.</w:t>
      </w:r>
      <w:r>
        <w:rPr>
          <w:lang w:val="de-DE"/>
        </w:rPr>
        <w:tab/>
        <w:t>Inhalt der Packung und weitere Informationen</w:t>
      </w:r>
    </w:p>
    <w:p w14:paraId="6F3496C0" w14:textId="77777777" w:rsidR="00FE291A" w:rsidRDefault="00FE291A">
      <w:pPr>
        <w:widowControl/>
        <w:kinsoku w:val="0"/>
        <w:overflowPunct w:val="0"/>
        <w:rPr>
          <w:sz w:val="22"/>
          <w:szCs w:val="20"/>
          <w:lang w:val="de-DE"/>
        </w:rPr>
      </w:pPr>
    </w:p>
    <w:p w14:paraId="4F88453A" w14:textId="77777777" w:rsidR="00FE291A" w:rsidRDefault="00FE291A">
      <w:pPr>
        <w:widowControl/>
        <w:kinsoku w:val="0"/>
        <w:overflowPunct w:val="0"/>
        <w:rPr>
          <w:sz w:val="22"/>
          <w:szCs w:val="20"/>
          <w:lang w:val="de-DE"/>
        </w:rPr>
      </w:pPr>
    </w:p>
    <w:p w14:paraId="39D4971D" w14:textId="77777777" w:rsidR="00FE291A" w:rsidRDefault="00C8738F">
      <w:pPr>
        <w:pStyle w:val="Heading1"/>
        <w:widowControl/>
        <w:tabs>
          <w:tab w:val="left" w:pos="567"/>
        </w:tabs>
        <w:kinsoku w:val="0"/>
        <w:overflowPunct w:val="0"/>
        <w:ind w:left="0"/>
        <w:rPr>
          <w:b w:val="0"/>
          <w:bCs w:val="0"/>
          <w:lang w:val="de-DE"/>
        </w:rPr>
      </w:pPr>
      <w:r>
        <w:rPr>
          <w:lang w:val="de-DE"/>
        </w:rPr>
        <w:t>1.</w:t>
      </w:r>
      <w:r>
        <w:rPr>
          <w:lang w:val="de-DE"/>
        </w:rPr>
        <w:tab/>
        <w:t>Was ist AMGEVITA und wofür wird es angewendet?</w:t>
      </w:r>
    </w:p>
    <w:p w14:paraId="2BB61398" w14:textId="77777777" w:rsidR="00FE291A" w:rsidRDefault="00FE291A">
      <w:pPr>
        <w:widowControl/>
        <w:kinsoku w:val="0"/>
        <w:overflowPunct w:val="0"/>
        <w:rPr>
          <w:sz w:val="22"/>
          <w:szCs w:val="22"/>
          <w:lang w:val="de-DE"/>
        </w:rPr>
      </w:pPr>
    </w:p>
    <w:p w14:paraId="031A82D1" w14:textId="77777777" w:rsidR="00FE291A" w:rsidRDefault="00C8738F">
      <w:pPr>
        <w:pStyle w:val="BodyText"/>
        <w:widowControl/>
        <w:kinsoku w:val="0"/>
        <w:overflowPunct w:val="0"/>
        <w:ind w:left="0"/>
        <w:rPr>
          <w:lang w:val="de-DE"/>
        </w:rPr>
      </w:pPr>
      <w:r>
        <w:rPr>
          <w:lang w:val="de-DE"/>
        </w:rPr>
        <w:t>AMGEVITA enthält den Wirkstoff Adalimumab, ein Arzneimittel, das auf das Immunsystem (das körpereigene Abwehrsystem) Ihres Körpers wirkt.</w:t>
      </w:r>
    </w:p>
    <w:p w14:paraId="2B19422D" w14:textId="77777777" w:rsidR="00FE291A" w:rsidRDefault="00FE291A">
      <w:pPr>
        <w:pStyle w:val="BodyText"/>
        <w:widowControl/>
        <w:kinsoku w:val="0"/>
        <w:overflowPunct w:val="0"/>
        <w:ind w:left="0"/>
        <w:rPr>
          <w:lang w:val="de-DE"/>
        </w:rPr>
      </w:pPr>
    </w:p>
    <w:p w14:paraId="030C7F50" w14:textId="77777777" w:rsidR="00FE291A" w:rsidRDefault="00C8738F">
      <w:pPr>
        <w:pStyle w:val="BodyText"/>
        <w:widowControl/>
        <w:kinsoku w:val="0"/>
        <w:overflowPunct w:val="0"/>
        <w:ind w:left="0"/>
        <w:rPr>
          <w:lang w:val="de-DE"/>
        </w:rPr>
      </w:pPr>
      <w:r>
        <w:rPr>
          <w:lang w:val="de-DE"/>
        </w:rPr>
        <w:t>AMGEVITA ist für die Behandlung folgender entzündlicher Erkrankungen vorgesehen:</w:t>
      </w:r>
    </w:p>
    <w:p w14:paraId="117CC4B5"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Rheumatoide Arthritis</w:t>
      </w:r>
    </w:p>
    <w:p w14:paraId="7A930069"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Polyartikuläre juvenile idiopathische Arthritis</w:t>
      </w:r>
    </w:p>
    <w:p w14:paraId="7483B6E0"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Enthesitis-assoziierte Arthritis</w:t>
      </w:r>
    </w:p>
    <w:p w14:paraId="7C0B9D97"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Ankylosierende Spondylitis</w:t>
      </w:r>
    </w:p>
    <w:p w14:paraId="64A9B18C"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Axiale Spondyloarthritis, bei der im Röntgenbild noch keine Verknöcherung nachweisbar ist</w:t>
      </w:r>
    </w:p>
    <w:p w14:paraId="5D0D4643"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Psoriasis-Arthritis</w:t>
      </w:r>
    </w:p>
    <w:p w14:paraId="614D6296"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Plaque-Psoriasis</w:t>
      </w:r>
    </w:p>
    <w:p w14:paraId="70CC040F"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Hidradenitis suppurativa (Acne inversa)</w:t>
      </w:r>
    </w:p>
    <w:p w14:paraId="5DC49F0B"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Morbus Crohn</w:t>
      </w:r>
    </w:p>
    <w:p w14:paraId="5B1662E7"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 xml:space="preserve">Colitis ulcerosa </w:t>
      </w:r>
    </w:p>
    <w:p w14:paraId="04DD2611"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Nicht-infektiöse Uveitis</w:t>
      </w:r>
    </w:p>
    <w:p w14:paraId="330A0E1A" w14:textId="77777777" w:rsidR="00FE291A" w:rsidRDefault="00FE291A">
      <w:pPr>
        <w:pStyle w:val="BodyText"/>
        <w:widowControl/>
        <w:kinsoku w:val="0"/>
        <w:overflowPunct w:val="0"/>
        <w:ind w:left="0"/>
        <w:rPr>
          <w:lang w:val="de-DE"/>
        </w:rPr>
      </w:pPr>
    </w:p>
    <w:p w14:paraId="23CBD091" w14:textId="77777777" w:rsidR="00FE291A" w:rsidRDefault="00C8738F">
      <w:pPr>
        <w:pStyle w:val="BodyText"/>
        <w:widowControl/>
        <w:kinsoku w:val="0"/>
        <w:overflowPunct w:val="0"/>
        <w:ind w:left="0"/>
        <w:rPr>
          <w:lang w:val="de-DE"/>
        </w:rPr>
      </w:pPr>
      <w:r>
        <w:rPr>
          <w:lang w:val="de-DE"/>
        </w:rPr>
        <w:t>Der Wirkstoff von AMGEVITA, Adalimumab, ist ein humaner monoklonaler Antikörper. Monoklonale Antikörper sind Eiweiße, die sich an ein bestimmtes Ziel anheften.</w:t>
      </w:r>
    </w:p>
    <w:p w14:paraId="5D0D0B56" w14:textId="77777777" w:rsidR="00FE291A" w:rsidRDefault="00FE291A">
      <w:pPr>
        <w:pStyle w:val="BodyText"/>
        <w:widowControl/>
        <w:kinsoku w:val="0"/>
        <w:overflowPunct w:val="0"/>
        <w:ind w:left="0"/>
        <w:rPr>
          <w:lang w:val="de-DE"/>
        </w:rPr>
      </w:pPr>
    </w:p>
    <w:p w14:paraId="5878D914" w14:textId="77777777" w:rsidR="00FE291A" w:rsidRDefault="00C8738F">
      <w:pPr>
        <w:pStyle w:val="BodyText"/>
        <w:widowControl/>
        <w:kinsoku w:val="0"/>
        <w:overflowPunct w:val="0"/>
        <w:ind w:left="0"/>
        <w:rPr>
          <w:lang w:val="de-DE"/>
        </w:rPr>
      </w:pPr>
      <w:r>
        <w:rPr>
          <w:lang w:val="de-DE"/>
        </w:rPr>
        <w:t>Das Ziel von Adalimumab ist das Eiweiß Tumornekrosefaktor-alpha (TNFα). TNFα ist beteiligt an Abwehrreaktionen des Körpers. Bei den oben genannten Erkrankungen ist die Menge an TNFα erhöht. AMGEVITA heftet sich an TNFα und verringert dadurch die entzündlichen Vorgänge bei diesen Erkrankungen.</w:t>
      </w:r>
    </w:p>
    <w:p w14:paraId="2F2CB141" w14:textId="77777777" w:rsidR="00FE291A" w:rsidRDefault="00FE291A">
      <w:pPr>
        <w:widowControl/>
        <w:kinsoku w:val="0"/>
        <w:overflowPunct w:val="0"/>
        <w:rPr>
          <w:sz w:val="22"/>
          <w:szCs w:val="22"/>
          <w:lang w:val="de-DE"/>
        </w:rPr>
      </w:pPr>
    </w:p>
    <w:p w14:paraId="6098CE0C" w14:textId="77777777" w:rsidR="00FE291A" w:rsidRDefault="00C8738F">
      <w:pPr>
        <w:pStyle w:val="BodyText"/>
        <w:keepNext/>
        <w:widowControl/>
        <w:kinsoku w:val="0"/>
        <w:overflowPunct w:val="0"/>
        <w:ind w:left="0"/>
        <w:rPr>
          <w:lang w:val="de-DE"/>
        </w:rPr>
      </w:pPr>
      <w:r>
        <w:rPr>
          <w:u w:val="single"/>
          <w:lang w:val="de-DE"/>
        </w:rPr>
        <w:t>Rheumatoide Arthritis</w:t>
      </w:r>
    </w:p>
    <w:p w14:paraId="61258E7B" w14:textId="77777777" w:rsidR="00FE291A" w:rsidRDefault="00FE291A">
      <w:pPr>
        <w:keepNext/>
        <w:widowControl/>
        <w:kinsoku w:val="0"/>
        <w:overflowPunct w:val="0"/>
        <w:rPr>
          <w:sz w:val="22"/>
          <w:szCs w:val="22"/>
          <w:lang w:val="de-DE"/>
        </w:rPr>
      </w:pPr>
    </w:p>
    <w:p w14:paraId="78D7E2A4" w14:textId="77777777" w:rsidR="00FE291A" w:rsidRDefault="00C8738F">
      <w:pPr>
        <w:pStyle w:val="BodyText"/>
        <w:widowControl/>
        <w:kinsoku w:val="0"/>
        <w:overflowPunct w:val="0"/>
        <w:ind w:left="0"/>
        <w:rPr>
          <w:lang w:val="de-DE"/>
        </w:rPr>
      </w:pPr>
      <w:r>
        <w:rPr>
          <w:lang w:val="de-DE"/>
        </w:rPr>
        <w:t>Die rheumatoide Arthritis ist eine entzündliche Erkrankung der Gelenke.</w:t>
      </w:r>
    </w:p>
    <w:p w14:paraId="0D1EA53E" w14:textId="77777777" w:rsidR="00FE291A" w:rsidRDefault="00FE291A">
      <w:pPr>
        <w:widowControl/>
        <w:kinsoku w:val="0"/>
        <w:overflowPunct w:val="0"/>
        <w:rPr>
          <w:sz w:val="22"/>
          <w:szCs w:val="22"/>
          <w:lang w:val="de-DE"/>
        </w:rPr>
      </w:pPr>
    </w:p>
    <w:p w14:paraId="6BB5F225" w14:textId="77777777" w:rsidR="00FE291A" w:rsidRDefault="00C8738F">
      <w:pPr>
        <w:pStyle w:val="BodyText"/>
        <w:widowControl/>
        <w:kinsoku w:val="0"/>
        <w:overflowPunct w:val="0"/>
        <w:ind w:left="0"/>
        <w:rPr>
          <w:lang w:val="de-DE"/>
        </w:rPr>
      </w:pPr>
      <w:r>
        <w:rPr>
          <w:lang w:val="de-DE"/>
        </w:rPr>
        <w:t>AMGEVITA wird angewendet, um die rheumatoide Arthritis bei Erwachsenen zu behandeln. Wenn Sie eine mäßige bis schwere aktive rheumatoide Arthritis haben, werden Ihnen möglicherweise zunächst andere Arzneimittel (Basistherapeutika wie Methotrexat) verabreicht. Wenn Sie nicht ausreichend auf diese Arzneimittel ansprechen, erhalten Sie AMGEVITA, um Ihre rheumatoide Arthritis zu behandeln.</w:t>
      </w:r>
    </w:p>
    <w:p w14:paraId="3E175F3E" w14:textId="77777777" w:rsidR="00FE291A" w:rsidRDefault="00FE291A">
      <w:pPr>
        <w:pStyle w:val="BodyText"/>
        <w:widowControl/>
        <w:kinsoku w:val="0"/>
        <w:overflowPunct w:val="0"/>
        <w:ind w:left="0"/>
        <w:rPr>
          <w:lang w:val="de-DE"/>
        </w:rPr>
      </w:pPr>
    </w:p>
    <w:p w14:paraId="21AD9349" w14:textId="77777777" w:rsidR="00FE291A" w:rsidRDefault="00C8738F">
      <w:pPr>
        <w:pStyle w:val="BodyText"/>
        <w:widowControl/>
        <w:kinsoku w:val="0"/>
        <w:overflowPunct w:val="0"/>
        <w:ind w:left="0"/>
        <w:rPr>
          <w:lang w:val="de-DE"/>
        </w:rPr>
      </w:pPr>
      <w:r>
        <w:rPr>
          <w:lang w:val="de-DE"/>
        </w:rPr>
        <w:t>AMGEVITA kann auch zur Behandlung einer schweren aktiven und fortschreitenden (progressiven) rheumatoiden Arthritis ohne vorherige Methotrexat-Behandlung eingesetzt werden.</w:t>
      </w:r>
    </w:p>
    <w:p w14:paraId="1AF80F1E" w14:textId="77777777" w:rsidR="00FE291A" w:rsidRDefault="00FE291A">
      <w:pPr>
        <w:widowControl/>
        <w:kinsoku w:val="0"/>
        <w:overflowPunct w:val="0"/>
        <w:rPr>
          <w:sz w:val="22"/>
          <w:szCs w:val="22"/>
          <w:lang w:val="de-DE"/>
        </w:rPr>
      </w:pPr>
    </w:p>
    <w:p w14:paraId="3968C332" w14:textId="77777777" w:rsidR="00FE291A" w:rsidRDefault="00C8738F">
      <w:pPr>
        <w:pStyle w:val="BodyText"/>
        <w:widowControl/>
        <w:kinsoku w:val="0"/>
        <w:overflowPunct w:val="0"/>
        <w:ind w:left="0"/>
        <w:rPr>
          <w:lang w:val="de-DE"/>
        </w:rPr>
      </w:pPr>
      <w:r>
        <w:rPr>
          <w:lang w:val="de-DE"/>
        </w:rPr>
        <w:t>AMGEVITA verlangsamt das Fortschreiten der durch die Erkrankung verursachten Knorpel- und Knochenschädigungen der Gelenke. AMGEVITA verbessert die körperliche Funktionsfähigkeit.</w:t>
      </w:r>
    </w:p>
    <w:p w14:paraId="03153214" w14:textId="77777777" w:rsidR="00FE291A" w:rsidRDefault="00FE291A">
      <w:pPr>
        <w:widowControl/>
        <w:kinsoku w:val="0"/>
        <w:overflowPunct w:val="0"/>
        <w:rPr>
          <w:sz w:val="22"/>
          <w:szCs w:val="22"/>
          <w:lang w:val="de-DE"/>
        </w:rPr>
      </w:pPr>
    </w:p>
    <w:p w14:paraId="5F2EE5BB" w14:textId="77777777" w:rsidR="00FE291A" w:rsidRDefault="00C8738F">
      <w:pPr>
        <w:pStyle w:val="BodyText"/>
        <w:widowControl/>
        <w:kinsoku w:val="0"/>
        <w:overflowPunct w:val="0"/>
        <w:ind w:left="0"/>
        <w:rPr>
          <w:lang w:val="de-DE"/>
        </w:rPr>
      </w:pPr>
      <w:r>
        <w:rPr>
          <w:lang w:val="de-DE"/>
        </w:rPr>
        <w:t>AMGEVITA wird üblicherweise mit Methotrexat verwendet. Sollte Ihr Arzt die Gabe von Methotrexat als nicht geeignet erachten, kann AMGEVITA auch alleine angewendet werden.</w:t>
      </w:r>
    </w:p>
    <w:p w14:paraId="2530272E" w14:textId="77777777" w:rsidR="00FE291A" w:rsidRDefault="00FE291A">
      <w:pPr>
        <w:widowControl/>
        <w:kinsoku w:val="0"/>
        <w:overflowPunct w:val="0"/>
        <w:rPr>
          <w:sz w:val="22"/>
          <w:szCs w:val="22"/>
          <w:lang w:val="de-DE"/>
        </w:rPr>
      </w:pPr>
    </w:p>
    <w:p w14:paraId="435BDDF0" w14:textId="77777777" w:rsidR="00FE291A" w:rsidRDefault="00C8738F">
      <w:pPr>
        <w:pStyle w:val="BodyText"/>
        <w:widowControl/>
        <w:kinsoku w:val="0"/>
        <w:overflowPunct w:val="0"/>
        <w:ind w:left="0"/>
        <w:rPr>
          <w:lang w:val="de-DE"/>
        </w:rPr>
      </w:pPr>
      <w:r>
        <w:rPr>
          <w:u w:val="single"/>
          <w:lang w:val="de-DE"/>
        </w:rPr>
        <w:t>Polyartikuläre juvenile idiopathische Arthritis und Enthesitis-assoziierte Arthritis</w:t>
      </w:r>
    </w:p>
    <w:p w14:paraId="365E0BF1" w14:textId="77777777" w:rsidR="00FE291A" w:rsidRDefault="00FE291A">
      <w:pPr>
        <w:widowControl/>
        <w:kinsoku w:val="0"/>
        <w:overflowPunct w:val="0"/>
        <w:rPr>
          <w:sz w:val="22"/>
          <w:szCs w:val="22"/>
          <w:lang w:val="de-DE"/>
        </w:rPr>
      </w:pPr>
    </w:p>
    <w:p w14:paraId="50FCE887" w14:textId="77777777" w:rsidR="00FE291A" w:rsidRDefault="00C8738F">
      <w:pPr>
        <w:pStyle w:val="BodyText"/>
        <w:widowControl/>
        <w:kinsoku w:val="0"/>
        <w:overflowPunct w:val="0"/>
        <w:ind w:left="0"/>
        <w:rPr>
          <w:lang w:val="de-DE"/>
        </w:rPr>
      </w:pPr>
      <w:r>
        <w:rPr>
          <w:lang w:val="de-DE"/>
        </w:rPr>
        <w:t>Die polyartikuläre juvenile idiopathische Arthritis und die Enthesitis-assoziierte Arthritis sind entzündliche Erkrankungen der Gelenke, die üblicherweise das erste Mal in der Kindheit auftreten.</w:t>
      </w:r>
    </w:p>
    <w:p w14:paraId="117163EE" w14:textId="77777777" w:rsidR="00FE291A" w:rsidRDefault="00FE291A">
      <w:pPr>
        <w:pStyle w:val="BodyText"/>
        <w:widowControl/>
        <w:kinsoku w:val="0"/>
        <w:overflowPunct w:val="0"/>
        <w:ind w:left="0"/>
        <w:rPr>
          <w:lang w:val="de-DE"/>
        </w:rPr>
      </w:pPr>
    </w:p>
    <w:p w14:paraId="46134F9E" w14:textId="77777777" w:rsidR="00FE291A" w:rsidRDefault="00C8738F">
      <w:pPr>
        <w:pStyle w:val="BodyText"/>
        <w:widowControl/>
        <w:kinsoku w:val="0"/>
        <w:overflowPunct w:val="0"/>
        <w:ind w:left="0"/>
        <w:rPr>
          <w:lang w:val="de-DE"/>
        </w:rPr>
      </w:pPr>
      <w:r>
        <w:rPr>
          <w:lang w:val="de-DE"/>
        </w:rPr>
        <w:t>AMGEVITA wird angewendet, um die polyartikuläre idiopathische Arthritis bei Patienten ab 2 Jahren bzw. die Enthesitis-assoziierte Arthritis bei Patienten ab 6 Jahren zu behandeln. Es werden Ihnen möglicherweise zunächst andere Arzneimittel (Basistherapeutika wie Methotrexat) verabreicht. Wenn Sie nicht ausreichend auf diese Arzneimittel ansprechen, erhalten Sie AMGEVITA, um Ihre polyartikuläre juvenile idiopathische Arthritis oder Enthesitis-assoziierte Arthritis zu behandeln.</w:t>
      </w:r>
    </w:p>
    <w:p w14:paraId="6DE2360A" w14:textId="77777777" w:rsidR="00FE291A" w:rsidRDefault="00FE291A">
      <w:pPr>
        <w:widowControl/>
        <w:kinsoku w:val="0"/>
        <w:overflowPunct w:val="0"/>
        <w:rPr>
          <w:sz w:val="22"/>
          <w:szCs w:val="22"/>
          <w:lang w:val="de-DE"/>
        </w:rPr>
      </w:pPr>
    </w:p>
    <w:p w14:paraId="1A400F14" w14:textId="77777777" w:rsidR="00FE291A" w:rsidRDefault="00C8738F">
      <w:pPr>
        <w:pStyle w:val="BodyText"/>
        <w:keepNext/>
        <w:widowControl/>
        <w:kinsoku w:val="0"/>
        <w:overflowPunct w:val="0"/>
        <w:ind w:left="0"/>
        <w:rPr>
          <w:lang w:val="de-DE"/>
        </w:rPr>
      </w:pPr>
      <w:r>
        <w:rPr>
          <w:u w:val="single"/>
          <w:lang w:val="de-DE"/>
        </w:rPr>
        <w:t>Ankylosierende Spondylitis und axiale Spondyloarthritis, bei der im Röntgenbild noch keine</w:t>
      </w:r>
      <w:r>
        <w:rPr>
          <w:lang w:val="de-DE"/>
        </w:rPr>
        <w:t xml:space="preserve"> </w:t>
      </w:r>
      <w:r>
        <w:rPr>
          <w:u w:val="single"/>
          <w:lang w:val="de-DE"/>
        </w:rPr>
        <w:t>Verknöcherung nachweisbar ist</w:t>
      </w:r>
    </w:p>
    <w:p w14:paraId="268F260B" w14:textId="77777777" w:rsidR="00FE291A" w:rsidRDefault="00FE291A">
      <w:pPr>
        <w:keepNext/>
        <w:widowControl/>
        <w:kinsoku w:val="0"/>
        <w:overflowPunct w:val="0"/>
        <w:rPr>
          <w:sz w:val="22"/>
          <w:szCs w:val="22"/>
          <w:lang w:val="de-DE"/>
        </w:rPr>
      </w:pPr>
    </w:p>
    <w:p w14:paraId="5CB33B2D" w14:textId="77777777" w:rsidR="00FE291A" w:rsidRDefault="00C8738F">
      <w:pPr>
        <w:pStyle w:val="BodyText"/>
        <w:widowControl/>
        <w:kinsoku w:val="0"/>
        <w:overflowPunct w:val="0"/>
        <w:ind w:left="0"/>
        <w:rPr>
          <w:lang w:val="de-DE"/>
        </w:rPr>
      </w:pPr>
      <w:r>
        <w:rPr>
          <w:lang w:val="de-DE"/>
        </w:rPr>
        <w:t>Die ankylosierende Spondylitis und axiale Spondyloarthritis, bei der im Röntgenbild noch keine Verknöcherung nachweisbar ist, sind entzündliche Erkrankungen der Wirbelsäule.</w:t>
      </w:r>
    </w:p>
    <w:p w14:paraId="62F21C9D" w14:textId="77777777" w:rsidR="00FE291A" w:rsidRDefault="00FE291A">
      <w:pPr>
        <w:widowControl/>
        <w:kinsoku w:val="0"/>
        <w:overflowPunct w:val="0"/>
        <w:rPr>
          <w:sz w:val="22"/>
          <w:szCs w:val="22"/>
          <w:lang w:val="de-DE"/>
        </w:rPr>
      </w:pPr>
    </w:p>
    <w:p w14:paraId="7D40A91E" w14:textId="77777777" w:rsidR="00FE291A" w:rsidRDefault="00C8738F">
      <w:pPr>
        <w:pStyle w:val="BodyText"/>
        <w:widowControl/>
        <w:kinsoku w:val="0"/>
        <w:overflowPunct w:val="0"/>
        <w:ind w:left="0"/>
        <w:rPr>
          <w:lang w:val="de-DE"/>
        </w:rPr>
      </w:pPr>
      <w:r>
        <w:rPr>
          <w:lang w:val="de-DE"/>
        </w:rPr>
        <w:t>AMGEVITA wird angewendet, um die ankylosierende Spondylitis und axiale Spondyloarthritis, bei der im Röntgenbild noch keine Verknöcherung nachweisbar ist, bei Erwachsenen zu behandeln. Wenn Sie eine ankylosierende Spondylitis oder axiale Spondyloarthritis, bei der im Röntgenbild noch keine Verknöcherung nachweisbar ist, haben, werden Sie zunächst mit anderen Arzneimitteln behandelt. Wenn Sie nicht ausreichend auf diese Arzneimittel ansprechen, erhalten Sie AMGEVITA, um die Anzeichen und Beschwerden Ihrer Erkrankung zu vermindern.</w:t>
      </w:r>
    </w:p>
    <w:p w14:paraId="34A4EE4B" w14:textId="77777777" w:rsidR="00FE291A" w:rsidRDefault="00FE291A">
      <w:pPr>
        <w:widowControl/>
        <w:kinsoku w:val="0"/>
        <w:overflowPunct w:val="0"/>
        <w:rPr>
          <w:sz w:val="22"/>
          <w:szCs w:val="22"/>
          <w:lang w:val="de-DE"/>
        </w:rPr>
      </w:pPr>
    </w:p>
    <w:p w14:paraId="3656799B" w14:textId="77777777" w:rsidR="00FE291A" w:rsidRDefault="00C8738F">
      <w:pPr>
        <w:pStyle w:val="BodyText"/>
        <w:keepNext/>
        <w:widowControl/>
        <w:kinsoku w:val="0"/>
        <w:overflowPunct w:val="0"/>
        <w:ind w:left="0"/>
        <w:rPr>
          <w:lang w:val="de-DE"/>
        </w:rPr>
      </w:pPr>
      <w:r>
        <w:rPr>
          <w:u w:val="single"/>
          <w:lang w:val="de-DE"/>
        </w:rPr>
        <w:t>Psoriasis-Arthritis</w:t>
      </w:r>
    </w:p>
    <w:p w14:paraId="2E83F84A" w14:textId="77777777" w:rsidR="00FE291A" w:rsidRDefault="00FE291A">
      <w:pPr>
        <w:keepNext/>
        <w:widowControl/>
        <w:kinsoku w:val="0"/>
        <w:overflowPunct w:val="0"/>
        <w:rPr>
          <w:sz w:val="22"/>
          <w:szCs w:val="22"/>
          <w:lang w:val="de-DE"/>
        </w:rPr>
      </w:pPr>
    </w:p>
    <w:p w14:paraId="17D90594" w14:textId="77777777" w:rsidR="00FE291A" w:rsidRDefault="00C8738F">
      <w:pPr>
        <w:pStyle w:val="BodyText"/>
        <w:widowControl/>
        <w:kinsoku w:val="0"/>
        <w:overflowPunct w:val="0"/>
        <w:ind w:left="0"/>
        <w:rPr>
          <w:lang w:val="de-DE"/>
        </w:rPr>
      </w:pPr>
      <w:r>
        <w:rPr>
          <w:lang w:val="de-DE"/>
        </w:rPr>
        <w:t>Die Psoriasis-Arthritis ist eine Entzündung der Gelenke, die in Verbindung mit Schuppenflechte (Psoriasis) auftritt.</w:t>
      </w:r>
    </w:p>
    <w:p w14:paraId="7BB7B84F" w14:textId="77777777" w:rsidR="00FE291A" w:rsidRDefault="00FE291A">
      <w:pPr>
        <w:widowControl/>
        <w:kinsoku w:val="0"/>
        <w:overflowPunct w:val="0"/>
        <w:rPr>
          <w:sz w:val="22"/>
          <w:szCs w:val="22"/>
          <w:lang w:val="de-DE"/>
        </w:rPr>
      </w:pPr>
    </w:p>
    <w:p w14:paraId="52269BB8" w14:textId="77777777" w:rsidR="00FE291A" w:rsidRDefault="00C8738F">
      <w:pPr>
        <w:pStyle w:val="BodyText"/>
        <w:widowControl/>
        <w:kinsoku w:val="0"/>
        <w:overflowPunct w:val="0"/>
        <w:ind w:left="0"/>
        <w:rPr>
          <w:lang w:val="de-DE"/>
        </w:rPr>
      </w:pPr>
      <w:r>
        <w:rPr>
          <w:lang w:val="de-DE"/>
        </w:rPr>
        <w:t>AMGEVITA wird angewendet, um die Psoriasis-Arthritis bei Erwachsenen zu behandeln. AMGEVITA verlangsamt das Fortschreiten der durch die Erkrankung verursachten Knorpel- und Knochenschädigungen der Gelenke. AMGEVITA verbessert die körperliche Funktionsfähigkeit.</w:t>
      </w:r>
    </w:p>
    <w:p w14:paraId="2E30C6C6" w14:textId="77777777" w:rsidR="00FE291A" w:rsidRDefault="00FE291A">
      <w:pPr>
        <w:widowControl/>
        <w:kinsoku w:val="0"/>
        <w:overflowPunct w:val="0"/>
        <w:rPr>
          <w:sz w:val="22"/>
          <w:szCs w:val="22"/>
          <w:lang w:val="de-DE"/>
        </w:rPr>
      </w:pPr>
    </w:p>
    <w:p w14:paraId="2046671C" w14:textId="77777777" w:rsidR="00FE291A" w:rsidRDefault="00C8738F">
      <w:pPr>
        <w:pStyle w:val="BodyText"/>
        <w:keepNext/>
        <w:widowControl/>
        <w:kinsoku w:val="0"/>
        <w:overflowPunct w:val="0"/>
        <w:ind w:left="0"/>
        <w:rPr>
          <w:lang w:val="de-DE"/>
        </w:rPr>
      </w:pPr>
      <w:r>
        <w:rPr>
          <w:u w:val="single"/>
          <w:lang w:val="de-DE"/>
        </w:rPr>
        <w:t>Plaque-Psoriasis bei Erwachsenen, Kindern und Jugendlichen</w:t>
      </w:r>
    </w:p>
    <w:p w14:paraId="47EE5418" w14:textId="77777777" w:rsidR="00FE291A" w:rsidRDefault="00FE291A">
      <w:pPr>
        <w:keepNext/>
        <w:widowControl/>
        <w:kinsoku w:val="0"/>
        <w:overflowPunct w:val="0"/>
        <w:rPr>
          <w:sz w:val="22"/>
          <w:szCs w:val="22"/>
          <w:lang w:val="de-DE"/>
        </w:rPr>
      </w:pPr>
    </w:p>
    <w:p w14:paraId="1D1CFC08" w14:textId="77777777" w:rsidR="00FE291A" w:rsidRDefault="00C8738F">
      <w:pPr>
        <w:pStyle w:val="BodyText"/>
        <w:widowControl/>
        <w:kinsoku w:val="0"/>
        <w:overflowPunct w:val="0"/>
        <w:ind w:left="0"/>
        <w:rPr>
          <w:lang w:val="de-DE"/>
        </w:rPr>
      </w:pPr>
      <w:r>
        <w:rPr>
          <w:lang w:val="de-DE"/>
        </w:rPr>
        <w:t>Plaque-Psoriasis (Schuppenflechte mit klar abgegrenzten Hautstellen) ist ein Hautzustand, der rote, schuppige, verkrustete Stellen auf der Haut verursacht, die mit silbrigen Schuppen bedeckt sind. Plaque</w:t>
      </w:r>
      <w:r>
        <w:rPr>
          <w:lang w:val="de-DE"/>
        </w:rPr>
        <w:noBreakHyphen/>
        <w:t>Psoriasis kann auch die Nägel befallen, sodass diese spröde werden, sich verdicken und sich vom Nagelbett abheben, was schmerzhaft sein kann. Es wird angenommen, dass die Schuppenflechte durch ein Problem mit dem körpereigenen Abwehrsystem verursacht wird. Dadurch kommt es zu einer vermehrten Produktion von Hautzellen.</w:t>
      </w:r>
    </w:p>
    <w:p w14:paraId="7BFD742D" w14:textId="77777777" w:rsidR="00FE291A" w:rsidRDefault="00FE291A">
      <w:pPr>
        <w:widowControl/>
        <w:kinsoku w:val="0"/>
        <w:overflowPunct w:val="0"/>
        <w:rPr>
          <w:sz w:val="22"/>
          <w:szCs w:val="22"/>
          <w:lang w:val="de-DE"/>
        </w:rPr>
      </w:pPr>
    </w:p>
    <w:p w14:paraId="455EE82B" w14:textId="77777777" w:rsidR="00FE291A" w:rsidRDefault="00C8738F">
      <w:pPr>
        <w:pStyle w:val="BodyText"/>
        <w:widowControl/>
        <w:kinsoku w:val="0"/>
        <w:overflowPunct w:val="0"/>
        <w:ind w:left="0"/>
        <w:rPr>
          <w:lang w:val="de-DE"/>
        </w:rPr>
      </w:pPr>
      <w:r>
        <w:rPr>
          <w:lang w:val="de-DE"/>
        </w:rPr>
        <w:t>AMGEVITA wird angewendet, um die mittelschwere bis schwere Plaque-Psoriasis bei Erwachsenen zu behandeln. AMGEVITA wird auch angewendet, um schwere Plaque-Psoriasis bei Kindern und Jugendlichen zwischen 4 und 17 Jahren zu behandeln, bei denen eine äußerliche, örtliche Behandlung und Behandlungen mit Licht (Phototherapien) nicht sehr gut gewirkt haben oder nicht geeignet sind.</w:t>
      </w:r>
    </w:p>
    <w:p w14:paraId="64FDA358" w14:textId="77777777" w:rsidR="00FE291A" w:rsidRDefault="00FE291A">
      <w:pPr>
        <w:pStyle w:val="BodyText"/>
        <w:widowControl/>
        <w:kinsoku w:val="0"/>
        <w:overflowPunct w:val="0"/>
        <w:ind w:left="0"/>
        <w:rPr>
          <w:lang w:val="de-DE"/>
        </w:rPr>
      </w:pPr>
    </w:p>
    <w:p w14:paraId="71704C1F" w14:textId="77777777" w:rsidR="00FE291A" w:rsidRDefault="00C8738F">
      <w:pPr>
        <w:pStyle w:val="BodyText"/>
        <w:widowControl/>
        <w:kinsoku w:val="0"/>
        <w:overflowPunct w:val="0"/>
        <w:ind w:left="0"/>
        <w:rPr>
          <w:lang w:val="de-DE"/>
        </w:rPr>
      </w:pPr>
      <w:r>
        <w:rPr>
          <w:u w:val="single"/>
          <w:lang w:val="de-DE"/>
        </w:rPr>
        <w:t>Hidradenitis suppurativa (Acne inversa) bei Erwachsenen und Jugendlichen</w:t>
      </w:r>
    </w:p>
    <w:p w14:paraId="7C252357" w14:textId="77777777" w:rsidR="00FE291A" w:rsidRDefault="00FE291A">
      <w:pPr>
        <w:widowControl/>
        <w:kinsoku w:val="0"/>
        <w:overflowPunct w:val="0"/>
        <w:rPr>
          <w:sz w:val="22"/>
          <w:szCs w:val="22"/>
          <w:lang w:val="de-DE"/>
        </w:rPr>
      </w:pPr>
    </w:p>
    <w:p w14:paraId="37C9B7F8" w14:textId="77777777" w:rsidR="00FE291A" w:rsidRDefault="00C8738F">
      <w:pPr>
        <w:pStyle w:val="BodyText"/>
        <w:widowControl/>
        <w:kinsoku w:val="0"/>
        <w:overflowPunct w:val="0"/>
        <w:ind w:left="0"/>
        <w:rPr>
          <w:lang w:val="de-DE"/>
        </w:rPr>
      </w:pPr>
      <w:r>
        <w:rPr>
          <w:lang w:val="de-DE"/>
        </w:rPr>
        <w:t>Hidradenitis suppurativa (auch Acne inversa genannt) ist eine chronische und oft schmerzhafte entzündliche Hauterkrankung. Zu den Beschwerden gehören unter anderem druckempfindliche Knötchen und Eiteransammlungen (Abszesse), aus denen Eiter austreten kann. Am häufigsten sind bestimmte Bereiche der Haut betroffen, wie z. B. unter den Brüsten, unter den Achseln, an den Innenseiten der Oberschenkel, in der Leistengegend und am Gesäß. An den betroffenen Stellen kann es auch zu Vernarbungen kommen.</w:t>
      </w:r>
    </w:p>
    <w:p w14:paraId="50A36635" w14:textId="77777777" w:rsidR="00FE291A" w:rsidRDefault="00FE291A">
      <w:pPr>
        <w:widowControl/>
        <w:kinsoku w:val="0"/>
        <w:overflowPunct w:val="0"/>
        <w:rPr>
          <w:sz w:val="22"/>
          <w:szCs w:val="22"/>
          <w:lang w:val="de-DE"/>
        </w:rPr>
      </w:pPr>
    </w:p>
    <w:p w14:paraId="2794D32D" w14:textId="77777777" w:rsidR="00FE291A" w:rsidRDefault="00C8738F">
      <w:pPr>
        <w:pStyle w:val="BodyText"/>
        <w:widowControl/>
        <w:kinsoku w:val="0"/>
        <w:overflowPunct w:val="0"/>
        <w:ind w:left="0"/>
        <w:rPr>
          <w:lang w:val="de-DE"/>
        </w:rPr>
      </w:pPr>
      <w:r>
        <w:rPr>
          <w:lang w:val="de-DE"/>
        </w:rPr>
        <w:t xml:space="preserve">AMGEVITA wird zur Behandlung der Hidradenitis suppurativa bei Erwachsenen </w:t>
      </w:r>
      <w:r>
        <w:rPr>
          <w:lang w:val="de-DE" w:eastAsia="de-DE"/>
        </w:rPr>
        <w:t>und Jugendlichen ab einem Alter von 12 Jahren</w:t>
      </w:r>
      <w:r>
        <w:rPr>
          <w:lang w:val="de-DE"/>
        </w:rPr>
        <w:t xml:space="preserve"> angewendet. AMGEVITA kann die Anzahl Ihrer Knötchen und Eiteransammlungen verringern und kann die Schmerzen, die oft mit dieser Erkrankung einhergehen, lindern. Möglicherweise bekommen Sie zunächst andere Arzneimittel. </w:t>
      </w:r>
      <w:r>
        <w:rPr>
          <w:lang w:val="de-DE" w:eastAsia="de-DE"/>
        </w:rPr>
        <w:t>Wenn Sie nicht ausreichend auf diese Arzneimittel ansprechen, erhalten Sie AMGEVITA.</w:t>
      </w:r>
    </w:p>
    <w:p w14:paraId="1376299C" w14:textId="77777777" w:rsidR="00FE291A" w:rsidRDefault="00FE291A">
      <w:pPr>
        <w:widowControl/>
        <w:kinsoku w:val="0"/>
        <w:overflowPunct w:val="0"/>
        <w:rPr>
          <w:sz w:val="22"/>
          <w:szCs w:val="22"/>
          <w:lang w:val="de-DE"/>
        </w:rPr>
      </w:pPr>
    </w:p>
    <w:p w14:paraId="37270B5B" w14:textId="77777777" w:rsidR="00FE291A" w:rsidRDefault="00C8738F">
      <w:pPr>
        <w:pStyle w:val="BodyText"/>
        <w:widowControl/>
        <w:kinsoku w:val="0"/>
        <w:overflowPunct w:val="0"/>
        <w:ind w:left="0"/>
        <w:rPr>
          <w:lang w:val="de-DE"/>
        </w:rPr>
      </w:pPr>
      <w:r>
        <w:rPr>
          <w:u w:val="single"/>
          <w:lang w:val="de-DE"/>
        </w:rPr>
        <w:t>Morbus Crohn bei Erwachsenen, Kindern und Jugendlichen</w:t>
      </w:r>
    </w:p>
    <w:p w14:paraId="6FEB790C" w14:textId="77777777" w:rsidR="00FE291A" w:rsidRDefault="00FE291A">
      <w:pPr>
        <w:widowControl/>
        <w:kinsoku w:val="0"/>
        <w:overflowPunct w:val="0"/>
        <w:rPr>
          <w:sz w:val="22"/>
          <w:szCs w:val="22"/>
          <w:lang w:val="de-DE"/>
        </w:rPr>
      </w:pPr>
    </w:p>
    <w:p w14:paraId="378FBD24" w14:textId="77777777" w:rsidR="00FE291A" w:rsidRDefault="00C8738F">
      <w:pPr>
        <w:pStyle w:val="BodyText"/>
        <w:widowControl/>
        <w:kinsoku w:val="0"/>
        <w:overflowPunct w:val="0"/>
        <w:ind w:left="0"/>
        <w:rPr>
          <w:lang w:val="de-DE"/>
        </w:rPr>
      </w:pPr>
      <w:r>
        <w:rPr>
          <w:lang w:val="de-DE"/>
        </w:rPr>
        <w:t>Morbus Crohn ist eine entzündliche Erkrankung des Verdauungstraktes.</w:t>
      </w:r>
    </w:p>
    <w:p w14:paraId="2057EA9E" w14:textId="77777777" w:rsidR="00FE291A" w:rsidRDefault="00FE291A">
      <w:pPr>
        <w:widowControl/>
        <w:kinsoku w:val="0"/>
        <w:overflowPunct w:val="0"/>
        <w:rPr>
          <w:sz w:val="22"/>
          <w:szCs w:val="22"/>
          <w:lang w:val="de-DE"/>
        </w:rPr>
      </w:pPr>
    </w:p>
    <w:p w14:paraId="67D06F63" w14:textId="77777777" w:rsidR="00FE291A" w:rsidRDefault="00C8738F">
      <w:pPr>
        <w:pStyle w:val="BodyText"/>
        <w:widowControl/>
        <w:kinsoku w:val="0"/>
        <w:overflowPunct w:val="0"/>
        <w:ind w:left="0"/>
        <w:rPr>
          <w:lang w:val="de-DE"/>
        </w:rPr>
      </w:pPr>
      <w:r>
        <w:rPr>
          <w:lang w:val="de-DE"/>
        </w:rPr>
        <w:t>AMGEVITA wird angewendet zur Behandlung von Morbus Crohn bei Erwachsenen, Kindern und Jugendlichen zwischen 6 und 17 Jahren. Wenn Sie an Morbus Crohn erkrankt sind, werden Sie zunächst mit anderen Arzneimitteln behandelt. Wenn Sie nicht ausreichend auf diese Arzneimittel ansprechen, erhalten Sie AMGEVITA, um die Anzeichen und Beschwerden von Morbus Crohn zu vermindern.</w:t>
      </w:r>
    </w:p>
    <w:p w14:paraId="424E0773" w14:textId="77777777" w:rsidR="00FE291A" w:rsidRDefault="00FE291A">
      <w:pPr>
        <w:widowControl/>
        <w:kinsoku w:val="0"/>
        <w:overflowPunct w:val="0"/>
        <w:rPr>
          <w:sz w:val="22"/>
          <w:szCs w:val="22"/>
          <w:lang w:val="de-DE"/>
        </w:rPr>
      </w:pPr>
    </w:p>
    <w:p w14:paraId="4680A27D" w14:textId="77777777" w:rsidR="00FE291A" w:rsidRDefault="00C8738F">
      <w:pPr>
        <w:pStyle w:val="BodyText"/>
        <w:widowControl/>
        <w:kinsoku w:val="0"/>
        <w:overflowPunct w:val="0"/>
        <w:ind w:left="0"/>
        <w:rPr>
          <w:lang w:val="de-DE"/>
        </w:rPr>
      </w:pPr>
      <w:r>
        <w:rPr>
          <w:u w:val="single"/>
          <w:lang w:val="de-DE"/>
        </w:rPr>
        <w:t>Colitis ulcerosa bei Erwachsenen, Kindern und Jugendlichen</w:t>
      </w:r>
    </w:p>
    <w:p w14:paraId="4FE67BD6" w14:textId="77777777" w:rsidR="00FE291A" w:rsidRDefault="00FE291A">
      <w:pPr>
        <w:widowControl/>
        <w:kinsoku w:val="0"/>
        <w:overflowPunct w:val="0"/>
        <w:rPr>
          <w:sz w:val="22"/>
          <w:szCs w:val="22"/>
          <w:lang w:val="de-DE"/>
        </w:rPr>
      </w:pPr>
    </w:p>
    <w:p w14:paraId="5829A632" w14:textId="77777777" w:rsidR="00FE291A" w:rsidRDefault="00C8738F">
      <w:pPr>
        <w:pStyle w:val="BodyText"/>
        <w:widowControl/>
        <w:kinsoku w:val="0"/>
        <w:overflowPunct w:val="0"/>
        <w:ind w:left="0"/>
        <w:rPr>
          <w:lang w:val="de-DE"/>
        </w:rPr>
      </w:pPr>
      <w:r>
        <w:rPr>
          <w:lang w:val="de-DE"/>
        </w:rPr>
        <w:t>Colitis ulcerosa ist eine entzündliche Erkrankung des Dickdarms.</w:t>
      </w:r>
    </w:p>
    <w:p w14:paraId="50D9A3C1" w14:textId="77777777" w:rsidR="00FE291A" w:rsidRDefault="00FE291A">
      <w:pPr>
        <w:widowControl/>
        <w:kinsoku w:val="0"/>
        <w:overflowPunct w:val="0"/>
        <w:rPr>
          <w:sz w:val="22"/>
          <w:szCs w:val="22"/>
          <w:lang w:val="de-DE"/>
        </w:rPr>
      </w:pPr>
    </w:p>
    <w:p w14:paraId="486C09EA" w14:textId="77777777" w:rsidR="00FE291A" w:rsidRDefault="00C8738F">
      <w:pPr>
        <w:pStyle w:val="BodyText"/>
        <w:widowControl/>
        <w:kinsoku w:val="0"/>
        <w:overflowPunct w:val="0"/>
        <w:ind w:left="0"/>
        <w:rPr>
          <w:lang w:val="de-DE"/>
        </w:rPr>
      </w:pPr>
      <w:r>
        <w:rPr>
          <w:lang w:val="de-DE"/>
        </w:rPr>
        <w:t>AMGEVITA wird angewendet, um mittelschwere bis schwere Colitis ulcerosa bei Erwachsenen und bei Kindern und Jugendlichen zwischen 6 und 17 Jahren zu behandeln. Wenn Sie an Colitis ulcerosa erkrankt sind, erhalten Sie möglicherweise zuerst andere Arzneimittel. Wenn Sie nicht ausreichend auf diese Arzneimittel ansprechen, erhalten Sie AMGEVITA, um die Anzeichen und Beschwerden Ihrer Erkrankung zu vermindern.</w:t>
      </w:r>
    </w:p>
    <w:p w14:paraId="73C537F0" w14:textId="77777777" w:rsidR="00FE291A" w:rsidRDefault="00FE291A">
      <w:pPr>
        <w:widowControl/>
        <w:kinsoku w:val="0"/>
        <w:overflowPunct w:val="0"/>
        <w:rPr>
          <w:sz w:val="22"/>
          <w:szCs w:val="22"/>
          <w:lang w:val="de-DE"/>
        </w:rPr>
      </w:pPr>
    </w:p>
    <w:p w14:paraId="6FFFDB89" w14:textId="77777777" w:rsidR="00FE291A" w:rsidRDefault="00C8738F">
      <w:pPr>
        <w:pStyle w:val="BodyText"/>
        <w:widowControl/>
        <w:kinsoku w:val="0"/>
        <w:overflowPunct w:val="0"/>
        <w:ind w:left="0"/>
        <w:rPr>
          <w:lang w:val="de-DE"/>
        </w:rPr>
      </w:pPr>
      <w:r>
        <w:rPr>
          <w:u w:val="single"/>
          <w:lang w:val="de-DE"/>
        </w:rPr>
        <w:t>Nicht infektiöse Uveitis bei Erwachsenen, Kindern und Jugendlichen</w:t>
      </w:r>
    </w:p>
    <w:p w14:paraId="4595FF98" w14:textId="77777777" w:rsidR="00FE291A" w:rsidRDefault="00FE291A">
      <w:pPr>
        <w:pStyle w:val="BodyText"/>
        <w:widowControl/>
        <w:kinsoku w:val="0"/>
        <w:overflowPunct w:val="0"/>
        <w:ind w:left="0"/>
        <w:rPr>
          <w:lang w:val="de-DE"/>
        </w:rPr>
      </w:pPr>
    </w:p>
    <w:p w14:paraId="267B488E" w14:textId="77777777" w:rsidR="00FE291A" w:rsidRDefault="00C8738F">
      <w:pPr>
        <w:pStyle w:val="BodyText"/>
        <w:widowControl/>
        <w:kinsoku w:val="0"/>
        <w:overflowPunct w:val="0"/>
        <w:ind w:left="0"/>
        <w:rPr>
          <w:lang w:val="de-DE"/>
        </w:rPr>
      </w:pPr>
      <w:r>
        <w:rPr>
          <w:lang w:val="de-DE"/>
        </w:rPr>
        <w:t xml:space="preserve">Die nicht infektiöse Uveitis ist eine entzündliche Erkrankung, die bestimmte Teile des Auges betrifft. </w:t>
      </w:r>
    </w:p>
    <w:p w14:paraId="629B3D5C" w14:textId="77777777" w:rsidR="00FE291A" w:rsidRDefault="00FE291A">
      <w:pPr>
        <w:pStyle w:val="BodyText"/>
        <w:widowControl/>
        <w:kinsoku w:val="0"/>
        <w:overflowPunct w:val="0"/>
        <w:ind w:left="0"/>
        <w:rPr>
          <w:lang w:val="de-DE"/>
        </w:rPr>
      </w:pPr>
    </w:p>
    <w:p w14:paraId="788DE116" w14:textId="77777777" w:rsidR="00FE291A" w:rsidRDefault="00C8738F">
      <w:pPr>
        <w:pStyle w:val="BodyText"/>
        <w:widowControl/>
        <w:kinsoku w:val="0"/>
        <w:overflowPunct w:val="0"/>
        <w:ind w:left="0"/>
        <w:rPr>
          <w:lang w:val="de-DE"/>
        </w:rPr>
      </w:pPr>
      <w:r>
        <w:rPr>
          <w:lang w:val="de-DE"/>
        </w:rPr>
        <w:t>AMGEVITA wird angewendet zur Behandlung von</w:t>
      </w:r>
    </w:p>
    <w:p w14:paraId="7601140E"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 xml:space="preserve">Erwachsenen mit nicht infektiöser Uveitis mit einer Entzündung im hinteren Bereich des Auges </w:t>
      </w:r>
    </w:p>
    <w:p w14:paraId="226B6216"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rFonts w:cs="Calibri"/>
          <w:sz w:val="22"/>
          <w:szCs w:val="22"/>
          <w:lang w:val="de-DE"/>
        </w:rPr>
        <w:t>Kindern ab 2 Jahren mit chronischer nicht infektiöser Uveitis mit einer Entzündung im vorderen Bereich des Auges.</w:t>
      </w:r>
    </w:p>
    <w:p w14:paraId="0C9EA95B" w14:textId="77777777" w:rsidR="00FE291A" w:rsidRDefault="00FE291A">
      <w:pPr>
        <w:pStyle w:val="BodyText"/>
        <w:widowControl/>
        <w:kinsoku w:val="0"/>
        <w:overflowPunct w:val="0"/>
        <w:ind w:left="0"/>
        <w:rPr>
          <w:lang w:val="de-DE"/>
        </w:rPr>
      </w:pPr>
    </w:p>
    <w:p w14:paraId="3DD3C6D9" w14:textId="77777777" w:rsidR="00FE291A" w:rsidRDefault="00C8738F">
      <w:pPr>
        <w:pStyle w:val="BodyText"/>
        <w:widowControl/>
        <w:kinsoku w:val="0"/>
        <w:overflowPunct w:val="0"/>
        <w:ind w:left="0"/>
        <w:rPr>
          <w:lang w:val="de-DE"/>
        </w:rPr>
      </w:pPr>
      <w:r>
        <w:rPr>
          <w:lang w:val="de-DE"/>
        </w:rPr>
        <w:t>Diese Entzündung kann dazu führen, dass man schlechter sieht und/oder dass man Schwebeteile sieht (schwarze Punkte oder Schlieren, die sich durch das Blickfeld bewegen). AMGEVITA wirkt, indem es die Entzündung verringert.</w:t>
      </w:r>
    </w:p>
    <w:p w14:paraId="008054EB" w14:textId="77777777" w:rsidR="00FE291A" w:rsidRDefault="00FE291A">
      <w:pPr>
        <w:pStyle w:val="BodyText"/>
        <w:widowControl/>
        <w:kinsoku w:val="0"/>
        <w:overflowPunct w:val="0"/>
        <w:ind w:left="0"/>
        <w:rPr>
          <w:lang w:val="de-DE"/>
        </w:rPr>
      </w:pPr>
    </w:p>
    <w:p w14:paraId="564665EE" w14:textId="77777777" w:rsidR="00FE291A" w:rsidRDefault="00FE291A">
      <w:pPr>
        <w:pStyle w:val="BodyText"/>
        <w:widowControl/>
        <w:kinsoku w:val="0"/>
        <w:overflowPunct w:val="0"/>
        <w:ind w:left="0"/>
        <w:rPr>
          <w:lang w:val="de-DE"/>
        </w:rPr>
      </w:pPr>
    </w:p>
    <w:p w14:paraId="65C13BE5" w14:textId="77777777" w:rsidR="00FE291A" w:rsidRDefault="00C8738F">
      <w:pPr>
        <w:pStyle w:val="Heading1"/>
        <w:keepNext/>
        <w:widowControl/>
        <w:tabs>
          <w:tab w:val="left" w:pos="567"/>
        </w:tabs>
        <w:kinsoku w:val="0"/>
        <w:overflowPunct w:val="0"/>
        <w:ind w:left="567" w:hanging="567"/>
        <w:rPr>
          <w:b w:val="0"/>
          <w:bCs w:val="0"/>
          <w:lang w:val="de-DE"/>
        </w:rPr>
      </w:pPr>
      <w:r>
        <w:rPr>
          <w:lang w:val="de-DE"/>
        </w:rPr>
        <w:t>2.</w:t>
      </w:r>
      <w:r>
        <w:rPr>
          <w:lang w:val="de-DE"/>
        </w:rPr>
        <w:tab/>
        <w:t>Was sollten Sie vor der Anwendung von AMGEVITA beachten?</w:t>
      </w:r>
    </w:p>
    <w:p w14:paraId="41239CBA" w14:textId="77777777" w:rsidR="00FE291A" w:rsidRDefault="00FE291A">
      <w:pPr>
        <w:pStyle w:val="BodyText"/>
        <w:keepNext/>
        <w:widowControl/>
        <w:kinsoku w:val="0"/>
        <w:overflowPunct w:val="0"/>
        <w:ind w:left="0"/>
        <w:rPr>
          <w:lang w:val="de-DE"/>
        </w:rPr>
      </w:pPr>
    </w:p>
    <w:p w14:paraId="0E4071ED" w14:textId="77777777" w:rsidR="00FE291A" w:rsidRDefault="00C8738F">
      <w:pPr>
        <w:pStyle w:val="Heading1"/>
        <w:keepNext/>
        <w:widowControl/>
        <w:tabs>
          <w:tab w:val="left" w:pos="567"/>
        </w:tabs>
        <w:kinsoku w:val="0"/>
        <w:overflowPunct w:val="0"/>
        <w:ind w:left="0"/>
        <w:rPr>
          <w:lang w:val="de-DE"/>
        </w:rPr>
      </w:pPr>
      <w:r>
        <w:rPr>
          <w:lang w:val="de-DE"/>
        </w:rPr>
        <w:t>AMGEVITA darf nicht angewendet werden:</w:t>
      </w:r>
    </w:p>
    <w:p w14:paraId="595F4938" w14:textId="77777777" w:rsidR="00FE291A" w:rsidRDefault="00FE291A">
      <w:pPr>
        <w:keepNext/>
        <w:widowControl/>
        <w:rPr>
          <w:sz w:val="22"/>
          <w:lang w:val="de-DE"/>
        </w:rPr>
      </w:pPr>
    </w:p>
    <w:p w14:paraId="3788C50F" w14:textId="77777777" w:rsidR="00FE291A" w:rsidRDefault="00C8738F">
      <w:pPr>
        <w:pStyle w:val="BodyText"/>
        <w:keepNext/>
        <w:widowControl/>
        <w:numPr>
          <w:ilvl w:val="0"/>
          <w:numId w:val="52"/>
        </w:numPr>
        <w:tabs>
          <w:tab w:val="left" w:pos="567"/>
        </w:tabs>
        <w:kinsoku w:val="0"/>
        <w:overflowPunct w:val="0"/>
        <w:ind w:left="567"/>
        <w:rPr>
          <w:lang w:val="de-DE"/>
        </w:rPr>
      </w:pPr>
      <w:r>
        <w:rPr>
          <w:lang w:val="de-DE"/>
        </w:rPr>
        <w:t>Wenn Sie allergisch gegenüber dem Wirkstoff Adalimumab oder einem der sonstigen Bestandteile dieses Arzneimittels sind (aufgelistet in Abschnitt 6).</w:t>
      </w:r>
    </w:p>
    <w:p w14:paraId="14FC9084" w14:textId="77777777" w:rsidR="00FE291A" w:rsidRDefault="00C8738F">
      <w:pPr>
        <w:pStyle w:val="BodyText"/>
        <w:widowControl/>
        <w:numPr>
          <w:ilvl w:val="0"/>
          <w:numId w:val="52"/>
        </w:numPr>
        <w:tabs>
          <w:tab w:val="left" w:pos="567"/>
        </w:tabs>
        <w:kinsoku w:val="0"/>
        <w:overflowPunct w:val="0"/>
        <w:ind w:left="567"/>
        <w:rPr>
          <w:lang w:val="de-DE"/>
        </w:rPr>
      </w:pPr>
      <w:r>
        <w:rPr>
          <w:lang w:val="de-DE"/>
        </w:rPr>
        <w:t>Wenn Sie an einer schweren Infektion, einschließlich aktiver Tuberkulose, einer Sepsis (Blutvergiftung) oder an anderen opportunistischen Infektionen (ungewöhnlichen Infektionen, die auf ein geschwächtes Immunsystem zurückzuführen sind) erkrankt sind (siehe „Warnhinweise und Vorsichtsmaßnahmen“). Es ist wichtig, dass Sie Ihren Arzt informieren, wenn bei Ihnen Anzeichen von Infektionen, z. B. Fieber, Wunden, Abgeschlagenheit, Zahnprobleme, vorliegen.</w:t>
      </w:r>
    </w:p>
    <w:p w14:paraId="3840D70B" w14:textId="77777777" w:rsidR="00FE291A" w:rsidRDefault="00C8738F">
      <w:pPr>
        <w:pStyle w:val="BodyText"/>
        <w:widowControl/>
        <w:numPr>
          <w:ilvl w:val="0"/>
          <w:numId w:val="52"/>
        </w:numPr>
        <w:tabs>
          <w:tab w:val="left" w:pos="567"/>
        </w:tabs>
        <w:kinsoku w:val="0"/>
        <w:overflowPunct w:val="0"/>
        <w:ind w:left="567"/>
        <w:rPr>
          <w:lang w:val="de-DE"/>
        </w:rPr>
      </w:pPr>
      <w:r>
        <w:rPr>
          <w:lang w:val="de-DE"/>
        </w:rPr>
        <w:t>Wenn Sie an mäßiger bis schwerer Herzschwäche (Herzinsuffizienz) erkrankt sind. Es ist wichtig, dass Sie Ihrem Arzt über zurückliegende oder bestehende ernsthafte Herzbeschwerden berichten (siehe „Warnhinweise und Vorsichtsmaßnahmen“).</w:t>
      </w:r>
    </w:p>
    <w:p w14:paraId="2A869897" w14:textId="77777777" w:rsidR="00FE291A" w:rsidRDefault="00FE291A">
      <w:pPr>
        <w:widowControl/>
        <w:kinsoku w:val="0"/>
        <w:overflowPunct w:val="0"/>
        <w:rPr>
          <w:sz w:val="22"/>
          <w:szCs w:val="26"/>
          <w:lang w:val="de-DE"/>
        </w:rPr>
      </w:pPr>
    </w:p>
    <w:p w14:paraId="0898994C" w14:textId="77777777" w:rsidR="00FE291A" w:rsidRDefault="00C8738F">
      <w:pPr>
        <w:pStyle w:val="Heading1"/>
        <w:keepNext/>
        <w:keepLines/>
        <w:widowControl/>
        <w:kinsoku w:val="0"/>
        <w:overflowPunct w:val="0"/>
        <w:ind w:left="0"/>
        <w:rPr>
          <w:b w:val="0"/>
          <w:bCs w:val="0"/>
          <w:lang w:val="de-DE"/>
        </w:rPr>
      </w:pPr>
      <w:r>
        <w:rPr>
          <w:lang w:val="de-DE"/>
        </w:rPr>
        <w:t>Warnhinweise und Vorsichtsmaßnahmen</w:t>
      </w:r>
    </w:p>
    <w:p w14:paraId="613DB42D" w14:textId="77777777" w:rsidR="00FE291A" w:rsidRDefault="00FE291A">
      <w:pPr>
        <w:keepNext/>
        <w:keepLines/>
        <w:widowControl/>
        <w:kinsoku w:val="0"/>
        <w:overflowPunct w:val="0"/>
        <w:rPr>
          <w:sz w:val="22"/>
          <w:szCs w:val="22"/>
          <w:lang w:val="de-DE"/>
        </w:rPr>
      </w:pPr>
    </w:p>
    <w:p w14:paraId="17360BB3" w14:textId="77777777" w:rsidR="00FE291A" w:rsidRDefault="00C8738F">
      <w:pPr>
        <w:pStyle w:val="BodyText"/>
        <w:keepNext/>
        <w:keepLines/>
        <w:widowControl/>
        <w:tabs>
          <w:tab w:val="left" w:pos="567"/>
        </w:tabs>
        <w:kinsoku w:val="0"/>
        <w:overflowPunct w:val="0"/>
        <w:ind w:left="0"/>
        <w:rPr>
          <w:lang w:val="de-DE"/>
        </w:rPr>
      </w:pPr>
      <w:r>
        <w:rPr>
          <w:lang w:val="de-DE"/>
        </w:rPr>
        <w:t>Bitte sprechen Sie mit Ihrem Arzt oder Apotheker, bevor Sie AMGEVITA anwenden:</w:t>
      </w:r>
    </w:p>
    <w:p w14:paraId="0F6B9458" w14:textId="77777777" w:rsidR="00FE291A" w:rsidRDefault="00FE291A">
      <w:pPr>
        <w:widowControl/>
        <w:tabs>
          <w:tab w:val="left" w:pos="567"/>
        </w:tabs>
        <w:kinsoku w:val="0"/>
        <w:overflowPunct w:val="0"/>
        <w:ind w:left="567" w:hanging="567"/>
        <w:rPr>
          <w:sz w:val="22"/>
          <w:szCs w:val="22"/>
          <w:lang w:val="de-DE"/>
        </w:rPr>
      </w:pPr>
    </w:p>
    <w:p w14:paraId="2D269DEE" w14:textId="77777777" w:rsidR="00FE291A" w:rsidRDefault="00C8738F">
      <w:pPr>
        <w:widowControl/>
        <w:tabs>
          <w:tab w:val="left" w:pos="567"/>
        </w:tabs>
        <w:kinsoku w:val="0"/>
        <w:overflowPunct w:val="0"/>
        <w:ind w:left="567" w:hanging="567"/>
        <w:rPr>
          <w:sz w:val="22"/>
          <w:szCs w:val="22"/>
          <w:lang w:val="de-DE"/>
        </w:rPr>
      </w:pPr>
      <w:r>
        <w:rPr>
          <w:sz w:val="22"/>
          <w:szCs w:val="22"/>
          <w:lang w:val="de-DE"/>
        </w:rPr>
        <w:t>Allergische Reaktionen</w:t>
      </w:r>
    </w:p>
    <w:p w14:paraId="3D858283" w14:textId="77777777" w:rsidR="00FE291A" w:rsidRDefault="00FE291A">
      <w:pPr>
        <w:widowControl/>
        <w:tabs>
          <w:tab w:val="left" w:pos="567"/>
        </w:tabs>
        <w:kinsoku w:val="0"/>
        <w:overflowPunct w:val="0"/>
        <w:ind w:left="567" w:hanging="567"/>
        <w:rPr>
          <w:sz w:val="22"/>
          <w:szCs w:val="22"/>
          <w:lang w:val="de-DE"/>
        </w:rPr>
      </w:pPr>
    </w:p>
    <w:p w14:paraId="45ECA744"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Sollten bei Ihnen allergische Reaktionen auftreten mit Anzeichen wie Engegefühl in der Brust, pfeifende Atemgeräusche, Benommenheit/Schwindel, Schwellungen oder Hautausschlag, spritzen Sie sich kein weiteres AMGEVITA mehr und setzen Sie sich unverzüglich mit Ihrem Arzt in Verbindung, da diese Reaktionen in seltenen Fällen lebensbedrohlich sein können.</w:t>
      </w:r>
    </w:p>
    <w:p w14:paraId="22D9C714" w14:textId="77777777" w:rsidR="00FE291A" w:rsidRDefault="00FE291A">
      <w:pPr>
        <w:widowControl/>
        <w:tabs>
          <w:tab w:val="left" w:pos="567"/>
        </w:tabs>
        <w:kinsoku w:val="0"/>
        <w:overflowPunct w:val="0"/>
        <w:ind w:left="567" w:hanging="567"/>
        <w:rPr>
          <w:sz w:val="22"/>
          <w:szCs w:val="22"/>
          <w:lang w:val="de-DE"/>
        </w:rPr>
      </w:pPr>
    </w:p>
    <w:p w14:paraId="17B708E9" w14:textId="77777777" w:rsidR="00FE291A" w:rsidRDefault="00C8738F">
      <w:pPr>
        <w:widowControl/>
        <w:tabs>
          <w:tab w:val="left" w:pos="567"/>
        </w:tabs>
        <w:kinsoku w:val="0"/>
        <w:overflowPunct w:val="0"/>
        <w:ind w:left="567" w:hanging="567"/>
        <w:rPr>
          <w:sz w:val="22"/>
          <w:szCs w:val="22"/>
          <w:lang w:val="de-DE"/>
        </w:rPr>
      </w:pPr>
      <w:r>
        <w:rPr>
          <w:sz w:val="22"/>
          <w:szCs w:val="22"/>
          <w:lang w:val="de-DE"/>
        </w:rPr>
        <w:t>Infektionen</w:t>
      </w:r>
    </w:p>
    <w:p w14:paraId="63DD806D" w14:textId="77777777" w:rsidR="00FE291A" w:rsidRDefault="00FE291A">
      <w:pPr>
        <w:widowControl/>
        <w:tabs>
          <w:tab w:val="left" w:pos="567"/>
        </w:tabs>
        <w:kinsoku w:val="0"/>
        <w:overflowPunct w:val="0"/>
        <w:ind w:left="567" w:hanging="567"/>
        <w:rPr>
          <w:sz w:val="22"/>
          <w:szCs w:val="22"/>
          <w:lang w:val="de-DE"/>
        </w:rPr>
      </w:pPr>
    </w:p>
    <w:p w14:paraId="4394AEC3"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Wenn Sie an einer Infektion erkrankt sind, sprechen Sie mit Ihrem Arzt, bevor Sie mit der AMGEVITA-Behandlung beginnen. Auch dann, wenn Sie die Infektion schon länger haben, oder die Infektion örtlich begrenzt ist (z. B. ein Unterschenkelgeschwür). Wenn Sie unsicher sind, fragen Sie Ihren Arzt.</w:t>
      </w:r>
    </w:p>
    <w:p w14:paraId="3A014E86"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Während der Behandlung mit AMGEVITA können Sie leichter an Infektionen erkranken. Das Risiko kann sich zusätzlich erhöhen, wenn Ihre Lungenfunktion beeinträchtigt ist. Diese Infektionen können schwer sein und umfassen Tuberkulose, Infektionen, die durch Viren, Pilze, Parasiten oder Bakterien verursacht werden, oder andere Infektionen, die auftreten, wenn die Widerstandskraft gegenüber Krankheiten vermindert ist (opportunistische Infektionen), sowie Blutvergiftung. Schwere Infektionen können in seltenen Fällen lebensbedrohlich sein. Es ist wichtig, dass Sie Ihren Arzt informieren, wenn bei Ihnen Anzeichen wie Fieber, Wunden, Abgeschlagenheit oder Zahnprobleme auftreten. Ihr Arzt kann eine kurzzeitige Unterbrechung der AMGEVITA-Behandlung empfehlen.</w:t>
      </w:r>
    </w:p>
    <w:p w14:paraId="5F2E42CB" w14:textId="77777777" w:rsidR="00FE291A" w:rsidRDefault="00FE291A">
      <w:pPr>
        <w:widowControl/>
        <w:tabs>
          <w:tab w:val="left" w:pos="567"/>
        </w:tabs>
        <w:kinsoku w:val="0"/>
        <w:overflowPunct w:val="0"/>
        <w:ind w:left="567" w:hanging="567"/>
        <w:rPr>
          <w:sz w:val="22"/>
          <w:szCs w:val="22"/>
          <w:lang w:val="de-DE"/>
        </w:rPr>
      </w:pPr>
    </w:p>
    <w:p w14:paraId="0CC556F7" w14:textId="77777777" w:rsidR="00FE291A" w:rsidRDefault="00C8738F">
      <w:pPr>
        <w:widowControl/>
        <w:tabs>
          <w:tab w:val="left" w:pos="567"/>
        </w:tabs>
        <w:kinsoku w:val="0"/>
        <w:overflowPunct w:val="0"/>
        <w:ind w:left="567" w:hanging="567"/>
        <w:rPr>
          <w:sz w:val="22"/>
          <w:szCs w:val="22"/>
          <w:lang w:val="de-DE"/>
        </w:rPr>
      </w:pPr>
      <w:r>
        <w:rPr>
          <w:sz w:val="22"/>
          <w:szCs w:val="22"/>
          <w:lang w:val="de-DE"/>
        </w:rPr>
        <w:t>Tuberkulose</w:t>
      </w:r>
    </w:p>
    <w:p w14:paraId="09A606D1" w14:textId="77777777" w:rsidR="00FE291A" w:rsidRDefault="00FE291A">
      <w:pPr>
        <w:widowControl/>
        <w:tabs>
          <w:tab w:val="left" w:pos="567"/>
        </w:tabs>
        <w:kinsoku w:val="0"/>
        <w:overflowPunct w:val="0"/>
        <w:ind w:left="567" w:hanging="567"/>
        <w:rPr>
          <w:sz w:val="22"/>
          <w:szCs w:val="22"/>
          <w:lang w:val="de-DE"/>
        </w:rPr>
      </w:pPr>
    </w:p>
    <w:p w14:paraId="41604589"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 xml:space="preserve">Ihr Arzt wird Sie vor Beginn der Behandlung mit AMGEVITA auf Anzeichen und Krankheitserscheinungen einer Tuberkulose untersuchen, da bei mit Adalimumab behandelten Patienten von Tuberkulosefällen berichtet wurde. Zu dieser gründlichen Untersuchung gehören die Aufnahme einer umfassenden medizinischen Vorgeschichte und geeignete Tests (z. B. eine Röntgen-Aufnahme des Brustkorbs und ein Tuberkulintest). Die Durchführung und Ergebnisse dieser Tests sollten in Ihrem </w:t>
      </w:r>
      <w:r>
        <w:rPr>
          <w:b/>
          <w:lang w:val="de-DE"/>
        </w:rPr>
        <w:t>Patientenpass</w:t>
      </w:r>
      <w:r>
        <w:rPr>
          <w:lang w:val="de-DE"/>
        </w:rPr>
        <w:t xml:space="preserve"> dokumentiert werden. Es ist sehr wichtig, dass Sie Ihrem Arzt mitteilen, wenn Sie jemals Tuberkulose hatten oder wenn Sie in engem Kontakt zu jemandem standen, der Tuberkulose hatte.</w:t>
      </w:r>
    </w:p>
    <w:p w14:paraId="255868CB"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Tuberkulose kann sich während der Behandlung entwickeln, sogar dann, wenn Sie eine vorbeugende Behandlung gegen Tuberkulose bekommen haben.</w:t>
      </w:r>
    </w:p>
    <w:p w14:paraId="4BB90D49"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Sollten Anzeichen einer Tuberkulose (anhaltender Husten, Gewichtsverlust, Teilnahmslosigkeit, leichtes Fieber) oder einer anderen Infektion während oder nach der Behandlung auftreten, benachrichtigen Sie unverzüglich Ihren Arzt.</w:t>
      </w:r>
    </w:p>
    <w:p w14:paraId="153F85AF" w14:textId="77777777" w:rsidR="00FE291A" w:rsidRDefault="00FE291A">
      <w:pPr>
        <w:widowControl/>
        <w:tabs>
          <w:tab w:val="left" w:pos="567"/>
        </w:tabs>
        <w:kinsoku w:val="0"/>
        <w:overflowPunct w:val="0"/>
        <w:ind w:left="567" w:hanging="567"/>
        <w:rPr>
          <w:sz w:val="22"/>
          <w:szCs w:val="22"/>
          <w:lang w:val="de-DE"/>
        </w:rPr>
      </w:pPr>
    </w:p>
    <w:p w14:paraId="40F84E16" w14:textId="77777777" w:rsidR="00FE291A" w:rsidRDefault="00C8738F">
      <w:pPr>
        <w:widowControl/>
        <w:tabs>
          <w:tab w:val="left" w:pos="567"/>
        </w:tabs>
        <w:kinsoku w:val="0"/>
        <w:overflowPunct w:val="0"/>
        <w:ind w:left="567" w:hanging="567"/>
        <w:rPr>
          <w:sz w:val="22"/>
          <w:szCs w:val="22"/>
          <w:lang w:val="de-DE"/>
        </w:rPr>
      </w:pPr>
      <w:r>
        <w:rPr>
          <w:sz w:val="22"/>
          <w:szCs w:val="22"/>
          <w:lang w:val="de-DE"/>
        </w:rPr>
        <w:t>Reisen/wiederkehrende Infektionen</w:t>
      </w:r>
    </w:p>
    <w:p w14:paraId="10D86EB9" w14:textId="77777777" w:rsidR="00FE291A" w:rsidRDefault="00FE291A">
      <w:pPr>
        <w:widowControl/>
        <w:tabs>
          <w:tab w:val="left" w:pos="567"/>
        </w:tabs>
        <w:kinsoku w:val="0"/>
        <w:overflowPunct w:val="0"/>
        <w:ind w:left="567" w:hanging="567"/>
        <w:rPr>
          <w:sz w:val="22"/>
          <w:szCs w:val="22"/>
          <w:lang w:val="de-DE"/>
        </w:rPr>
      </w:pPr>
    </w:p>
    <w:p w14:paraId="5A1C62AE"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Fragen Sie Ihren Arzt um Rat, wenn Sie sich in Regionen aufhalten oder in Regionen reisen, in denen Pilzinfektionen häufig vorkommen (z. B. Histoplasmose, Kokzidioidomykose oder Blastomykose).</w:t>
      </w:r>
    </w:p>
    <w:p w14:paraId="0E02A540"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Informieren Sie Ihren Arzt, wenn Sie in der Vergangenheit unter wiederkehrenden Infektionen oder anderen Krankheiten litten, die das Risiko einer Infektion erhöhen.</w:t>
      </w:r>
    </w:p>
    <w:p w14:paraId="168A3B47" w14:textId="77777777" w:rsidR="00FE291A" w:rsidRDefault="00FE291A">
      <w:pPr>
        <w:widowControl/>
        <w:tabs>
          <w:tab w:val="left" w:pos="567"/>
        </w:tabs>
        <w:kinsoku w:val="0"/>
        <w:overflowPunct w:val="0"/>
        <w:ind w:left="567" w:hanging="567"/>
        <w:rPr>
          <w:sz w:val="22"/>
          <w:szCs w:val="22"/>
          <w:lang w:val="de-DE"/>
        </w:rPr>
      </w:pPr>
    </w:p>
    <w:p w14:paraId="5010E104" w14:textId="77777777" w:rsidR="00FE291A" w:rsidRDefault="00C8738F">
      <w:pPr>
        <w:widowControl/>
        <w:tabs>
          <w:tab w:val="left" w:pos="567"/>
        </w:tabs>
        <w:kinsoku w:val="0"/>
        <w:overflowPunct w:val="0"/>
        <w:ind w:left="567" w:hanging="567"/>
        <w:rPr>
          <w:sz w:val="22"/>
          <w:szCs w:val="22"/>
          <w:lang w:val="de-DE"/>
        </w:rPr>
      </w:pPr>
      <w:r>
        <w:rPr>
          <w:sz w:val="22"/>
          <w:szCs w:val="22"/>
          <w:lang w:val="de-DE"/>
        </w:rPr>
        <w:t>Hepatitis-B-Virus</w:t>
      </w:r>
    </w:p>
    <w:p w14:paraId="32954892" w14:textId="77777777" w:rsidR="00FE291A" w:rsidRDefault="00FE291A">
      <w:pPr>
        <w:widowControl/>
        <w:tabs>
          <w:tab w:val="left" w:pos="567"/>
        </w:tabs>
        <w:kinsoku w:val="0"/>
        <w:overflowPunct w:val="0"/>
        <w:ind w:left="567" w:hanging="567"/>
        <w:rPr>
          <w:sz w:val="22"/>
          <w:szCs w:val="22"/>
          <w:lang w:val="de-DE"/>
        </w:rPr>
      </w:pPr>
    </w:p>
    <w:p w14:paraId="240DD505" w14:textId="77777777" w:rsidR="00FE291A" w:rsidRDefault="00C8738F">
      <w:pPr>
        <w:pStyle w:val="BodyText"/>
        <w:widowControl/>
        <w:numPr>
          <w:ilvl w:val="0"/>
          <w:numId w:val="53"/>
        </w:numPr>
        <w:tabs>
          <w:tab w:val="left" w:pos="567"/>
          <w:tab w:val="left" w:pos="686"/>
        </w:tabs>
        <w:kinsoku w:val="0"/>
        <w:overflowPunct w:val="0"/>
        <w:ind w:left="567"/>
        <w:rPr>
          <w:lang w:val="de-DE"/>
        </w:rPr>
      </w:pPr>
      <w:r>
        <w:rPr>
          <w:lang w:val="de-DE"/>
        </w:rPr>
        <w:t>Informieren Sie Ihren Arzt, wenn Sie Träger des Hepatitis-B-Virus (HBV) sind, wenn Sie eine aktive HBV-Infektion haben oder wenn Sie ein erhöhtes Risiko für eine HBV-Infektion aufweisen. Ihr Arzt sollte Sie auf HBV untersuchen. AMGEVITA kann zu einem erneuten Ausbruch einer HBV-Infektion bei Personen führen, die dieses Virus tragen. In einigen seltenen Fällen, besonders bei der zusätzlichen Anwendung von weiteren Arzneimitteln, die das körpereigene Abwehrsystem unterdrücken, kann der erneute Ausbruch einer HBV-Infektion lebensbedrohend sein.</w:t>
      </w:r>
    </w:p>
    <w:p w14:paraId="41B1DB56" w14:textId="77777777" w:rsidR="00FE291A" w:rsidRDefault="00FE291A">
      <w:pPr>
        <w:pStyle w:val="BodyText"/>
        <w:widowControl/>
        <w:tabs>
          <w:tab w:val="left" w:pos="567"/>
          <w:tab w:val="left" w:pos="686"/>
        </w:tabs>
        <w:kinsoku w:val="0"/>
        <w:overflowPunct w:val="0"/>
        <w:ind w:left="0"/>
        <w:rPr>
          <w:lang w:val="de-DE"/>
        </w:rPr>
      </w:pPr>
    </w:p>
    <w:p w14:paraId="5F3846C2" w14:textId="77777777" w:rsidR="00FE291A" w:rsidRDefault="00C8738F">
      <w:pPr>
        <w:pStyle w:val="BodyText"/>
        <w:widowControl/>
        <w:tabs>
          <w:tab w:val="left" w:pos="567"/>
          <w:tab w:val="left" w:pos="686"/>
        </w:tabs>
        <w:kinsoku w:val="0"/>
        <w:overflowPunct w:val="0"/>
        <w:ind w:left="0"/>
        <w:rPr>
          <w:lang w:val="de-DE"/>
        </w:rPr>
      </w:pPr>
      <w:r>
        <w:rPr>
          <w:lang w:val="de-DE"/>
        </w:rPr>
        <w:t>Alter über 65 Jahre</w:t>
      </w:r>
    </w:p>
    <w:p w14:paraId="0CFF7C7C" w14:textId="77777777" w:rsidR="00FE291A" w:rsidRDefault="00FE291A">
      <w:pPr>
        <w:pStyle w:val="BodyText"/>
        <w:widowControl/>
        <w:tabs>
          <w:tab w:val="left" w:pos="567"/>
          <w:tab w:val="left" w:pos="686"/>
        </w:tabs>
        <w:kinsoku w:val="0"/>
        <w:overflowPunct w:val="0"/>
        <w:ind w:left="0"/>
        <w:rPr>
          <w:lang w:val="de-DE"/>
        </w:rPr>
      </w:pPr>
    </w:p>
    <w:p w14:paraId="40576C20"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Wenn Sie über 65 Jahre alt sind, können Sie für Infektionen anfälliger sein, während Sie AMGEVITA nehmen. Sie und Ihr Arzt sollten besonders auf Anzeichen einer Infektion achten, während Sie mit AMGEVITA behandelt werden. Es ist wichtig, dass Sie Ihren Arzt informieren, wenn Sie Anzeichen von Infektionen wie Fieber, Wunden, Gefühl der Müdigkeit oder Zahnprobleme bekommen.</w:t>
      </w:r>
    </w:p>
    <w:p w14:paraId="74DBE19C" w14:textId="77777777" w:rsidR="00FE291A" w:rsidRDefault="00FE291A">
      <w:pPr>
        <w:widowControl/>
        <w:tabs>
          <w:tab w:val="left" w:pos="567"/>
        </w:tabs>
        <w:kinsoku w:val="0"/>
        <w:overflowPunct w:val="0"/>
        <w:ind w:left="567" w:hanging="567"/>
        <w:rPr>
          <w:sz w:val="22"/>
          <w:szCs w:val="22"/>
          <w:lang w:val="de-DE"/>
        </w:rPr>
      </w:pPr>
    </w:p>
    <w:p w14:paraId="326B23A5" w14:textId="77777777" w:rsidR="00FE291A" w:rsidRDefault="00C8738F">
      <w:pPr>
        <w:widowControl/>
        <w:tabs>
          <w:tab w:val="left" w:pos="567"/>
        </w:tabs>
        <w:kinsoku w:val="0"/>
        <w:overflowPunct w:val="0"/>
        <w:ind w:left="567" w:hanging="567"/>
        <w:rPr>
          <w:sz w:val="22"/>
          <w:szCs w:val="22"/>
          <w:lang w:val="de-DE"/>
        </w:rPr>
      </w:pPr>
      <w:r>
        <w:rPr>
          <w:sz w:val="22"/>
          <w:szCs w:val="22"/>
          <w:lang w:val="de-DE"/>
        </w:rPr>
        <w:t>Operationen oder Zahnbehandlungen</w:t>
      </w:r>
    </w:p>
    <w:p w14:paraId="53434217" w14:textId="77777777" w:rsidR="00FE291A" w:rsidRDefault="00FE291A">
      <w:pPr>
        <w:widowControl/>
        <w:tabs>
          <w:tab w:val="left" w:pos="567"/>
        </w:tabs>
        <w:kinsoku w:val="0"/>
        <w:overflowPunct w:val="0"/>
        <w:ind w:left="567" w:hanging="567"/>
        <w:rPr>
          <w:sz w:val="22"/>
          <w:szCs w:val="22"/>
          <w:lang w:val="de-DE"/>
        </w:rPr>
      </w:pPr>
    </w:p>
    <w:p w14:paraId="564B3B54"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Informieren Sie bitte Ihren Arzt vor einer Operation oder einer Zahnbehandlung über Ihre Behandlung mit AMGEVITA. Ihr Arzt kann eine kurzzeitige Unterbrechung der AMGEVITA</w:t>
      </w:r>
      <w:r>
        <w:rPr>
          <w:lang w:val="de-DE"/>
        </w:rPr>
        <w:noBreakHyphen/>
        <w:t>Behandlung empfehlen.</w:t>
      </w:r>
    </w:p>
    <w:p w14:paraId="1F2FF097" w14:textId="77777777" w:rsidR="00FE291A" w:rsidRDefault="00FE291A">
      <w:pPr>
        <w:widowControl/>
        <w:kinsoku w:val="0"/>
        <w:overflowPunct w:val="0"/>
        <w:rPr>
          <w:sz w:val="22"/>
          <w:szCs w:val="22"/>
          <w:lang w:val="de-DE"/>
        </w:rPr>
      </w:pPr>
    </w:p>
    <w:p w14:paraId="0D2D99FD" w14:textId="77777777" w:rsidR="00FE291A" w:rsidRDefault="00C8738F">
      <w:pPr>
        <w:widowControl/>
        <w:kinsoku w:val="0"/>
        <w:overflowPunct w:val="0"/>
        <w:rPr>
          <w:sz w:val="22"/>
          <w:szCs w:val="22"/>
          <w:lang w:val="de-DE"/>
        </w:rPr>
      </w:pPr>
      <w:r>
        <w:rPr>
          <w:sz w:val="22"/>
          <w:szCs w:val="22"/>
          <w:lang w:val="de-DE"/>
        </w:rPr>
        <w:t>Demyelinisierende Erkrankung</w:t>
      </w:r>
    </w:p>
    <w:p w14:paraId="29793D2D" w14:textId="77777777" w:rsidR="00FE291A" w:rsidRDefault="00FE291A">
      <w:pPr>
        <w:widowControl/>
        <w:kinsoku w:val="0"/>
        <w:overflowPunct w:val="0"/>
        <w:rPr>
          <w:sz w:val="22"/>
          <w:szCs w:val="22"/>
          <w:lang w:val="de-DE"/>
        </w:rPr>
      </w:pPr>
    </w:p>
    <w:p w14:paraId="2B2CBF04"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Wenn Sie eine demyelinisierende Erkrankung wie z. B. multiple Sklerose haben oder entwickeln, wird Ihr Arzt entscheiden, ob Sie AMGEVITA erhalten bzw. weiter anwenden sollten. Informieren Sie bitte umgehend Ihren Arzt, wenn es bei Ihnen zu Anzeichen wie verändertem Sehvermögen oder Kraftlosigkeit in den Armen oder Beinen kommt oder wenn sich Körperteile taub oder kribbelig anfühlen.</w:t>
      </w:r>
    </w:p>
    <w:p w14:paraId="6EA8C3DB" w14:textId="77777777" w:rsidR="00FE291A" w:rsidRDefault="00FE291A">
      <w:pPr>
        <w:widowControl/>
        <w:tabs>
          <w:tab w:val="left" w:pos="567"/>
        </w:tabs>
        <w:kinsoku w:val="0"/>
        <w:overflowPunct w:val="0"/>
        <w:ind w:left="567" w:hanging="567"/>
        <w:rPr>
          <w:sz w:val="22"/>
          <w:szCs w:val="22"/>
          <w:lang w:val="de-DE"/>
        </w:rPr>
      </w:pPr>
    </w:p>
    <w:p w14:paraId="5B6EACBB" w14:textId="77777777" w:rsidR="00FE291A" w:rsidRDefault="00C8738F">
      <w:pPr>
        <w:widowControl/>
        <w:tabs>
          <w:tab w:val="left" w:pos="567"/>
        </w:tabs>
        <w:kinsoku w:val="0"/>
        <w:overflowPunct w:val="0"/>
        <w:ind w:left="567" w:hanging="567"/>
        <w:rPr>
          <w:sz w:val="22"/>
          <w:szCs w:val="22"/>
          <w:lang w:val="de-DE"/>
        </w:rPr>
      </w:pPr>
      <w:r>
        <w:rPr>
          <w:sz w:val="22"/>
          <w:szCs w:val="22"/>
          <w:lang w:val="de-DE"/>
        </w:rPr>
        <w:t>Impfungen</w:t>
      </w:r>
    </w:p>
    <w:p w14:paraId="3FE56BA8" w14:textId="77777777" w:rsidR="00FE291A" w:rsidRDefault="00FE291A">
      <w:pPr>
        <w:widowControl/>
        <w:tabs>
          <w:tab w:val="left" w:pos="567"/>
        </w:tabs>
        <w:kinsoku w:val="0"/>
        <w:overflowPunct w:val="0"/>
        <w:ind w:left="567" w:hanging="567"/>
        <w:rPr>
          <w:sz w:val="22"/>
          <w:szCs w:val="22"/>
          <w:lang w:val="de-DE"/>
        </w:rPr>
      </w:pPr>
    </w:p>
    <w:p w14:paraId="5F5FF12F"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Gewisse Impfstoffe enthalten lebende, aber abgeschwächte Formen von krankheitserregenden Bakterien oder Viren, die Infektionen verursachen können und während der Behandlung mit AMGEVITA nicht verwendet werden sollen. Bitte besprechen Sie jede Impfung vorher mit Ihrem Arzt. Bei Kindern und Jugendlichen wird empfohlen, nach Möglichkeit vor Behandlungsbeginn mit AMGEVITA alle Impfungen in Übereinstimmung mit den gegenwärtigen Richtlinien auf den aktuellen Stand zu bringen.</w:t>
      </w:r>
    </w:p>
    <w:p w14:paraId="7EB47A27"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Wenn Sie AMGEVITA während der Schwangerschaft erhalten haben, hat Ihr Säugling eventuell ein erhöhtes Risiko während der ersten 5 Monate nach der letzten AMGEVITA-Dosis, die Sie während der Schwangerschaft erhalten hatten, eine Infektion zu bekommen. Es ist wichtig, dass Sie den Ärzten des Kindes und anderem Fachpersonal im Gesundheitswesen mitteilen, dass Sie AMGEVITA während der Schwangerschaft angewendet haben, sodass diese darüber entscheiden können, ob Ihr Säugling eine Impfung erhalten sollte.</w:t>
      </w:r>
    </w:p>
    <w:p w14:paraId="6CBF2174" w14:textId="77777777" w:rsidR="00FE291A" w:rsidRDefault="00FE291A">
      <w:pPr>
        <w:widowControl/>
        <w:tabs>
          <w:tab w:val="left" w:pos="567"/>
        </w:tabs>
        <w:kinsoku w:val="0"/>
        <w:overflowPunct w:val="0"/>
        <w:ind w:left="567" w:hanging="567"/>
        <w:rPr>
          <w:sz w:val="22"/>
          <w:szCs w:val="22"/>
          <w:lang w:val="de-DE"/>
        </w:rPr>
      </w:pPr>
    </w:p>
    <w:p w14:paraId="7B733F92" w14:textId="77777777" w:rsidR="00FE291A" w:rsidRDefault="00C8738F">
      <w:pPr>
        <w:keepNext/>
        <w:keepLines/>
        <w:widowControl/>
        <w:tabs>
          <w:tab w:val="left" w:pos="567"/>
        </w:tabs>
        <w:kinsoku w:val="0"/>
        <w:overflowPunct w:val="0"/>
        <w:ind w:left="567" w:hanging="567"/>
        <w:rPr>
          <w:sz w:val="22"/>
          <w:szCs w:val="22"/>
          <w:lang w:val="de-DE"/>
        </w:rPr>
      </w:pPr>
      <w:r>
        <w:rPr>
          <w:sz w:val="22"/>
          <w:szCs w:val="22"/>
          <w:lang w:val="de-DE"/>
        </w:rPr>
        <w:t>Herzschwäche</w:t>
      </w:r>
    </w:p>
    <w:p w14:paraId="0F5ABB8E" w14:textId="77777777" w:rsidR="00FE291A" w:rsidRDefault="00FE291A">
      <w:pPr>
        <w:widowControl/>
        <w:tabs>
          <w:tab w:val="left" w:pos="567"/>
        </w:tabs>
        <w:kinsoku w:val="0"/>
        <w:overflowPunct w:val="0"/>
        <w:ind w:left="567" w:hanging="567"/>
        <w:rPr>
          <w:sz w:val="22"/>
          <w:szCs w:val="22"/>
          <w:lang w:val="de-DE"/>
        </w:rPr>
      </w:pPr>
    </w:p>
    <w:p w14:paraId="26D9DF46"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Wenn Sie eine leichte Herzschwäche (Herzinsuffizienz) haben und mit AMGEVITA behandelt werden, muss Ihre Herzschwäche sorgfältig durch Ihren Arzt überwacht werden. Es ist wichtig, dass Sie Ihren Arzt darüber informieren, wenn Sie schwerwiegende Herzprobleme haben oder gehabt haben. Entwickeln Sie neue oder sich verschlechternde Symptome einer Herzschwäche (z. B. Kurzatmigkeit oder Anschwellen der Füße), müssen Sie sofort mit Ihrem Arzt sprechen. Ihr Arzt wird dann entscheiden, ob Sie AMGEVITA weiterhin erhalten sollten.</w:t>
      </w:r>
    </w:p>
    <w:p w14:paraId="0F574C1C" w14:textId="77777777" w:rsidR="00FE291A" w:rsidRDefault="00FE291A">
      <w:pPr>
        <w:widowControl/>
        <w:tabs>
          <w:tab w:val="left" w:pos="567"/>
        </w:tabs>
        <w:kinsoku w:val="0"/>
        <w:overflowPunct w:val="0"/>
        <w:ind w:left="567" w:hanging="567"/>
        <w:rPr>
          <w:sz w:val="22"/>
          <w:szCs w:val="22"/>
          <w:lang w:val="de-DE"/>
        </w:rPr>
      </w:pPr>
    </w:p>
    <w:p w14:paraId="230F932F" w14:textId="77777777" w:rsidR="00FE291A" w:rsidRDefault="00C8738F">
      <w:pPr>
        <w:widowControl/>
        <w:tabs>
          <w:tab w:val="left" w:pos="567"/>
        </w:tabs>
        <w:kinsoku w:val="0"/>
        <w:overflowPunct w:val="0"/>
        <w:ind w:left="567" w:hanging="567"/>
        <w:rPr>
          <w:sz w:val="22"/>
          <w:szCs w:val="22"/>
          <w:lang w:val="de-DE"/>
        </w:rPr>
      </w:pPr>
      <w:r>
        <w:rPr>
          <w:sz w:val="22"/>
          <w:szCs w:val="22"/>
          <w:lang w:val="de-DE"/>
        </w:rPr>
        <w:t>Fieber, blaue Flecke, Blutungen oder blasses Aussehen</w:t>
      </w:r>
    </w:p>
    <w:p w14:paraId="278E30B7" w14:textId="77777777" w:rsidR="00FE291A" w:rsidRDefault="00FE291A">
      <w:pPr>
        <w:widowControl/>
        <w:tabs>
          <w:tab w:val="left" w:pos="567"/>
        </w:tabs>
        <w:kinsoku w:val="0"/>
        <w:overflowPunct w:val="0"/>
        <w:ind w:left="567" w:hanging="567"/>
        <w:rPr>
          <w:sz w:val="22"/>
          <w:szCs w:val="22"/>
          <w:lang w:val="de-DE"/>
        </w:rPr>
      </w:pPr>
    </w:p>
    <w:p w14:paraId="14EFB0A1"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Die körpereigene Produktion von Blutzellen, die Ihrem Körper bei der Bekämpfung von Infektionen oder beim Stoppen von Blutungen helfen, kann bei einigen Patienten vermindert sein. Wenn Sie anhaltendes Fieber bekommen, sehr leicht blaue Flecken entwickeln oder bluten oder sehr blass aussehen, benachrichtigen Sie umgehend Ihren Arzt. Ihr Arzt wird möglicherweise entscheiden, die Behandlung zu beenden.</w:t>
      </w:r>
    </w:p>
    <w:p w14:paraId="4A57C34A" w14:textId="77777777" w:rsidR="00FE291A" w:rsidRDefault="00FE291A">
      <w:pPr>
        <w:widowControl/>
        <w:tabs>
          <w:tab w:val="left" w:pos="567"/>
        </w:tabs>
        <w:kinsoku w:val="0"/>
        <w:overflowPunct w:val="0"/>
        <w:ind w:left="567" w:hanging="567"/>
        <w:rPr>
          <w:sz w:val="22"/>
          <w:szCs w:val="22"/>
          <w:lang w:val="de-DE"/>
        </w:rPr>
      </w:pPr>
    </w:p>
    <w:p w14:paraId="23EBCD91" w14:textId="77777777" w:rsidR="00FE291A" w:rsidRDefault="00C8738F">
      <w:pPr>
        <w:widowControl/>
        <w:tabs>
          <w:tab w:val="left" w:pos="567"/>
        </w:tabs>
        <w:kinsoku w:val="0"/>
        <w:overflowPunct w:val="0"/>
        <w:ind w:left="567" w:hanging="567"/>
        <w:rPr>
          <w:sz w:val="22"/>
          <w:szCs w:val="22"/>
          <w:lang w:val="de-DE"/>
        </w:rPr>
      </w:pPr>
      <w:r>
        <w:rPr>
          <w:sz w:val="22"/>
          <w:szCs w:val="22"/>
          <w:lang w:val="de-DE"/>
        </w:rPr>
        <w:t>Krebs</w:t>
      </w:r>
    </w:p>
    <w:p w14:paraId="283A0BCB" w14:textId="77777777" w:rsidR="00FE291A" w:rsidRDefault="00FE291A">
      <w:pPr>
        <w:widowControl/>
        <w:tabs>
          <w:tab w:val="left" w:pos="567"/>
        </w:tabs>
        <w:kinsoku w:val="0"/>
        <w:overflowPunct w:val="0"/>
        <w:ind w:left="567" w:hanging="567"/>
        <w:rPr>
          <w:sz w:val="22"/>
          <w:szCs w:val="22"/>
          <w:lang w:val="de-DE"/>
        </w:rPr>
      </w:pPr>
    </w:p>
    <w:p w14:paraId="55E33599"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 xml:space="preserve">Es gab sehr selten Fälle bestimmter Krebsarten bei Patienten (Kindern und Erwachsenen), die Adalimumab oder andere TNF-Blocker erhielten. Patienten mit schwereren Verlaufsformen der rheumatoiden Arthritis und langjährig bestehender Erkrankung können ein im Vergleich zum Durchschnitt erhöhtes Risiko aufweisen für die Entwicklung eines Lymphoms (Krebs, der das Lymphsystem betrifft) und von Leukämie (Krebs, der das Blut und das Knochenmark betrifft). </w:t>
      </w:r>
    </w:p>
    <w:p w14:paraId="088C1A08"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Wenn Sie AMGEVITA anwenden, kann sich Ihr Risiko, Lymphome, Leukämie oder andere Krebsformen zu entwickeln, möglicherweise erhöhen. In seltenen Fällen wurde bei Patienten, die mit Adalimumab behandelt wurden, eine besondere und schwere Form des Lymphoms beobachtet. Einige dieser Patienten wurden gleichzeitig mit dem Wirkstoff Azathioprin oder 6</w:t>
      </w:r>
      <w:r>
        <w:rPr>
          <w:lang w:val="de-DE"/>
        </w:rPr>
        <w:noBreakHyphen/>
        <w:t>Mercaptopurin behandelt. Teilen Sie Ihrem Arzt mit, wenn Sie Azathioprin oder 6</w:t>
      </w:r>
      <w:r>
        <w:rPr>
          <w:lang w:val="de-DE"/>
        </w:rPr>
        <w:noBreakHyphen/>
        <w:t xml:space="preserve">Mercaptopurin zusammen mit AMGEVITA einnehmen. </w:t>
      </w:r>
    </w:p>
    <w:p w14:paraId="01CF6A85"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Darüber hinaus wurden bei Patienten unter Adalimumab-Therapie Fälle mit Hauttumoren, die keine Melanome waren, beobachtet. Falls während oder nach der Behandlung neue Hautveränderungen auftreten oder sich das Aussehen bereits bestehender Hautverletzungen verändert, informieren Sie bitte Ihren Arzt.</w:t>
      </w:r>
    </w:p>
    <w:p w14:paraId="0D3619FB"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Bei Patienten mit einer besonderen Art von Lungenerkrankung, der chronischen obstruktiven Lungenerkrankung (COPD), sind unter Behandlung mit einem anderen TNF-Blocker Krebsarten aufgetreten. Unter diesen Krebsarten waren keine Lymphome. Wenn Sie COPD haben oder wenn Sie stark rauchen, sollten Sie mit Ihrem Arzt besprechen, ob die Behandlung mit einem TNF</w:t>
      </w:r>
      <w:r>
        <w:rPr>
          <w:lang w:val="de-DE"/>
        </w:rPr>
        <w:noBreakHyphen/>
        <w:t>Blocker für Sie geeignet ist.</w:t>
      </w:r>
    </w:p>
    <w:p w14:paraId="6F8F655C" w14:textId="77777777" w:rsidR="00FE291A" w:rsidRDefault="00FE291A">
      <w:pPr>
        <w:pStyle w:val="ListParagraph"/>
        <w:rPr>
          <w:sz w:val="22"/>
          <w:lang w:val="de-DE"/>
        </w:rPr>
      </w:pPr>
    </w:p>
    <w:p w14:paraId="6B306D93" w14:textId="77777777" w:rsidR="00FE291A" w:rsidRDefault="00C8738F">
      <w:pPr>
        <w:pStyle w:val="ListParagraph"/>
        <w:rPr>
          <w:sz w:val="22"/>
          <w:lang w:val="de-DE"/>
        </w:rPr>
      </w:pPr>
      <w:r>
        <w:rPr>
          <w:sz w:val="22"/>
          <w:lang w:val="de-DE"/>
        </w:rPr>
        <w:t>Autoimmunerkrankung</w:t>
      </w:r>
      <w:del w:id="135" w:author="Author">
        <w:r w:rsidDel="00723069">
          <w:rPr>
            <w:sz w:val="22"/>
            <w:lang w:val="de-DE"/>
          </w:rPr>
          <w:delText>en</w:delText>
        </w:r>
      </w:del>
    </w:p>
    <w:p w14:paraId="3BE8985D" w14:textId="77777777" w:rsidR="00FE291A" w:rsidRDefault="00FE291A">
      <w:pPr>
        <w:pStyle w:val="ListParagraph"/>
        <w:rPr>
          <w:sz w:val="22"/>
          <w:lang w:val="de-DE"/>
        </w:rPr>
      </w:pPr>
    </w:p>
    <w:p w14:paraId="6529FA47"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In seltenen Fällen kann die Behandlung mit AMGEVITA ein lupusähnliches Syndrom auslösen. Kontaktieren Sie Ihren Arzt, falls Symptome wie ein anhaltender, nicht erklärbarer Hautausschlag, Fieber, Gelenkschmerzen oder Müdigkeit auftreten.</w:t>
      </w:r>
    </w:p>
    <w:p w14:paraId="16737579" w14:textId="77777777" w:rsidR="00FE291A" w:rsidRDefault="00FE291A">
      <w:pPr>
        <w:widowControl/>
        <w:kinsoku w:val="0"/>
        <w:overflowPunct w:val="0"/>
        <w:rPr>
          <w:sz w:val="22"/>
          <w:szCs w:val="22"/>
          <w:lang w:val="de-DE"/>
        </w:rPr>
      </w:pPr>
    </w:p>
    <w:p w14:paraId="666E6A36" w14:textId="77777777" w:rsidR="00FE291A" w:rsidRDefault="00C8738F">
      <w:pPr>
        <w:pStyle w:val="BodyText"/>
        <w:widowControl/>
        <w:kinsoku w:val="0"/>
        <w:overflowPunct w:val="0"/>
        <w:ind w:left="0"/>
        <w:rPr>
          <w:lang w:val="de-DE"/>
        </w:rPr>
      </w:pPr>
      <w:r>
        <w:rPr>
          <w:lang w:val="de-DE"/>
        </w:rPr>
        <w:t>Um die Nachverfolgbarkeit dieses Arzneimittels zu verbessern, sollte Ihr Arzt oder Apotheker den Namen und die Chargenbezeichnung des bei Ihnen angewendeten Arzneimittels in Ihrer Krankenakte dokumentieren. Möglicherweise möchten Sie sich diese Informationen ebenfalls für den Fall notieren, dass Sie später danach gefragt werden.</w:t>
      </w:r>
    </w:p>
    <w:p w14:paraId="34ED8FDB" w14:textId="77777777" w:rsidR="00FE291A" w:rsidRDefault="00FE291A">
      <w:pPr>
        <w:pStyle w:val="BodyText"/>
        <w:widowControl/>
        <w:kinsoku w:val="0"/>
        <w:overflowPunct w:val="0"/>
        <w:ind w:left="0"/>
        <w:rPr>
          <w:lang w:val="de-DE"/>
        </w:rPr>
      </w:pPr>
    </w:p>
    <w:p w14:paraId="18B4902A" w14:textId="77777777" w:rsidR="00FE291A" w:rsidRDefault="00C8738F">
      <w:pPr>
        <w:pStyle w:val="Heading1"/>
        <w:keepNext/>
        <w:keepLines/>
        <w:widowControl/>
        <w:kinsoku w:val="0"/>
        <w:overflowPunct w:val="0"/>
        <w:ind w:left="0"/>
        <w:rPr>
          <w:b w:val="0"/>
          <w:bCs w:val="0"/>
          <w:lang w:val="de-DE"/>
        </w:rPr>
      </w:pPr>
      <w:r>
        <w:rPr>
          <w:lang w:val="de-DE"/>
        </w:rPr>
        <w:t>Kinder und Jugendliche</w:t>
      </w:r>
    </w:p>
    <w:p w14:paraId="620B594C" w14:textId="77777777" w:rsidR="00FE291A" w:rsidRDefault="00FE291A">
      <w:pPr>
        <w:keepNext/>
        <w:widowControl/>
        <w:kinsoku w:val="0"/>
        <w:overflowPunct w:val="0"/>
        <w:rPr>
          <w:sz w:val="22"/>
          <w:szCs w:val="22"/>
          <w:lang w:val="de-DE"/>
        </w:rPr>
      </w:pPr>
    </w:p>
    <w:p w14:paraId="686DA1BB" w14:textId="77777777" w:rsidR="00FE291A" w:rsidRDefault="00C8738F">
      <w:pPr>
        <w:pStyle w:val="BodyText"/>
        <w:widowControl/>
        <w:numPr>
          <w:ilvl w:val="0"/>
          <w:numId w:val="54"/>
        </w:numPr>
        <w:tabs>
          <w:tab w:val="left" w:pos="567"/>
        </w:tabs>
        <w:kinsoku w:val="0"/>
        <w:overflowPunct w:val="0"/>
        <w:ind w:left="567"/>
        <w:rPr>
          <w:lang w:val="de-DE"/>
        </w:rPr>
      </w:pPr>
      <w:r>
        <w:rPr>
          <w:lang w:val="de-DE"/>
        </w:rPr>
        <w:t>Impfungen: Wenn möglich, sollten Kinder und Jugendliche vor Anwendung von AMGEVITA auf dem neuesten Stand mit allen Impfungen sein.</w:t>
      </w:r>
    </w:p>
    <w:p w14:paraId="50E27D11" w14:textId="77777777" w:rsidR="00FE291A" w:rsidRDefault="00FE291A">
      <w:pPr>
        <w:widowControl/>
        <w:tabs>
          <w:tab w:val="left" w:pos="567"/>
        </w:tabs>
        <w:kinsoku w:val="0"/>
        <w:overflowPunct w:val="0"/>
        <w:ind w:left="567" w:hanging="567"/>
        <w:rPr>
          <w:sz w:val="22"/>
          <w:szCs w:val="22"/>
          <w:lang w:val="de-DE"/>
        </w:rPr>
      </w:pPr>
    </w:p>
    <w:p w14:paraId="1BE4D1DD" w14:textId="77777777" w:rsidR="00FE291A" w:rsidRDefault="00C8738F">
      <w:pPr>
        <w:pStyle w:val="BodyText"/>
        <w:widowControl/>
        <w:numPr>
          <w:ilvl w:val="0"/>
          <w:numId w:val="54"/>
        </w:numPr>
        <w:tabs>
          <w:tab w:val="left" w:pos="567"/>
        </w:tabs>
        <w:kinsoku w:val="0"/>
        <w:overflowPunct w:val="0"/>
        <w:ind w:left="567"/>
        <w:rPr>
          <w:lang w:val="de-DE"/>
        </w:rPr>
      </w:pPr>
      <w:r>
        <w:rPr>
          <w:lang w:val="de-DE"/>
        </w:rPr>
        <w:t>Wenden Sie AMGEVITA nicht bei Kleinkindern mit polyartikulärer juveniler idiopathischer Arthritis an, die jünger als 2 Jahre sind.</w:t>
      </w:r>
    </w:p>
    <w:p w14:paraId="3453D936" w14:textId="77777777" w:rsidR="00FE291A" w:rsidRDefault="00FE291A">
      <w:pPr>
        <w:pStyle w:val="ListParagraph"/>
        <w:rPr>
          <w:lang w:val="de-DE"/>
        </w:rPr>
      </w:pPr>
    </w:p>
    <w:p w14:paraId="0FC0C2DD" w14:textId="77777777" w:rsidR="00FE291A" w:rsidRDefault="00C8738F">
      <w:pPr>
        <w:pStyle w:val="BodyText"/>
        <w:widowControl/>
        <w:numPr>
          <w:ilvl w:val="0"/>
          <w:numId w:val="54"/>
        </w:numPr>
        <w:tabs>
          <w:tab w:val="left" w:pos="567"/>
        </w:tabs>
        <w:kinsoku w:val="0"/>
        <w:overflowPunct w:val="0"/>
        <w:ind w:left="567"/>
        <w:rPr>
          <w:lang w:val="de-DE"/>
        </w:rPr>
      </w:pPr>
      <w:r>
        <w:rPr>
          <w:lang w:val="de-DE"/>
        </w:rPr>
        <w:t>Wenden Sie AMGEVITA nicht bei Kindern mit Plaque-Psoriasis an, die jünger als 4 Jahre sind.</w:t>
      </w:r>
    </w:p>
    <w:p w14:paraId="71004E61" w14:textId="77777777" w:rsidR="00FE291A" w:rsidRDefault="00FE291A">
      <w:pPr>
        <w:pStyle w:val="ListParagraph"/>
        <w:rPr>
          <w:lang w:val="de-DE"/>
        </w:rPr>
      </w:pPr>
    </w:p>
    <w:p w14:paraId="33CBE4FD" w14:textId="77777777" w:rsidR="00FE291A" w:rsidRDefault="00C8738F">
      <w:pPr>
        <w:pStyle w:val="BodyText"/>
        <w:widowControl/>
        <w:numPr>
          <w:ilvl w:val="0"/>
          <w:numId w:val="54"/>
        </w:numPr>
        <w:tabs>
          <w:tab w:val="left" w:pos="567"/>
        </w:tabs>
        <w:kinsoku w:val="0"/>
        <w:overflowPunct w:val="0"/>
        <w:ind w:left="567"/>
        <w:rPr>
          <w:lang w:val="de-DE"/>
        </w:rPr>
      </w:pPr>
      <w:r>
        <w:rPr>
          <w:lang w:val="de-DE"/>
        </w:rPr>
        <w:t>Wenden Sie AMGEVITA nicht bei Kindern mit Morbus Crohn oder Colitis ulcerosa an, die jünger als 6 Jahre sind.</w:t>
      </w:r>
    </w:p>
    <w:p w14:paraId="301C7A3B" w14:textId="77777777" w:rsidR="00FE291A" w:rsidRDefault="00FE291A">
      <w:pPr>
        <w:pStyle w:val="BodyText"/>
        <w:widowControl/>
        <w:tabs>
          <w:tab w:val="left" w:pos="567"/>
        </w:tabs>
        <w:kinsoku w:val="0"/>
        <w:overflowPunct w:val="0"/>
        <w:ind w:left="0"/>
        <w:rPr>
          <w:lang w:val="de-DE"/>
        </w:rPr>
      </w:pPr>
    </w:p>
    <w:p w14:paraId="4F89E560" w14:textId="77777777" w:rsidR="00FE291A" w:rsidRDefault="00C8738F">
      <w:pPr>
        <w:pStyle w:val="Heading1"/>
        <w:widowControl/>
        <w:kinsoku w:val="0"/>
        <w:overflowPunct w:val="0"/>
        <w:ind w:left="0"/>
        <w:rPr>
          <w:b w:val="0"/>
          <w:bCs w:val="0"/>
          <w:lang w:val="de-DE"/>
        </w:rPr>
      </w:pPr>
      <w:r>
        <w:rPr>
          <w:lang w:val="de-DE"/>
        </w:rPr>
        <w:t>Anwendung von AMGEVITA zusammen mit anderen Arzneimitteln</w:t>
      </w:r>
    </w:p>
    <w:p w14:paraId="783179B3" w14:textId="77777777" w:rsidR="00FE291A" w:rsidRDefault="00FE291A">
      <w:pPr>
        <w:widowControl/>
        <w:kinsoku w:val="0"/>
        <w:overflowPunct w:val="0"/>
        <w:rPr>
          <w:sz w:val="22"/>
          <w:szCs w:val="22"/>
          <w:lang w:val="de-DE"/>
        </w:rPr>
      </w:pPr>
    </w:p>
    <w:p w14:paraId="1D16C276" w14:textId="77777777" w:rsidR="00FE291A" w:rsidRDefault="00C8738F">
      <w:pPr>
        <w:pStyle w:val="BodyText"/>
        <w:widowControl/>
        <w:kinsoku w:val="0"/>
        <w:overflowPunct w:val="0"/>
        <w:ind w:left="0"/>
        <w:rPr>
          <w:lang w:val="de-DE"/>
        </w:rPr>
      </w:pPr>
      <w:r>
        <w:rPr>
          <w:lang w:val="de-DE"/>
        </w:rPr>
        <w:t>Informieren Sie Ihren Arzt oder Apotheker, wenn Sie andere Arzneimittel einnehmen, kürzlich andere Arzneimittel eingenommen haben oder Sie beabsichtigen, andere Arzneimittel einzunehmen.</w:t>
      </w:r>
    </w:p>
    <w:p w14:paraId="0D2EFB38" w14:textId="77777777" w:rsidR="00FE291A" w:rsidRDefault="00FE291A">
      <w:pPr>
        <w:widowControl/>
        <w:kinsoku w:val="0"/>
        <w:overflowPunct w:val="0"/>
        <w:rPr>
          <w:sz w:val="22"/>
          <w:szCs w:val="22"/>
          <w:lang w:val="de-DE"/>
        </w:rPr>
      </w:pPr>
    </w:p>
    <w:p w14:paraId="5E68385B" w14:textId="77777777" w:rsidR="00FE291A" w:rsidRDefault="00C8738F">
      <w:pPr>
        <w:pStyle w:val="BodyText"/>
        <w:widowControl/>
        <w:kinsoku w:val="0"/>
        <w:overflowPunct w:val="0"/>
        <w:ind w:left="0"/>
        <w:rPr>
          <w:lang w:val="de-DE"/>
        </w:rPr>
      </w:pPr>
      <w:r>
        <w:rPr>
          <w:lang w:val="de-DE"/>
        </w:rPr>
        <w:t>AMGEVITA kann zusammen mit Basistherapeutika (wie Methotrexat, Sulfasalazin, Hydroxychloroquin, Leflunomid und injizierbaren Goldzubereitungen) und mit Kortikosteroiden oder Schmerzmitteln, einschließlich nicht steroidhaltiger entzündungshemmender Antirheumatika (NSAR), verwendet werden.</w:t>
      </w:r>
    </w:p>
    <w:p w14:paraId="5F46F0EB" w14:textId="77777777" w:rsidR="00FE291A" w:rsidRDefault="00FE291A">
      <w:pPr>
        <w:widowControl/>
        <w:kinsoku w:val="0"/>
        <w:overflowPunct w:val="0"/>
        <w:rPr>
          <w:sz w:val="22"/>
          <w:szCs w:val="22"/>
          <w:lang w:val="de-DE"/>
        </w:rPr>
      </w:pPr>
    </w:p>
    <w:p w14:paraId="3F955CDC" w14:textId="77777777" w:rsidR="00FE291A" w:rsidRDefault="00C8738F">
      <w:pPr>
        <w:pStyle w:val="BodyText"/>
        <w:widowControl/>
        <w:kinsoku w:val="0"/>
        <w:overflowPunct w:val="0"/>
        <w:ind w:left="0"/>
        <w:rPr>
          <w:lang w:val="de-DE"/>
        </w:rPr>
      </w:pPr>
      <w:r>
        <w:rPr>
          <w:lang w:val="de-DE"/>
        </w:rPr>
        <w:t>Sie dürfen AMGEVITA nicht zusammen mit Arzneimitteln verwenden, die als Wirkstoff Anakinra oder Abatacept enthalten, da ein erhöhtes Risiko einer schwerwiegenden Infektion besteht. Sollten Sie Fragen haben, wenden Sie sich bitte an Ihren Arzt.</w:t>
      </w:r>
    </w:p>
    <w:p w14:paraId="60183691" w14:textId="77777777" w:rsidR="00FE291A" w:rsidRDefault="00FE291A">
      <w:pPr>
        <w:widowControl/>
        <w:kinsoku w:val="0"/>
        <w:overflowPunct w:val="0"/>
        <w:rPr>
          <w:sz w:val="22"/>
          <w:szCs w:val="22"/>
          <w:lang w:val="de-DE"/>
        </w:rPr>
      </w:pPr>
    </w:p>
    <w:p w14:paraId="1BF23FEE" w14:textId="77777777" w:rsidR="00FE291A" w:rsidRDefault="00C8738F">
      <w:pPr>
        <w:pStyle w:val="Heading1"/>
        <w:keepNext/>
        <w:widowControl/>
        <w:kinsoku w:val="0"/>
        <w:overflowPunct w:val="0"/>
        <w:ind w:left="0"/>
        <w:rPr>
          <w:b w:val="0"/>
          <w:bCs w:val="0"/>
          <w:lang w:val="de-DE"/>
        </w:rPr>
      </w:pPr>
      <w:r>
        <w:rPr>
          <w:lang w:val="de-DE"/>
        </w:rPr>
        <w:t>Schwangerschaft und Stillzeit</w:t>
      </w:r>
    </w:p>
    <w:p w14:paraId="378B4C7A" w14:textId="77777777" w:rsidR="00FE291A" w:rsidRDefault="00FE291A">
      <w:pPr>
        <w:pStyle w:val="BodyText"/>
        <w:keepNext/>
        <w:widowControl/>
        <w:kinsoku w:val="0"/>
        <w:overflowPunct w:val="0"/>
        <w:ind w:left="0"/>
        <w:rPr>
          <w:lang w:val="de-DE"/>
        </w:rPr>
      </w:pPr>
    </w:p>
    <w:p w14:paraId="7601B4F1" w14:textId="77777777" w:rsidR="00FE291A" w:rsidRDefault="00C8738F">
      <w:pPr>
        <w:keepNext/>
        <w:widowControl/>
        <w:numPr>
          <w:ilvl w:val="0"/>
          <w:numId w:val="61"/>
        </w:numPr>
        <w:tabs>
          <w:tab w:val="clear" w:pos="360"/>
        </w:tabs>
        <w:autoSpaceDE/>
        <w:autoSpaceDN/>
        <w:adjustRightInd/>
        <w:ind w:left="567" w:hanging="567"/>
        <w:rPr>
          <w:sz w:val="22"/>
          <w:szCs w:val="22"/>
          <w:lang w:val="de-DE"/>
        </w:rPr>
      </w:pPr>
      <w:r>
        <w:rPr>
          <w:sz w:val="22"/>
          <w:szCs w:val="22"/>
          <w:lang w:val="de-DE"/>
        </w:rPr>
        <w:t xml:space="preserve">Sie sollten eine geeignete Verhütungsmethode in Erwägung ziehen, um nicht schwanger zu werden, und bis mindestens 5 Monate nach der letzten Dosis von AMGEVITA verhüten. </w:t>
      </w:r>
    </w:p>
    <w:p w14:paraId="3A876C79" w14:textId="77777777" w:rsidR="00FE291A" w:rsidRDefault="00C8738F">
      <w:pPr>
        <w:widowControl/>
        <w:numPr>
          <w:ilvl w:val="0"/>
          <w:numId w:val="61"/>
        </w:numPr>
        <w:tabs>
          <w:tab w:val="clear" w:pos="360"/>
        </w:tabs>
        <w:autoSpaceDE/>
        <w:autoSpaceDN/>
        <w:adjustRightInd/>
        <w:ind w:left="567" w:hanging="567"/>
        <w:rPr>
          <w:sz w:val="22"/>
          <w:szCs w:val="22"/>
          <w:lang w:val="de-DE"/>
        </w:rPr>
      </w:pPr>
      <w:r>
        <w:rPr>
          <w:sz w:val="22"/>
          <w:szCs w:val="22"/>
          <w:lang w:val="de-DE"/>
        </w:rPr>
        <w:t>Wenn Sie schwanger sind, vermuten, schwanger zu sein, oder beabsichtigen, schwanger zu werden, fragen Sie Ihren Arzt zur Anwendung dieses Arzneimittels um Rat.</w:t>
      </w:r>
    </w:p>
    <w:p w14:paraId="78593F96" w14:textId="77777777" w:rsidR="00FE291A" w:rsidRDefault="00C8738F">
      <w:pPr>
        <w:widowControl/>
        <w:numPr>
          <w:ilvl w:val="0"/>
          <w:numId w:val="61"/>
        </w:numPr>
        <w:tabs>
          <w:tab w:val="clear" w:pos="360"/>
        </w:tabs>
        <w:autoSpaceDE/>
        <w:autoSpaceDN/>
        <w:adjustRightInd/>
        <w:ind w:left="567" w:hanging="567"/>
        <w:rPr>
          <w:sz w:val="22"/>
          <w:szCs w:val="22"/>
          <w:lang w:val="de-DE"/>
        </w:rPr>
      </w:pPr>
      <w:r>
        <w:rPr>
          <w:sz w:val="22"/>
          <w:szCs w:val="22"/>
          <w:lang w:val="de-DE"/>
        </w:rPr>
        <w:t>AMGEVITA sollte während einer Schwangerschaft nur angewendet werden, wenn dies erforderlich ist.</w:t>
      </w:r>
    </w:p>
    <w:p w14:paraId="12E95156" w14:textId="77777777" w:rsidR="00FE291A" w:rsidRDefault="00C8738F">
      <w:pPr>
        <w:widowControl/>
        <w:numPr>
          <w:ilvl w:val="0"/>
          <w:numId w:val="61"/>
        </w:numPr>
        <w:tabs>
          <w:tab w:val="clear" w:pos="360"/>
        </w:tabs>
        <w:autoSpaceDE/>
        <w:autoSpaceDN/>
        <w:adjustRightInd/>
        <w:ind w:left="567" w:hanging="567"/>
        <w:rPr>
          <w:sz w:val="22"/>
          <w:szCs w:val="22"/>
          <w:lang w:val="de-DE"/>
        </w:rPr>
      </w:pPr>
      <w:r>
        <w:rPr>
          <w:sz w:val="22"/>
          <w:szCs w:val="22"/>
          <w:lang w:val="de-DE"/>
        </w:rPr>
        <w:t>Laut einer Studie mit Schwangeren bestand bei Kindern von Müttern, die während der Schwangerschaft mit AMGEVITA behandelt wurden, kein höheres Risiko für Geburtsfehler als bei Kindern von Müttern mit der gleichen Erkrankung, die nicht mit AMGEVITA behandelt wurden.</w:t>
      </w:r>
    </w:p>
    <w:p w14:paraId="1BE1FCD4" w14:textId="77777777" w:rsidR="00FE291A" w:rsidRDefault="00C8738F">
      <w:pPr>
        <w:pStyle w:val="BodyText"/>
        <w:widowControl/>
        <w:numPr>
          <w:ilvl w:val="0"/>
          <w:numId w:val="62"/>
        </w:numPr>
        <w:kinsoku w:val="0"/>
        <w:overflowPunct w:val="0"/>
        <w:ind w:left="567" w:hanging="567"/>
        <w:rPr>
          <w:lang w:val="de-DE"/>
        </w:rPr>
      </w:pPr>
      <w:r>
        <w:rPr>
          <w:lang w:val="de-DE"/>
        </w:rPr>
        <w:t>AMGEVITA kann während der Stillzeit angewendet werden.</w:t>
      </w:r>
    </w:p>
    <w:p w14:paraId="47AD076A" w14:textId="77777777" w:rsidR="00FE291A" w:rsidRDefault="00C8738F">
      <w:pPr>
        <w:pStyle w:val="BodyText"/>
        <w:widowControl/>
        <w:numPr>
          <w:ilvl w:val="0"/>
          <w:numId w:val="62"/>
        </w:numPr>
        <w:kinsoku w:val="0"/>
        <w:overflowPunct w:val="0"/>
        <w:ind w:left="567" w:hanging="567"/>
        <w:rPr>
          <w:lang w:val="de-DE"/>
        </w:rPr>
      </w:pPr>
      <w:r>
        <w:rPr>
          <w:lang w:val="de-DE"/>
        </w:rPr>
        <w:t>Wenn Sie AMGEVITA während Ihrer Schwangerschaft erhalten haben, hat Ihr Säugling eventuell ein erhöhtes Risiko, eine Infektion zu bekommen.</w:t>
      </w:r>
    </w:p>
    <w:p w14:paraId="54024267" w14:textId="77777777" w:rsidR="00FE291A" w:rsidRDefault="00C8738F">
      <w:pPr>
        <w:pStyle w:val="BodyText"/>
        <w:widowControl/>
        <w:numPr>
          <w:ilvl w:val="0"/>
          <w:numId w:val="62"/>
        </w:numPr>
        <w:kinsoku w:val="0"/>
        <w:overflowPunct w:val="0"/>
        <w:ind w:left="567" w:hanging="567"/>
        <w:rPr>
          <w:lang w:val="de-DE"/>
        </w:rPr>
      </w:pPr>
      <w:r>
        <w:rPr>
          <w:lang w:val="de-DE"/>
        </w:rPr>
        <w:t>Es ist wichtig, dass Sie den Ärzten des Kindes und anderem Fachpersonal im Gesundheitswesen mitteilen, dass Sie AMGEVITA während der Schwangerschaft angewendet haben, bevor Ihr Säugling eine Impfung bekommt. Weitere Information siehe im Abschnitt zu Impfungen unter „Warnhinweise und Vorsichtsmaßnahmen“.</w:t>
      </w:r>
    </w:p>
    <w:p w14:paraId="75BA3B89" w14:textId="77777777" w:rsidR="00FE291A" w:rsidRDefault="00FE291A">
      <w:pPr>
        <w:pStyle w:val="Heading1"/>
        <w:widowControl/>
        <w:kinsoku w:val="0"/>
        <w:overflowPunct w:val="0"/>
        <w:ind w:left="0"/>
        <w:rPr>
          <w:b w:val="0"/>
          <w:lang w:val="de-DE"/>
        </w:rPr>
      </w:pPr>
    </w:p>
    <w:p w14:paraId="048AF9F9" w14:textId="77777777" w:rsidR="00FE291A" w:rsidRDefault="00C8738F">
      <w:pPr>
        <w:pStyle w:val="Heading1"/>
        <w:keepNext/>
        <w:widowControl/>
        <w:kinsoku w:val="0"/>
        <w:overflowPunct w:val="0"/>
        <w:ind w:left="0"/>
        <w:rPr>
          <w:b w:val="0"/>
          <w:bCs w:val="0"/>
          <w:lang w:val="de-DE"/>
        </w:rPr>
      </w:pPr>
      <w:r>
        <w:rPr>
          <w:lang w:val="de-DE"/>
        </w:rPr>
        <w:t>Verkehrstüchtigkeit und Fähigkeit zum Bedienen von Maschinen</w:t>
      </w:r>
    </w:p>
    <w:p w14:paraId="62A47B07" w14:textId="77777777" w:rsidR="00FE291A" w:rsidRDefault="00FE291A">
      <w:pPr>
        <w:keepNext/>
        <w:widowControl/>
        <w:kinsoku w:val="0"/>
        <w:overflowPunct w:val="0"/>
        <w:rPr>
          <w:sz w:val="22"/>
          <w:szCs w:val="22"/>
          <w:lang w:val="de-DE"/>
        </w:rPr>
      </w:pPr>
    </w:p>
    <w:p w14:paraId="5B10B6E0" w14:textId="77777777" w:rsidR="00FE291A" w:rsidRDefault="00C8738F">
      <w:pPr>
        <w:pStyle w:val="BodyText"/>
        <w:widowControl/>
        <w:kinsoku w:val="0"/>
        <w:overflowPunct w:val="0"/>
        <w:ind w:left="0"/>
        <w:rPr>
          <w:lang w:val="de-DE"/>
        </w:rPr>
      </w:pPr>
      <w:r>
        <w:rPr>
          <w:lang w:val="de-DE"/>
        </w:rPr>
        <w:t>AMGEVITA kann einen geringen Einfluss auf Ihre Verkehrstüchtigkeit und das Bedienen von Maschinen haben. Bei der Anwendung von AMGEVITA kann das Sehvermögen beeinträchtigt sein und es kann das Gefühl auftreten, dass sich der Raum dreht (Schwindel).</w:t>
      </w:r>
    </w:p>
    <w:p w14:paraId="2B448877" w14:textId="77777777" w:rsidR="00FE291A" w:rsidRDefault="00FE291A">
      <w:pPr>
        <w:widowControl/>
        <w:kinsoku w:val="0"/>
        <w:overflowPunct w:val="0"/>
        <w:rPr>
          <w:sz w:val="22"/>
          <w:szCs w:val="22"/>
          <w:lang w:val="de-DE"/>
        </w:rPr>
      </w:pPr>
    </w:p>
    <w:p w14:paraId="7F3415F1" w14:textId="77777777" w:rsidR="00FE291A" w:rsidRDefault="00C8738F">
      <w:pPr>
        <w:pStyle w:val="Heading1"/>
        <w:keepNext/>
        <w:keepLines/>
        <w:widowControl/>
        <w:kinsoku w:val="0"/>
        <w:overflowPunct w:val="0"/>
        <w:ind w:left="0"/>
        <w:rPr>
          <w:lang w:val="de-DE"/>
        </w:rPr>
      </w:pPr>
      <w:r>
        <w:rPr>
          <w:lang w:val="de-DE"/>
        </w:rPr>
        <w:t>AMGEVITA enthält Natrium</w:t>
      </w:r>
    </w:p>
    <w:p w14:paraId="0C3AC127" w14:textId="77777777" w:rsidR="00FE291A" w:rsidRDefault="00FE291A">
      <w:pPr>
        <w:keepNext/>
        <w:keepLines/>
        <w:widowControl/>
        <w:kinsoku w:val="0"/>
        <w:overflowPunct w:val="0"/>
        <w:rPr>
          <w:sz w:val="22"/>
          <w:szCs w:val="22"/>
          <w:lang w:val="de-DE"/>
        </w:rPr>
      </w:pPr>
    </w:p>
    <w:p w14:paraId="4510BFB9" w14:textId="77777777" w:rsidR="00FE291A" w:rsidRDefault="00C8738F">
      <w:pPr>
        <w:pStyle w:val="BodyText"/>
        <w:widowControl/>
        <w:kinsoku w:val="0"/>
        <w:overflowPunct w:val="0"/>
        <w:ind w:left="0"/>
        <w:rPr>
          <w:lang w:val="de-DE"/>
        </w:rPr>
      </w:pPr>
      <w:r>
        <w:rPr>
          <w:lang w:val="de-DE"/>
        </w:rPr>
        <w:t>Dieses Arzneimittel enthält weniger als 1 mmol Natrium (23 mg) pro 0,8 ml Dosis, d. h., es ist nahezu „natriumfrei“.</w:t>
      </w:r>
    </w:p>
    <w:p w14:paraId="2E97EBC8" w14:textId="77777777" w:rsidR="00FE291A" w:rsidRDefault="00FE291A">
      <w:pPr>
        <w:widowControl/>
        <w:kinsoku w:val="0"/>
        <w:overflowPunct w:val="0"/>
        <w:rPr>
          <w:sz w:val="22"/>
          <w:szCs w:val="22"/>
          <w:lang w:val="de-DE"/>
        </w:rPr>
      </w:pPr>
    </w:p>
    <w:p w14:paraId="153D2DC0" w14:textId="77777777" w:rsidR="00FE291A" w:rsidRDefault="00FE291A">
      <w:pPr>
        <w:widowControl/>
        <w:kinsoku w:val="0"/>
        <w:overflowPunct w:val="0"/>
        <w:rPr>
          <w:sz w:val="22"/>
          <w:szCs w:val="22"/>
          <w:lang w:val="de-DE"/>
        </w:rPr>
      </w:pPr>
    </w:p>
    <w:p w14:paraId="6710ED46" w14:textId="77777777" w:rsidR="00FE291A" w:rsidRDefault="00C8738F">
      <w:pPr>
        <w:pStyle w:val="Heading1"/>
        <w:keepNext/>
        <w:widowControl/>
        <w:tabs>
          <w:tab w:val="left" w:pos="567"/>
        </w:tabs>
        <w:kinsoku w:val="0"/>
        <w:overflowPunct w:val="0"/>
        <w:ind w:left="0"/>
        <w:rPr>
          <w:b w:val="0"/>
          <w:bCs w:val="0"/>
          <w:lang w:val="de-DE"/>
        </w:rPr>
      </w:pPr>
      <w:r>
        <w:rPr>
          <w:lang w:val="de-DE"/>
        </w:rPr>
        <w:t>3.</w:t>
      </w:r>
      <w:r>
        <w:rPr>
          <w:lang w:val="de-DE"/>
        </w:rPr>
        <w:tab/>
        <w:t>Wie ist AMGEVITA anzuwenden?</w:t>
      </w:r>
    </w:p>
    <w:p w14:paraId="0F6B7E0F" w14:textId="77777777" w:rsidR="00FE291A" w:rsidRDefault="00FE291A">
      <w:pPr>
        <w:keepNext/>
        <w:widowControl/>
        <w:kinsoku w:val="0"/>
        <w:overflowPunct w:val="0"/>
        <w:rPr>
          <w:sz w:val="22"/>
          <w:szCs w:val="22"/>
          <w:lang w:val="de-DE"/>
        </w:rPr>
      </w:pPr>
    </w:p>
    <w:p w14:paraId="29CFC0F2" w14:textId="77777777" w:rsidR="00FE291A" w:rsidRDefault="00C8738F">
      <w:pPr>
        <w:pStyle w:val="BodyText"/>
        <w:widowControl/>
        <w:kinsoku w:val="0"/>
        <w:overflowPunct w:val="0"/>
        <w:ind w:left="0"/>
        <w:rPr>
          <w:lang w:val="de-DE"/>
        </w:rPr>
      </w:pPr>
      <w:r>
        <w:rPr>
          <w:lang w:val="de-DE"/>
        </w:rPr>
        <w:t>Wenden Sie dieses Arzneimittel immer genau nach Absprache mit Ihrem Arzt oder Apotheker an. Fragen Sie bei Ihrem Arzt oder Apotheker nach, wenn Sie sich nicht sicher sind.</w:t>
      </w:r>
    </w:p>
    <w:p w14:paraId="2229BFEF" w14:textId="77777777" w:rsidR="00FE291A" w:rsidRDefault="00FE291A">
      <w:pPr>
        <w:widowControl/>
        <w:kinsoku w:val="0"/>
        <w:overflowPunct w:val="0"/>
        <w:rPr>
          <w:sz w:val="22"/>
          <w:szCs w:val="22"/>
          <w:lang w:val="de-DE"/>
        </w:rPr>
      </w:pPr>
    </w:p>
    <w:p w14:paraId="36B4FA42" w14:textId="77777777" w:rsidR="00FE291A" w:rsidRDefault="00C8738F">
      <w:pPr>
        <w:pStyle w:val="BodyText"/>
        <w:keepNext/>
        <w:widowControl/>
        <w:kinsoku w:val="0"/>
        <w:overflowPunct w:val="0"/>
        <w:ind w:left="0"/>
        <w:rPr>
          <w:lang w:val="de-DE"/>
        </w:rPr>
      </w:pPr>
      <w:r>
        <w:rPr>
          <w:u w:val="single"/>
          <w:lang w:val="de-DE"/>
        </w:rPr>
        <w:t>Erwachsene mit rheumatoider Arthritis, Psoriasis-Arthritis, ankylosierender Spondylitis oder axialer</w:t>
      </w:r>
      <w:r>
        <w:rPr>
          <w:lang w:val="de-DE"/>
        </w:rPr>
        <w:t xml:space="preserve"> </w:t>
      </w:r>
      <w:r>
        <w:rPr>
          <w:u w:val="single"/>
          <w:lang w:val="de-DE"/>
        </w:rPr>
        <w:t>Spondyloarthritis, bei der im Röntgenbild noch keine Verknöcherung nachweisbar ist</w:t>
      </w:r>
    </w:p>
    <w:p w14:paraId="57F185ED" w14:textId="77777777" w:rsidR="00FE291A" w:rsidRDefault="00FE291A">
      <w:pPr>
        <w:keepNext/>
        <w:widowControl/>
        <w:kinsoku w:val="0"/>
        <w:overflowPunct w:val="0"/>
        <w:rPr>
          <w:sz w:val="22"/>
          <w:szCs w:val="22"/>
          <w:lang w:val="de-DE"/>
        </w:rPr>
      </w:pPr>
    </w:p>
    <w:p w14:paraId="67ABA7AB" w14:textId="77777777" w:rsidR="00FE291A" w:rsidRDefault="00C8738F">
      <w:pPr>
        <w:pStyle w:val="BodyText"/>
        <w:widowControl/>
        <w:kinsoku w:val="0"/>
        <w:overflowPunct w:val="0"/>
        <w:ind w:left="0"/>
        <w:rPr>
          <w:lang w:val="de-DE"/>
        </w:rPr>
      </w:pPr>
      <w:r>
        <w:rPr>
          <w:lang w:val="de-DE"/>
        </w:rPr>
        <w:t>AMGEVITA wird unter die Haut gespritzt (subkutane Anwendung). Die übliche Dosis für Erwachsene mit rheumatoider Arthritis, ankylosierender Spondylitis, axialer Spondyloarthritis, bei der im Röntgenbild noch keine Verknöcherung nachweisbar ist, und für Patienten mit Psoriasis-Arthritis beträgt 40 mg, die alle zwei Wochen als Einzeldosis verabreicht wird.</w:t>
      </w:r>
    </w:p>
    <w:p w14:paraId="3F4C2B68" w14:textId="77777777" w:rsidR="00FE291A" w:rsidRDefault="00FE291A">
      <w:pPr>
        <w:widowControl/>
        <w:kinsoku w:val="0"/>
        <w:overflowPunct w:val="0"/>
        <w:rPr>
          <w:sz w:val="22"/>
          <w:szCs w:val="22"/>
          <w:lang w:val="de-DE"/>
        </w:rPr>
      </w:pPr>
    </w:p>
    <w:p w14:paraId="6829F7EA" w14:textId="77777777" w:rsidR="00FE291A" w:rsidRDefault="00C8738F">
      <w:pPr>
        <w:pStyle w:val="BodyText"/>
        <w:widowControl/>
        <w:kinsoku w:val="0"/>
        <w:overflowPunct w:val="0"/>
        <w:ind w:left="0"/>
        <w:rPr>
          <w:lang w:val="de-DE"/>
        </w:rPr>
      </w:pPr>
      <w:r>
        <w:rPr>
          <w:lang w:val="de-DE"/>
        </w:rPr>
        <w:t>Während Sie AMGEVITA bei rheumatoider Arthritis anwenden, wird die Gabe von Methotrexat fortgesetzt. Sollte Ihr Arzt die Gabe von Methotrexat als nicht geeignet erachten, kann AMGEVITA auch alleine angewendet werden.</w:t>
      </w:r>
    </w:p>
    <w:p w14:paraId="2D18C29F" w14:textId="77777777" w:rsidR="00FE291A" w:rsidRDefault="00FE291A">
      <w:pPr>
        <w:widowControl/>
        <w:kinsoku w:val="0"/>
        <w:overflowPunct w:val="0"/>
        <w:rPr>
          <w:sz w:val="22"/>
          <w:szCs w:val="22"/>
          <w:lang w:val="de-DE"/>
        </w:rPr>
      </w:pPr>
    </w:p>
    <w:p w14:paraId="29EF15D8" w14:textId="77777777" w:rsidR="00FE291A" w:rsidRDefault="00C8738F">
      <w:pPr>
        <w:pStyle w:val="BodyText"/>
        <w:widowControl/>
        <w:kinsoku w:val="0"/>
        <w:overflowPunct w:val="0"/>
        <w:ind w:left="0"/>
        <w:rPr>
          <w:lang w:val="de-DE"/>
        </w:rPr>
      </w:pPr>
      <w:r>
        <w:rPr>
          <w:lang w:val="de-DE"/>
        </w:rPr>
        <w:t>Falls Sie an rheumatoider Arthritis erkrankt sind und kein Methotrexat begleitend zu Ihrer Behandlung mit AMGEVITA erhalten, kann Ihr Arzt sich für eine Gabe von 40 mg jede Woche oder 80 mg jede zweite Woche entscheiden.</w:t>
      </w:r>
    </w:p>
    <w:p w14:paraId="5425CF44" w14:textId="77777777" w:rsidR="00FE291A" w:rsidRDefault="00FE291A">
      <w:pPr>
        <w:widowControl/>
        <w:kinsoku w:val="0"/>
        <w:overflowPunct w:val="0"/>
        <w:rPr>
          <w:sz w:val="22"/>
          <w:szCs w:val="22"/>
          <w:lang w:val="de-DE"/>
        </w:rPr>
      </w:pPr>
    </w:p>
    <w:p w14:paraId="498D4EB3" w14:textId="77777777" w:rsidR="00FE291A" w:rsidRDefault="00C8738F">
      <w:pPr>
        <w:pStyle w:val="BodyText"/>
        <w:keepNext/>
        <w:widowControl/>
        <w:kinsoku w:val="0"/>
        <w:overflowPunct w:val="0"/>
        <w:ind w:left="0"/>
        <w:rPr>
          <w:lang w:val="de-DE"/>
        </w:rPr>
      </w:pPr>
      <w:r>
        <w:rPr>
          <w:u w:val="single"/>
          <w:lang w:val="de-DE"/>
        </w:rPr>
        <w:t>Kinder, Jugendliche und Erwachsene mit polyartikulärer juveniler idiopathischer Arthritis</w:t>
      </w:r>
    </w:p>
    <w:p w14:paraId="4D11118D" w14:textId="77777777" w:rsidR="00FE291A" w:rsidRDefault="00FE291A">
      <w:pPr>
        <w:keepNext/>
        <w:widowControl/>
        <w:kinsoku w:val="0"/>
        <w:overflowPunct w:val="0"/>
        <w:rPr>
          <w:sz w:val="22"/>
          <w:szCs w:val="22"/>
          <w:lang w:val="de-DE"/>
        </w:rPr>
      </w:pPr>
    </w:p>
    <w:p w14:paraId="22DB36F9" w14:textId="77777777" w:rsidR="00FE291A" w:rsidRDefault="00C8738F">
      <w:pPr>
        <w:keepNext/>
        <w:rPr>
          <w:i/>
          <w:sz w:val="22"/>
          <w:szCs w:val="22"/>
          <w:lang w:val="de-DE"/>
        </w:rPr>
      </w:pPr>
      <w:r>
        <w:rPr>
          <w:i/>
          <w:sz w:val="22"/>
          <w:szCs w:val="22"/>
          <w:lang w:val="de-DE"/>
        </w:rPr>
        <w:t>Kinder ab 2 Jahren, Jugendliche und Erwachsene mit einem Körpergewicht von 30 kg oder mehr</w:t>
      </w:r>
    </w:p>
    <w:p w14:paraId="4ED8C5BF" w14:textId="77777777" w:rsidR="00FE291A" w:rsidRDefault="00FE291A">
      <w:pPr>
        <w:keepNext/>
        <w:widowControl/>
        <w:kinsoku w:val="0"/>
        <w:overflowPunct w:val="0"/>
        <w:rPr>
          <w:sz w:val="22"/>
          <w:szCs w:val="22"/>
          <w:lang w:val="de-DE"/>
        </w:rPr>
      </w:pPr>
    </w:p>
    <w:p w14:paraId="6D2721AD" w14:textId="77777777" w:rsidR="00FE291A" w:rsidRDefault="00C8738F">
      <w:pPr>
        <w:pStyle w:val="BodyText"/>
        <w:widowControl/>
        <w:kinsoku w:val="0"/>
        <w:overflowPunct w:val="0"/>
        <w:ind w:left="0"/>
        <w:rPr>
          <w:lang w:val="de-DE"/>
        </w:rPr>
      </w:pPr>
      <w:r>
        <w:rPr>
          <w:lang w:val="de-DE"/>
        </w:rPr>
        <w:t>Die empfohlene Dosierung von AMGEVITA beträgt 40 mg jede zweite Woche.</w:t>
      </w:r>
    </w:p>
    <w:p w14:paraId="1143DC44" w14:textId="77777777" w:rsidR="00FE291A" w:rsidRDefault="00FE291A">
      <w:pPr>
        <w:pStyle w:val="BodyText"/>
        <w:widowControl/>
        <w:kinsoku w:val="0"/>
        <w:overflowPunct w:val="0"/>
        <w:ind w:left="0"/>
        <w:rPr>
          <w:lang w:val="de-DE"/>
        </w:rPr>
      </w:pPr>
    </w:p>
    <w:p w14:paraId="7365DE43" w14:textId="77777777" w:rsidR="00FE291A" w:rsidRDefault="00C8738F">
      <w:pPr>
        <w:pStyle w:val="BodyText"/>
        <w:keepNext/>
        <w:widowControl/>
        <w:kinsoku w:val="0"/>
        <w:overflowPunct w:val="0"/>
        <w:ind w:left="0"/>
        <w:rPr>
          <w:lang w:val="de-DE"/>
        </w:rPr>
      </w:pPr>
      <w:r>
        <w:rPr>
          <w:u w:val="single"/>
          <w:lang w:val="de-DE"/>
        </w:rPr>
        <w:t>Kinder, Jugendliche und Erwachsene mit Enthesitis-assoziierter Arthritis</w:t>
      </w:r>
    </w:p>
    <w:p w14:paraId="260CAE12" w14:textId="77777777" w:rsidR="00FE291A" w:rsidRDefault="00FE291A">
      <w:pPr>
        <w:keepNext/>
        <w:rPr>
          <w:sz w:val="22"/>
          <w:szCs w:val="22"/>
          <w:lang w:val="de-DE"/>
        </w:rPr>
      </w:pPr>
    </w:p>
    <w:p w14:paraId="4F7EBA96" w14:textId="77777777" w:rsidR="00FE291A" w:rsidRDefault="00C8738F">
      <w:pPr>
        <w:keepNext/>
        <w:rPr>
          <w:i/>
          <w:sz w:val="22"/>
          <w:szCs w:val="22"/>
          <w:lang w:val="de-DE"/>
        </w:rPr>
      </w:pPr>
      <w:r>
        <w:rPr>
          <w:i/>
          <w:sz w:val="22"/>
          <w:szCs w:val="22"/>
          <w:lang w:val="de-DE"/>
        </w:rPr>
        <w:t>Kinder ab 6 Jahren, Jugendliche und Erwachsene mit einem Körpergewicht von 30 kg oder mehr</w:t>
      </w:r>
    </w:p>
    <w:p w14:paraId="4BC8E25C" w14:textId="77777777" w:rsidR="00FE291A" w:rsidRDefault="00FE291A">
      <w:pPr>
        <w:keepNext/>
        <w:rPr>
          <w:i/>
          <w:sz w:val="22"/>
          <w:szCs w:val="22"/>
          <w:lang w:val="de-DE"/>
        </w:rPr>
      </w:pPr>
    </w:p>
    <w:p w14:paraId="74A0C367" w14:textId="77777777" w:rsidR="00FE291A" w:rsidRDefault="00C8738F">
      <w:pPr>
        <w:keepNext/>
        <w:rPr>
          <w:sz w:val="22"/>
          <w:szCs w:val="22"/>
          <w:lang w:val="de-DE"/>
        </w:rPr>
      </w:pPr>
      <w:r>
        <w:rPr>
          <w:sz w:val="22"/>
          <w:szCs w:val="22"/>
          <w:lang w:val="de-DE"/>
        </w:rPr>
        <w:t>Die empfohlene Dosierung von AMGEVITA beträgt 40 mg jede zweite Woche.</w:t>
      </w:r>
    </w:p>
    <w:p w14:paraId="56753A68" w14:textId="77777777" w:rsidR="00FE291A" w:rsidRDefault="00FE291A">
      <w:pPr>
        <w:pStyle w:val="BodyText"/>
        <w:widowControl/>
        <w:kinsoku w:val="0"/>
        <w:overflowPunct w:val="0"/>
        <w:ind w:left="0"/>
        <w:rPr>
          <w:lang w:val="de-DE"/>
        </w:rPr>
      </w:pPr>
    </w:p>
    <w:p w14:paraId="6A4E8883" w14:textId="77777777" w:rsidR="00FE291A" w:rsidRDefault="00C8738F">
      <w:pPr>
        <w:pStyle w:val="BodyText"/>
        <w:keepNext/>
        <w:widowControl/>
        <w:kinsoku w:val="0"/>
        <w:overflowPunct w:val="0"/>
        <w:ind w:left="0"/>
        <w:rPr>
          <w:lang w:val="de-DE"/>
        </w:rPr>
      </w:pPr>
      <w:r>
        <w:rPr>
          <w:u w:val="single"/>
          <w:lang w:val="de-DE"/>
        </w:rPr>
        <w:t>Erwachsene mit Plaque-Psoriasis</w:t>
      </w:r>
    </w:p>
    <w:p w14:paraId="61D7F689" w14:textId="77777777" w:rsidR="00FE291A" w:rsidRDefault="00FE291A">
      <w:pPr>
        <w:keepNext/>
        <w:widowControl/>
        <w:kinsoku w:val="0"/>
        <w:overflowPunct w:val="0"/>
        <w:rPr>
          <w:sz w:val="22"/>
          <w:szCs w:val="22"/>
          <w:lang w:val="de-DE"/>
        </w:rPr>
      </w:pPr>
    </w:p>
    <w:p w14:paraId="3519C3A8" w14:textId="77777777" w:rsidR="00FE291A" w:rsidRDefault="00C8738F">
      <w:pPr>
        <w:pStyle w:val="BodyText"/>
        <w:widowControl/>
        <w:kinsoku w:val="0"/>
        <w:overflowPunct w:val="0"/>
        <w:ind w:left="0"/>
        <w:rPr>
          <w:lang w:val="de-DE"/>
        </w:rPr>
      </w:pPr>
      <w:r>
        <w:rPr>
          <w:lang w:val="de-DE"/>
        </w:rPr>
        <w:t>Die übliche Dosierung für erwachsene Plaque-Psoriasispatienten beträgt 80 mg als Anfangsdosis (als zwei Injektionen von 40 mg an einem Tag), gefolgt von 40 mg jede zweite Woche, beginnend eine Woche nach der Anfangsdosis. Sie sollten AMGEVITA so lange spritzen, wie Sie dies mit Ihrem Arzt besprochen haben. Je nachdem, wie Sie auf die Behandlung ansprechen, kann Ihr Arzt die Dosis auf 40 mg jede Woche oder 80 mg jede zweite Woche erhöhen.</w:t>
      </w:r>
    </w:p>
    <w:p w14:paraId="3873CE5C" w14:textId="77777777" w:rsidR="00FE291A" w:rsidRDefault="00FE291A">
      <w:pPr>
        <w:widowControl/>
        <w:kinsoku w:val="0"/>
        <w:overflowPunct w:val="0"/>
        <w:rPr>
          <w:sz w:val="22"/>
          <w:szCs w:val="22"/>
          <w:lang w:val="de-DE"/>
        </w:rPr>
      </w:pPr>
    </w:p>
    <w:p w14:paraId="4DC08074" w14:textId="77777777" w:rsidR="00FE291A" w:rsidRDefault="00C8738F">
      <w:pPr>
        <w:pStyle w:val="BodyText"/>
        <w:keepNext/>
        <w:widowControl/>
        <w:kinsoku w:val="0"/>
        <w:overflowPunct w:val="0"/>
        <w:ind w:left="0"/>
        <w:rPr>
          <w:lang w:val="de-DE"/>
        </w:rPr>
      </w:pPr>
      <w:r>
        <w:rPr>
          <w:u w:val="single"/>
          <w:lang w:val="de-DE"/>
        </w:rPr>
        <w:t>Kinder und Jugendliche mit Plaque-Psoriasis</w:t>
      </w:r>
    </w:p>
    <w:p w14:paraId="6D0CC498" w14:textId="77777777" w:rsidR="00FE291A" w:rsidRDefault="00FE291A">
      <w:pPr>
        <w:pStyle w:val="BodyText"/>
        <w:keepNext/>
        <w:widowControl/>
        <w:kinsoku w:val="0"/>
        <w:overflowPunct w:val="0"/>
        <w:ind w:left="0"/>
        <w:rPr>
          <w:lang w:val="de-DE"/>
        </w:rPr>
      </w:pPr>
    </w:p>
    <w:p w14:paraId="1DDEEEFC" w14:textId="77777777" w:rsidR="00FE291A" w:rsidRDefault="00C8738F">
      <w:pPr>
        <w:keepNext/>
        <w:rPr>
          <w:i/>
          <w:sz w:val="22"/>
          <w:szCs w:val="22"/>
          <w:lang w:val="de-DE"/>
        </w:rPr>
      </w:pPr>
      <w:r>
        <w:rPr>
          <w:i/>
          <w:sz w:val="22"/>
          <w:szCs w:val="22"/>
          <w:lang w:val="de-DE"/>
        </w:rPr>
        <w:t>Kinder und Jugendliche zwischen 4 und 17 Jahren und einem Körpergewicht von 30 kg oder mehr</w:t>
      </w:r>
    </w:p>
    <w:p w14:paraId="0C830574" w14:textId="77777777" w:rsidR="00FE291A" w:rsidRDefault="00FE291A">
      <w:pPr>
        <w:keepNext/>
        <w:rPr>
          <w:sz w:val="22"/>
          <w:szCs w:val="22"/>
          <w:lang w:val="de-DE"/>
        </w:rPr>
      </w:pPr>
    </w:p>
    <w:p w14:paraId="1974E6B2" w14:textId="77777777" w:rsidR="00FE291A" w:rsidRDefault="00C8738F">
      <w:pPr>
        <w:pStyle w:val="BodyText"/>
        <w:keepNext/>
        <w:widowControl/>
        <w:kinsoku w:val="0"/>
        <w:overflowPunct w:val="0"/>
        <w:ind w:left="0"/>
        <w:rPr>
          <w:lang w:val="de-DE"/>
        </w:rPr>
      </w:pPr>
      <w:r>
        <w:rPr>
          <w:lang w:val="de-DE"/>
        </w:rPr>
        <w:t>Die empfohlene Anfangsdosis von AMGEVITA beträgt 40 mg, gefolgt von 40 mg eine Woche später. Danach werden üblicherweise 40 mg jede zweite Woche verabreicht.</w:t>
      </w:r>
    </w:p>
    <w:p w14:paraId="34C2ECF1" w14:textId="77777777" w:rsidR="00FE291A" w:rsidRDefault="00FE291A">
      <w:pPr>
        <w:widowControl/>
        <w:kinsoku w:val="0"/>
        <w:overflowPunct w:val="0"/>
        <w:rPr>
          <w:sz w:val="22"/>
          <w:szCs w:val="22"/>
          <w:lang w:val="de-DE"/>
        </w:rPr>
      </w:pPr>
    </w:p>
    <w:p w14:paraId="3508AED2" w14:textId="77777777" w:rsidR="00FE291A" w:rsidRDefault="00C8738F">
      <w:pPr>
        <w:pStyle w:val="BodyText"/>
        <w:keepNext/>
        <w:widowControl/>
        <w:kinsoku w:val="0"/>
        <w:overflowPunct w:val="0"/>
        <w:ind w:left="0"/>
        <w:rPr>
          <w:lang w:val="de-DE"/>
        </w:rPr>
      </w:pPr>
      <w:r>
        <w:rPr>
          <w:u w:val="single"/>
          <w:lang w:val="de-DE"/>
        </w:rPr>
        <w:t>Erwachsene mit Hidradenitis suppurativa (Acne inversa)</w:t>
      </w:r>
    </w:p>
    <w:p w14:paraId="29277CE4" w14:textId="77777777" w:rsidR="00FE291A" w:rsidRDefault="00FE291A">
      <w:pPr>
        <w:keepNext/>
        <w:widowControl/>
        <w:kinsoku w:val="0"/>
        <w:overflowPunct w:val="0"/>
        <w:rPr>
          <w:sz w:val="22"/>
          <w:szCs w:val="22"/>
          <w:lang w:val="de-DE"/>
        </w:rPr>
      </w:pPr>
    </w:p>
    <w:p w14:paraId="6AEEFF0F" w14:textId="77777777" w:rsidR="00FE291A" w:rsidRDefault="00C8738F">
      <w:pPr>
        <w:pStyle w:val="BodyText"/>
        <w:widowControl/>
        <w:kinsoku w:val="0"/>
        <w:overflowPunct w:val="0"/>
        <w:ind w:left="0"/>
        <w:rPr>
          <w:lang w:val="de-DE"/>
        </w:rPr>
      </w:pPr>
      <w:r>
        <w:rPr>
          <w:lang w:val="de-DE"/>
        </w:rPr>
        <w:t>Die übliche Dosierung für Hidradenitis suppurativa ist eine Anfangsdosis von 160 mg (in Form von vier 40 mg-Injektionen innerhalb eines Tages oder von zwei 40 mg-Injektionen pro Tag an zwei aufeinanderfolgenden Tagen), gefolgt von einer Dosis von 80 mg (als zwei 40 mg-Injektionen an einem Tag) zwei Wochen später. Nach zwei weiteren Wochen wird die Behandlung mit einer Dosis von 40 mg jede Woche oder 80 mg jede zweite Woche nach Anweisung Ihres Arztes fortgesetzt. Es wird empfohlen, dass Sie an den betroffenen Stellen täglich eine antiseptische Waschlösung anwenden.</w:t>
      </w:r>
    </w:p>
    <w:p w14:paraId="6DBBC02F" w14:textId="77777777" w:rsidR="00FE291A" w:rsidRDefault="00FE291A">
      <w:pPr>
        <w:widowControl/>
        <w:kinsoku w:val="0"/>
        <w:overflowPunct w:val="0"/>
        <w:rPr>
          <w:sz w:val="22"/>
          <w:szCs w:val="22"/>
          <w:lang w:val="de-DE"/>
        </w:rPr>
      </w:pPr>
    </w:p>
    <w:p w14:paraId="56C8ADE7" w14:textId="77777777" w:rsidR="00FE291A" w:rsidRDefault="00C8738F">
      <w:pPr>
        <w:numPr>
          <w:ilvl w:val="12"/>
          <w:numId w:val="0"/>
        </w:numPr>
        <w:ind w:right="-2"/>
        <w:rPr>
          <w:sz w:val="22"/>
          <w:szCs w:val="22"/>
          <w:u w:val="single"/>
          <w:lang w:val="de-DE"/>
        </w:rPr>
      </w:pPr>
      <w:r>
        <w:rPr>
          <w:sz w:val="22"/>
          <w:szCs w:val="22"/>
          <w:u w:val="single"/>
          <w:lang w:val="de-DE"/>
        </w:rPr>
        <w:t>Jugendliche mit Hidradenitis suppurativa (Acne inversa) zwischen 12 und 17 Jahren und einem Körpergewicht von 30 kg oder mehr</w:t>
      </w:r>
    </w:p>
    <w:p w14:paraId="6BC4673C" w14:textId="77777777" w:rsidR="00FE291A" w:rsidRDefault="00FE291A">
      <w:pPr>
        <w:numPr>
          <w:ilvl w:val="12"/>
          <w:numId w:val="0"/>
        </w:numPr>
        <w:ind w:right="-2"/>
        <w:rPr>
          <w:sz w:val="22"/>
          <w:szCs w:val="22"/>
          <w:lang w:val="de-DE"/>
        </w:rPr>
      </w:pPr>
    </w:p>
    <w:p w14:paraId="68B94D59" w14:textId="77777777" w:rsidR="00FE291A" w:rsidRDefault="00C8738F">
      <w:pPr>
        <w:numPr>
          <w:ilvl w:val="12"/>
          <w:numId w:val="0"/>
        </w:numPr>
        <w:ind w:right="-2"/>
        <w:rPr>
          <w:sz w:val="22"/>
          <w:szCs w:val="22"/>
          <w:lang w:val="de-DE"/>
        </w:rPr>
      </w:pPr>
      <w:r>
        <w:rPr>
          <w:sz w:val="22"/>
          <w:szCs w:val="22"/>
          <w:lang w:val="de-DE"/>
        </w:rPr>
        <w:t>Die empfohlene Anfangsdosis von AMGEVITA beträgt 80 mg (als zwei Injektionen von 40 mg an einem Tag). Nach einer Woche werden 40 mg jede zweite Woche verabreicht. Wenn der Patient unzureichend auf die Behandlung mit AMGEVITA 40 mg jede zweite Woche anspricht, kann der Arzt die Dosis auf 40 mg jede Woche oder 80 mg jede zweite Woche erhöhen.</w:t>
      </w:r>
    </w:p>
    <w:p w14:paraId="27D9468B" w14:textId="77777777" w:rsidR="00FE291A" w:rsidRDefault="00FE291A">
      <w:pPr>
        <w:numPr>
          <w:ilvl w:val="12"/>
          <w:numId w:val="0"/>
        </w:numPr>
        <w:ind w:right="-2"/>
        <w:rPr>
          <w:sz w:val="22"/>
          <w:szCs w:val="22"/>
          <w:lang w:val="de-DE"/>
        </w:rPr>
      </w:pPr>
    </w:p>
    <w:p w14:paraId="55741BF6" w14:textId="77777777" w:rsidR="00FE291A" w:rsidRDefault="00C8738F">
      <w:pPr>
        <w:widowControl/>
        <w:kinsoku w:val="0"/>
        <w:overflowPunct w:val="0"/>
        <w:rPr>
          <w:sz w:val="22"/>
          <w:szCs w:val="22"/>
          <w:lang w:val="de-DE"/>
        </w:rPr>
      </w:pPr>
      <w:r>
        <w:rPr>
          <w:sz w:val="22"/>
          <w:szCs w:val="22"/>
          <w:lang w:val="de-DE"/>
        </w:rPr>
        <w:t>Es wird empfohlen, dass der Patient an den betroffenen Stellen täglich eine antiseptische Waschlösung anwendet.</w:t>
      </w:r>
    </w:p>
    <w:p w14:paraId="6261818F" w14:textId="77777777" w:rsidR="00FE291A" w:rsidRDefault="00FE291A">
      <w:pPr>
        <w:widowControl/>
        <w:kinsoku w:val="0"/>
        <w:overflowPunct w:val="0"/>
        <w:rPr>
          <w:sz w:val="22"/>
          <w:szCs w:val="22"/>
          <w:lang w:val="de-DE"/>
        </w:rPr>
      </w:pPr>
    </w:p>
    <w:p w14:paraId="51B438F1" w14:textId="77777777" w:rsidR="00FE291A" w:rsidRDefault="00C8738F">
      <w:pPr>
        <w:pStyle w:val="BodyText"/>
        <w:keepNext/>
        <w:keepLines/>
        <w:widowControl/>
        <w:kinsoku w:val="0"/>
        <w:overflowPunct w:val="0"/>
        <w:ind w:left="0"/>
        <w:rPr>
          <w:lang w:val="de-DE"/>
        </w:rPr>
      </w:pPr>
      <w:r>
        <w:rPr>
          <w:u w:val="single"/>
          <w:lang w:val="de-DE"/>
        </w:rPr>
        <w:t>Erwachsene mit Morbus Crohn</w:t>
      </w:r>
    </w:p>
    <w:p w14:paraId="09F96845" w14:textId="77777777" w:rsidR="00FE291A" w:rsidRDefault="00FE291A">
      <w:pPr>
        <w:keepNext/>
        <w:keepLines/>
        <w:widowControl/>
        <w:kinsoku w:val="0"/>
        <w:overflowPunct w:val="0"/>
        <w:rPr>
          <w:sz w:val="22"/>
          <w:szCs w:val="22"/>
          <w:lang w:val="de-DE"/>
        </w:rPr>
      </w:pPr>
    </w:p>
    <w:p w14:paraId="4021D610" w14:textId="77777777" w:rsidR="00FE291A" w:rsidRDefault="00C8738F">
      <w:pPr>
        <w:pStyle w:val="BodyText"/>
        <w:widowControl/>
        <w:kinsoku w:val="0"/>
        <w:overflowPunct w:val="0"/>
        <w:ind w:left="0"/>
        <w:rPr>
          <w:lang w:val="de-DE"/>
        </w:rPr>
      </w:pPr>
      <w:r>
        <w:rPr>
          <w:lang w:val="de-DE"/>
        </w:rPr>
        <w:t>Die übliche Dosierung für Morbus Crohn ist zu Beginn 80 mg (als zwei Injektionen von 40 mg an einem Tag), zwei Wochen später 40 mg und danach 40 mg alle zwei Wochen. Wenn ein schnelleres Eintreten der Wirkung erforderlich ist, kann Ihnen Ihr Arzt eine Anfangsdosis von 160 mg (vier 40 mg-Injektionen an einem Tag oder zwei 40 mg-Injektionen pro Tag an zwei aufeinanderfolgenden Tagen) verschreiben, gefolgt von 80 mg (als zwei Injektionen von 40 mg an einem Tag) zwei Wochen später und danach 40 mg jede zweite Woche. Abhängig davon, wie Sie auf die Behandlung ansprechen, kann Ihr Arzt die Dosis auf 40 mg jede Woche oder 80 mg jede zweite Woche erhöhen.</w:t>
      </w:r>
    </w:p>
    <w:p w14:paraId="6D1E0A16" w14:textId="77777777" w:rsidR="00FE291A" w:rsidRDefault="00FE291A">
      <w:pPr>
        <w:widowControl/>
        <w:kinsoku w:val="0"/>
        <w:overflowPunct w:val="0"/>
        <w:rPr>
          <w:sz w:val="22"/>
          <w:szCs w:val="22"/>
          <w:lang w:val="de-DE"/>
        </w:rPr>
      </w:pPr>
    </w:p>
    <w:p w14:paraId="3475EBDF" w14:textId="77777777" w:rsidR="00FE291A" w:rsidRDefault="00C8738F">
      <w:pPr>
        <w:pStyle w:val="BodyText"/>
        <w:keepNext/>
        <w:widowControl/>
        <w:kinsoku w:val="0"/>
        <w:overflowPunct w:val="0"/>
        <w:ind w:left="0"/>
        <w:rPr>
          <w:lang w:val="de-DE"/>
        </w:rPr>
      </w:pPr>
      <w:r>
        <w:rPr>
          <w:u w:val="single"/>
          <w:lang w:val="de-DE"/>
        </w:rPr>
        <w:t>Kinder und Jugendliche mit Morbus Crohn</w:t>
      </w:r>
    </w:p>
    <w:p w14:paraId="2AE6A9D9" w14:textId="77777777" w:rsidR="00FE291A" w:rsidRDefault="00FE291A">
      <w:pPr>
        <w:keepNext/>
        <w:widowControl/>
        <w:kinsoku w:val="0"/>
        <w:overflowPunct w:val="0"/>
        <w:rPr>
          <w:sz w:val="22"/>
          <w:szCs w:val="22"/>
          <w:lang w:val="de-DE"/>
        </w:rPr>
      </w:pPr>
    </w:p>
    <w:p w14:paraId="6E0EA985" w14:textId="77777777" w:rsidR="00FE291A" w:rsidRDefault="00C8738F">
      <w:pPr>
        <w:pStyle w:val="BodyText"/>
        <w:keepNext/>
        <w:widowControl/>
        <w:kinsoku w:val="0"/>
        <w:overflowPunct w:val="0"/>
        <w:ind w:left="0"/>
        <w:rPr>
          <w:i/>
          <w:lang w:val="de-DE"/>
        </w:rPr>
      </w:pPr>
      <w:r>
        <w:rPr>
          <w:i/>
          <w:lang w:val="de-DE"/>
        </w:rPr>
        <w:t xml:space="preserve">Kinder und Jugendliche </w:t>
      </w:r>
      <w:r>
        <w:rPr>
          <w:bCs/>
          <w:i/>
          <w:lang w:val="de-DE"/>
        </w:rPr>
        <w:t xml:space="preserve">zwischen 6 und 17 Jahren und </w:t>
      </w:r>
      <w:r>
        <w:rPr>
          <w:i/>
          <w:lang w:val="de-DE"/>
        </w:rPr>
        <w:t>einem Körpergewicht unter 40 kg</w:t>
      </w:r>
    </w:p>
    <w:p w14:paraId="438A3C4B" w14:textId="77777777" w:rsidR="00FE291A" w:rsidRDefault="00FE291A">
      <w:pPr>
        <w:keepNext/>
        <w:widowControl/>
        <w:kinsoku w:val="0"/>
        <w:overflowPunct w:val="0"/>
        <w:rPr>
          <w:sz w:val="22"/>
          <w:szCs w:val="22"/>
          <w:lang w:val="de-DE"/>
        </w:rPr>
      </w:pPr>
    </w:p>
    <w:p w14:paraId="2937CF28" w14:textId="77777777" w:rsidR="00FE291A" w:rsidRDefault="00C8738F">
      <w:pPr>
        <w:pStyle w:val="BodyText"/>
        <w:widowControl/>
        <w:kinsoku w:val="0"/>
        <w:overflowPunct w:val="0"/>
        <w:ind w:left="0"/>
        <w:rPr>
          <w:lang w:val="de-DE"/>
        </w:rPr>
      </w:pPr>
      <w:r>
        <w:rPr>
          <w:lang w:val="de-DE"/>
        </w:rPr>
        <w:t>Die übliche Dosierung beträgt zu Beginn 40 mg, gefolgt von 20 mg zwei Wochen später. Wenn ein schnelleres Eintreten der Wirkung erforderlich ist, kann der Arzt des Kindes eine Anfangsdosis von 80 mg (als zwei 40 mg-Injektionen an einem Tag) verschreiben, gefolgt von 40 mg zwei Wochen später.</w:t>
      </w:r>
    </w:p>
    <w:p w14:paraId="5D12F710" w14:textId="77777777" w:rsidR="00FE291A" w:rsidRDefault="00FE291A">
      <w:pPr>
        <w:widowControl/>
        <w:kinsoku w:val="0"/>
        <w:overflowPunct w:val="0"/>
        <w:rPr>
          <w:sz w:val="22"/>
          <w:szCs w:val="22"/>
          <w:lang w:val="de-DE"/>
        </w:rPr>
      </w:pPr>
    </w:p>
    <w:p w14:paraId="3B9D103B" w14:textId="77777777" w:rsidR="00FE291A" w:rsidRDefault="00C8738F">
      <w:pPr>
        <w:pStyle w:val="BodyText"/>
        <w:widowControl/>
        <w:kinsoku w:val="0"/>
        <w:overflowPunct w:val="0"/>
        <w:ind w:left="0"/>
        <w:rPr>
          <w:lang w:val="de-DE"/>
        </w:rPr>
      </w:pPr>
      <w:r>
        <w:rPr>
          <w:lang w:val="de-DE"/>
        </w:rPr>
        <w:t>Danach beträgt die übliche Dosierung 20 mg jede zweite Woche. Je nachdem, wie das Kind anspricht, kann der Arzt die Dosishäufigkeit auf 20 mg jede Woche erhöhen.</w:t>
      </w:r>
    </w:p>
    <w:p w14:paraId="13848519" w14:textId="77777777" w:rsidR="00FE291A" w:rsidRDefault="00FE291A">
      <w:pPr>
        <w:pStyle w:val="BodyText"/>
        <w:widowControl/>
        <w:kinsoku w:val="0"/>
        <w:overflowPunct w:val="0"/>
        <w:ind w:left="0"/>
        <w:rPr>
          <w:lang w:val="de-DE"/>
        </w:rPr>
      </w:pPr>
    </w:p>
    <w:p w14:paraId="5DF2C581" w14:textId="77777777" w:rsidR="00FE291A" w:rsidRDefault="00C8738F">
      <w:pPr>
        <w:widowControl/>
        <w:kinsoku w:val="0"/>
        <w:overflowPunct w:val="0"/>
        <w:rPr>
          <w:sz w:val="22"/>
          <w:szCs w:val="22"/>
          <w:lang w:val="de-DE"/>
        </w:rPr>
      </w:pPr>
      <w:r>
        <w:rPr>
          <w:sz w:val="22"/>
          <w:szCs w:val="22"/>
          <w:lang w:val="de-DE"/>
        </w:rPr>
        <w:t>Der 40 mg Fertigpen kann nicht für die 20 mg Dosierung angewendet werden. Eine AMGEVITA 20 mg </w:t>
      </w:r>
      <w:r>
        <w:rPr>
          <w:i/>
          <w:sz w:val="22"/>
          <w:szCs w:val="22"/>
          <w:lang w:val="de-DE"/>
        </w:rPr>
        <w:t>Fertigspritze</w:t>
      </w:r>
      <w:r>
        <w:rPr>
          <w:sz w:val="22"/>
          <w:szCs w:val="22"/>
          <w:lang w:val="de-DE"/>
        </w:rPr>
        <w:t xml:space="preserve"> ist allerdings für die 20 mg Dosierung erhältlich.</w:t>
      </w:r>
    </w:p>
    <w:p w14:paraId="458FD342" w14:textId="77777777" w:rsidR="00FE291A" w:rsidRDefault="00FE291A">
      <w:pPr>
        <w:widowControl/>
        <w:kinsoku w:val="0"/>
        <w:overflowPunct w:val="0"/>
        <w:rPr>
          <w:sz w:val="22"/>
          <w:szCs w:val="22"/>
          <w:lang w:val="de-DE"/>
        </w:rPr>
      </w:pPr>
    </w:p>
    <w:p w14:paraId="39A86C4F" w14:textId="77777777" w:rsidR="00FE291A" w:rsidRDefault="00C8738F">
      <w:pPr>
        <w:pStyle w:val="BodyText"/>
        <w:keepNext/>
        <w:widowControl/>
        <w:kinsoku w:val="0"/>
        <w:overflowPunct w:val="0"/>
        <w:ind w:left="0"/>
        <w:rPr>
          <w:i/>
          <w:lang w:val="de-DE"/>
        </w:rPr>
      </w:pPr>
      <w:r>
        <w:rPr>
          <w:i/>
          <w:lang w:val="de-DE"/>
        </w:rPr>
        <w:t xml:space="preserve">Kinder und Jugendliche </w:t>
      </w:r>
      <w:r>
        <w:rPr>
          <w:bCs/>
          <w:i/>
          <w:lang w:val="de-DE"/>
        </w:rPr>
        <w:t xml:space="preserve">zwischen 6 und 17 Jahren und </w:t>
      </w:r>
      <w:r>
        <w:rPr>
          <w:i/>
          <w:lang w:val="de-DE"/>
        </w:rPr>
        <w:t>einem Körpergewicht von 40 kg oder mehr</w:t>
      </w:r>
    </w:p>
    <w:p w14:paraId="0D4FEAAB" w14:textId="77777777" w:rsidR="00FE291A" w:rsidRDefault="00FE291A">
      <w:pPr>
        <w:keepNext/>
        <w:widowControl/>
        <w:kinsoku w:val="0"/>
        <w:overflowPunct w:val="0"/>
        <w:rPr>
          <w:sz w:val="22"/>
          <w:szCs w:val="22"/>
          <w:lang w:val="de-DE"/>
        </w:rPr>
      </w:pPr>
    </w:p>
    <w:p w14:paraId="4DEA5F0A" w14:textId="77777777" w:rsidR="00FE291A" w:rsidRDefault="00C8738F">
      <w:pPr>
        <w:pStyle w:val="BodyText"/>
        <w:keepNext/>
        <w:widowControl/>
        <w:kinsoku w:val="0"/>
        <w:overflowPunct w:val="0"/>
        <w:ind w:left="0"/>
        <w:rPr>
          <w:lang w:val="de-DE"/>
        </w:rPr>
      </w:pPr>
      <w:r>
        <w:rPr>
          <w:lang w:val="de-DE"/>
        </w:rPr>
        <w:t xml:space="preserve">Die übliche Dosierung beträgt zu Beginn 80 mg </w:t>
      </w:r>
      <w:r>
        <w:rPr>
          <w:bCs/>
          <w:lang w:val="de-DE"/>
        </w:rPr>
        <w:t>(als zwei Injektionen von 40 mg an einem Tag)</w:t>
      </w:r>
      <w:r>
        <w:rPr>
          <w:lang w:val="de-DE"/>
        </w:rPr>
        <w:t>, gefolgt von 40 mg zwei Wochen später. Wenn ein schnelleres Eintreten der Wirkung erforderlich ist, kann der Arzt des Kindes eine Anfangsdosis von 160 mg (als vier 40 mg-Injektionen an einem Tag oder als zwei 40 mg-Injektionen pro Tag an zwei aufeinanderfolgenden Tagen) verschreiben, gefolgt von 80 mg (als zwei Injektionen von 40 mg an einem Tag) zwei Wochen später.</w:t>
      </w:r>
    </w:p>
    <w:p w14:paraId="334CCFF6" w14:textId="77777777" w:rsidR="00FE291A" w:rsidRDefault="00FE291A">
      <w:pPr>
        <w:widowControl/>
        <w:kinsoku w:val="0"/>
        <w:overflowPunct w:val="0"/>
        <w:rPr>
          <w:sz w:val="22"/>
          <w:szCs w:val="22"/>
          <w:lang w:val="de-DE"/>
        </w:rPr>
      </w:pPr>
    </w:p>
    <w:p w14:paraId="24D2D53A" w14:textId="77777777" w:rsidR="00FE291A" w:rsidRDefault="00C8738F">
      <w:pPr>
        <w:pStyle w:val="BodyText"/>
        <w:widowControl/>
        <w:kinsoku w:val="0"/>
        <w:overflowPunct w:val="0"/>
        <w:ind w:left="0"/>
        <w:rPr>
          <w:lang w:val="de-DE"/>
        </w:rPr>
      </w:pPr>
      <w:r>
        <w:rPr>
          <w:lang w:val="de-DE"/>
        </w:rPr>
        <w:t xml:space="preserve">Danach beträgt die übliche Dosis 40 mg jede zweite Woche. Je nachdem, wie das Kind anspricht, kann der Arzt die Dosis auf 40 mg jede Woche </w:t>
      </w:r>
      <w:r>
        <w:rPr>
          <w:bCs/>
          <w:lang w:val="de-DE"/>
        </w:rPr>
        <w:t>oder 80 mg jede zweite Woche</w:t>
      </w:r>
      <w:r>
        <w:rPr>
          <w:lang w:val="de-DE"/>
        </w:rPr>
        <w:t xml:space="preserve"> erhöhen.</w:t>
      </w:r>
    </w:p>
    <w:p w14:paraId="474AE923" w14:textId="77777777" w:rsidR="00FE291A" w:rsidRDefault="00FE291A">
      <w:pPr>
        <w:widowControl/>
        <w:kinsoku w:val="0"/>
        <w:overflowPunct w:val="0"/>
        <w:rPr>
          <w:sz w:val="22"/>
          <w:szCs w:val="22"/>
          <w:lang w:val="de-DE"/>
        </w:rPr>
      </w:pPr>
    </w:p>
    <w:p w14:paraId="1FDEC01B" w14:textId="77777777" w:rsidR="00FE291A" w:rsidRDefault="00C8738F">
      <w:pPr>
        <w:pStyle w:val="BodyText"/>
        <w:keepNext/>
        <w:widowControl/>
        <w:kinsoku w:val="0"/>
        <w:overflowPunct w:val="0"/>
        <w:ind w:left="0"/>
        <w:rPr>
          <w:lang w:val="de-DE"/>
        </w:rPr>
      </w:pPr>
      <w:r>
        <w:rPr>
          <w:u w:val="single"/>
          <w:lang w:val="de-DE"/>
        </w:rPr>
        <w:t>Erwachsene mit Colitis ulcerosa</w:t>
      </w:r>
    </w:p>
    <w:p w14:paraId="3F7C7DDC" w14:textId="77777777" w:rsidR="00FE291A" w:rsidRDefault="00FE291A">
      <w:pPr>
        <w:keepNext/>
        <w:widowControl/>
        <w:kinsoku w:val="0"/>
        <w:overflowPunct w:val="0"/>
        <w:rPr>
          <w:sz w:val="22"/>
          <w:szCs w:val="22"/>
          <w:lang w:val="de-DE"/>
        </w:rPr>
      </w:pPr>
    </w:p>
    <w:p w14:paraId="25F547A7" w14:textId="77777777" w:rsidR="00FE291A" w:rsidRDefault="00C8738F">
      <w:pPr>
        <w:pStyle w:val="BodyText"/>
        <w:keepNext/>
        <w:widowControl/>
        <w:kinsoku w:val="0"/>
        <w:overflowPunct w:val="0"/>
        <w:ind w:left="0"/>
        <w:rPr>
          <w:lang w:val="de-DE"/>
        </w:rPr>
      </w:pPr>
      <w:r>
        <w:rPr>
          <w:lang w:val="de-DE"/>
        </w:rPr>
        <w:t>Die übliche Dosis von AMGEVITA beträgt für Erwachsene mit Colitis ulcerosa zu Beginn 160 mg (als vier 40 mg-Injektionen an einem Tag oder als zwei 40 mg-Injektionen pro Tag an zwei aufeinanderfolgenden Tagen), gefolgt von 80 mg (als zwei Injektionen von 40 mg an einem Tag) zwei Wochen später und danach 40 mg jede zweite Woche. Je nachdem, wie Sie ansprechen, kann Ihr Arzt die Dosis auf 40 mg jede Woche oder 80 mg jede zweite Woche erhöhen.</w:t>
      </w:r>
    </w:p>
    <w:p w14:paraId="4DCA8644" w14:textId="77777777" w:rsidR="00FE291A" w:rsidRDefault="00FE291A">
      <w:pPr>
        <w:pStyle w:val="BodyText"/>
        <w:kinsoku w:val="0"/>
        <w:overflowPunct w:val="0"/>
        <w:ind w:left="0"/>
        <w:rPr>
          <w:lang w:val="de-DE"/>
        </w:rPr>
      </w:pPr>
    </w:p>
    <w:p w14:paraId="6D8DCC2C" w14:textId="77777777" w:rsidR="00FE291A" w:rsidRDefault="00C8738F">
      <w:pPr>
        <w:keepNext/>
        <w:keepLines/>
        <w:widowControl/>
        <w:rPr>
          <w:color w:val="000000"/>
          <w:sz w:val="22"/>
          <w:szCs w:val="22"/>
          <w:u w:val="single"/>
          <w:lang w:val="de-DE"/>
        </w:rPr>
      </w:pPr>
      <w:r>
        <w:rPr>
          <w:color w:val="000000"/>
          <w:sz w:val="22"/>
          <w:szCs w:val="22"/>
          <w:u w:val="single"/>
          <w:lang w:val="de-DE"/>
        </w:rPr>
        <w:t>Kinder und Jugendliche mit Colitis ulcerosa</w:t>
      </w:r>
    </w:p>
    <w:p w14:paraId="73DE9C48" w14:textId="77777777" w:rsidR="00FE291A" w:rsidRDefault="00FE291A">
      <w:pPr>
        <w:keepNext/>
        <w:keepLines/>
        <w:widowControl/>
        <w:rPr>
          <w:color w:val="000000"/>
          <w:sz w:val="22"/>
          <w:szCs w:val="22"/>
          <w:lang w:val="de-DE"/>
        </w:rPr>
      </w:pPr>
    </w:p>
    <w:p w14:paraId="3E1E705D" w14:textId="77777777" w:rsidR="00FE291A" w:rsidRDefault="00C8738F">
      <w:pPr>
        <w:widowControl/>
        <w:rPr>
          <w:i/>
          <w:iCs/>
          <w:color w:val="000000"/>
          <w:sz w:val="22"/>
          <w:szCs w:val="22"/>
          <w:lang w:val="de-DE"/>
        </w:rPr>
      </w:pPr>
      <w:r>
        <w:rPr>
          <w:i/>
          <w:iCs/>
          <w:color w:val="000000"/>
          <w:sz w:val="22"/>
          <w:szCs w:val="22"/>
          <w:lang w:val="de-DE"/>
        </w:rPr>
        <w:t>Kinder und Jugendliche ab 6 Jahren mit einem Körpergewicht unter 40 kg</w:t>
      </w:r>
    </w:p>
    <w:p w14:paraId="30C98384" w14:textId="77777777" w:rsidR="00FE291A" w:rsidRDefault="00FE291A">
      <w:pPr>
        <w:widowControl/>
        <w:rPr>
          <w:color w:val="000000"/>
          <w:sz w:val="22"/>
          <w:szCs w:val="22"/>
          <w:lang w:val="de-DE"/>
        </w:rPr>
      </w:pPr>
    </w:p>
    <w:p w14:paraId="3DC72FBA" w14:textId="77777777" w:rsidR="00FE291A" w:rsidRDefault="00C8738F">
      <w:pPr>
        <w:pStyle w:val="BodyText"/>
        <w:widowControl/>
        <w:kinsoku w:val="0"/>
        <w:overflowPunct w:val="0"/>
        <w:ind w:left="0"/>
        <w:rPr>
          <w:color w:val="000000"/>
          <w:lang w:val="de-DE"/>
        </w:rPr>
      </w:pPr>
      <w:r>
        <w:rPr>
          <w:color w:val="000000"/>
          <w:lang w:val="de-DE"/>
        </w:rPr>
        <w:t>Die übliche Dosierung von AMGEVITA beträgt zu Beginn 80 mg (als zwei Injektionen von 40 mg an einem Tag), gefolgt von 40 mg (als eine Injektion von 40 mg) zwei Wochen später. Danach beträgt die übliche Dosierung 40 mg jede zweite Woche.</w:t>
      </w:r>
    </w:p>
    <w:p w14:paraId="1D7EC512" w14:textId="77777777" w:rsidR="00FE291A" w:rsidRDefault="00FE291A">
      <w:pPr>
        <w:pStyle w:val="BodyText"/>
        <w:widowControl/>
        <w:kinsoku w:val="0"/>
        <w:overflowPunct w:val="0"/>
        <w:ind w:left="0"/>
        <w:rPr>
          <w:color w:val="000000"/>
          <w:lang w:val="de-DE"/>
        </w:rPr>
      </w:pPr>
    </w:p>
    <w:p w14:paraId="235AF67E" w14:textId="77777777" w:rsidR="00FE291A" w:rsidRDefault="00C8738F">
      <w:pPr>
        <w:widowControl/>
        <w:rPr>
          <w:color w:val="000000"/>
          <w:sz w:val="22"/>
          <w:szCs w:val="22"/>
          <w:lang w:val="de-DE"/>
        </w:rPr>
      </w:pPr>
      <w:r>
        <w:rPr>
          <w:color w:val="000000"/>
          <w:sz w:val="22"/>
          <w:szCs w:val="22"/>
          <w:lang w:val="de-DE"/>
        </w:rPr>
        <w:t xml:space="preserve">Patienten, die 18 Jahre alt werden, während sie jede zweite Woche 40 mg erhalten, sollten die verschriebene Dosis weiterhin spritzen. </w:t>
      </w:r>
    </w:p>
    <w:p w14:paraId="73AF0707" w14:textId="77777777" w:rsidR="00FE291A" w:rsidRDefault="00FE291A">
      <w:pPr>
        <w:widowControl/>
        <w:rPr>
          <w:color w:val="000000"/>
          <w:sz w:val="22"/>
          <w:szCs w:val="22"/>
          <w:lang w:val="de-DE"/>
        </w:rPr>
      </w:pPr>
    </w:p>
    <w:p w14:paraId="1CAD8DC8" w14:textId="77777777" w:rsidR="00FE291A" w:rsidRDefault="00C8738F">
      <w:pPr>
        <w:widowControl/>
        <w:rPr>
          <w:i/>
          <w:iCs/>
          <w:color w:val="000000"/>
          <w:sz w:val="22"/>
          <w:szCs w:val="22"/>
          <w:lang w:val="de-DE"/>
        </w:rPr>
      </w:pPr>
      <w:r>
        <w:rPr>
          <w:i/>
          <w:iCs/>
          <w:color w:val="000000"/>
          <w:sz w:val="22"/>
          <w:szCs w:val="22"/>
          <w:lang w:val="de-DE"/>
        </w:rPr>
        <w:t>Kinder und Jugendliche ab 6 Jahren mit einem Körpergewicht von 40 kg oder mehr</w:t>
      </w:r>
    </w:p>
    <w:p w14:paraId="4924FD69" w14:textId="77777777" w:rsidR="00FE291A" w:rsidRDefault="00FE291A">
      <w:pPr>
        <w:widowControl/>
        <w:rPr>
          <w:color w:val="000000"/>
          <w:sz w:val="22"/>
          <w:szCs w:val="22"/>
          <w:lang w:val="de-DE"/>
        </w:rPr>
      </w:pPr>
    </w:p>
    <w:p w14:paraId="2B1A7120" w14:textId="77777777" w:rsidR="00FE291A" w:rsidRDefault="00C8738F">
      <w:pPr>
        <w:widowControl/>
        <w:rPr>
          <w:color w:val="000000"/>
          <w:sz w:val="22"/>
          <w:szCs w:val="22"/>
          <w:lang w:val="de-DE"/>
        </w:rPr>
      </w:pPr>
      <w:r>
        <w:rPr>
          <w:color w:val="000000"/>
          <w:sz w:val="22"/>
          <w:szCs w:val="22"/>
          <w:lang w:val="de-DE"/>
        </w:rPr>
        <w:t xml:space="preserve">Die übliche Dosierung von AMGEVITA beträgt zu Beginn 160 mg (als vier Injektionen von 40 mg an einem Tag oder als zwei Injektionen von 40 mg pro Tag an zwei aufeinanderfolgenden Tagen), gefolgt von 80 mg (als zwei Injektionen von 40 mg an einem Tag) zwei Wochen später. Danach beträgt die übliche Dosierung 80 mg jede zweite Woche. </w:t>
      </w:r>
    </w:p>
    <w:p w14:paraId="30729325" w14:textId="77777777" w:rsidR="00FE291A" w:rsidRDefault="00FE291A">
      <w:pPr>
        <w:widowControl/>
        <w:rPr>
          <w:color w:val="000000"/>
          <w:sz w:val="22"/>
          <w:szCs w:val="22"/>
          <w:lang w:val="de-DE"/>
        </w:rPr>
      </w:pPr>
    </w:p>
    <w:p w14:paraId="3683C6F6" w14:textId="77777777" w:rsidR="00FE291A" w:rsidRDefault="00C8738F">
      <w:pPr>
        <w:pStyle w:val="BodyText"/>
        <w:widowControl/>
        <w:kinsoku w:val="0"/>
        <w:overflowPunct w:val="0"/>
        <w:ind w:left="0"/>
        <w:rPr>
          <w:lang w:val="de-DE"/>
        </w:rPr>
      </w:pPr>
      <w:r>
        <w:rPr>
          <w:color w:val="000000"/>
          <w:lang w:val="de-DE"/>
        </w:rPr>
        <w:t>Patienten, die 18 Jahre alt werden, während sie jede zweite Woche 80 mg erhalten, sollten die verschriebene Dosis weiterhin spritzen.</w:t>
      </w:r>
    </w:p>
    <w:p w14:paraId="7874A102" w14:textId="77777777" w:rsidR="00FE291A" w:rsidRDefault="00FE291A">
      <w:pPr>
        <w:pStyle w:val="BodyText"/>
        <w:widowControl/>
        <w:kinsoku w:val="0"/>
        <w:overflowPunct w:val="0"/>
        <w:ind w:left="0"/>
        <w:rPr>
          <w:lang w:val="de-DE"/>
        </w:rPr>
      </w:pPr>
    </w:p>
    <w:p w14:paraId="2D51BB2B" w14:textId="77777777" w:rsidR="00FE291A" w:rsidRDefault="00C8738F">
      <w:pPr>
        <w:pStyle w:val="BodyText"/>
        <w:keepNext/>
        <w:widowControl/>
        <w:kinsoku w:val="0"/>
        <w:overflowPunct w:val="0"/>
        <w:ind w:left="0"/>
        <w:rPr>
          <w:lang w:val="de-DE"/>
        </w:rPr>
      </w:pPr>
      <w:r>
        <w:rPr>
          <w:u w:val="single"/>
          <w:lang w:val="de-DE"/>
        </w:rPr>
        <w:t>Erwachsene mit nicht infektiöser Uveitis</w:t>
      </w:r>
    </w:p>
    <w:p w14:paraId="33863AC3" w14:textId="77777777" w:rsidR="00FE291A" w:rsidRDefault="00FE291A">
      <w:pPr>
        <w:keepNext/>
        <w:widowControl/>
        <w:kinsoku w:val="0"/>
        <w:overflowPunct w:val="0"/>
        <w:rPr>
          <w:sz w:val="22"/>
          <w:szCs w:val="22"/>
          <w:lang w:val="de-DE"/>
        </w:rPr>
      </w:pPr>
    </w:p>
    <w:p w14:paraId="3F891206" w14:textId="77777777" w:rsidR="00FE291A" w:rsidRDefault="00C8738F">
      <w:pPr>
        <w:pStyle w:val="BodyText"/>
        <w:widowControl/>
        <w:kinsoku w:val="0"/>
        <w:overflowPunct w:val="0"/>
        <w:ind w:left="0"/>
        <w:rPr>
          <w:lang w:val="de-DE"/>
        </w:rPr>
      </w:pPr>
      <w:r>
        <w:rPr>
          <w:lang w:val="de-DE"/>
        </w:rPr>
        <w:t>Die übliche Dosierung für Erwachsene mit nicht infektiöser Uveitis beträgt 80 mg (als zwei 40 mg-Injektionen an einem Tag) als Anfangsdosis, gefolgt von 40 mg eine Woche später und danach 40 mg alle zwei Wochen. Sie sollten AMGEVITA so lange anwenden, wie Ihr Arzt es Ihnen gesagt hat.</w:t>
      </w:r>
    </w:p>
    <w:p w14:paraId="08853917" w14:textId="77777777" w:rsidR="00FE291A" w:rsidRDefault="00FE291A">
      <w:pPr>
        <w:widowControl/>
        <w:kinsoku w:val="0"/>
        <w:overflowPunct w:val="0"/>
        <w:rPr>
          <w:sz w:val="22"/>
          <w:szCs w:val="22"/>
          <w:lang w:val="de-DE"/>
        </w:rPr>
      </w:pPr>
    </w:p>
    <w:p w14:paraId="79EBD0B6" w14:textId="77777777" w:rsidR="00FE291A" w:rsidRDefault="00C8738F">
      <w:pPr>
        <w:pStyle w:val="BodyText"/>
        <w:widowControl/>
        <w:kinsoku w:val="0"/>
        <w:overflowPunct w:val="0"/>
        <w:ind w:left="0"/>
        <w:rPr>
          <w:lang w:val="de-DE"/>
        </w:rPr>
      </w:pPr>
      <w:r>
        <w:rPr>
          <w:lang w:val="de-DE"/>
        </w:rPr>
        <w:t>Bei nicht infektiöser Uveitis können Kortikosteroide oder andere Arzneimittel, die das körpereigene Abwehrsystem beeinflussen, während der Behandlung mit AMGEVITA weiter genommen werden. AMGEVITA kann auch alleine angewendet werden.</w:t>
      </w:r>
    </w:p>
    <w:p w14:paraId="66B2E082" w14:textId="77777777" w:rsidR="00FE291A" w:rsidRDefault="00FE291A">
      <w:pPr>
        <w:pStyle w:val="BodyText"/>
        <w:widowControl/>
        <w:kinsoku w:val="0"/>
        <w:overflowPunct w:val="0"/>
        <w:ind w:left="0"/>
        <w:rPr>
          <w:lang w:val="de-DE"/>
        </w:rPr>
      </w:pPr>
    </w:p>
    <w:p w14:paraId="775BC7F2" w14:textId="77777777" w:rsidR="00FE291A" w:rsidRDefault="00C8738F">
      <w:pPr>
        <w:keepNext/>
        <w:rPr>
          <w:rFonts w:cs="Calibri"/>
          <w:sz w:val="22"/>
          <w:szCs w:val="22"/>
          <w:u w:val="single"/>
          <w:lang w:val="de-DE"/>
        </w:rPr>
      </w:pPr>
      <w:r>
        <w:rPr>
          <w:rFonts w:cs="Calibri"/>
          <w:sz w:val="22"/>
          <w:szCs w:val="22"/>
          <w:u w:val="single"/>
          <w:lang w:val="de-DE"/>
        </w:rPr>
        <w:t>Kinder ab 2 Jahren und Jugendliche mit chronischer nicht infektiöser Uveitis</w:t>
      </w:r>
    </w:p>
    <w:p w14:paraId="17127E43" w14:textId="77777777" w:rsidR="00FE291A" w:rsidRDefault="00FE291A">
      <w:pPr>
        <w:keepNext/>
        <w:rPr>
          <w:rFonts w:cs="Calibri"/>
          <w:sz w:val="22"/>
          <w:szCs w:val="22"/>
          <w:u w:val="single"/>
          <w:lang w:val="de-DE"/>
        </w:rPr>
      </w:pPr>
    </w:p>
    <w:p w14:paraId="3B8280D2" w14:textId="77777777" w:rsidR="00FE291A" w:rsidRDefault="00C8738F">
      <w:pPr>
        <w:keepNext/>
        <w:rPr>
          <w:rFonts w:cs="Calibri"/>
          <w:i/>
          <w:sz w:val="22"/>
          <w:szCs w:val="22"/>
          <w:lang w:val="de-DE"/>
        </w:rPr>
      </w:pPr>
      <w:r>
        <w:rPr>
          <w:rFonts w:cs="Calibri"/>
          <w:i/>
          <w:sz w:val="22"/>
          <w:szCs w:val="22"/>
          <w:lang w:val="de-DE"/>
        </w:rPr>
        <w:t>Kinder ab 2 Jahren und Jugendliche mit einem Körpergewicht unter 30 kg</w:t>
      </w:r>
    </w:p>
    <w:p w14:paraId="1894BFC6" w14:textId="77777777" w:rsidR="00FE291A" w:rsidRDefault="00FE291A">
      <w:pPr>
        <w:keepNext/>
        <w:rPr>
          <w:rFonts w:cs="Calibri"/>
          <w:sz w:val="22"/>
          <w:szCs w:val="22"/>
          <w:lang w:val="de-DE"/>
        </w:rPr>
      </w:pPr>
    </w:p>
    <w:p w14:paraId="1D8DCD59" w14:textId="77777777" w:rsidR="00FE291A" w:rsidRDefault="00C8738F">
      <w:pPr>
        <w:rPr>
          <w:rFonts w:cs="Calibri"/>
          <w:sz w:val="22"/>
          <w:szCs w:val="22"/>
          <w:lang w:val="de-DE"/>
        </w:rPr>
      </w:pPr>
      <w:r>
        <w:rPr>
          <w:rFonts w:cs="Calibri"/>
          <w:sz w:val="22"/>
          <w:szCs w:val="22"/>
          <w:lang w:val="de-DE"/>
        </w:rPr>
        <w:t>Die übliche Dosierung von AMGEVITA beträgt 20 mg alle 2 Wochen gemeinsam mit Methotrexat.</w:t>
      </w:r>
    </w:p>
    <w:p w14:paraId="640B8E92" w14:textId="77777777" w:rsidR="00FE291A" w:rsidRDefault="00FE291A">
      <w:pPr>
        <w:rPr>
          <w:rFonts w:cs="Calibri"/>
          <w:sz w:val="22"/>
          <w:szCs w:val="22"/>
          <w:lang w:val="de-DE"/>
        </w:rPr>
      </w:pPr>
    </w:p>
    <w:p w14:paraId="2A695C92" w14:textId="77777777" w:rsidR="00FE291A" w:rsidRDefault="00C8738F">
      <w:pPr>
        <w:rPr>
          <w:rFonts w:cs="Calibri"/>
          <w:sz w:val="22"/>
          <w:szCs w:val="22"/>
          <w:lang w:val="de-DE"/>
        </w:rPr>
      </w:pPr>
      <w:r>
        <w:rPr>
          <w:rFonts w:cs="Calibri"/>
          <w:sz w:val="22"/>
          <w:szCs w:val="22"/>
          <w:lang w:val="de-DE"/>
        </w:rPr>
        <w:t>Ihr Arzt kann auch eine Anfangsdosis von 40 mg verschreiben, die eine Woche vor Beginn der üblichen Dosis verabreicht werden kann.</w:t>
      </w:r>
    </w:p>
    <w:p w14:paraId="2711053D" w14:textId="77777777" w:rsidR="00FE291A" w:rsidRDefault="00FE291A">
      <w:pPr>
        <w:rPr>
          <w:rFonts w:cs="Calibri"/>
          <w:sz w:val="22"/>
          <w:szCs w:val="22"/>
          <w:lang w:val="de-DE"/>
        </w:rPr>
      </w:pPr>
    </w:p>
    <w:p w14:paraId="5302B17A" w14:textId="77777777" w:rsidR="00FE291A" w:rsidRDefault="00C8738F">
      <w:pPr>
        <w:rPr>
          <w:rFonts w:cs="Calibri"/>
          <w:sz w:val="22"/>
          <w:szCs w:val="22"/>
          <w:lang w:val="de-DE"/>
        </w:rPr>
      </w:pPr>
      <w:r>
        <w:rPr>
          <w:sz w:val="22"/>
          <w:szCs w:val="22"/>
          <w:lang w:val="de-DE"/>
        </w:rPr>
        <w:t>Der 40 mg Fertigpen kann nicht für die 20 mg Dosierung angewendet werden. Eine AMGEVITA 20 mg </w:t>
      </w:r>
      <w:r>
        <w:rPr>
          <w:i/>
          <w:sz w:val="22"/>
          <w:szCs w:val="22"/>
          <w:lang w:val="de-DE"/>
        </w:rPr>
        <w:t>Fertigspritze</w:t>
      </w:r>
      <w:r>
        <w:rPr>
          <w:sz w:val="22"/>
          <w:szCs w:val="22"/>
          <w:lang w:val="de-DE"/>
        </w:rPr>
        <w:t xml:space="preserve"> ist allerdings für die 20 mg Dosierung erhältlich.</w:t>
      </w:r>
    </w:p>
    <w:p w14:paraId="295F77A1" w14:textId="77777777" w:rsidR="00FE291A" w:rsidRDefault="00FE291A">
      <w:pPr>
        <w:rPr>
          <w:rFonts w:cs="Calibri"/>
          <w:sz w:val="22"/>
          <w:szCs w:val="22"/>
          <w:lang w:val="de-DE"/>
        </w:rPr>
      </w:pPr>
    </w:p>
    <w:p w14:paraId="4E7D1AF4" w14:textId="77777777" w:rsidR="00FE291A" w:rsidRDefault="00C8738F">
      <w:pPr>
        <w:keepNext/>
        <w:rPr>
          <w:i/>
          <w:sz w:val="22"/>
          <w:szCs w:val="22"/>
          <w:u w:val="single"/>
          <w:lang w:val="de-DE"/>
        </w:rPr>
      </w:pPr>
      <w:r>
        <w:rPr>
          <w:i/>
          <w:sz w:val="22"/>
          <w:szCs w:val="22"/>
          <w:lang w:val="de-DE"/>
        </w:rPr>
        <w:t>Kinder ab 2 Jahren und Jugendliche mit einem Körpergewicht von 30 kg oder mehr</w:t>
      </w:r>
    </w:p>
    <w:p w14:paraId="307FD6B6" w14:textId="77777777" w:rsidR="00FE291A" w:rsidRDefault="00FE291A">
      <w:pPr>
        <w:keepNext/>
        <w:rPr>
          <w:rFonts w:cs="Calibri"/>
          <w:sz w:val="22"/>
          <w:szCs w:val="22"/>
          <w:lang w:val="de-DE"/>
        </w:rPr>
      </w:pPr>
    </w:p>
    <w:p w14:paraId="335CD651" w14:textId="77777777" w:rsidR="00FE291A" w:rsidRDefault="00C8738F">
      <w:pPr>
        <w:keepNext/>
        <w:rPr>
          <w:rFonts w:cs="Calibri"/>
          <w:sz w:val="22"/>
          <w:szCs w:val="22"/>
          <w:lang w:val="de-DE"/>
        </w:rPr>
      </w:pPr>
      <w:r>
        <w:rPr>
          <w:rFonts w:cs="Calibri"/>
          <w:sz w:val="22"/>
          <w:szCs w:val="22"/>
          <w:lang w:val="de-DE"/>
        </w:rPr>
        <w:t>Die übliche Dosierung von AMGEVITA beträgt 40 mg alle 2 Wochen gemeinsam mit Methotrexat.</w:t>
      </w:r>
    </w:p>
    <w:p w14:paraId="0B969EDF" w14:textId="77777777" w:rsidR="00FE291A" w:rsidRDefault="00FE291A">
      <w:pPr>
        <w:rPr>
          <w:rFonts w:cs="Calibri"/>
          <w:sz w:val="22"/>
          <w:szCs w:val="22"/>
          <w:lang w:val="de-DE"/>
        </w:rPr>
      </w:pPr>
    </w:p>
    <w:p w14:paraId="2C598264" w14:textId="77777777" w:rsidR="00FE291A" w:rsidRDefault="00C8738F">
      <w:pPr>
        <w:pStyle w:val="BodyText"/>
        <w:widowControl/>
        <w:kinsoku w:val="0"/>
        <w:overflowPunct w:val="0"/>
        <w:ind w:left="0"/>
        <w:rPr>
          <w:lang w:val="de-DE"/>
        </w:rPr>
      </w:pPr>
      <w:r>
        <w:rPr>
          <w:rFonts w:cs="Calibri"/>
          <w:lang w:val="de-DE"/>
        </w:rPr>
        <w:t>Ihr Arzt kann auch eine Anfangsdosis von 80 mg verschreiben, die eine Woche vor Beginn der üblichen Dosis verabreicht werden kann.</w:t>
      </w:r>
    </w:p>
    <w:p w14:paraId="00EC04B5" w14:textId="77777777" w:rsidR="00FE291A" w:rsidRDefault="00FE291A">
      <w:pPr>
        <w:pStyle w:val="BodyText"/>
        <w:widowControl/>
        <w:kinsoku w:val="0"/>
        <w:overflowPunct w:val="0"/>
        <w:ind w:left="0"/>
        <w:rPr>
          <w:lang w:val="de-DE"/>
        </w:rPr>
      </w:pPr>
    </w:p>
    <w:p w14:paraId="797D4714" w14:textId="77777777" w:rsidR="00FE291A" w:rsidRDefault="00C8738F">
      <w:pPr>
        <w:pStyle w:val="Heading1"/>
        <w:widowControl/>
        <w:kinsoku w:val="0"/>
        <w:overflowPunct w:val="0"/>
        <w:ind w:left="0"/>
        <w:rPr>
          <w:b w:val="0"/>
          <w:bCs w:val="0"/>
          <w:lang w:val="de-DE"/>
        </w:rPr>
      </w:pPr>
      <w:r>
        <w:rPr>
          <w:lang w:val="de-DE"/>
        </w:rPr>
        <w:t>Art der Anwendung</w:t>
      </w:r>
    </w:p>
    <w:p w14:paraId="561CB45D" w14:textId="77777777" w:rsidR="00FE291A" w:rsidRDefault="00FE291A">
      <w:pPr>
        <w:widowControl/>
        <w:kinsoku w:val="0"/>
        <w:overflowPunct w:val="0"/>
        <w:rPr>
          <w:sz w:val="22"/>
          <w:szCs w:val="22"/>
          <w:lang w:val="de-DE"/>
        </w:rPr>
      </w:pPr>
    </w:p>
    <w:p w14:paraId="264040F5" w14:textId="77777777" w:rsidR="00FE291A" w:rsidRDefault="00C8738F">
      <w:pPr>
        <w:pStyle w:val="BodyText"/>
        <w:widowControl/>
        <w:kinsoku w:val="0"/>
        <w:overflowPunct w:val="0"/>
        <w:ind w:left="0"/>
        <w:rPr>
          <w:lang w:val="de-DE"/>
        </w:rPr>
      </w:pPr>
      <w:r>
        <w:rPr>
          <w:lang w:val="de-DE"/>
        </w:rPr>
        <w:t>AMGEVITA wird unter die Haut gespritzt (subkutane Injektion).</w:t>
      </w:r>
    </w:p>
    <w:p w14:paraId="0A08C36F" w14:textId="77777777" w:rsidR="00FE291A" w:rsidRDefault="00FE291A">
      <w:pPr>
        <w:pStyle w:val="BodyText"/>
        <w:widowControl/>
        <w:kinsoku w:val="0"/>
        <w:overflowPunct w:val="0"/>
        <w:ind w:left="0"/>
        <w:rPr>
          <w:lang w:val="de-DE"/>
        </w:rPr>
      </w:pPr>
    </w:p>
    <w:p w14:paraId="0D3E374B" w14:textId="77777777" w:rsidR="00FE291A" w:rsidRDefault="00C8738F">
      <w:pPr>
        <w:pStyle w:val="BodyText"/>
        <w:widowControl/>
        <w:kinsoku w:val="0"/>
        <w:overflowPunct w:val="0"/>
        <w:ind w:left="0"/>
        <w:rPr>
          <w:lang w:val="de-DE"/>
        </w:rPr>
      </w:pPr>
      <w:r>
        <w:rPr>
          <w:lang w:val="de-DE"/>
        </w:rPr>
        <w:t>Eine genaue Anleitung wie AMGEVITA gespritzt wird, finden Sie im Abschnitt „Gebrauchsanleitung“.</w:t>
      </w:r>
    </w:p>
    <w:p w14:paraId="26DBF40A" w14:textId="77777777" w:rsidR="00FE291A" w:rsidRDefault="00FE291A">
      <w:pPr>
        <w:widowControl/>
        <w:kinsoku w:val="0"/>
        <w:overflowPunct w:val="0"/>
        <w:rPr>
          <w:sz w:val="22"/>
          <w:szCs w:val="22"/>
          <w:lang w:val="de-DE"/>
        </w:rPr>
      </w:pPr>
    </w:p>
    <w:p w14:paraId="5F2DFB86" w14:textId="77777777" w:rsidR="00FE291A" w:rsidRDefault="00C8738F">
      <w:pPr>
        <w:pStyle w:val="Heading1"/>
        <w:keepNext/>
        <w:keepLines/>
        <w:widowControl/>
        <w:kinsoku w:val="0"/>
        <w:overflowPunct w:val="0"/>
        <w:ind w:left="0"/>
        <w:rPr>
          <w:b w:val="0"/>
          <w:bCs w:val="0"/>
          <w:lang w:val="de-DE"/>
        </w:rPr>
      </w:pPr>
      <w:r>
        <w:rPr>
          <w:lang w:val="de-DE"/>
        </w:rPr>
        <w:t>Wenn Sie eine größere Menge von AMGEVITA gespritzt haben, als Sie sollten</w:t>
      </w:r>
    </w:p>
    <w:p w14:paraId="02171FFF" w14:textId="77777777" w:rsidR="00FE291A" w:rsidRDefault="00FE291A">
      <w:pPr>
        <w:widowControl/>
        <w:kinsoku w:val="0"/>
        <w:overflowPunct w:val="0"/>
        <w:rPr>
          <w:sz w:val="22"/>
          <w:szCs w:val="22"/>
          <w:lang w:val="de-DE"/>
        </w:rPr>
      </w:pPr>
    </w:p>
    <w:p w14:paraId="4C3324B8" w14:textId="77777777" w:rsidR="00FE291A" w:rsidRDefault="00C8738F">
      <w:pPr>
        <w:pStyle w:val="BodyText"/>
        <w:widowControl/>
        <w:kinsoku w:val="0"/>
        <w:overflowPunct w:val="0"/>
        <w:ind w:left="0"/>
        <w:rPr>
          <w:lang w:val="de-DE"/>
        </w:rPr>
      </w:pPr>
      <w:r>
        <w:rPr>
          <w:lang w:val="de-DE"/>
        </w:rPr>
        <w:t>Falls Sie AMGEVITA versehentlich häufiger gespritzt haben, als der Arzt Ihnen verordnet hat, informieren Sie Ihren Arzt oder Apotheker darüber. Nehmen Sie immer die Faltschachtel des Arzneimittels mit, auch wenn sie leer ist.</w:t>
      </w:r>
    </w:p>
    <w:p w14:paraId="611491B1" w14:textId="77777777" w:rsidR="00FE291A" w:rsidRDefault="00FE291A">
      <w:pPr>
        <w:widowControl/>
        <w:kinsoku w:val="0"/>
        <w:overflowPunct w:val="0"/>
        <w:rPr>
          <w:sz w:val="22"/>
          <w:szCs w:val="22"/>
          <w:lang w:val="de-DE"/>
        </w:rPr>
      </w:pPr>
    </w:p>
    <w:p w14:paraId="6D2624E4" w14:textId="77777777" w:rsidR="00FE291A" w:rsidRDefault="00C8738F">
      <w:pPr>
        <w:pStyle w:val="Heading1"/>
        <w:widowControl/>
        <w:kinsoku w:val="0"/>
        <w:overflowPunct w:val="0"/>
        <w:ind w:left="0"/>
        <w:rPr>
          <w:b w:val="0"/>
          <w:bCs w:val="0"/>
          <w:lang w:val="de-DE"/>
        </w:rPr>
      </w:pPr>
      <w:r>
        <w:rPr>
          <w:lang w:val="de-DE"/>
        </w:rPr>
        <w:t>Wenn Sie die Injektion von AMGEVITA vergessen haben</w:t>
      </w:r>
    </w:p>
    <w:p w14:paraId="6B6226C0" w14:textId="77777777" w:rsidR="00FE291A" w:rsidRDefault="00FE291A">
      <w:pPr>
        <w:widowControl/>
        <w:kinsoku w:val="0"/>
        <w:overflowPunct w:val="0"/>
        <w:rPr>
          <w:sz w:val="22"/>
          <w:szCs w:val="22"/>
          <w:lang w:val="de-DE"/>
        </w:rPr>
      </w:pPr>
    </w:p>
    <w:p w14:paraId="2F75918E" w14:textId="77777777" w:rsidR="00FE291A" w:rsidRDefault="00C8738F">
      <w:pPr>
        <w:pStyle w:val="BodyText"/>
        <w:widowControl/>
        <w:kinsoku w:val="0"/>
        <w:overflowPunct w:val="0"/>
        <w:ind w:left="0"/>
        <w:rPr>
          <w:lang w:val="de-DE"/>
        </w:rPr>
      </w:pPr>
      <w:r>
        <w:rPr>
          <w:lang w:val="de-DE"/>
        </w:rPr>
        <w:t>Wenn Sie einmal eine Injektion vergessen haben, sollten Sie die nächste AMGEVITA-Dosis spritzen, sobald Ihnen dies auffällt. Spritzen Sie Ihre darauffolgende Dosis an dem ursprünglich vorgesehenen Tag, wie Sie es getan hätten, wenn Sie die Injektion nicht vergessen hätten.</w:t>
      </w:r>
    </w:p>
    <w:p w14:paraId="4C5DCD87" w14:textId="77777777" w:rsidR="00FE291A" w:rsidRDefault="00FE291A">
      <w:pPr>
        <w:widowControl/>
        <w:kinsoku w:val="0"/>
        <w:overflowPunct w:val="0"/>
        <w:rPr>
          <w:sz w:val="22"/>
          <w:szCs w:val="22"/>
          <w:lang w:val="de-DE"/>
        </w:rPr>
      </w:pPr>
    </w:p>
    <w:p w14:paraId="45A27ED2" w14:textId="77777777" w:rsidR="00FE291A" w:rsidRDefault="00C8738F">
      <w:pPr>
        <w:pStyle w:val="Heading1"/>
        <w:keepNext/>
        <w:keepLines/>
        <w:widowControl/>
        <w:kinsoku w:val="0"/>
        <w:overflowPunct w:val="0"/>
        <w:ind w:left="0"/>
        <w:rPr>
          <w:b w:val="0"/>
          <w:bCs w:val="0"/>
          <w:lang w:val="de-DE"/>
        </w:rPr>
      </w:pPr>
      <w:r>
        <w:rPr>
          <w:lang w:val="de-DE"/>
        </w:rPr>
        <w:t>Wenn Sie die Anwendung von AMGEVITA abbrechen</w:t>
      </w:r>
    </w:p>
    <w:p w14:paraId="05E822C6" w14:textId="77777777" w:rsidR="00FE291A" w:rsidRDefault="00FE291A">
      <w:pPr>
        <w:widowControl/>
        <w:kinsoku w:val="0"/>
        <w:overflowPunct w:val="0"/>
        <w:rPr>
          <w:sz w:val="22"/>
          <w:szCs w:val="22"/>
          <w:lang w:val="de-DE"/>
        </w:rPr>
      </w:pPr>
    </w:p>
    <w:p w14:paraId="358AA94C" w14:textId="77777777" w:rsidR="00FE291A" w:rsidRDefault="00C8738F">
      <w:pPr>
        <w:pStyle w:val="BodyText"/>
        <w:widowControl/>
        <w:kinsoku w:val="0"/>
        <w:overflowPunct w:val="0"/>
        <w:ind w:left="0"/>
        <w:rPr>
          <w:lang w:val="de-DE"/>
        </w:rPr>
      </w:pPr>
      <w:r>
        <w:rPr>
          <w:lang w:val="de-DE"/>
        </w:rPr>
        <w:t>Die Entscheidung, die Anwendung von AMGEVITA abzubrechen, müssen Sie mit Ihrem Arzt besprechen. Die Anzeichen Ihrer Erkrankung können nach Abbruch der Behandlung zurückkehren.</w:t>
      </w:r>
    </w:p>
    <w:p w14:paraId="238D9843" w14:textId="77777777" w:rsidR="00FE291A" w:rsidRDefault="00FE291A">
      <w:pPr>
        <w:widowControl/>
        <w:kinsoku w:val="0"/>
        <w:overflowPunct w:val="0"/>
        <w:rPr>
          <w:sz w:val="22"/>
          <w:szCs w:val="22"/>
          <w:lang w:val="de-DE"/>
        </w:rPr>
      </w:pPr>
    </w:p>
    <w:p w14:paraId="0A16F90B" w14:textId="77777777" w:rsidR="00FE291A" w:rsidRDefault="00C8738F">
      <w:pPr>
        <w:pStyle w:val="BodyText"/>
        <w:widowControl/>
        <w:kinsoku w:val="0"/>
        <w:overflowPunct w:val="0"/>
        <w:ind w:left="0"/>
        <w:rPr>
          <w:lang w:val="de-DE"/>
        </w:rPr>
      </w:pPr>
      <w:r>
        <w:rPr>
          <w:lang w:val="de-DE"/>
        </w:rPr>
        <w:t>Sollten Sie weitere Fragen zur Anwendung dieses Arzneimittels haben, fragen Sie Ihren Arzt oder Apotheker.</w:t>
      </w:r>
    </w:p>
    <w:p w14:paraId="2E5CBF0A" w14:textId="77777777" w:rsidR="00FE291A" w:rsidRDefault="00FE291A">
      <w:pPr>
        <w:widowControl/>
        <w:kinsoku w:val="0"/>
        <w:overflowPunct w:val="0"/>
        <w:rPr>
          <w:sz w:val="22"/>
          <w:szCs w:val="22"/>
          <w:lang w:val="de-DE"/>
        </w:rPr>
      </w:pPr>
    </w:p>
    <w:p w14:paraId="3719A445" w14:textId="77777777" w:rsidR="00FE291A" w:rsidRDefault="00FE291A">
      <w:pPr>
        <w:widowControl/>
        <w:kinsoku w:val="0"/>
        <w:overflowPunct w:val="0"/>
        <w:rPr>
          <w:sz w:val="22"/>
          <w:szCs w:val="22"/>
          <w:lang w:val="de-DE"/>
        </w:rPr>
      </w:pPr>
    </w:p>
    <w:p w14:paraId="6DBFC966" w14:textId="77777777" w:rsidR="00FE291A" w:rsidRDefault="00C8738F">
      <w:pPr>
        <w:pStyle w:val="Heading1"/>
        <w:keepNext/>
        <w:widowControl/>
        <w:tabs>
          <w:tab w:val="left" w:pos="567"/>
        </w:tabs>
        <w:kinsoku w:val="0"/>
        <w:overflowPunct w:val="0"/>
        <w:ind w:left="0"/>
        <w:rPr>
          <w:b w:val="0"/>
          <w:bCs w:val="0"/>
          <w:lang w:val="de-DE"/>
        </w:rPr>
      </w:pPr>
      <w:r>
        <w:rPr>
          <w:lang w:val="de-DE"/>
        </w:rPr>
        <w:t>4.</w:t>
      </w:r>
      <w:r>
        <w:rPr>
          <w:lang w:val="de-DE"/>
        </w:rPr>
        <w:tab/>
        <w:t>Welche Nebenwirkungen sind möglich?</w:t>
      </w:r>
    </w:p>
    <w:p w14:paraId="719E4231" w14:textId="77777777" w:rsidR="00FE291A" w:rsidRDefault="00FE291A">
      <w:pPr>
        <w:keepNext/>
        <w:widowControl/>
        <w:kinsoku w:val="0"/>
        <w:overflowPunct w:val="0"/>
        <w:rPr>
          <w:sz w:val="22"/>
          <w:szCs w:val="26"/>
          <w:lang w:val="de-DE"/>
        </w:rPr>
      </w:pPr>
    </w:p>
    <w:p w14:paraId="5F5E409E" w14:textId="77777777" w:rsidR="00FE291A" w:rsidRDefault="00C8738F">
      <w:pPr>
        <w:pStyle w:val="BodyText"/>
        <w:widowControl/>
        <w:kinsoku w:val="0"/>
        <w:overflowPunct w:val="0"/>
        <w:ind w:left="0"/>
        <w:rPr>
          <w:lang w:val="de-DE"/>
        </w:rPr>
      </w:pPr>
      <w:r>
        <w:rPr>
          <w:lang w:val="de-DE"/>
        </w:rPr>
        <w:t>Wie alle Arzneimittel kann dieses Arzneimittel Nebenwirkungen haben, die aber nicht bei jedem auftreten müssen. Die meisten Nebenwirkungen sind leicht bis mäßig ausgeprägt. Einige können jedoch auch schwerwiegend sein und müssen behandelt werden. Nebenwirkungen können mindestens bis vier Monate nach der letzten Injektion von AMGEVITA auftreten.</w:t>
      </w:r>
    </w:p>
    <w:p w14:paraId="3DE1E01D" w14:textId="77777777" w:rsidR="00FE291A" w:rsidRDefault="00FE291A">
      <w:pPr>
        <w:widowControl/>
        <w:kinsoku w:val="0"/>
        <w:overflowPunct w:val="0"/>
        <w:rPr>
          <w:sz w:val="22"/>
          <w:lang w:val="de-DE"/>
        </w:rPr>
      </w:pPr>
    </w:p>
    <w:p w14:paraId="1D5F95E6" w14:textId="77777777" w:rsidR="00FE291A" w:rsidRDefault="00C8738F">
      <w:pPr>
        <w:pStyle w:val="BodyText"/>
        <w:widowControl/>
        <w:kinsoku w:val="0"/>
        <w:overflowPunct w:val="0"/>
        <w:ind w:left="0"/>
        <w:rPr>
          <w:lang w:val="de-DE"/>
        </w:rPr>
      </w:pPr>
      <w:r>
        <w:rPr>
          <w:lang w:val="de-DE"/>
        </w:rPr>
        <w:t>Benachrichtigen Sie unverzüglich Ihren Arzt, wenn Sie eines der folgenden Anzeichen einer allergischen Reaktion oder einer Herzschwäche bemerken:</w:t>
      </w:r>
    </w:p>
    <w:p w14:paraId="77065877" w14:textId="77777777" w:rsidR="00FE291A" w:rsidRDefault="00C8738F">
      <w:pPr>
        <w:pStyle w:val="BodyText"/>
        <w:widowControl/>
        <w:numPr>
          <w:ilvl w:val="0"/>
          <w:numId w:val="56"/>
        </w:numPr>
        <w:kinsoku w:val="0"/>
        <w:overflowPunct w:val="0"/>
        <w:ind w:left="567"/>
        <w:rPr>
          <w:lang w:val="de-DE"/>
        </w:rPr>
      </w:pPr>
      <w:r>
        <w:rPr>
          <w:lang w:val="de-DE"/>
        </w:rPr>
        <w:t>Starker Hautausschlag, Nesselsucht oder andere Anzeichen einer allergischen Reaktion;</w:t>
      </w:r>
    </w:p>
    <w:p w14:paraId="497CCB1C" w14:textId="77777777" w:rsidR="00FE291A" w:rsidRDefault="00C8738F">
      <w:pPr>
        <w:pStyle w:val="BodyText"/>
        <w:widowControl/>
        <w:numPr>
          <w:ilvl w:val="0"/>
          <w:numId w:val="56"/>
        </w:numPr>
        <w:kinsoku w:val="0"/>
        <w:overflowPunct w:val="0"/>
        <w:ind w:left="567"/>
        <w:rPr>
          <w:lang w:val="de-DE"/>
        </w:rPr>
      </w:pPr>
      <w:r>
        <w:rPr>
          <w:lang w:val="de-DE"/>
        </w:rPr>
        <w:t>Schwellung im Gesicht, an Händen oder Füßen;</w:t>
      </w:r>
    </w:p>
    <w:p w14:paraId="5388D101" w14:textId="77777777" w:rsidR="00FE291A" w:rsidRDefault="00C8738F">
      <w:pPr>
        <w:pStyle w:val="BodyText"/>
        <w:widowControl/>
        <w:numPr>
          <w:ilvl w:val="0"/>
          <w:numId w:val="56"/>
        </w:numPr>
        <w:kinsoku w:val="0"/>
        <w:overflowPunct w:val="0"/>
        <w:ind w:left="567"/>
        <w:rPr>
          <w:lang w:val="de-DE"/>
        </w:rPr>
      </w:pPr>
      <w:r>
        <w:rPr>
          <w:lang w:val="de-DE"/>
        </w:rPr>
        <w:t>Schwierigkeiten beim Atmen oder Schlucken;</w:t>
      </w:r>
    </w:p>
    <w:p w14:paraId="42C6F96A" w14:textId="77777777" w:rsidR="00FE291A" w:rsidRDefault="00C8738F">
      <w:pPr>
        <w:pStyle w:val="BodyText"/>
        <w:widowControl/>
        <w:numPr>
          <w:ilvl w:val="0"/>
          <w:numId w:val="56"/>
        </w:numPr>
        <w:kinsoku w:val="0"/>
        <w:overflowPunct w:val="0"/>
        <w:ind w:left="567"/>
        <w:rPr>
          <w:lang w:val="de-DE"/>
        </w:rPr>
      </w:pPr>
      <w:r>
        <w:rPr>
          <w:lang w:val="de-DE"/>
        </w:rPr>
        <w:t>Kurzatmigkeit bei Belastung oder im Liegen oder Schwellung der Füße.</w:t>
      </w:r>
    </w:p>
    <w:p w14:paraId="665B407B" w14:textId="77777777" w:rsidR="00FE291A" w:rsidRDefault="00FE291A">
      <w:pPr>
        <w:widowControl/>
        <w:kinsoku w:val="0"/>
        <w:overflowPunct w:val="0"/>
        <w:rPr>
          <w:sz w:val="22"/>
          <w:szCs w:val="26"/>
          <w:lang w:val="de-DE"/>
        </w:rPr>
      </w:pPr>
    </w:p>
    <w:p w14:paraId="55C59AE1" w14:textId="77777777" w:rsidR="00FE291A" w:rsidRDefault="00C8738F">
      <w:pPr>
        <w:pStyle w:val="BodyText"/>
        <w:widowControl/>
        <w:kinsoku w:val="0"/>
        <w:overflowPunct w:val="0"/>
        <w:ind w:left="0"/>
        <w:rPr>
          <w:lang w:val="de-DE"/>
        </w:rPr>
      </w:pPr>
      <w:r>
        <w:rPr>
          <w:lang w:val="de-DE"/>
        </w:rPr>
        <w:t>Benachrichtigen Sie so bald wie möglich Ihren Arzt, wenn Sie eines der folgenden Anzeichen bemerken:</w:t>
      </w:r>
    </w:p>
    <w:p w14:paraId="18D38EA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Anzeichen einer Infektion wie Fieber, Krankheitsgefühl, Wunden, Zahnprobleme, Brennen beim Wasserlassen;</w:t>
      </w:r>
    </w:p>
    <w:p w14:paraId="0715034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Gefühl der Schwäche oder Müdigkeit;</w:t>
      </w:r>
    </w:p>
    <w:p w14:paraId="4C2C57E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Husten;</w:t>
      </w:r>
    </w:p>
    <w:p w14:paraId="5C34CB8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Kribbeln;</w:t>
      </w:r>
    </w:p>
    <w:p w14:paraId="706FC92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Taubheit;</w:t>
      </w:r>
    </w:p>
    <w:p w14:paraId="0B84232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Doppeltsehen;</w:t>
      </w:r>
    </w:p>
    <w:p w14:paraId="674638B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Schwäche in Armen oder Beinen;</w:t>
      </w:r>
    </w:p>
    <w:p w14:paraId="0BFA5CE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Anzeichen für eine Hautkrebserkrankung wie eine Beule oder offene Stellen, die nicht abheilen;</w:t>
      </w:r>
    </w:p>
    <w:p w14:paraId="1ECB125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Anzeichen und Krankheitserscheinungen, die auf eine mögliche Erkrankung des blutbildenden Systems hinweisen, wie anhaltendes Fieber, Blutergüsse, Blutungen, Blässe.</w:t>
      </w:r>
    </w:p>
    <w:p w14:paraId="6F8C4AB5" w14:textId="77777777" w:rsidR="00FE291A" w:rsidRDefault="00FE291A">
      <w:pPr>
        <w:pStyle w:val="BodyText"/>
        <w:widowControl/>
        <w:kinsoku w:val="0"/>
        <w:overflowPunct w:val="0"/>
        <w:ind w:left="0"/>
        <w:rPr>
          <w:lang w:val="de-DE"/>
        </w:rPr>
      </w:pPr>
    </w:p>
    <w:p w14:paraId="741AE22F" w14:textId="77777777" w:rsidR="00FE291A" w:rsidRDefault="00C8738F">
      <w:pPr>
        <w:pStyle w:val="BodyText"/>
        <w:widowControl/>
        <w:kinsoku w:val="0"/>
        <w:overflowPunct w:val="0"/>
        <w:ind w:left="0"/>
        <w:rPr>
          <w:lang w:val="de-DE"/>
        </w:rPr>
      </w:pPr>
      <w:r>
        <w:rPr>
          <w:lang w:val="de-DE"/>
        </w:rPr>
        <w:t>Die oben beschriebenen Anzeichen können ein Hinweis sein auf die nachfolgend aufgelisteten Nebenwirkungen, die mit Adalimumab beobachtet wurden:</w:t>
      </w:r>
    </w:p>
    <w:p w14:paraId="46641C96" w14:textId="77777777" w:rsidR="00FE291A" w:rsidRDefault="00FE291A">
      <w:pPr>
        <w:widowControl/>
        <w:kinsoku w:val="0"/>
        <w:overflowPunct w:val="0"/>
        <w:rPr>
          <w:sz w:val="22"/>
          <w:szCs w:val="22"/>
          <w:lang w:val="de-DE"/>
        </w:rPr>
      </w:pPr>
    </w:p>
    <w:p w14:paraId="09A9758C" w14:textId="77777777" w:rsidR="00FE291A" w:rsidRDefault="00C8738F">
      <w:pPr>
        <w:pStyle w:val="BodyText"/>
        <w:widowControl/>
        <w:kinsoku w:val="0"/>
        <w:overflowPunct w:val="0"/>
        <w:ind w:left="0"/>
        <w:rPr>
          <w:lang w:val="de-DE"/>
        </w:rPr>
      </w:pPr>
      <w:r>
        <w:rPr>
          <w:lang w:val="de-DE"/>
        </w:rPr>
        <w:t>Sehr häufig (kann mehr als 1 von 10 Behandelten betreffen):</w:t>
      </w:r>
    </w:p>
    <w:p w14:paraId="450F212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Reaktionen an der Injektionsstelle (einschließlich Schmerz, Schwellung, Rötung oder Juckreiz);</w:t>
      </w:r>
    </w:p>
    <w:p w14:paraId="7078805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der Atemwege (einschließlich Erkältung, Fließschnupfen, Infektion der Nasennebenhöhlen, Lungenentzündung);</w:t>
      </w:r>
    </w:p>
    <w:p w14:paraId="59E1081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Kopfschmerzen;</w:t>
      </w:r>
    </w:p>
    <w:p w14:paraId="28FF21F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Bauchschmerzen;</w:t>
      </w:r>
    </w:p>
    <w:p w14:paraId="5EC68D2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Übelkeit und Erbrechen;</w:t>
      </w:r>
    </w:p>
    <w:p w14:paraId="02228A4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Hautausschlag;</w:t>
      </w:r>
    </w:p>
    <w:p w14:paraId="0220AA7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Schmerzen in Muskeln und Knochen.</w:t>
      </w:r>
    </w:p>
    <w:p w14:paraId="3A37EEFF" w14:textId="77777777" w:rsidR="00FE291A" w:rsidRDefault="00FE291A">
      <w:pPr>
        <w:widowControl/>
        <w:kinsoku w:val="0"/>
        <w:overflowPunct w:val="0"/>
        <w:rPr>
          <w:sz w:val="22"/>
          <w:szCs w:val="26"/>
          <w:lang w:val="de-DE"/>
        </w:rPr>
      </w:pPr>
    </w:p>
    <w:p w14:paraId="0ED888B9" w14:textId="77777777" w:rsidR="00FE291A" w:rsidRDefault="00C8738F">
      <w:pPr>
        <w:pStyle w:val="BodyText"/>
        <w:widowControl/>
        <w:kinsoku w:val="0"/>
        <w:overflowPunct w:val="0"/>
        <w:ind w:left="0"/>
        <w:rPr>
          <w:lang w:val="de-DE"/>
        </w:rPr>
      </w:pPr>
      <w:r>
        <w:rPr>
          <w:lang w:val="de-DE"/>
        </w:rPr>
        <w:t>Häufig (kann bis zu 1 von 10 Behandelten betreffen):</w:t>
      </w:r>
    </w:p>
    <w:p w14:paraId="2401D61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Schwere Infektionen (einschließlich Blutvergiftung und Virusgrippe);</w:t>
      </w:r>
    </w:p>
    <w:p w14:paraId="757FACC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Darminfektionen (einschließlich Magen-Darm-Grippe);</w:t>
      </w:r>
    </w:p>
    <w:p w14:paraId="3E14993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der Haut (einschließlich Entzündung des Unterhautzellgewebes und Gürtelrose);</w:t>
      </w:r>
    </w:p>
    <w:p w14:paraId="37460ED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des Ohres;</w:t>
      </w:r>
    </w:p>
    <w:p w14:paraId="15B5569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des Mundes (einschließlich Zahninfektionen und Fieberbläschen);</w:t>
      </w:r>
    </w:p>
    <w:p w14:paraId="68C7563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der Fortpflanzungsorgane;</w:t>
      </w:r>
    </w:p>
    <w:p w14:paraId="4244404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Harnwegsinfektion;</w:t>
      </w:r>
    </w:p>
    <w:p w14:paraId="4F62764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Pilzinfektionen;</w:t>
      </w:r>
    </w:p>
    <w:p w14:paraId="0F613CA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Gelenkinfektionen;</w:t>
      </w:r>
    </w:p>
    <w:p w14:paraId="2060432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Gutartige Tumoren;</w:t>
      </w:r>
    </w:p>
    <w:p w14:paraId="27FD3EB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Hautkrebs;</w:t>
      </w:r>
    </w:p>
    <w:p w14:paraId="395C66A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Allergische Reaktionen (einschließlich durch Jahreszeiten bedingte Allergie);</w:t>
      </w:r>
    </w:p>
    <w:p w14:paraId="28DBAD0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Flüssigkeitsverlust (Dehydratation);</w:t>
      </w:r>
    </w:p>
    <w:p w14:paraId="0E8A9A0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Stimmungsschwankungen (einschließlich Depression);</w:t>
      </w:r>
    </w:p>
    <w:p w14:paraId="7643AAE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Angstgefühl;</w:t>
      </w:r>
    </w:p>
    <w:p w14:paraId="1D0027C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Schlafstörungen;</w:t>
      </w:r>
    </w:p>
    <w:p w14:paraId="2A02B84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Empfindungsstörungen (einschließlich Kribbeln, Prickeln oder Taubheitsgefühl);</w:t>
      </w:r>
    </w:p>
    <w:p w14:paraId="4563BA4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Migräne;</w:t>
      </w:r>
    </w:p>
    <w:p w14:paraId="1DEF259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Nervenwurzelkompression (Hexenschuss, einschließlich Rückenschmerzen und Beinschmerzen);</w:t>
      </w:r>
    </w:p>
    <w:p w14:paraId="7A82EBB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Sehstörungen;</w:t>
      </w:r>
    </w:p>
    <w:p w14:paraId="0B9A036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Augenentzündung;</w:t>
      </w:r>
    </w:p>
    <w:p w14:paraId="2E826A1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des Augenlides und Anschwellen des Auges;</w:t>
      </w:r>
    </w:p>
    <w:p w14:paraId="5C2D4AC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Schwindel (Schwindelgefühl oder Gefühl, dass sich der Raum dreht);</w:t>
      </w:r>
    </w:p>
    <w:p w14:paraId="509B6EC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Herzrasen;</w:t>
      </w:r>
    </w:p>
    <w:p w14:paraId="75F53C4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Hoher Blutdruck;</w:t>
      </w:r>
    </w:p>
    <w:p w14:paraId="5C1753C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Hitzegefühl;</w:t>
      </w:r>
    </w:p>
    <w:p w14:paraId="05F5D23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Blutergüsse;</w:t>
      </w:r>
    </w:p>
    <w:p w14:paraId="428F129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Husten;</w:t>
      </w:r>
    </w:p>
    <w:p w14:paraId="05C875E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Asthma;</w:t>
      </w:r>
    </w:p>
    <w:p w14:paraId="765F28D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Kurzatmigkeit;</w:t>
      </w:r>
    </w:p>
    <w:p w14:paraId="3BAE430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Magen-Darm-Blutungen;</w:t>
      </w:r>
    </w:p>
    <w:p w14:paraId="274E40A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Verdauungsstörung (Magenverstimmung, Blähungen, Sodbrennen);</w:t>
      </w:r>
    </w:p>
    <w:p w14:paraId="0014249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Saures Aufstoßen;</w:t>
      </w:r>
    </w:p>
    <w:p w14:paraId="1FCC4C0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Sicca-Syndrom (einschließlich trockener Augen und trockenem Mund);</w:t>
      </w:r>
    </w:p>
    <w:p w14:paraId="7B8CC76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Juckreiz;</w:t>
      </w:r>
    </w:p>
    <w:p w14:paraId="62CBEB9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Juckender Hautausschlag;</w:t>
      </w:r>
    </w:p>
    <w:p w14:paraId="4419692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Blaue Flecken;</w:t>
      </w:r>
    </w:p>
    <w:p w14:paraId="1DE3D59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der Haut (wie z. B. Ekzeme);</w:t>
      </w:r>
    </w:p>
    <w:p w14:paraId="48859BD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Brüchige Finger- und Fußnägel;</w:t>
      </w:r>
    </w:p>
    <w:p w14:paraId="48B8FB8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Vermehrtes Schwitzen;</w:t>
      </w:r>
    </w:p>
    <w:p w14:paraId="7B960AC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Haarausfall;</w:t>
      </w:r>
    </w:p>
    <w:p w14:paraId="4628A95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Neuer Ausbruch oder Verschlechterung von Schuppenflechte (Psoriasis);</w:t>
      </w:r>
    </w:p>
    <w:p w14:paraId="20F482A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Muskelkrämpfe;</w:t>
      </w:r>
    </w:p>
    <w:p w14:paraId="5F44648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Blut im Urin;</w:t>
      </w:r>
    </w:p>
    <w:p w14:paraId="5DD0990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Nierenprobleme;</w:t>
      </w:r>
    </w:p>
    <w:p w14:paraId="268B9E8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Schmerzen im Brustraum;</w:t>
      </w:r>
    </w:p>
    <w:p w14:paraId="554D539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Wasseransammlungen (Ödeme);</w:t>
      </w:r>
    </w:p>
    <w:p w14:paraId="128DC58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Fieber;</w:t>
      </w:r>
    </w:p>
    <w:p w14:paraId="63E0239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Verringerung der Blutplättchen, dadurch erhöhtes Risiko für Blutungen oder blaue Flecken;</w:t>
      </w:r>
    </w:p>
    <w:p w14:paraId="28C307C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Verzögerte Wundheilung.</w:t>
      </w:r>
    </w:p>
    <w:p w14:paraId="5D0DB9DA" w14:textId="77777777" w:rsidR="00FE291A" w:rsidRDefault="00FE291A">
      <w:pPr>
        <w:widowControl/>
        <w:kinsoku w:val="0"/>
        <w:overflowPunct w:val="0"/>
        <w:rPr>
          <w:sz w:val="22"/>
          <w:szCs w:val="26"/>
          <w:lang w:val="de-DE"/>
        </w:rPr>
      </w:pPr>
    </w:p>
    <w:p w14:paraId="729FBD41" w14:textId="77777777" w:rsidR="00FE291A" w:rsidRDefault="00C8738F">
      <w:pPr>
        <w:pStyle w:val="BodyText"/>
        <w:widowControl/>
        <w:kinsoku w:val="0"/>
        <w:overflowPunct w:val="0"/>
        <w:ind w:left="0"/>
        <w:rPr>
          <w:lang w:val="de-DE"/>
        </w:rPr>
      </w:pPr>
      <w:r>
        <w:rPr>
          <w:lang w:val="de-DE"/>
        </w:rPr>
        <w:t>Gelegentlich (kann bis zu 1 von 100 Behandelten betreffen):</w:t>
      </w:r>
    </w:p>
    <w:p w14:paraId="752C576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Tuberkulose und andere Infektionen, die auftreten, wenn die Widerstandskraft gegenüber Krankheiten vermindert ist (opportunistische Infektionen);</w:t>
      </w:r>
    </w:p>
    <w:p w14:paraId="41210C5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Neurologische Infekte (einschließlich viraler Hirnhautentzündung);</w:t>
      </w:r>
    </w:p>
    <w:p w14:paraId="2BE23E7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Augeninfektionen;</w:t>
      </w:r>
    </w:p>
    <w:p w14:paraId="218245A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Bakterielle Infektionen;</w:t>
      </w:r>
    </w:p>
    <w:p w14:paraId="1DB7C26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und Infektion des Dickdarms (Divertikulitis);</w:t>
      </w:r>
    </w:p>
    <w:p w14:paraId="2DA9F15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Krebs, einschließlich Krebs, der das Lymphsystem betrifft (Lymphom), und Melanom (Hautkrebs);</w:t>
      </w:r>
    </w:p>
    <w:p w14:paraId="6B9C5D1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Immunstörungen, welche die Lunge, Haut und Lymphknoten betreffen können (kommen am häufigsten als Sarkoidose vor);</w:t>
      </w:r>
    </w:p>
    <w:p w14:paraId="68ACF87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Vaskulitis (Entzündung der Blutgefäße);</w:t>
      </w:r>
    </w:p>
    <w:p w14:paraId="4EC4489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Zittern (Tremor);</w:t>
      </w:r>
    </w:p>
    <w:p w14:paraId="5B21A98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Nervenerkrankungen (Neuropathie);</w:t>
      </w:r>
    </w:p>
    <w:p w14:paraId="3570EC9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Schlaganfall;</w:t>
      </w:r>
    </w:p>
    <w:p w14:paraId="483058A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Hörverlust, Ohrensausen;</w:t>
      </w:r>
    </w:p>
    <w:p w14:paraId="01C6FB8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Unregelmäßiger Herzschlag, wie z. B. übersprungene Schläge;</w:t>
      </w:r>
    </w:p>
    <w:p w14:paraId="49AC4E9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Herzprobleme, die zu Kurzatmigkeit und Anschwellen der Fußknöchel führen können;</w:t>
      </w:r>
    </w:p>
    <w:p w14:paraId="7250144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Herzinfarkt;</w:t>
      </w:r>
    </w:p>
    <w:p w14:paraId="0526F0B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Eine Ausbuchtung in der Wand einer Hauptarterie, Entzündung und Blutgerinnsel in einer Vene, Verstopfung eines Blutgefäßes;</w:t>
      </w:r>
    </w:p>
    <w:p w14:paraId="41EC646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Lungenerkrankungen, die sich in Kurzatmigkeit äußern (einschließlich Entzündung);</w:t>
      </w:r>
    </w:p>
    <w:p w14:paraId="24D3D24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Lungenembolie (Verschluss in einer Lungenarterie);</w:t>
      </w:r>
    </w:p>
    <w:p w14:paraId="6D36BCF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Nicht normale Ansammlung von Flüssigkeit in der Umgebung der Lunge (Pleuraerguss);</w:t>
      </w:r>
    </w:p>
    <w:p w14:paraId="67FD35E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der Bauchspeicheldrüse, die starke Schmerzen im Bauchraum und Rücken verursacht;</w:t>
      </w:r>
    </w:p>
    <w:p w14:paraId="7809289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Schluckstörungen;</w:t>
      </w:r>
    </w:p>
    <w:p w14:paraId="126734F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Gesichtsschwellung;</w:t>
      </w:r>
    </w:p>
    <w:p w14:paraId="1C6801B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Gallenblasenentzündung, Gallensteine;</w:t>
      </w:r>
    </w:p>
    <w:p w14:paraId="5D16610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Fettleber;</w:t>
      </w:r>
    </w:p>
    <w:p w14:paraId="3E9464E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Nächtliches Schwitzen;</w:t>
      </w:r>
    </w:p>
    <w:p w14:paraId="5DF0410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Narbenbildung;</w:t>
      </w:r>
    </w:p>
    <w:p w14:paraId="64FB38C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Abnormaler Muskelabbau;</w:t>
      </w:r>
    </w:p>
    <w:p w14:paraId="14BD191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Systemischer Lupus erythematodes (einschließlich Entzündung von Haut, Herz, Lunge, Gelenken und anderen Organsystemen);</w:t>
      </w:r>
    </w:p>
    <w:p w14:paraId="357813B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Schlafstörungen;</w:t>
      </w:r>
    </w:p>
    <w:p w14:paraId="5A99528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Impotenz;</w:t>
      </w:r>
    </w:p>
    <w:p w14:paraId="4701143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Entzündungen.</w:t>
      </w:r>
    </w:p>
    <w:p w14:paraId="0F703FEB" w14:textId="77777777" w:rsidR="00FE291A" w:rsidRDefault="00FE291A">
      <w:pPr>
        <w:pStyle w:val="BodyText"/>
        <w:widowControl/>
        <w:kinsoku w:val="0"/>
        <w:overflowPunct w:val="0"/>
        <w:ind w:left="0"/>
        <w:rPr>
          <w:lang w:val="de-DE"/>
        </w:rPr>
      </w:pPr>
    </w:p>
    <w:p w14:paraId="6050E2FA" w14:textId="77777777" w:rsidR="00FE291A" w:rsidRDefault="00C8738F">
      <w:pPr>
        <w:pStyle w:val="BodyText"/>
        <w:widowControl/>
        <w:kinsoku w:val="0"/>
        <w:overflowPunct w:val="0"/>
        <w:ind w:left="0"/>
        <w:rPr>
          <w:lang w:val="de-DE"/>
        </w:rPr>
      </w:pPr>
      <w:r>
        <w:rPr>
          <w:lang w:val="de-DE"/>
        </w:rPr>
        <w:t>Selten (kann bis zu 1 von 1 000 Behandelten betreffen):</w:t>
      </w:r>
    </w:p>
    <w:p w14:paraId="1A206B0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Leukämie (Krebs, der das Blut und das Knochenmark betrifft);</w:t>
      </w:r>
    </w:p>
    <w:p w14:paraId="68B7066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Schwere allergische Reaktionen mit Schock;</w:t>
      </w:r>
    </w:p>
    <w:p w14:paraId="507E220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Multiple Sklerose;</w:t>
      </w:r>
    </w:p>
    <w:p w14:paraId="11EBE9E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Nervenerkrankungen (z. B. Entzündung des Augennervs und Guillain-Barré-Syndrom, das zu Muskelschwäche, gestörten Sinnesempfindungen, Kribbeln in Armen und Oberkörper führen kann);</w:t>
      </w:r>
    </w:p>
    <w:p w14:paraId="2279968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Herzstillstand;</w:t>
      </w:r>
    </w:p>
    <w:p w14:paraId="2D901DF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Lungenfibrose (Narbenbildung in der Lunge);</w:t>
      </w:r>
    </w:p>
    <w:p w14:paraId="0CDB838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Darmwanddurchbruch (Loch in der Darmwand);</w:t>
      </w:r>
    </w:p>
    <w:p w14:paraId="5C5174E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Hepatitis (Leberentzündung);</w:t>
      </w:r>
    </w:p>
    <w:p w14:paraId="3BFDEDB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Erneuter Ausbruch von Hepatitis B;</w:t>
      </w:r>
    </w:p>
    <w:p w14:paraId="1794BF9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der Leber, die durch das körpereigene Abwehrsystem ausgelöst wird (Autoimmunhepatitis);</w:t>
      </w:r>
    </w:p>
    <w:p w14:paraId="4086322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der Blutgefäße der Haut (kutane Vaskulitis);</w:t>
      </w:r>
    </w:p>
    <w:p w14:paraId="77400F5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Stevens-Johnson-Syndrom (lebensbedrohliche Reaktion mit grippeähnlichen Symptomen und blasenbildendem Ausschlag);</w:t>
      </w:r>
    </w:p>
    <w:p w14:paraId="6F9A37E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Gesichtsschwellung (Ödem) in Verbindung mit allergischen Reaktionen;</w:t>
      </w:r>
    </w:p>
    <w:p w14:paraId="0A5F7FF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Entzündlicher Hautausschlag (Erythema multiforme);</w:t>
      </w:r>
    </w:p>
    <w:p w14:paraId="0CBC377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Lupusähnliches Syndrom;</w:t>
      </w:r>
    </w:p>
    <w:p w14:paraId="2BA88DD3" w14:textId="77777777" w:rsidR="00FE291A" w:rsidRDefault="00C8738F">
      <w:pPr>
        <w:widowControl/>
        <w:numPr>
          <w:ilvl w:val="0"/>
          <w:numId w:val="56"/>
        </w:numPr>
        <w:autoSpaceDE/>
        <w:autoSpaceDN/>
        <w:adjustRightInd/>
        <w:ind w:left="567"/>
        <w:rPr>
          <w:sz w:val="22"/>
          <w:szCs w:val="22"/>
          <w:lang w:val="de-DE"/>
        </w:rPr>
      </w:pPr>
      <w:r>
        <w:rPr>
          <w:sz w:val="22"/>
          <w:szCs w:val="22"/>
          <w:lang w:val="de-DE"/>
        </w:rPr>
        <w:t>Angioödem (lokalisierte Schwellung der Haut);</w:t>
      </w:r>
    </w:p>
    <w:p w14:paraId="7C5596F7" w14:textId="77777777" w:rsidR="00FE291A" w:rsidRDefault="00C8738F">
      <w:pPr>
        <w:widowControl/>
        <w:numPr>
          <w:ilvl w:val="0"/>
          <w:numId w:val="56"/>
        </w:numPr>
        <w:autoSpaceDE/>
        <w:autoSpaceDN/>
        <w:adjustRightInd/>
        <w:ind w:left="567"/>
        <w:rPr>
          <w:sz w:val="22"/>
          <w:szCs w:val="22"/>
          <w:lang w:val="de-DE"/>
        </w:rPr>
      </w:pPr>
      <w:r>
        <w:rPr>
          <w:sz w:val="22"/>
          <w:szCs w:val="22"/>
          <w:lang w:val="de-DE"/>
        </w:rPr>
        <w:t>Lichenoide Hautreaktion (juckender, rötlicher bis violetter Hautausschlag).</w:t>
      </w:r>
    </w:p>
    <w:p w14:paraId="7A8D6E39" w14:textId="77777777" w:rsidR="00FE291A" w:rsidRDefault="00FE291A">
      <w:pPr>
        <w:widowControl/>
        <w:kinsoku w:val="0"/>
        <w:overflowPunct w:val="0"/>
        <w:rPr>
          <w:sz w:val="22"/>
          <w:szCs w:val="26"/>
          <w:lang w:val="de-DE"/>
        </w:rPr>
      </w:pPr>
    </w:p>
    <w:p w14:paraId="1ECA8183" w14:textId="77777777" w:rsidR="00FE291A" w:rsidRDefault="00C8738F">
      <w:pPr>
        <w:pStyle w:val="BodyText"/>
        <w:keepNext/>
        <w:keepLines/>
        <w:widowControl/>
        <w:kinsoku w:val="0"/>
        <w:overflowPunct w:val="0"/>
        <w:ind w:left="0"/>
        <w:rPr>
          <w:lang w:val="de-DE"/>
        </w:rPr>
      </w:pPr>
      <w:r>
        <w:rPr>
          <w:lang w:val="de-DE"/>
        </w:rPr>
        <w:t>Nicht bekannt (Häufigkeit auf Grundlage der vorliegenden Daten nicht abschätzbar):</w:t>
      </w:r>
    </w:p>
    <w:p w14:paraId="59D73B5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Hepatosplenales T-Zell-Lymphom (ein selten auftretender Blutkrebs, der oft tödlich ist);</w:t>
      </w:r>
    </w:p>
    <w:p w14:paraId="310CF7D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Merkelzellkarzinom (eine Art von Hautkrebs);</w:t>
      </w:r>
    </w:p>
    <w:p w14:paraId="598BB3A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Kaposi-Sarkom, eine seltene Krebserkrankung, die mit einer Infektion mit dem humanen Herpesvirus 8 assoziiert ist. Das Kaposi-Sarkom tritt am häufigsten in Form von violetten Hautläsionen auf.</w:t>
      </w:r>
    </w:p>
    <w:p w14:paraId="5F78571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Leberversagen;</w:t>
      </w:r>
    </w:p>
    <w:p w14:paraId="26B15756" w14:textId="77777777" w:rsidR="00FE291A" w:rsidRDefault="00C8738F">
      <w:pPr>
        <w:pStyle w:val="BodyText"/>
        <w:keepNext/>
        <w:widowControl/>
        <w:numPr>
          <w:ilvl w:val="0"/>
          <w:numId w:val="56"/>
        </w:numPr>
        <w:tabs>
          <w:tab w:val="left" w:pos="567"/>
        </w:tabs>
        <w:kinsoku w:val="0"/>
        <w:overflowPunct w:val="0"/>
        <w:ind w:left="567"/>
        <w:rPr>
          <w:lang w:val="de-DE"/>
        </w:rPr>
      </w:pPr>
      <w:r>
        <w:rPr>
          <w:lang w:val="de-DE"/>
        </w:rPr>
        <w:t>Verschlechterung einer sogenannten Dermatomyositis (tritt als Hautausschlag in Verbindung mit Muskelschwäche in Erscheinung);</w:t>
      </w:r>
    </w:p>
    <w:p w14:paraId="7C70332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Gewichtszunahme (bei den meisten Patienten war die Gewichtszunahme gering).</w:t>
      </w:r>
    </w:p>
    <w:p w14:paraId="7766CF0E" w14:textId="77777777" w:rsidR="00FE291A" w:rsidRDefault="00FE291A">
      <w:pPr>
        <w:widowControl/>
        <w:kinsoku w:val="0"/>
        <w:overflowPunct w:val="0"/>
        <w:rPr>
          <w:sz w:val="22"/>
          <w:lang w:val="de-DE"/>
        </w:rPr>
      </w:pPr>
    </w:p>
    <w:p w14:paraId="3E224A57" w14:textId="77777777" w:rsidR="00FE291A" w:rsidRDefault="00C8738F">
      <w:pPr>
        <w:pStyle w:val="BodyText"/>
        <w:widowControl/>
        <w:kinsoku w:val="0"/>
        <w:overflowPunct w:val="0"/>
        <w:ind w:left="0"/>
        <w:rPr>
          <w:lang w:val="de-DE"/>
        </w:rPr>
      </w:pPr>
      <w:r>
        <w:rPr>
          <w:lang w:val="de-DE"/>
        </w:rPr>
        <w:t>Mit Adalimumab wurden einige Nebenwirkungen beobachtet, die keine Anzeichen haben und nur durch Bluttests erkannt werden können. Dazu gehören:</w:t>
      </w:r>
    </w:p>
    <w:p w14:paraId="448AC7FE" w14:textId="77777777" w:rsidR="00FE291A" w:rsidRDefault="00FE291A">
      <w:pPr>
        <w:widowControl/>
        <w:kinsoku w:val="0"/>
        <w:overflowPunct w:val="0"/>
        <w:rPr>
          <w:sz w:val="22"/>
          <w:szCs w:val="26"/>
          <w:lang w:val="de-DE"/>
        </w:rPr>
      </w:pPr>
    </w:p>
    <w:p w14:paraId="1B2733B1" w14:textId="77777777" w:rsidR="00FE291A" w:rsidRDefault="00C8738F">
      <w:pPr>
        <w:pStyle w:val="BodyText"/>
        <w:widowControl/>
        <w:kinsoku w:val="0"/>
        <w:overflowPunct w:val="0"/>
        <w:ind w:left="0"/>
        <w:rPr>
          <w:lang w:val="de-DE"/>
        </w:rPr>
      </w:pPr>
      <w:r>
        <w:rPr>
          <w:lang w:val="de-DE"/>
        </w:rPr>
        <w:t>Sehr häufig (kann mehr als 1 von 10 Behandelten betreffen):</w:t>
      </w:r>
    </w:p>
    <w:p w14:paraId="49F6CDA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Verringerte Anzahl weißer Blutkörperchen;</w:t>
      </w:r>
    </w:p>
    <w:p w14:paraId="1C3CCDB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Verringerte Anzahl roter Blutkörperchen;</w:t>
      </w:r>
    </w:p>
    <w:p w14:paraId="63ACF95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Erhöhte Blutfettwerte;</w:t>
      </w:r>
    </w:p>
    <w:p w14:paraId="7DE55A5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Erhöhte Werte für Leberenzyme.</w:t>
      </w:r>
    </w:p>
    <w:p w14:paraId="62C875A1" w14:textId="77777777" w:rsidR="00FE291A" w:rsidRDefault="00FE291A">
      <w:pPr>
        <w:widowControl/>
        <w:kinsoku w:val="0"/>
        <w:overflowPunct w:val="0"/>
        <w:rPr>
          <w:sz w:val="22"/>
          <w:szCs w:val="26"/>
          <w:lang w:val="de-DE"/>
        </w:rPr>
      </w:pPr>
    </w:p>
    <w:p w14:paraId="3F558538" w14:textId="77777777" w:rsidR="00FE291A" w:rsidRDefault="00C8738F">
      <w:pPr>
        <w:pStyle w:val="BodyText"/>
        <w:widowControl/>
        <w:kinsoku w:val="0"/>
        <w:overflowPunct w:val="0"/>
        <w:ind w:left="0"/>
        <w:rPr>
          <w:lang w:val="de-DE"/>
        </w:rPr>
      </w:pPr>
      <w:r>
        <w:rPr>
          <w:lang w:val="de-DE"/>
        </w:rPr>
        <w:t>Häufig (kann bis zu 1 von 10 Behandelten betreffen):</w:t>
      </w:r>
    </w:p>
    <w:p w14:paraId="4EE4861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Erhöhte Anzahl weißer Blutkörperchen;</w:t>
      </w:r>
    </w:p>
    <w:p w14:paraId="2FF9FF6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Verringerte Anzahl von Blutplättchen;</w:t>
      </w:r>
    </w:p>
    <w:p w14:paraId="24C79F0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Erhöhte Harnsäurewerte;</w:t>
      </w:r>
    </w:p>
    <w:p w14:paraId="192BD6F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Abnormale Blutwerte für Natrium;</w:t>
      </w:r>
    </w:p>
    <w:p w14:paraId="41E3516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Niedrige Blutwerte für Kalzium;</w:t>
      </w:r>
    </w:p>
    <w:p w14:paraId="48B767D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Niedrige Blutwerte für Phosphat;</w:t>
      </w:r>
    </w:p>
    <w:p w14:paraId="3F17612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Hohe Blutzuckerwerte;</w:t>
      </w:r>
    </w:p>
    <w:p w14:paraId="7EF6B19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Hohe Blutwerte für Lactatdehydrogenase;</w:t>
      </w:r>
    </w:p>
    <w:p w14:paraId="5906DB7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Nachweis von Autoantikörpern im Blut;</w:t>
      </w:r>
    </w:p>
    <w:p w14:paraId="771D813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Hypokaliämie (Kaliummangel im Blut).</w:t>
      </w:r>
    </w:p>
    <w:p w14:paraId="41F4501D" w14:textId="77777777" w:rsidR="00FE291A" w:rsidRDefault="00FE291A">
      <w:pPr>
        <w:widowControl/>
        <w:kinsoku w:val="0"/>
        <w:overflowPunct w:val="0"/>
        <w:rPr>
          <w:sz w:val="22"/>
          <w:szCs w:val="26"/>
          <w:lang w:val="de-DE"/>
        </w:rPr>
      </w:pPr>
    </w:p>
    <w:p w14:paraId="54B236AF" w14:textId="77777777" w:rsidR="00FE291A" w:rsidRDefault="00C8738F">
      <w:pPr>
        <w:keepNext/>
        <w:rPr>
          <w:sz w:val="22"/>
          <w:szCs w:val="22"/>
          <w:lang w:val="de-DE"/>
        </w:rPr>
      </w:pPr>
      <w:r>
        <w:rPr>
          <w:sz w:val="22"/>
          <w:szCs w:val="22"/>
          <w:lang w:val="de-DE"/>
        </w:rPr>
        <w:t>Gelegentlich (kann bis zu 1 von 100 Behandelten betreffen):</w:t>
      </w:r>
    </w:p>
    <w:p w14:paraId="53E8C2B9" w14:textId="77777777" w:rsidR="00FE291A" w:rsidRDefault="00C8738F">
      <w:pPr>
        <w:keepNext/>
        <w:widowControl/>
        <w:numPr>
          <w:ilvl w:val="0"/>
          <w:numId w:val="57"/>
        </w:numPr>
        <w:tabs>
          <w:tab w:val="left" w:pos="567"/>
        </w:tabs>
        <w:autoSpaceDE/>
        <w:autoSpaceDN/>
        <w:adjustRightInd/>
        <w:ind w:hanging="720"/>
        <w:rPr>
          <w:sz w:val="22"/>
          <w:szCs w:val="22"/>
          <w:lang w:val="de-DE"/>
        </w:rPr>
      </w:pPr>
      <w:r>
        <w:rPr>
          <w:sz w:val="22"/>
          <w:szCs w:val="22"/>
          <w:lang w:val="de-DE"/>
        </w:rPr>
        <w:t>Erhöhte Bilirubin-Konzentration im Blut (Leberwerte).</w:t>
      </w:r>
    </w:p>
    <w:p w14:paraId="2383034F" w14:textId="77777777" w:rsidR="00FE291A" w:rsidRDefault="00FE291A">
      <w:pPr>
        <w:widowControl/>
        <w:kinsoku w:val="0"/>
        <w:overflowPunct w:val="0"/>
        <w:rPr>
          <w:sz w:val="22"/>
          <w:szCs w:val="26"/>
          <w:lang w:val="de-DE"/>
        </w:rPr>
      </w:pPr>
    </w:p>
    <w:p w14:paraId="7422A7D7" w14:textId="77777777" w:rsidR="00FE291A" w:rsidRDefault="00C8738F">
      <w:pPr>
        <w:pStyle w:val="BodyText"/>
        <w:keepNext/>
        <w:widowControl/>
        <w:kinsoku w:val="0"/>
        <w:overflowPunct w:val="0"/>
        <w:ind w:left="0"/>
        <w:rPr>
          <w:lang w:val="de-DE"/>
        </w:rPr>
      </w:pPr>
      <w:r>
        <w:rPr>
          <w:lang w:val="de-DE"/>
        </w:rPr>
        <w:t>Selten (kann bis zu 1 von 1 000 Behandelten betreffen):</w:t>
      </w:r>
    </w:p>
    <w:p w14:paraId="708DE182" w14:textId="77777777" w:rsidR="00FE291A" w:rsidRDefault="00C8738F">
      <w:pPr>
        <w:pStyle w:val="BodyText"/>
        <w:keepNext/>
        <w:widowControl/>
        <w:numPr>
          <w:ilvl w:val="0"/>
          <w:numId w:val="56"/>
        </w:numPr>
        <w:tabs>
          <w:tab w:val="left" w:pos="567"/>
        </w:tabs>
        <w:kinsoku w:val="0"/>
        <w:overflowPunct w:val="0"/>
        <w:ind w:left="0" w:firstLine="0"/>
        <w:rPr>
          <w:lang w:val="de-DE"/>
        </w:rPr>
      </w:pPr>
      <w:r>
        <w:rPr>
          <w:lang w:val="de-DE"/>
        </w:rPr>
        <w:t xml:space="preserve">Verringerte Anzahl von weißen und roten Blutkörperchen sowie von Blutplättchen. </w:t>
      </w:r>
    </w:p>
    <w:p w14:paraId="0E11228E" w14:textId="77777777" w:rsidR="00FE291A" w:rsidRDefault="00FE291A">
      <w:pPr>
        <w:pStyle w:val="BodyText"/>
        <w:widowControl/>
        <w:tabs>
          <w:tab w:val="left" w:pos="690"/>
        </w:tabs>
        <w:kinsoku w:val="0"/>
        <w:overflowPunct w:val="0"/>
        <w:ind w:left="0"/>
        <w:rPr>
          <w:lang w:val="de-DE"/>
        </w:rPr>
      </w:pPr>
    </w:p>
    <w:p w14:paraId="42674B79" w14:textId="77777777" w:rsidR="00FE291A" w:rsidRDefault="00C8738F">
      <w:pPr>
        <w:pStyle w:val="Heading1"/>
        <w:widowControl/>
        <w:kinsoku w:val="0"/>
        <w:overflowPunct w:val="0"/>
        <w:ind w:left="0"/>
        <w:rPr>
          <w:b w:val="0"/>
          <w:bCs w:val="0"/>
          <w:lang w:val="de-DE"/>
        </w:rPr>
      </w:pPr>
      <w:r>
        <w:rPr>
          <w:lang w:val="de-DE"/>
        </w:rPr>
        <w:t>Meldung von Nebenwirkungen</w:t>
      </w:r>
    </w:p>
    <w:p w14:paraId="0FC7290B" w14:textId="77777777" w:rsidR="00FE291A" w:rsidRDefault="00FE291A">
      <w:pPr>
        <w:widowControl/>
        <w:kinsoku w:val="0"/>
        <w:overflowPunct w:val="0"/>
        <w:rPr>
          <w:sz w:val="22"/>
          <w:szCs w:val="22"/>
          <w:lang w:val="de-DE"/>
        </w:rPr>
      </w:pPr>
    </w:p>
    <w:p w14:paraId="667E346E" w14:textId="77777777" w:rsidR="00FE291A" w:rsidRDefault="00C8738F">
      <w:pPr>
        <w:pStyle w:val="BodyText"/>
        <w:widowControl/>
        <w:kinsoku w:val="0"/>
        <w:overflowPunct w:val="0"/>
        <w:ind w:left="0"/>
        <w:rPr>
          <w:color w:val="000000"/>
          <w:lang w:val="de-DE"/>
        </w:rPr>
      </w:pPr>
      <w:r>
        <w:rPr>
          <w:lang w:val="de-DE"/>
        </w:rPr>
        <w:t xml:space="preserve">Wenn Sie Nebenwirkungen bemerken, wenden Sie sich an Ihren Arzt oder Apotheker. Dies gilt auch für Nebenwirkungen, die nicht in dieser Packungsbeilage angegeben sind. Sie können Nebenwirkungen auch direkt über </w:t>
      </w:r>
      <w:r>
        <w:rPr>
          <w:highlight w:val="lightGray"/>
          <w:lang w:val="de-DE"/>
        </w:rPr>
        <w:t xml:space="preserve">das in </w:t>
      </w:r>
      <w:r>
        <w:fldChar w:fldCharType="begin"/>
      </w:r>
      <w:r w:rsidRPr="00F076DE">
        <w:rPr>
          <w:lang w:val="de-DE"/>
          <w:rPrChange w:id="136" w:author="Author">
            <w:rPr/>
          </w:rPrChange>
        </w:rPr>
        <w:instrText>HYPERLINK "https://www.ema.europa.eu/en/documents/template-form/qrd-appendix-v-adverse-drug-reaction-reporting-details_en.docx" \h</w:instrText>
      </w:r>
      <w:r>
        <w:fldChar w:fldCharType="separate"/>
      </w:r>
      <w:r>
        <w:rPr>
          <w:rStyle w:val="Hyperlink"/>
          <w:rFonts w:eastAsia="Times New Roman"/>
          <w:color w:val="0000FF"/>
          <w:szCs w:val="20"/>
          <w:highlight w:val="lightGray"/>
          <w:lang w:val="de-DE" w:eastAsia="de-DE" w:bidi="de-DE"/>
        </w:rPr>
        <w:t>Anhang V</w:t>
      </w:r>
      <w:r>
        <w:fldChar w:fldCharType="end"/>
      </w:r>
      <w:r>
        <w:rPr>
          <w:rStyle w:val="Hyperlink"/>
          <w:color w:val="auto"/>
          <w:highlight w:val="lightGray"/>
          <w:u w:val="none"/>
          <w:lang w:val="de-DE"/>
        </w:rPr>
        <w:t xml:space="preserve"> </w:t>
      </w:r>
      <w:r>
        <w:rPr>
          <w:color w:val="000000"/>
          <w:highlight w:val="lightGray"/>
          <w:lang w:val="de-DE"/>
        </w:rPr>
        <w:t>aufgeführte nationale Meldesystem</w:t>
      </w:r>
      <w:r>
        <w:rPr>
          <w:color w:val="000000"/>
          <w:lang w:val="de-DE"/>
        </w:rPr>
        <w:t xml:space="preserve"> anzeigen. Indem Sie Nebenwirkungen melden, können Sie dazu beitragen, dass mehr Informationen über die Sicherheit dieses Arzneimittels zur Verfügung gestellt werden.</w:t>
      </w:r>
    </w:p>
    <w:p w14:paraId="12AE4AF6" w14:textId="77777777" w:rsidR="00FE291A" w:rsidRDefault="00FE291A">
      <w:pPr>
        <w:widowControl/>
        <w:kinsoku w:val="0"/>
        <w:overflowPunct w:val="0"/>
        <w:rPr>
          <w:sz w:val="22"/>
          <w:szCs w:val="22"/>
          <w:lang w:val="de-DE"/>
        </w:rPr>
      </w:pPr>
    </w:p>
    <w:p w14:paraId="437E8187" w14:textId="77777777" w:rsidR="00FE291A" w:rsidRDefault="00FE291A">
      <w:pPr>
        <w:widowControl/>
        <w:kinsoku w:val="0"/>
        <w:overflowPunct w:val="0"/>
        <w:rPr>
          <w:sz w:val="22"/>
          <w:szCs w:val="22"/>
          <w:lang w:val="de-DE"/>
        </w:rPr>
      </w:pPr>
    </w:p>
    <w:p w14:paraId="673C00CA" w14:textId="77777777" w:rsidR="00FE291A" w:rsidRDefault="00C8738F">
      <w:pPr>
        <w:pStyle w:val="Heading1"/>
        <w:keepNext/>
        <w:widowControl/>
        <w:tabs>
          <w:tab w:val="left" w:pos="567"/>
        </w:tabs>
        <w:kinsoku w:val="0"/>
        <w:overflowPunct w:val="0"/>
        <w:ind w:left="0"/>
        <w:rPr>
          <w:b w:val="0"/>
          <w:bCs w:val="0"/>
          <w:lang w:val="de-DE"/>
        </w:rPr>
      </w:pPr>
      <w:r>
        <w:rPr>
          <w:lang w:val="de-DE"/>
        </w:rPr>
        <w:t>5.</w:t>
      </w:r>
      <w:r>
        <w:rPr>
          <w:lang w:val="de-DE"/>
        </w:rPr>
        <w:tab/>
        <w:t>Wie ist AMGEVITA aufzubewahren?</w:t>
      </w:r>
    </w:p>
    <w:p w14:paraId="03F7430B" w14:textId="77777777" w:rsidR="00FE291A" w:rsidRDefault="00FE291A">
      <w:pPr>
        <w:keepNext/>
        <w:widowControl/>
        <w:kinsoku w:val="0"/>
        <w:overflowPunct w:val="0"/>
        <w:rPr>
          <w:sz w:val="22"/>
          <w:szCs w:val="22"/>
          <w:lang w:val="de-DE"/>
        </w:rPr>
      </w:pPr>
    </w:p>
    <w:p w14:paraId="3FD3A190" w14:textId="77777777" w:rsidR="00FE291A" w:rsidRDefault="00C8738F">
      <w:pPr>
        <w:pStyle w:val="BodyText"/>
        <w:widowControl/>
        <w:kinsoku w:val="0"/>
        <w:overflowPunct w:val="0"/>
        <w:ind w:left="0"/>
        <w:rPr>
          <w:lang w:val="de-DE"/>
        </w:rPr>
      </w:pPr>
      <w:r>
        <w:rPr>
          <w:lang w:val="de-DE"/>
        </w:rPr>
        <w:t>Für Kinder unzugänglich aufbewahren.</w:t>
      </w:r>
    </w:p>
    <w:p w14:paraId="34E9DD5E" w14:textId="77777777" w:rsidR="00FE291A" w:rsidRDefault="00FE291A">
      <w:pPr>
        <w:widowControl/>
        <w:kinsoku w:val="0"/>
        <w:overflowPunct w:val="0"/>
        <w:rPr>
          <w:sz w:val="22"/>
          <w:szCs w:val="22"/>
          <w:lang w:val="de-DE"/>
        </w:rPr>
      </w:pPr>
    </w:p>
    <w:p w14:paraId="0ADE20A4" w14:textId="77777777" w:rsidR="00FE291A" w:rsidRDefault="00C8738F">
      <w:pPr>
        <w:pStyle w:val="BodyText"/>
        <w:widowControl/>
        <w:kinsoku w:val="0"/>
        <w:overflowPunct w:val="0"/>
        <w:ind w:left="0"/>
        <w:rPr>
          <w:lang w:val="de-DE"/>
        </w:rPr>
      </w:pPr>
      <w:r>
        <w:rPr>
          <w:lang w:val="de-DE"/>
        </w:rPr>
        <w:t>Sie dürfen dieses Arzneimittel nach dem auf dem Etikett und Umkarton nach „EXP“ bzw. „verwendbar bis“ angegebenen Verfalldatum nicht mehr verwenden. Das Verfalldatum bezieht sich auf den letzten Tag des angegebenen Monats.</w:t>
      </w:r>
    </w:p>
    <w:p w14:paraId="0696DD9E" w14:textId="77777777" w:rsidR="00FE291A" w:rsidRDefault="00FE291A">
      <w:pPr>
        <w:widowControl/>
        <w:kinsoku w:val="0"/>
        <w:overflowPunct w:val="0"/>
        <w:rPr>
          <w:sz w:val="22"/>
          <w:szCs w:val="22"/>
          <w:lang w:val="de-DE"/>
        </w:rPr>
      </w:pPr>
    </w:p>
    <w:p w14:paraId="64C0A60D" w14:textId="77777777" w:rsidR="00FE291A" w:rsidRDefault="00C8738F">
      <w:pPr>
        <w:pStyle w:val="BodyText"/>
        <w:widowControl/>
        <w:kinsoku w:val="0"/>
        <w:overflowPunct w:val="0"/>
        <w:ind w:left="0"/>
        <w:rPr>
          <w:lang w:val="de-DE"/>
        </w:rPr>
      </w:pPr>
      <w:r>
        <w:rPr>
          <w:lang w:val="de-DE"/>
        </w:rPr>
        <w:t>Im Kühlschrank lagern (2 °C – 8 °C). Nicht einfrieren.</w:t>
      </w:r>
    </w:p>
    <w:p w14:paraId="4DAF2EA4" w14:textId="77777777" w:rsidR="00FE291A" w:rsidRDefault="00FE291A">
      <w:pPr>
        <w:pStyle w:val="BodyText"/>
        <w:widowControl/>
        <w:kinsoku w:val="0"/>
        <w:overflowPunct w:val="0"/>
        <w:ind w:left="0"/>
        <w:rPr>
          <w:lang w:val="de-DE"/>
        </w:rPr>
      </w:pPr>
    </w:p>
    <w:p w14:paraId="549D3553" w14:textId="77777777" w:rsidR="00FE291A" w:rsidRDefault="00C8738F">
      <w:pPr>
        <w:pStyle w:val="BodyText"/>
        <w:widowControl/>
        <w:kinsoku w:val="0"/>
        <w:overflowPunct w:val="0"/>
        <w:ind w:left="0"/>
        <w:rPr>
          <w:lang w:val="de-DE"/>
        </w:rPr>
      </w:pPr>
      <w:r>
        <w:rPr>
          <w:lang w:val="de-DE"/>
        </w:rPr>
        <w:t xml:space="preserve">In der Originalverpackung aufbewahren, um den Inhalt vor Licht zu schützen. </w:t>
      </w:r>
    </w:p>
    <w:p w14:paraId="2E1392A3" w14:textId="77777777" w:rsidR="00FE291A" w:rsidRDefault="00FE291A">
      <w:pPr>
        <w:pStyle w:val="BodyText"/>
        <w:widowControl/>
        <w:kinsoku w:val="0"/>
        <w:overflowPunct w:val="0"/>
        <w:ind w:left="0"/>
        <w:rPr>
          <w:lang w:val="de-DE"/>
        </w:rPr>
      </w:pPr>
    </w:p>
    <w:p w14:paraId="3FED36C1" w14:textId="77777777" w:rsidR="00FE291A" w:rsidRDefault="00C8738F">
      <w:pPr>
        <w:pStyle w:val="BodyText"/>
        <w:widowControl/>
        <w:kinsoku w:val="0"/>
        <w:overflowPunct w:val="0"/>
        <w:ind w:left="0"/>
        <w:rPr>
          <w:lang w:val="de-DE"/>
        </w:rPr>
      </w:pPr>
      <w:r>
        <w:rPr>
          <w:lang w:val="de-DE"/>
        </w:rPr>
        <w:t>Ein einzelner AMGEVITA-Fertigpen kann für einen Zeitraum von bis zu 14 Tagen bei Temperaturen bis zu 25 °C aufbewahrt werden. Der Fertigpen muss vor Licht geschützt aufbewahrt und weggeworfen werden, wenn er nicht innerhalb des Zeitraums von 14 Tagen verbraucht wurde.</w:t>
      </w:r>
    </w:p>
    <w:p w14:paraId="0A5A6528" w14:textId="77777777" w:rsidR="00FE291A" w:rsidRDefault="00FE291A">
      <w:pPr>
        <w:pStyle w:val="BodyText"/>
        <w:widowControl/>
        <w:kinsoku w:val="0"/>
        <w:overflowPunct w:val="0"/>
        <w:ind w:left="0"/>
        <w:rPr>
          <w:lang w:val="de-DE"/>
        </w:rPr>
      </w:pPr>
    </w:p>
    <w:p w14:paraId="48E7573E" w14:textId="77777777" w:rsidR="00FE291A" w:rsidRDefault="00C8738F">
      <w:pPr>
        <w:pStyle w:val="BodyText"/>
        <w:widowControl/>
        <w:kinsoku w:val="0"/>
        <w:overflowPunct w:val="0"/>
        <w:ind w:left="0"/>
        <w:rPr>
          <w:lang w:val="de-DE"/>
        </w:rPr>
      </w:pPr>
      <w:r>
        <w:rPr>
          <w:lang w:val="de-DE"/>
        </w:rPr>
        <w:t>Entsorgen Sie Arzneimittel nicht im Abwasser oder Haushaltsabfall. Fragen Sie Ihren Apotheker, wie das Arzneimittel zu entsorgen ist, wenn Sie es nicht mehr verwenden. Sie tragen damit zum Schutz der Umwelt bei.</w:t>
      </w:r>
    </w:p>
    <w:p w14:paraId="6E0AC9B3" w14:textId="77777777" w:rsidR="00FE291A" w:rsidRDefault="00FE291A">
      <w:pPr>
        <w:widowControl/>
        <w:kinsoku w:val="0"/>
        <w:overflowPunct w:val="0"/>
        <w:rPr>
          <w:sz w:val="22"/>
          <w:szCs w:val="22"/>
          <w:lang w:val="de-DE"/>
        </w:rPr>
      </w:pPr>
    </w:p>
    <w:p w14:paraId="2EE8D29D" w14:textId="77777777" w:rsidR="00FE291A" w:rsidRDefault="00FE291A">
      <w:pPr>
        <w:widowControl/>
        <w:kinsoku w:val="0"/>
        <w:overflowPunct w:val="0"/>
        <w:rPr>
          <w:sz w:val="22"/>
          <w:szCs w:val="22"/>
          <w:lang w:val="de-DE"/>
        </w:rPr>
      </w:pPr>
    </w:p>
    <w:p w14:paraId="34E48ACE" w14:textId="77777777" w:rsidR="00FE291A" w:rsidRDefault="00C8738F">
      <w:pPr>
        <w:pStyle w:val="Heading1"/>
        <w:keepNext/>
        <w:widowControl/>
        <w:tabs>
          <w:tab w:val="left" w:pos="567"/>
        </w:tabs>
        <w:kinsoku w:val="0"/>
        <w:overflowPunct w:val="0"/>
        <w:ind w:left="0"/>
        <w:rPr>
          <w:b w:val="0"/>
          <w:bCs w:val="0"/>
          <w:lang w:val="de-DE"/>
        </w:rPr>
      </w:pPr>
      <w:r>
        <w:rPr>
          <w:lang w:val="de-DE"/>
        </w:rPr>
        <w:t>6.</w:t>
      </w:r>
      <w:r>
        <w:rPr>
          <w:lang w:val="de-DE"/>
        </w:rPr>
        <w:tab/>
        <w:t xml:space="preserve">Inhalt der Packung und weitere Informationen </w:t>
      </w:r>
    </w:p>
    <w:p w14:paraId="3EADDC66" w14:textId="77777777" w:rsidR="00FE291A" w:rsidRDefault="00FE291A">
      <w:pPr>
        <w:pStyle w:val="Heading1"/>
        <w:keepNext/>
        <w:widowControl/>
        <w:tabs>
          <w:tab w:val="left" w:pos="684"/>
        </w:tabs>
        <w:kinsoku w:val="0"/>
        <w:overflowPunct w:val="0"/>
        <w:ind w:left="0"/>
        <w:rPr>
          <w:b w:val="0"/>
          <w:bCs w:val="0"/>
          <w:lang w:val="de-DE"/>
        </w:rPr>
      </w:pPr>
    </w:p>
    <w:p w14:paraId="2EED0D8C" w14:textId="77777777" w:rsidR="00FE291A" w:rsidRDefault="00C8738F">
      <w:pPr>
        <w:pStyle w:val="Heading1"/>
        <w:keepNext/>
        <w:widowControl/>
        <w:tabs>
          <w:tab w:val="left" w:pos="684"/>
        </w:tabs>
        <w:kinsoku w:val="0"/>
        <w:overflowPunct w:val="0"/>
        <w:ind w:left="0"/>
        <w:rPr>
          <w:b w:val="0"/>
          <w:bCs w:val="0"/>
          <w:lang w:val="de-DE"/>
        </w:rPr>
      </w:pPr>
      <w:r>
        <w:rPr>
          <w:lang w:val="de-DE"/>
        </w:rPr>
        <w:t>Was AMGEVITA enthält</w:t>
      </w:r>
    </w:p>
    <w:p w14:paraId="572D7B31" w14:textId="77777777" w:rsidR="00FE291A" w:rsidRDefault="00C8738F">
      <w:pPr>
        <w:pStyle w:val="BodyText"/>
        <w:widowControl/>
        <w:numPr>
          <w:ilvl w:val="0"/>
          <w:numId w:val="58"/>
        </w:numPr>
        <w:kinsoku w:val="0"/>
        <w:overflowPunct w:val="0"/>
        <w:ind w:left="567"/>
        <w:rPr>
          <w:lang w:val="de-DE"/>
        </w:rPr>
      </w:pPr>
      <w:r>
        <w:rPr>
          <w:lang w:val="de-DE"/>
        </w:rPr>
        <w:t>Der Wirkstoff ist: Adalimumab. Jeder Fertigpen enthält 40 mg Adalimumab in 0,8 ml Lösung.</w:t>
      </w:r>
    </w:p>
    <w:p w14:paraId="06DBDDA6" w14:textId="77777777" w:rsidR="00FE291A" w:rsidRDefault="00C8738F">
      <w:pPr>
        <w:pStyle w:val="BodyText"/>
        <w:widowControl/>
        <w:numPr>
          <w:ilvl w:val="0"/>
          <w:numId w:val="58"/>
        </w:numPr>
        <w:kinsoku w:val="0"/>
        <w:overflowPunct w:val="0"/>
        <w:ind w:left="567"/>
        <w:rPr>
          <w:lang w:val="de-DE"/>
        </w:rPr>
      </w:pPr>
      <w:r>
        <w:rPr>
          <w:lang w:val="de-DE"/>
        </w:rPr>
        <w:t>Die sonstigen Bestandteile sind: Essigsäure 99 %, Saccharose, Polysorbat 80, Natriumhydroxid und Wasser für Injektionszwecke.</w:t>
      </w:r>
    </w:p>
    <w:p w14:paraId="3BD2CA6C" w14:textId="77777777" w:rsidR="00FE291A" w:rsidRDefault="00FE291A">
      <w:pPr>
        <w:widowControl/>
        <w:kinsoku w:val="0"/>
        <w:overflowPunct w:val="0"/>
        <w:rPr>
          <w:sz w:val="22"/>
          <w:szCs w:val="22"/>
          <w:lang w:val="de-DE"/>
        </w:rPr>
      </w:pPr>
    </w:p>
    <w:p w14:paraId="20AC7604" w14:textId="77777777" w:rsidR="00FE291A" w:rsidRDefault="00C8738F">
      <w:pPr>
        <w:pStyle w:val="Heading1"/>
        <w:widowControl/>
        <w:kinsoku w:val="0"/>
        <w:overflowPunct w:val="0"/>
        <w:ind w:left="0"/>
        <w:rPr>
          <w:b w:val="0"/>
          <w:bCs w:val="0"/>
          <w:lang w:val="de-DE"/>
        </w:rPr>
      </w:pPr>
      <w:r>
        <w:rPr>
          <w:lang w:val="de-DE"/>
        </w:rPr>
        <w:t>Wie AMGEVITA aussieht und Inhalt der Packung</w:t>
      </w:r>
    </w:p>
    <w:p w14:paraId="133836B2" w14:textId="77777777" w:rsidR="00FE291A" w:rsidRDefault="00FE291A">
      <w:pPr>
        <w:widowControl/>
        <w:kinsoku w:val="0"/>
        <w:overflowPunct w:val="0"/>
        <w:rPr>
          <w:sz w:val="22"/>
          <w:szCs w:val="22"/>
          <w:lang w:val="de-DE"/>
        </w:rPr>
      </w:pPr>
    </w:p>
    <w:p w14:paraId="6E9709D3" w14:textId="77777777" w:rsidR="00FE291A" w:rsidRDefault="00C8738F">
      <w:pPr>
        <w:pStyle w:val="BodyText"/>
        <w:widowControl/>
        <w:kinsoku w:val="0"/>
        <w:overflowPunct w:val="0"/>
        <w:ind w:left="0"/>
        <w:rPr>
          <w:lang w:val="de-DE"/>
        </w:rPr>
      </w:pPr>
      <w:r>
        <w:rPr>
          <w:lang w:val="de-DE"/>
        </w:rPr>
        <w:t>AMGEVITA ist eine klare und farblose bis leicht gelbliche Lösung.</w:t>
      </w:r>
    </w:p>
    <w:p w14:paraId="3360E894" w14:textId="77777777" w:rsidR="00FE291A" w:rsidRDefault="00FE291A">
      <w:pPr>
        <w:pStyle w:val="BodyText"/>
        <w:widowControl/>
        <w:kinsoku w:val="0"/>
        <w:overflowPunct w:val="0"/>
        <w:ind w:left="0"/>
        <w:rPr>
          <w:lang w:val="de-DE"/>
        </w:rPr>
      </w:pPr>
    </w:p>
    <w:p w14:paraId="27C7323C" w14:textId="77777777" w:rsidR="00FE291A" w:rsidRDefault="00C8738F">
      <w:pPr>
        <w:pStyle w:val="BodyText"/>
        <w:widowControl/>
        <w:kinsoku w:val="0"/>
        <w:overflowPunct w:val="0"/>
        <w:ind w:left="0"/>
        <w:rPr>
          <w:lang w:val="de-DE"/>
        </w:rPr>
      </w:pPr>
      <w:r>
        <w:rPr>
          <w:lang w:val="de-DE"/>
        </w:rPr>
        <w:t>Jede Packung enthält einen, zwei, vier oder sechs SureClick Fertigpen(s) zum Einmalgebrauch.</w:t>
      </w:r>
    </w:p>
    <w:p w14:paraId="1FDEF1AE" w14:textId="77777777" w:rsidR="00FE291A" w:rsidRDefault="00FE291A">
      <w:pPr>
        <w:pStyle w:val="BodyText"/>
        <w:widowControl/>
        <w:kinsoku w:val="0"/>
        <w:overflowPunct w:val="0"/>
        <w:ind w:left="0"/>
        <w:rPr>
          <w:lang w:val="de-DE"/>
        </w:rPr>
      </w:pPr>
    </w:p>
    <w:p w14:paraId="46EA576F" w14:textId="77777777" w:rsidR="00FE291A" w:rsidRDefault="00C8738F">
      <w:pPr>
        <w:pStyle w:val="BodyText"/>
        <w:keepNext/>
        <w:widowControl/>
        <w:kinsoku w:val="0"/>
        <w:overflowPunct w:val="0"/>
        <w:ind w:left="0"/>
        <w:rPr>
          <w:lang w:val="de-DE"/>
        </w:rPr>
      </w:pPr>
      <w:r>
        <w:rPr>
          <w:b/>
          <w:bCs/>
          <w:lang w:val="de-DE"/>
        </w:rPr>
        <w:t>Pharmazeutischer Unternehmer und Hersteller</w:t>
      </w:r>
    </w:p>
    <w:p w14:paraId="27291225" w14:textId="77777777" w:rsidR="00FE291A" w:rsidRDefault="00C8738F">
      <w:pPr>
        <w:pStyle w:val="lbltxt"/>
        <w:keepNext/>
        <w:rPr>
          <w:lang w:val="de-DE"/>
        </w:rPr>
      </w:pPr>
      <w:r>
        <w:rPr>
          <w:lang w:val="de-DE"/>
        </w:rPr>
        <w:t xml:space="preserve">Amgen Europe B.V. </w:t>
      </w:r>
      <w:r>
        <w:rPr>
          <w:lang w:val="de-DE"/>
        </w:rPr>
        <w:br/>
        <w:t xml:space="preserve">Minervum 7061 </w:t>
      </w:r>
      <w:r>
        <w:rPr>
          <w:lang w:val="de-DE"/>
        </w:rPr>
        <w:br/>
        <w:t xml:space="preserve">4817 ZK Breda </w:t>
      </w:r>
      <w:r>
        <w:rPr>
          <w:lang w:val="de-DE"/>
        </w:rPr>
        <w:br/>
        <w:t>Niederlande</w:t>
      </w:r>
    </w:p>
    <w:p w14:paraId="6DA9E098" w14:textId="77777777" w:rsidR="00FE291A" w:rsidRDefault="00FE291A">
      <w:pPr>
        <w:widowControl/>
        <w:kinsoku w:val="0"/>
        <w:overflowPunct w:val="0"/>
        <w:rPr>
          <w:sz w:val="22"/>
          <w:lang w:val="de-DE"/>
        </w:rPr>
      </w:pPr>
    </w:p>
    <w:p w14:paraId="291A082D" w14:textId="77777777" w:rsidR="00FE291A" w:rsidRDefault="00C8738F">
      <w:pPr>
        <w:pStyle w:val="BodyText"/>
        <w:widowControl/>
        <w:kinsoku w:val="0"/>
        <w:overflowPunct w:val="0"/>
        <w:ind w:left="0"/>
        <w:rPr>
          <w:b/>
          <w:bCs/>
          <w:highlight w:val="lightGray"/>
          <w:lang w:val="de-DE"/>
        </w:rPr>
      </w:pPr>
      <w:r>
        <w:rPr>
          <w:b/>
          <w:bCs/>
          <w:highlight w:val="lightGray"/>
          <w:lang w:val="de-DE"/>
        </w:rPr>
        <w:t>Pharmazeutischer Unternehmer</w:t>
      </w:r>
    </w:p>
    <w:p w14:paraId="66B881FC" w14:textId="77777777" w:rsidR="00FE291A" w:rsidRDefault="00C8738F">
      <w:pPr>
        <w:pStyle w:val="lbltxt"/>
        <w:rPr>
          <w:highlight w:val="lightGray"/>
          <w:lang w:val="de-DE"/>
        </w:rPr>
      </w:pPr>
      <w:r>
        <w:rPr>
          <w:highlight w:val="lightGray"/>
          <w:lang w:val="de-DE"/>
        </w:rPr>
        <w:t xml:space="preserve">Amgen Europe B.V. </w:t>
      </w:r>
      <w:r>
        <w:rPr>
          <w:highlight w:val="lightGray"/>
          <w:lang w:val="de-DE"/>
        </w:rPr>
        <w:br/>
        <w:t xml:space="preserve">Minervum 7061 </w:t>
      </w:r>
      <w:r>
        <w:rPr>
          <w:highlight w:val="lightGray"/>
          <w:lang w:val="de-DE"/>
        </w:rPr>
        <w:br/>
        <w:t xml:space="preserve">4817 ZK Breda </w:t>
      </w:r>
      <w:r>
        <w:rPr>
          <w:highlight w:val="lightGray"/>
          <w:lang w:val="de-DE"/>
        </w:rPr>
        <w:br/>
        <w:t>Niederlande</w:t>
      </w:r>
    </w:p>
    <w:p w14:paraId="4F5F8001" w14:textId="77777777" w:rsidR="00FE291A" w:rsidRDefault="00FE291A">
      <w:pPr>
        <w:pStyle w:val="BodyText"/>
        <w:widowControl/>
        <w:kinsoku w:val="0"/>
        <w:overflowPunct w:val="0"/>
        <w:ind w:left="0"/>
        <w:rPr>
          <w:bCs/>
          <w:highlight w:val="lightGray"/>
          <w:lang w:val="de-DE"/>
        </w:rPr>
      </w:pPr>
    </w:p>
    <w:p w14:paraId="1DBE8FF1" w14:textId="77777777" w:rsidR="00FE291A" w:rsidRDefault="00C8738F">
      <w:pPr>
        <w:pStyle w:val="BodyText"/>
        <w:widowControl/>
        <w:kinsoku w:val="0"/>
        <w:overflowPunct w:val="0"/>
        <w:ind w:left="0"/>
        <w:rPr>
          <w:highlight w:val="lightGray"/>
          <w:lang w:val="en-US"/>
        </w:rPr>
      </w:pPr>
      <w:r>
        <w:rPr>
          <w:b/>
          <w:bCs/>
          <w:highlight w:val="lightGray"/>
          <w:lang w:val="en-US"/>
        </w:rPr>
        <w:t>Hersteller</w:t>
      </w:r>
    </w:p>
    <w:p w14:paraId="32A4C168" w14:textId="77777777" w:rsidR="00FE291A" w:rsidRDefault="00C8738F">
      <w:pPr>
        <w:pStyle w:val="lbltxt"/>
        <w:rPr>
          <w:highlight w:val="lightGray"/>
          <w:lang w:val="en-US"/>
        </w:rPr>
      </w:pPr>
      <w:r>
        <w:rPr>
          <w:highlight w:val="lightGray"/>
          <w:lang w:val="en-US"/>
        </w:rPr>
        <w:t xml:space="preserve">Amgen Technology Ireland UC </w:t>
      </w:r>
    </w:p>
    <w:p w14:paraId="759C76BD" w14:textId="77777777" w:rsidR="00FE291A" w:rsidRDefault="00C8738F">
      <w:pPr>
        <w:pStyle w:val="lbltxt"/>
        <w:rPr>
          <w:highlight w:val="lightGray"/>
          <w:lang w:val="en-US"/>
        </w:rPr>
      </w:pPr>
      <w:r>
        <w:rPr>
          <w:highlight w:val="lightGray"/>
          <w:lang w:val="en-US"/>
        </w:rPr>
        <w:t>Pottery Road</w:t>
      </w:r>
    </w:p>
    <w:p w14:paraId="0E842733" w14:textId="77777777" w:rsidR="00FE291A" w:rsidRDefault="00C8738F">
      <w:pPr>
        <w:pStyle w:val="lbltxt"/>
        <w:rPr>
          <w:highlight w:val="lightGray"/>
          <w:lang w:val="en-US"/>
        </w:rPr>
      </w:pPr>
      <w:r>
        <w:rPr>
          <w:highlight w:val="lightGray"/>
          <w:lang w:val="en-US"/>
        </w:rPr>
        <w:t>Dun Laoghaire</w:t>
      </w:r>
    </w:p>
    <w:p w14:paraId="7EE090C9" w14:textId="77777777" w:rsidR="00FE291A" w:rsidRDefault="00C8738F">
      <w:pPr>
        <w:pStyle w:val="lbltxt"/>
        <w:rPr>
          <w:highlight w:val="lightGray"/>
          <w:lang w:val="en-US"/>
        </w:rPr>
      </w:pPr>
      <w:r>
        <w:rPr>
          <w:highlight w:val="lightGray"/>
          <w:lang w:val="en-US"/>
        </w:rPr>
        <w:t>Co Dublin</w:t>
      </w:r>
    </w:p>
    <w:p w14:paraId="081F773E" w14:textId="77777777" w:rsidR="00FE291A" w:rsidRDefault="00C8738F">
      <w:pPr>
        <w:pStyle w:val="lbltxt"/>
        <w:rPr>
          <w:lang w:val="de-DE"/>
        </w:rPr>
      </w:pPr>
      <w:r>
        <w:rPr>
          <w:highlight w:val="lightGray"/>
          <w:lang w:val="de-DE"/>
        </w:rPr>
        <w:t>Irland</w:t>
      </w:r>
    </w:p>
    <w:p w14:paraId="3A2E41B1" w14:textId="77777777" w:rsidR="00FE291A" w:rsidRDefault="00FE291A">
      <w:pPr>
        <w:widowControl/>
        <w:kinsoku w:val="0"/>
        <w:overflowPunct w:val="0"/>
        <w:rPr>
          <w:sz w:val="22"/>
          <w:szCs w:val="22"/>
          <w:lang w:val="de-DE"/>
        </w:rPr>
      </w:pPr>
    </w:p>
    <w:p w14:paraId="1B9AF7AC" w14:textId="77777777" w:rsidR="00FE291A" w:rsidRDefault="00C8738F">
      <w:pPr>
        <w:pStyle w:val="BodyText"/>
        <w:widowControl/>
        <w:kinsoku w:val="0"/>
        <w:overflowPunct w:val="0"/>
        <w:ind w:left="0"/>
        <w:rPr>
          <w:highlight w:val="lightGray"/>
          <w:lang w:val="de-DE"/>
        </w:rPr>
      </w:pPr>
      <w:r>
        <w:rPr>
          <w:b/>
          <w:bCs/>
          <w:highlight w:val="lightGray"/>
          <w:lang w:val="de-DE"/>
        </w:rPr>
        <w:t>Hersteller</w:t>
      </w:r>
    </w:p>
    <w:p w14:paraId="231C4931" w14:textId="77777777" w:rsidR="00FE291A" w:rsidRDefault="00C8738F">
      <w:pPr>
        <w:rPr>
          <w:sz w:val="22"/>
          <w:szCs w:val="22"/>
          <w:highlight w:val="lightGray"/>
          <w:lang w:val="de-DE" w:eastAsia="ja-JP"/>
        </w:rPr>
      </w:pPr>
      <w:r>
        <w:rPr>
          <w:sz w:val="22"/>
          <w:szCs w:val="22"/>
          <w:highlight w:val="lightGray"/>
          <w:lang w:val="de-DE" w:eastAsia="ja-JP"/>
        </w:rPr>
        <w:t>Amgen NV</w:t>
      </w:r>
    </w:p>
    <w:p w14:paraId="0F30B020" w14:textId="77777777" w:rsidR="00FE291A" w:rsidRDefault="00C8738F">
      <w:pPr>
        <w:rPr>
          <w:sz w:val="22"/>
          <w:szCs w:val="22"/>
          <w:highlight w:val="lightGray"/>
          <w:lang w:val="de-DE" w:eastAsia="ja-JP"/>
        </w:rPr>
      </w:pPr>
      <w:r>
        <w:rPr>
          <w:sz w:val="22"/>
          <w:szCs w:val="22"/>
          <w:highlight w:val="lightGray"/>
          <w:lang w:val="de-DE" w:eastAsia="ja-JP"/>
        </w:rPr>
        <w:t>Telecomlaan 5-7</w:t>
      </w:r>
    </w:p>
    <w:p w14:paraId="59E16E80" w14:textId="77777777" w:rsidR="00FE291A" w:rsidRDefault="00C8738F">
      <w:pPr>
        <w:rPr>
          <w:sz w:val="22"/>
          <w:szCs w:val="22"/>
          <w:highlight w:val="lightGray"/>
          <w:lang w:val="de-DE" w:eastAsia="ja-JP"/>
        </w:rPr>
      </w:pPr>
      <w:r>
        <w:rPr>
          <w:sz w:val="22"/>
          <w:szCs w:val="22"/>
          <w:highlight w:val="lightGray"/>
          <w:lang w:val="de-DE" w:eastAsia="ja-JP"/>
        </w:rPr>
        <w:t>1831 Diegem</w:t>
      </w:r>
    </w:p>
    <w:p w14:paraId="38590B27" w14:textId="77777777" w:rsidR="00FE291A" w:rsidRDefault="00C8738F">
      <w:pPr>
        <w:pStyle w:val="BodyText"/>
        <w:widowControl/>
        <w:kinsoku w:val="0"/>
        <w:overflowPunct w:val="0"/>
        <w:ind w:left="0"/>
        <w:rPr>
          <w:lang w:val="de-DE"/>
        </w:rPr>
      </w:pPr>
      <w:r>
        <w:rPr>
          <w:highlight w:val="lightGray"/>
          <w:lang w:val="de-DE"/>
        </w:rPr>
        <w:t>Belgien</w:t>
      </w:r>
      <w:r>
        <w:rPr>
          <w:lang w:val="de-DE"/>
        </w:rPr>
        <w:t xml:space="preserve"> </w:t>
      </w:r>
    </w:p>
    <w:p w14:paraId="4B0DAB2A" w14:textId="77777777" w:rsidR="00FE291A" w:rsidRDefault="00FE291A">
      <w:pPr>
        <w:pStyle w:val="BodyText"/>
        <w:widowControl/>
        <w:kinsoku w:val="0"/>
        <w:overflowPunct w:val="0"/>
        <w:ind w:left="0"/>
        <w:rPr>
          <w:lang w:val="de-DE"/>
        </w:rPr>
      </w:pPr>
    </w:p>
    <w:p w14:paraId="666C357C" w14:textId="77777777" w:rsidR="00FE291A" w:rsidRDefault="00C8738F">
      <w:pPr>
        <w:pStyle w:val="BodyText"/>
        <w:widowControl/>
        <w:kinsoku w:val="0"/>
        <w:overflowPunct w:val="0"/>
        <w:ind w:left="0"/>
        <w:rPr>
          <w:lang w:val="de-DE"/>
        </w:rPr>
      </w:pPr>
      <w:r>
        <w:rPr>
          <w:lang w:val="de-DE"/>
        </w:rPr>
        <w:t>Falls Sie weitere Informationen über dieses Arzneimittel wünschen, setzen Sie sich bitte mit dem örtlichen Vertreter des pharmazeutischen Unternehmers in Verbindung:</w:t>
      </w:r>
    </w:p>
    <w:p w14:paraId="604CBDF9" w14:textId="77777777" w:rsidR="00FE291A" w:rsidRDefault="00FE291A">
      <w:pPr>
        <w:pStyle w:val="Heading1"/>
        <w:keepNext/>
        <w:widowControl/>
        <w:kinsoku w:val="0"/>
        <w:overflowPunct w:val="0"/>
        <w:ind w:left="0"/>
        <w:rPr>
          <w:b w:val="0"/>
          <w:lang w:val="de-DE"/>
        </w:rPr>
      </w:pPr>
    </w:p>
    <w:tbl>
      <w:tblPr>
        <w:tblW w:w="0" w:type="auto"/>
        <w:tblInd w:w="108" w:type="dxa"/>
        <w:tblLook w:val="04A0" w:firstRow="1" w:lastRow="0" w:firstColumn="1" w:lastColumn="0" w:noHBand="0" w:noVBand="1"/>
      </w:tblPr>
      <w:tblGrid>
        <w:gridCol w:w="4426"/>
        <w:gridCol w:w="4537"/>
      </w:tblGrid>
      <w:tr w:rsidR="00FE291A" w14:paraId="107EE80D" w14:textId="77777777">
        <w:tc>
          <w:tcPr>
            <w:tcW w:w="4463" w:type="dxa"/>
          </w:tcPr>
          <w:p w14:paraId="7B20D0D2" w14:textId="77777777" w:rsidR="00FE291A" w:rsidRDefault="00C8738F">
            <w:pPr>
              <w:pStyle w:val="lbltxt"/>
              <w:rPr>
                <w:szCs w:val="22"/>
                <w:lang w:val="de-DE"/>
              </w:rPr>
            </w:pPr>
            <w:r>
              <w:rPr>
                <w:b/>
                <w:szCs w:val="22"/>
                <w:lang w:val="de-DE"/>
              </w:rPr>
              <w:t>België/Belgique/Belgien</w:t>
            </w:r>
          </w:p>
          <w:p w14:paraId="34F8008D" w14:textId="77777777" w:rsidR="00FE291A" w:rsidRDefault="00C8738F">
            <w:pPr>
              <w:pStyle w:val="lbltxt"/>
              <w:rPr>
                <w:szCs w:val="22"/>
                <w:lang w:val="de-DE"/>
              </w:rPr>
            </w:pPr>
            <w:r>
              <w:rPr>
                <w:szCs w:val="22"/>
                <w:lang w:val="de-DE"/>
              </w:rPr>
              <w:t>s.a. Amgen n.v.</w:t>
            </w:r>
          </w:p>
          <w:p w14:paraId="2939E93B" w14:textId="77777777" w:rsidR="00FE291A" w:rsidRDefault="00C8738F">
            <w:pPr>
              <w:widowControl/>
              <w:rPr>
                <w:sz w:val="22"/>
                <w:szCs w:val="22"/>
                <w:lang w:val="de-DE"/>
              </w:rPr>
            </w:pPr>
            <w:r>
              <w:rPr>
                <w:sz w:val="22"/>
                <w:szCs w:val="22"/>
                <w:lang w:val="de-DE"/>
              </w:rPr>
              <w:t>Tél/Tel: +32 (0)2 7752711</w:t>
            </w:r>
          </w:p>
          <w:p w14:paraId="2DB54544" w14:textId="77777777" w:rsidR="00FE291A" w:rsidRDefault="00FE291A">
            <w:pPr>
              <w:widowControl/>
              <w:kinsoku w:val="0"/>
              <w:overflowPunct w:val="0"/>
              <w:rPr>
                <w:sz w:val="22"/>
                <w:szCs w:val="22"/>
                <w:lang w:val="de-DE"/>
              </w:rPr>
            </w:pPr>
          </w:p>
        </w:tc>
        <w:tc>
          <w:tcPr>
            <w:tcW w:w="4572" w:type="dxa"/>
          </w:tcPr>
          <w:p w14:paraId="1E2F0A76" w14:textId="77777777" w:rsidR="00FE291A" w:rsidRDefault="00C8738F">
            <w:pPr>
              <w:pStyle w:val="lbltxt"/>
              <w:rPr>
                <w:b/>
                <w:szCs w:val="22"/>
                <w:lang w:val="de-DE"/>
              </w:rPr>
            </w:pPr>
            <w:r>
              <w:rPr>
                <w:b/>
                <w:szCs w:val="22"/>
                <w:lang w:val="de-DE"/>
              </w:rPr>
              <w:t>Lietuva</w:t>
            </w:r>
          </w:p>
          <w:p w14:paraId="0DB112A8" w14:textId="77777777" w:rsidR="00FE291A" w:rsidRDefault="00C8738F">
            <w:pPr>
              <w:pStyle w:val="lbltxt"/>
              <w:rPr>
                <w:bCs/>
                <w:szCs w:val="22"/>
                <w:lang w:val="de-DE"/>
              </w:rPr>
            </w:pPr>
            <w:r>
              <w:rPr>
                <w:szCs w:val="22"/>
                <w:lang w:val="de-DE"/>
              </w:rPr>
              <w:t>Amgen Switzerland AG Vilniaus filialas</w:t>
            </w:r>
          </w:p>
          <w:p w14:paraId="5D257CF0" w14:textId="77777777" w:rsidR="00FE291A" w:rsidRDefault="00C8738F">
            <w:pPr>
              <w:pStyle w:val="lbltxt"/>
              <w:rPr>
                <w:bCs/>
                <w:szCs w:val="22"/>
                <w:lang w:val="de-DE"/>
              </w:rPr>
            </w:pPr>
            <w:r>
              <w:rPr>
                <w:bCs/>
                <w:szCs w:val="22"/>
                <w:lang w:val="de-DE"/>
              </w:rPr>
              <w:t>Tel</w:t>
            </w:r>
            <w:ins w:id="137" w:author="Author">
              <w:r>
                <w:rPr>
                  <w:bCs/>
                  <w:szCs w:val="22"/>
                  <w:lang w:val="de-DE"/>
                </w:rPr>
                <w:t>.</w:t>
              </w:r>
            </w:ins>
            <w:del w:id="138" w:author="Author">
              <w:r>
                <w:rPr>
                  <w:bCs/>
                  <w:szCs w:val="22"/>
                  <w:lang w:val="de-DE"/>
                </w:rPr>
                <w:delText>:</w:delText>
              </w:r>
            </w:del>
            <w:r>
              <w:rPr>
                <w:bCs/>
                <w:szCs w:val="22"/>
                <w:lang w:val="de-DE"/>
              </w:rPr>
              <w:t xml:space="preserve"> +370 5 219 7474</w:t>
            </w:r>
          </w:p>
          <w:p w14:paraId="0236EF17" w14:textId="77777777" w:rsidR="00FE291A" w:rsidRDefault="00FE291A">
            <w:pPr>
              <w:widowControl/>
              <w:kinsoku w:val="0"/>
              <w:overflowPunct w:val="0"/>
              <w:rPr>
                <w:sz w:val="22"/>
                <w:szCs w:val="22"/>
                <w:lang w:val="de-DE"/>
              </w:rPr>
            </w:pPr>
          </w:p>
        </w:tc>
      </w:tr>
      <w:tr w:rsidR="00FE291A" w:rsidRPr="002E6CD3" w14:paraId="12DB3BC3" w14:textId="77777777">
        <w:tc>
          <w:tcPr>
            <w:tcW w:w="4463" w:type="dxa"/>
          </w:tcPr>
          <w:p w14:paraId="6F98F205" w14:textId="77777777" w:rsidR="00FE291A" w:rsidRDefault="00C8738F">
            <w:pPr>
              <w:widowControl/>
              <w:rPr>
                <w:rFonts w:eastAsia="Arial Unicode MS"/>
                <w:b/>
                <w:bCs/>
                <w:sz w:val="22"/>
                <w:szCs w:val="22"/>
                <w:lang w:val="ru-RU"/>
              </w:rPr>
            </w:pPr>
            <w:r>
              <w:rPr>
                <w:rFonts w:eastAsia="Arial Unicode MS"/>
                <w:b/>
                <w:bCs/>
                <w:sz w:val="22"/>
                <w:szCs w:val="22"/>
                <w:lang w:val="ru-RU"/>
              </w:rPr>
              <w:t>България</w:t>
            </w:r>
          </w:p>
          <w:p w14:paraId="59899C9B" w14:textId="77777777" w:rsidR="00FE291A" w:rsidRDefault="00C8738F">
            <w:pPr>
              <w:pStyle w:val="lbltxt"/>
              <w:rPr>
                <w:rFonts w:eastAsia="Arial Unicode MS"/>
                <w:szCs w:val="22"/>
                <w:lang w:val="ru-RU" w:eastAsia="en-GB"/>
              </w:rPr>
            </w:pPr>
            <w:r>
              <w:rPr>
                <w:rFonts w:eastAsia="Arial Unicode MS"/>
                <w:szCs w:val="22"/>
                <w:lang w:val="ru-RU" w:eastAsia="en-GB"/>
              </w:rPr>
              <w:t>Амджен България ЕООД</w:t>
            </w:r>
          </w:p>
          <w:p w14:paraId="0F49CAA4" w14:textId="77777777" w:rsidR="00FE291A" w:rsidRDefault="00C8738F">
            <w:pPr>
              <w:pStyle w:val="lbltxt"/>
              <w:rPr>
                <w:rFonts w:eastAsia="Arial Unicode MS"/>
                <w:bCs/>
                <w:szCs w:val="22"/>
                <w:lang w:val="ru-RU"/>
              </w:rPr>
            </w:pPr>
            <w:r>
              <w:rPr>
                <w:rFonts w:eastAsia="Arial Unicode MS"/>
                <w:szCs w:val="22"/>
                <w:lang w:val="ru-RU" w:eastAsia="en-GB"/>
              </w:rPr>
              <w:t xml:space="preserve">Тел.: +359 </w:t>
            </w:r>
            <w:r>
              <w:rPr>
                <w:rFonts w:eastAsia="Arial Unicode MS"/>
                <w:bCs/>
                <w:szCs w:val="22"/>
                <w:lang w:val="ru-RU"/>
              </w:rPr>
              <w:t>(0)2</w:t>
            </w:r>
            <w:r>
              <w:rPr>
                <w:rFonts w:eastAsia="Arial Unicode MS"/>
                <w:bCs/>
                <w:szCs w:val="22"/>
                <w:lang w:val="en-IN"/>
              </w:rPr>
              <w:t> </w:t>
            </w:r>
            <w:r>
              <w:rPr>
                <w:rFonts w:eastAsia="Arial Unicode MS"/>
                <w:bCs/>
                <w:szCs w:val="22"/>
                <w:lang w:val="ru-RU"/>
              </w:rPr>
              <w:t>424 7440</w:t>
            </w:r>
          </w:p>
          <w:p w14:paraId="1CEFB160" w14:textId="77777777" w:rsidR="00FE291A" w:rsidRDefault="00FE291A">
            <w:pPr>
              <w:widowControl/>
              <w:kinsoku w:val="0"/>
              <w:overflowPunct w:val="0"/>
              <w:rPr>
                <w:sz w:val="22"/>
                <w:szCs w:val="22"/>
                <w:lang w:val="ru-RU"/>
              </w:rPr>
            </w:pPr>
          </w:p>
        </w:tc>
        <w:tc>
          <w:tcPr>
            <w:tcW w:w="4572" w:type="dxa"/>
          </w:tcPr>
          <w:p w14:paraId="32746167" w14:textId="77777777" w:rsidR="00FE291A" w:rsidRDefault="00C8738F">
            <w:pPr>
              <w:pStyle w:val="lbltxt"/>
              <w:rPr>
                <w:szCs w:val="22"/>
                <w:lang w:val="de-DE"/>
              </w:rPr>
            </w:pPr>
            <w:r>
              <w:rPr>
                <w:b/>
                <w:szCs w:val="22"/>
                <w:lang w:val="de-DE"/>
              </w:rPr>
              <w:t>Luxembourg/Luxemburg</w:t>
            </w:r>
          </w:p>
          <w:p w14:paraId="35C988BB" w14:textId="77777777" w:rsidR="00FE291A" w:rsidRDefault="00C8738F">
            <w:pPr>
              <w:pStyle w:val="lbltxt"/>
              <w:rPr>
                <w:szCs w:val="22"/>
                <w:lang w:val="de-DE"/>
              </w:rPr>
            </w:pPr>
            <w:r>
              <w:rPr>
                <w:szCs w:val="22"/>
                <w:lang w:val="de-DE"/>
              </w:rPr>
              <w:t xml:space="preserve">s.a. Amgen </w:t>
            </w:r>
          </w:p>
          <w:p w14:paraId="0F8F3F62" w14:textId="77777777" w:rsidR="00FE291A" w:rsidRDefault="00C8738F">
            <w:pPr>
              <w:pStyle w:val="lbltxt"/>
              <w:rPr>
                <w:szCs w:val="22"/>
                <w:lang w:val="de-DE"/>
              </w:rPr>
            </w:pPr>
            <w:r>
              <w:rPr>
                <w:szCs w:val="22"/>
                <w:lang w:val="de-DE"/>
              </w:rPr>
              <w:t>Belgique/Belgien</w:t>
            </w:r>
          </w:p>
          <w:p w14:paraId="057F5717" w14:textId="77777777" w:rsidR="00FE291A" w:rsidRDefault="00C8738F">
            <w:pPr>
              <w:pStyle w:val="lbltxt"/>
              <w:rPr>
                <w:szCs w:val="22"/>
                <w:lang w:val="de-DE"/>
              </w:rPr>
            </w:pPr>
            <w:r>
              <w:rPr>
                <w:szCs w:val="22"/>
                <w:lang w:val="de-DE"/>
              </w:rPr>
              <w:t>Tél/Tel: +32 (0)2 7752711</w:t>
            </w:r>
          </w:p>
          <w:p w14:paraId="013CC196" w14:textId="77777777" w:rsidR="00FE291A" w:rsidRDefault="00FE291A">
            <w:pPr>
              <w:widowControl/>
              <w:kinsoku w:val="0"/>
              <w:overflowPunct w:val="0"/>
              <w:rPr>
                <w:sz w:val="22"/>
                <w:szCs w:val="22"/>
                <w:lang w:val="de-DE"/>
              </w:rPr>
            </w:pPr>
          </w:p>
        </w:tc>
      </w:tr>
      <w:tr w:rsidR="00FE291A" w14:paraId="52829B09" w14:textId="77777777">
        <w:tc>
          <w:tcPr>
            <w:tcW w:w="4463" w:type="dxa"/>
          </w:tcPr>
          <w:p w14:paraId="7F905804" w14:textId="77777777" w:rsidR="00FE291A" w:rsidRDefault="00C8738F">
            <w:pPr>
              <w:pStyle w:val="lbltxt"/>
              <w:keepNext/>
              <w:rPr>
                <w:b/>
                <w:szCs w:val="22"/>
                <w:lang w:val="sv-SE"/>
              </w:rPr>
            </w:pPr>
            <w:r>
              <w:rPr>
                <w:b/>
                <w:szCs w:val="22"/>
                <w:lang w:val="sv-SE"/>
              </w:rPr>
              <w:t>Česká republika</w:t>
            </w:r>
          </w:p>
          <w:p w14:paraId="5F8D954A" w14:textId="77777777" w:rsidR="00FE291A" w:rsidRDefault="00C8738F">
            <w:pPr>
              <w:pStyle w:val="lbltxt"/>
              <w:keepNext/>
              <w:rPr>
                <w:bCs/>
                <w:szCs w:val="22"/>
                <w:lang w:val="sv-SE"/>
              </w:rPr>
            </w:pPr>
            <w:r>
              <w:rPr>
                <w:bCs/>
                <w:szCs w:val="22"/>
                <w:lang w:val="sv-SE"/>
              </w:rPr>
              <w:t>Amgen s.r.o.</w:t>
            </w:r>
          </w:p>
          <w:p w14:paraId="55A51578" w14:textId="77777777" w:rsidR="00FE291A" w:rsidRDefault="00C8738F">
            <w:pPr>
              <w:pStyle w:val="lbltxt"/>
              <w:keepNext/>
              <w:rPr>
                <w:bCs/>
                <w:szCs w:val="22"/>
                <w:lang w:val="de-DE"/>
              </w:rPr>
            </w:pPr>
            <w:r>
              <w:rPr>
                <w:bCs/>
                <w:szCs w:val="22"/>
                <w:lang w:val="de-DE"/>
              </w:rPr>
              <w:t>Tel: +420 221 773 500</w:t>
            </w:r>
          </w:p>
          <w:p w14:paraId="3935716A" w14:textId="77777777" w:rsidR="00FE291A" w:rsidRDefault="00FE291A">
            <w:pPr>
              <w:widowControl/>
              <w:kinsoku w:val="0"/>
              <w:overflowPunct w:val="0"/>
              <w:rPr>
                <w:sz w:val="22"/>
                <w:szCs w:val="22"/>
                <w:lang w:val="de-DE"/>
              </w:rPr>
            </w:pPr>
          </w:p>
        </w:tc>
        <w:tc>
          <w:tcPr>
            <w:tcW w:w="4572" w:type="dxa"/>
          </w:tcPr>
          <w:p w14:paraId="524CBAA9" w14:textId="77777777" w:rsidR="00FE291A" w:rsidRDefault="00C8738F">
            <w:pPr>
              <w:pStyle w:val="lbltxt"/>
              <w:rPr>
                <w:b/>
                <w:szCs w:val="22"/>
                <w:lang w:val="de-DE"/>
              </w:rPr>
            </w:pPr>
            <w:r>
              <w:rPr>
                <w:b/>
                <w:szCs w:val="22"/>
                <w:lang w:val="de-DE"/>
              </w:rPr>
              <w:t>Magyarország</w:t>
            </w:r>
          </w:p>
          <w:p w14:paraId="64A1C65A" w14:textId="77777777" w:rsidR="00FE291A" w:rsidRDefault="00C8738F">
            <w:pPr>
              <w:pStyle w:val="lbltxt"/>
              <w:rPr>
                <w:bCs/>
                <w:szCs w:val="22"/>
                <w:lang w:val="de-DE"/>
              </w:rPr>
            </w:pPr>
            <w:r>
              <w:rPr>
                <w:bCs/>
                <w:szCs w:val="22"/>
                <w:lang w:val="de-DE"/>
              </w:rPr>
              <w:t>Amgen Kft.</w:t>
            </w:r>
          </w:p>
          <w:p w14:paraId="2D43462F" w14:textId="77777777" w:rsidR="00FE291A" w:rsidRDefault="00C8738F">
            <w:pPr>
              <w:pStyle w:val="lbltxt"/>
              <w:rPr>
                <w:bCs/>
                <w:szCs w:val="22"/>
                <w:lang w:val="de-DE"/>
              </w:rPr>
            </w:pPr>
            <w:r>
              <w:rPr>
                <w:bCs/>
                <w:szCs w:val="22"/>
                <w:lang w:val="de-DE"/>
              </w:rPr>
              <w:t>Tel.: +36 1 35 44 700</w:t>
            </w:r>
          </w:p>
          <w:p w14:paraId="08E84A9A" w14:textId="77777777" w:rsidR="00FE291A" w:rsidRDefault="00FE291A">
            <w:pPr>
              <w:widowControl/>
              <w:kinsoku w:val="0"/>
              <w:overflowPunct w:val="0"/>
              <w:rPr>
                <w:sz w:val="22"/>
                <w:szCs w:val="22"/>
                <w:lang w:val="de-DE"/>
              </w:rPr>
            </w:pPr>
          </w:p>
        </w:tc>
      </w:tr>
      <w:tr w:rsidR="00FE291A" w14:paraId="6BB937E0" w14:textId="77777777">
        <w:tc>
          <w:tcPr>
            <w:tcW w:w="4463" w:type="dxa"/>
          </w:tcPr>
          <w:p w14:paraId="77827EBC" w14:textId="77777777" w:rsidR="00FE291A" w:rsidRDefault="00C8738F">
            <w:pPr>
              <w:pStyle w:val="lbltxt"/>
              <w:keepNext/>
              <w:rPr>
                <w:szCs w:val="22"/>
                <w:lang w:val="da-DK"/>
              </w:rPr>
            </w:pPr>
            <w:r>
              <w:rPr>
                <w:b/>
                <w:szCs w:val="22"/>
                <w:lang w:val="da-DK"/>
              </w:rPr>
              <w:t>Danmark</w:t>
            </w:r>
          </w:p>
          <w:p w14:paraId="6444E3A9" w14:textId="77777777" w:rsidR="00FE291A" w:rsidRDefault="00C8738F">
            <w:pPr>
              <w:pStyle w:val="lbltxt"/>
              <w:keepNext/>
              <w:rPr>
                <w:szCs w:val="22"/>
                <w:lang w:val="da-DK"/>
              </w:rPr>
            </w:pPr>
            <w:r>
              <w:rPr>
                <w:szCs w:val="22"/>
                <w:lang w:val="da-DK"/>
              </w:rPr>
              <w:t>Amgen, filial af Amgen AB, Sverige</w:t>
            </w:r>
          </w:p>
          <w:p w14:paraId="41DEC3DA" w14:textId="77777777" w:rsidR="00FE291A" w:rsidRDefault="00C8738F">
            <w:pPr>
              <w:pStyle w:val="lbltxt"/>
              <w:keepNext/>
              <w:rPr>
                <w:szCs w:val="22"/>
                <w:lang w:val="de-DE"/>
              </w:rPr>
            </w:pPr>
            <w:r>
              <w:rPr>
                <w:szCs w:val="22"/>
                <w:lang w:val="de-DE"/>
              </w:rPr>
              <w:t>Tlf</w:t>
            </w:r>
            <w:ins w:id="139" w:author="Author">
              <w:r>
                <w:rPr>
                  <w:szCs w:val="22"/>
                  <w:lang w:val="de-DE"/>
                </w:rPr>
                <w:t>.</w:t>
              </w:r>
            </w:ins>
            <w:r>
              <w:rPr>
                <w:szCs w:val="22"/>
                <w:lang w:val="de-DE"/>
              </w:rPr>
              <w:t>: +45 39617500</w:t>
            </w:r>
          </w:p>
          <w:p w14:paraId="1A0C6CE5" w14:textId="77777777" w:rsidR="00FE291A" w:rsidRDefault="00FE291A">
            <w:pPr>
              <w:keepNext/>
              <w:widowControl/>
              <w:kinsoku w:val="0"/>
              <w:overflowPunct w:val="0"/>
              <w:rPr>
                <w:sz w:val="22"/>
                <w:szCs w:val="22"/>
                <w:lang w:val="de-DE"/>
              </w:rPr>
            </w:pPr>
          </w:p>
        </w:tc>
        <w:tc>
          <w:tcPr>
            <w:tcW w:w="4572" w:type="dxa"/>
          </w:tcPr>
          <w:p w14:paraId="69BA59D7" w14:textId="77777777" w:rsidR="00FE291A" w:rsidRDefault="00C8738F">
            <w:pPr>
              <w:pStyle w:val="lbltxt"/>
              <w:rPr>
                <w:b/>
                <w:szCs w:val="22"/>
                <w:lang w:val="nb-NO"/>
              </w:rPr>
            </w:pPr>
            <w:r>
              <w:rPr>
                <w:b/>
                <w:szCs w:val="22"/>
                <w:lang w:val="nb-NO"/>
              </w:rPr>
              <w:t>Malta</w:t>
            </w:r>
          </w:p>
          <w:p w14:paraId="2D158657" w14:textId="77777777" w:rsidR="00FE291A" w:rsidRDefault="00C8738F">
            <w:pPr>
              <w:pStyle w:val="lbltxt"/>
              <w:rPr>
                <w:szCs w:val="22"/>
                <w:lang w:val="nb-NO"/>
              </w:rPr>
            </w:pPr>
            <w:r>
              <w:rPr>
                <w:szCs w:val="22"/>
                <w:lang w:val="nb-NO"/>
              </w:rPr>
              <w:t>Amgen S.r.l.</w:t>
            </w:r>
          </w:p>
          <w:p w14:paraId="2DCF8D66" w14:textId="77777777" w:rsidR="00FE291A" w:rsidRDefault="00C8738F">
            <w:pPr>
              <w:pStyle w:val="lbltxt"/>
              <w:rPr>
                <w:szCs w:val="22"/>
                <w:lang w:val="es-ES"/>
              </w:rPr>
            </w:pPr>
            <w:r>
              <w:rPr>
                <w:szCs w:val="22"/>
                <w:lang w:val="es-ES"/>
              </w:rPr>
              <w:t>Italy</w:t>
            </w:r>
          </w:p>
          <w:p w14:paraId="0E705B13" w14:textId="77777777" w:rsidR="00FE291A" w:rsidRDefault="00C8738F">
            <w:pPr>
              <w:pStyle w:val="lbltxt"/>
              <w:rPr>
                <w:szCs w:val="22"/>
                <w:lang w:val="es-ES"/>
              </w:rPr>
            </w:pPr>
            <w:r>
              <w:rPr>
                <w:szCs w:val="22"/>
                <w:lang w:val="es-ES"/>
              </w:rPr>
              <w:t>Tel: +39 02 6241121</w:t>
            </w:r>
          </w:p>
          <w:p w14:paraId="0762934A" w14:textId="77777777" w:rsidR="00FE291A" w:rsidRDefault="00FE291A">
            <w:pPr>
              <w:widowControl/>
              <w:kinsoku w:val="0"/>
              <w:overflowPunct w:val="0"/>
              <w:rPr>
                <w:sz w:val="22"/>
                <w:szCs w:val="22"/>
                <w:lang w:val="es-ES"/>
              </w:rPr>
            </w:pPr>
          </w:p>
        </w:tc>
      </w:tr>
      <w:tr w:rsidR="00FE291A" w:rsidRPr="002E6CD3" w14:paraId="579038E1" w14:textId="77777777">
        <w:tc>
          <w:tcPr>
            <w:tcW w:w="4463" w:type="dxa"/>
          </w:tcPr>
          <w:p w14:paraId="3BA17CD8" w14:textId="77777777" w:rsidR="00FE291A" w:rsidRDefault="00C8738F">
            <w:pPr>
              <w:pStyle w:val="lbltxt"/>
              <w:rPr>
                <w:szCs w:val="22"/>
                <w:lang w:val="de-DE"/>
              </w:rPr>
            </w:pPr>
            <w:r>
              <w:rPr>
                <w:b/>
                <w:szCs w:val="22"/>
                <w:lang w:val="de-DE"/>
              </w:rPr>
              <w:t>Deutschland</w:t>
            </w:r>
          </w:p>
          <w:p w14:paraId="3D3F36AC" w14:textId="77777777" w:rsidR="00FE291A" w:rsidRDefault="00C8738F">
            <w:pPr>
              <w:pStyle w:val="lbltxt"/>
              <w:rPr>
                <w:szCs w:val="22"/>
                <w:lang w:val="de-DE"/>
              </w:rPr>
            </w:pPr>
            <w:r>
              <w:rPr>
                <w:szCs w:val="22"/>
                <w:lang w:val="de-DE"/>
              </w:rPr>
              <w:t>Amgen GmbH</w:t>
            </w:r>
          </w:p>
          <w:p w14:paraId="3D2133E9" w14:textId="77777777" w:rsidR="00FE291A" w:rsidRDefault="00C8738F">
            <w:pPr>
              <w:pStyle w:val="lbltxt"/>
              <w:rPr>
                <w:szCs w:val="22"/>
                <w:lang w:val="de-DE"/>
              </w:rPr>
            </w:pPr>
            <w:r>
              <w:rPr>
                <w:szCs w:val="22"/>
                <w:lang w:val="de-DE"/>
              </w:rPr>
              <w:t>Tel.: +49 89 1490960</w:t>
            </w:r>
          </w:p>
          <w:p w14:paraId="3DD139CD" w14:textId="77777777" w:rsidR="00FE291A" w:rsidRDefault="00FE291A">
            <w:pPr>
              <w:widowControl/>
              <w:kinsoku w:val="0"/>
              <w:overflowPunct w:val="0"/>
              <w:rPr>
                <w:sz w:val="22"/>
                <w:szCs w:val="22"/>
                <w:lang w:val="de-DE"/>
              </w:rPr>
            </w:pPr>
          </w:p>
        </w:tc>
        <w:tc>
          <w:tcPr>
            <w:tcW w:w="4572" w:type="dxa"/>
          </w:tcPr>
          <w:p w14:paraId="1EA3443E" w14:textId="77777777" w:rsidR="00FE291A" w:rsidRDefault="00C8738F">
            <w:pPr>
              <w:pStyle w:val="lbltxt"/>
              <w:rPr>
                <w:szCs w:val="22"/>
                <w:lang w:val="de-DE"/>
              </w:rPr>
            </w:pPr>
            <w:r>
              <w:rPr>
                <w:b/>
                <w:szCs w:val="22"/>
                <w:lang w:val="de-DE"/>
              </w:rPr>
              <w:t>Nederland</w:t>
            </w:r>
          </w:p>
          <w:p w14:paraId="787DBF09" w14:textId="77777777" w:rsidR="00FE291A" w:rsidRDefault="00C8738F">
            <w:pPr>
              <w:pStyle w:val="lbltxt"/>
              <w:rPr>
                <w:szCs w:val="22"/>
                <w:lang w:val="de-DE"/>
              </w:rPr>
            </w:pPr>
            <w:r>
              <w:rPr>
                <w:szCs w:val="22"/>
                <w:lang w:val="de-DE"/>
              </w:rPr>
              <w:t>Amgen B.V.</w:t>
            </w:r>
          </w:p>
          <w:p w14:paraId="0B16A52C" w14:textId="77777777" w:rsidR="00FE291A" w:rsidRDefault="00C8738F">
            <w:pPr>
              <w:pStyle w:val="lbltxt"/>
              <w:rPr>
                <w:bCs/>
                <w:szCs w:val="22"/>
                <w:lang w:val="de-DE"/>
              </w:rPr>
            </w:pPr>
            <w:r>
              <w:rPr>
                <w:szCs w:val="22"/>
                <w:lang w:val="de-DE"/>
              </w:rPr>
              <w:t>Tel: +31 (0)76 5732500</w:t>
            </w:r>
          </w:p>
          <w:p w14:paraId="7ECB47D9" w14:textId="77777777" w:rsidR="00FE291A" w:rsidRDefault="00FE291A">
            <w:pPr>
              <w:widowControl/>
              <w:kinsoku w:val="0"/>
              <w:overflowPunct w:val="0"/>
              <w:rPr>
                <w:sz w:val="22"/>
                <w:szCs w:val="22"/>
                <w:lang w:val="de-DE"/>
              </w:rPr>
            </w:pPr>
          </w:p>
        </w:tc>
      </w:tr>
      <w:tr w:rsidR="00FE291A" w14:paraId="7FA9BDC3" w14:textId="77777777">
        <w:tc>
          <w:tcPr>
            <w:tcW w:w="4463" w:type="dxa"/>
          </w:tcPr>
          <w:p w14:paraId="52E3030D" w14:textId="77777777" w:rsidR="00FE291A" w:rsidRPr="00211AE1" w:rsidRDefault="00C8738F">
            <w:pPr>
              <w:pStyle w:val="lbltxt"/>
              <w:rPr>
                <w:b/>
                <w:szCs w:val="22"/>
                <w:lang w:val="de-DE"/>
              </w:rPr>
            </w:pPr>
            <w:r w:rsidRPr="00211AE1">
              <w:rPr>
                <w:b/>
                <w:szCs w:val="22"/>
                <w:lang w:val="de-DE"/>
              </w:rPr>
              <w:t>Eesti</w:t>
            </w:r>
          </w:p>
          <w:p w14:paraId="69F8F877" w14:textId="77777777" w:rsidR="00FE291A" w:rsidRPr="00211AE1" w:rsidRDefault="00C8738F">
            <w:pPr>
              <w:pStyle w:val="lbltxt"/>
              <w:rPr>
                <w:bCs/>
                <w:szCs w:val="22"/>
                <w:lang w:val="de-DE"/>
              </w:rPr>
            </w:pPr>
            <w:r w:rsidRPr="00211AE1">
              <w:rPr>
                <w:bCs/>
                <w:szCs w:val="22"/>
                <w:lang w:val="de-DE"/>
              </w:rPr>
              <w:t xml:space="preserve">Amgen Switzerland AG </w:t>
            </w:r>
            <w:r w:rsidRPr="00211AE1">
              <w:rPr>
                <w:szCs w:val="22"/>
                <w:lang w:val="de-DE"/>
              </w:rPr>
              <w:t>Vilniaus filialas</w:t>
            </w:r>
          </w:p>
          <w:p w14:paraId="0F60D8E8" w14:textId="77777777" w:rsidR="00FE291A" w:rsidRDefault="00C8738F">
            <w:pPr>
              <w:pStyle w:val="lbltxt"/>
              <w:rPr>
                <w:szCs w:val="22"/>
                <w:lang w:val="de-DE"/>
              </w:rPr>
            </w:pPr>
            <w:r>
              <w:rPr>
                <w:bCs/>
                <w:szCs w:val="22"/>
                <w:lang w:val="de-DE"/>
              </w:rPr>
              <w:t>Tel: +</w:t>
            </w:r>
            <w:r>
              <w:rPr>
                <w:szCs w:val="22"/>
                <w:lang w:val="de-DE"/>
              </w:rPr>
              <w:t>372 586 09553</w:t>
            </w:r>
          </w:p>
          <w:p w14:paraId="116DF06F" w14:textId="77777777" w:rsidR="00FE291A" w:rsidRDefault="00FE291A">
            <w:pPr>
              <w:widowControl/>
              <w:kinsoku w:val="0"/>
              <w:overflowPunct w:val="0"/>
              <w:rPr>
                <w:sz w:val="22"/>
                <w:szCs w:val="22"/>
                <w:lang w:val="de-DE"/>
              </w:rPr>
            </w:pPr>
          </w:p>
        </w:tc>
        <w:tc>
          <w:tcPr>
            <w:tcW w:w="4572" w:type="dxa"/>
          </w:tcPr>
          <w:p w14:paraId="41AD95FC" w14:textId="77777777" w:rsidR="00FE291A" w:rsidRDefault="00C8738F">
            <w:pPr>
              <w:pStyle w:val="lbltxt"/>
              <w:rPr>
                <w:b/>
                <w:szCs w:val="22"/>
                <w:lang w:val="de-DE"/>
              </w:rPr>
            </w:pPr>
            <w:r>
              <w:rPr>
                <w:b/>
                <w:szCs w:val="22"/>
                <w:lang w:val="de-DE"/>
              </w:rPr>
              <w:t>Norge</w:t>
            </w:r>
          </w:p>
          <w:p w14:paraId="3B5FBF36" w14:textId="77777777" w:rsidR="00FE291A" w:rsidRDefault="00C8738F">
            <w:pPr>
              <w:pStyle w:val="lbltxt"/>
              <w:rPr>
                <w:szCs w:val="22"/>
                <w:lang w:val="de-DE"/>
              </w:rPr>
            </w:pPr>
            <w:r>
              <w:rPr>
                <w:szCs w:val="22"/>
                <w:lang w:val="de-DE"/>
              </w:rPr>
              <w:t>Amgen AB</w:t>
            </w:r>
          </w:p>
          <w:p w14:paraId="63374C36" w14:textId="77777777" w:rsidR="00FE291A" w:rsidRDefault="00C8738F">
            <w:pPr>
              <w:pStyle w:val="lbltxt"/>
              <w:rPr>
                <w:szCs w:val="22"/>
                <w:lang w:val="de-DE"/>
              </w:rPr>
            </w:pPr>
            <w:r>
              <w:rPr>
                <w:szCs w:val="22"/>
                <w:lang w:val="de-DE"/>
              </w:rPr>
              <w:t>Tlf: +47 23308000</w:t>
            </w:r>
          </w:p>
          <w:p w14:paraId="5B73AC66" w14:textId="77777777" w:rsidR="00FE291A" w:rsidRDefault="00FE291A">
            <w:pPr>
              <w:widowControl/>
              <w:kinsoku w:val="0"/>
              <w:overflowPunct w:val="0"/>
              <w:rPr>
                <w:sz w:val="22"/>
                <w:szCs w:val="22"/>
                <w:lang w:val="de-DE"/>
              </w:rPr>
            </w:pPr>
          </w:p>
        </w:tc>
      </w:tr>
      <w:tr w:rsidR="00FE291A" w14:paraId="02BC5036" w14:textId="77777777">
        <w:tc>
          <w:tcPr>
            <w:tcW w:w="4463" w:type="dxa"/>
          </w:tcPr>
          <w:p w14:paraId="2DE1D395" w14:textId="77777777" w:rsidR="00FE291A" w:rsidRDefault="00C8738F">
            <w:pPr>
              <w:pStyle w:val="lbltxt"/>
              <w:rPr>
                <w:b/>
                <w:bCs/>
                <w:szCs w:val="22"/>
                <w:lang w:val="el-GR"/>
              </w:rPr>
            </w:pPr>
            <w:r>
              <w:rPr>
                <w:b/>
                <w:bCs/>
                <w:szCs w:val="22"/>
                <w:lang w:val="el-GR"/>
              </w:rPr>
              <w:t>Ελλάδα</w:t>
            </w:r>
          </w:p>
          <w:p w14:paraId="4B7ECAC7" w14:textId="77777777" w:rsidR="00FE291A" w:rsidRDefault="00C8738F">
            <w:pPr>
              <w:pStyle w:val="lbltxt"/>
              <w:rPr>
                <w:szCs w:val="22"/>
                <w:lang w:val="el-GR"/>
              </w:rPr>
            </w:pPr>
            <w:r>
              <w:rPr>
                <w:szCs w:val="22"/>
                <w:lang w:val="en-IN"/>
              </w:rPr>
              <w:t>Amgen</w:t>
            </w:r>
            <w:r>
              <w:rPr>
                <w:szCs w:val="22"/>
                <w:lang w:val="el-GR"/>
              </w:rPr>
              <w:t xml:space="preserve"> Ελλάς Φαρμακευτικά Ε.Π.Ε. </w:t>
            </w:r>
          </w:p>
          <w:p w14:paraId="5A36115A" w14:textId="77777777" w:rsidR="00FE291A" w:rsidRDefault="00C8738F">
            <w:pPr>
              <w:pStyle w:val="lbltxt"/>
              <w:rPr>
                <w:szCs w:val="22"/>
                <w:lang w:val="de-DE"/>
              </w:rPr>
            </w:pPr>
            <w:r>
              <w:rPr>
                <w:szCs w:val="22"/>
                <w:lang w:val="de-DE"/>
              </w:rPr>
              <w:t>Τηλ: +30 210 3447000</w:t>
            </w:r>
          </w:p>
          <w:p w14:paraId="67449A76" w14:textId="77777777" w:rsidR="00FE291A" w:rsidRDefault="00FE291A">
            <w:pPr>
              <w:widowControl/>
              <w:kinsoku w:val="0"/>
              <w:overflowPunct w:val="0"/>
              <w:rPr>
                <w:sz w:val="22"/>
                <w:szCs w:val="22"/>
                <w:lang w:val="de-DE"/>
              </w:rPr>
            </w:pPr>
          </w:p>
        </w:tc>
        <w:tc>
          <w:tcPr>
            <w:tcW w:w="4572" w:type="dxa"/>
          </w:tcPr>
          <w:p w14:paraId="4DE688DE" w14:textId="77777777" w:rsidR="00FE291A" w:rsidRDefault="00C8738F">
            <w:pPr>
              <w:pStyle w:val="lbltxt"/>
              <w:rPr>
                <w:szCs w:val="22"/>
                <w:lang w:val="de-DE"/>
              </w:rPr>
            </w:pPr>
            <w:r>
              <w:rPr>
                <w:b/>
                <w:szCs w:val="22"/>
                <w:lang w:val="de-DE"/>
              </w:rPr>
              <w:t>Österreich</w:t>
            </w:r>
          </w:p>
          <w:p w14:paraId="201D8AFC" w14:textId="77777777" w:rsidR="00FE291A" w:rsidRDefault="00C8738F">
            <w:pPr>
              <w:pStyle w:val="lbltxt"/>
              <w:rPr>
                <w:szCs w:val="22"/>
                <w:lang w:val="de-DE"/>
              </w:rPr>
            </w:pPr>
            <w:r>
              <w:rPr>
                <w:szCs w:val="22"/>
                <w:lang w:val="de-DE"/>
              </w:rPr>
              <w:t xml:space="preserve">Amgen GmbH </w:t>
            </w:r>
          </w:p>
          <w:p w14:paraId="2869B353" w14:textId="77777777" w:rsidR="00FE291A" w:rsidRDefault="00C8738F">
            <w:pPr>
              <w:pStyle w:val="lbltxt"/>
              <w:rPr>
                <w:szCs w:val="22"/>
                <w:lang w:val="de-DE"/>
              </w:rPr>
            </w:pPr>
            <w:r>
              <w:rPr>
                <w:szCs w:val="22"/>
                <w:lang w:val="de-DE"/>
              </w:rPr>
              <w:t>Tel: +43 (0)1 50 217</w:t>
            </w:r>
          </w:p>
          <w:p w14:paraId="7A113F74" w14:textId="77777777" w:rsidR="00FE291A" w:rsidRDefault="00FE291A">
            <w:pPr>
              <w:widowControl/>
              <w:kinsoku w:val="0"/>
              <w:overflowPunct w:val="0"/>
              <w:rPr>
                <w:sz w:val="22"/>
                <w:szCs w:val="22"/>
                <w:lang w:val="de-DE"/>
              </w:rPr>
            </w:pPr>
          </w:p>
        </w:tc>
      </w:tr>
      <w:tr w:rsidR="00FE291A" w14:paraId="51FA5167" w14:textId="77777777">
        <w:tc>
          <w:tcPr>
            <w:tcW w:w="4463" w:type="dxa"/>
          </w:tcPr>
          <w:p w14:paraId="0D5DDFE4" w14:textId="77777777" w:rsidR="00FE291A" w:rsidRDefault="00C8738F">
            <w:pPr>
              <w:pStyle w:val="lbltxt"/>
              <w:keepLines/>
              <w:rPr>
                <w:szCs w:val="22"/>
                <w:lang w:val="es-ES"/>
              </w:rPr>
            </w:pPr>
            <w:r>
              <w:rPr>
                <w:b/>
                <w:szCs w:val="22"/>
                <w:lang w:val="es-ES"/>
              </w:rPr>
              <w:t>España</w:t>
            </w:r>
          </w:p>
          <w:p w14:paraId="6562F11D" w14:textId="77777777" w:rsidR="00FE291A" w:rsidRDefault="00C8738F">
            <w:pPr>
              <w:pStyle w:val="lbltxt"/>
              <w:keepLines/>
              <w:rPr>
                <w:szCs w:val="22"/>
                <w:lang w:val="es-ES"/>
              </w:rPr>
            </w:pPr>
            <w:r>
              <w:rPr>
                <w:szCs w:val="22"/>
                <w:lang w:val="es-ES"/>
              </w:rPr>
              <w:t>Amgen S.A.</w:t>
            </w:r>
          </w:p>
          <w:p w14:paraId="1FC8DABA" w14:textId="77777777" w:rsidR="00FE291A" w:rsidRDefault="00C8738F">
            <w:pPr>
              <w:pStyle w:val="lbltxt"/>
              <w:keepLines/>
              <w:rPr>
                <w:rStyle w:val="Initial"/>
                <w:sz w:val="22"/>
                <w:szCs w:val="22"/>
                <w:lang w:val="es-ES"/>
              </w:rPr>
            </w:pPr>
            <w:r>
              <w:rPr>
                <w:szCs w:val="22"/>
                <w:lang w:val="es-ES"/>
              </w:rPr>
              <w:t xml:space="preserve">Tel: +34 93 600 18 60 </w:t>
            </w:r>
          </w:p>
          <w:p w14:paraId="777BC857" w14:textId="77777777" w:rsidR="00FE291A" w:rsidRDefault="00FE291A">
            <w:pPr>
              <w:keepLines/>
              <w:widowControl/>
              <w:kinsoku w:val="0"/>
              <w:overflowPunct w:val="0"/>
              <w:rPr>
                <w:sz w:val="22"/>
                <w:szCs w:val="22"/>
                <w:lang w:val="es-ES"/>
              </w:rPr>
            </w:pPr>
          </w:p>
        </w:tc>
        <w:tc>
          <w:tcPr>
            <w:tcW w:w="4572" w:type="dxa"/>
          </w:tcPr>
          <w:p w14:paraId="62C1A957" w14:textId="77777777" w:rsidR="00FE291A" w:rsidRDefault="00C8738F">
            <w:pPr>
              <w:pStyle w:val="lbltxt"/>
              <w:keepNext/>
              <w:rPr>
                <w:b/>
                <w:szCs w:val="22"/>
                <w:lang w:val="pl-PL"/>
              </w:rPr>
            </w:pPr>
            <w:r>
              <w:rPr>
                <w:b/>
                <w:szCs w:val="22"/>
                <w:lang w:val="pl-PL"/>
              </w:rPr>
              <w:t>Polska</w:t>
            </w:r>
          </w:p>
          <w:p w14:paraId="3A8A52A3" w14:textId="77777777" w:rsidR="00FE291A" w:rsidRDefault="00C8738F">
            <w:pPr>
              <w:pStyle w:val="lbltxt"/>
              <w:keepNext/>
              <w:rPr>
                <w:szCs w:val="22"/>
                <w:lang w:val="pl-PL"/>
              </w:rPr>
            </w:pPr>
            <w:r>
              <w:rPr>
                <w:szCs w:val="22"/>
                <w:lang w:val="pl-PL"/>
              </w:rPr>
              <w:t xml:space="preserve">Amgen </w:t>
            </w:r>
            <w:r>
              <w:rPr>
                <w:color w:val="000000"/>
                <w:szCs w:val="22"/>
                <w:lang w:val="pl-PL" w:eastAsia="en-GB"/>
              </w:rPr>
              <w:t>Biotechnologia</w:t>
            </w:r>
            <w:r>
              <w:rPr>
                <w:szCs w:val="22"/>
                <w:lang w:val="pl-PL"/>
              </w:rPr>
              <w:t xml:space="preserve"> Sp. z o.o.</w:t>
            </w:r>
          </w:p>
          <w:p w14:paraId="6790FD7F" w14:textId="77777777" w:rsidR="00FE291A" w:rsidRDefault="00C8738F">
            <w:pPr>
              <w:pStyle w:val="lbltxt"/>
              <w:keepNext/>
              <w:rPr>
                <w:bCs/>
                <w:szCs w:val="22"/>
                <w:lang w:val="de-DE"/>
              </w:rPr>
            </w:pPr>
            <w:r>
              <w:rPr>
                <w:bCs/>
                <w:szCs w:val="22"/>
                <w:lang w:val="de-DE"/>
              </w:rPr>
              <w:t>Tel.: +48 22 581 3000</w:t>
            </w:r>
          </w:p>
          <w:p w14:paraId="4059D983" w14:textId="77777777" w:rsidR="00FE291A" w:rsidRDefault="00FE291A">
            <w:pPr>
              <w:widowControl/>
              <w:kinsoku w:val="0"/>
              <w:overflowPunct w:val="0"/>
              <w:rPr>
                <w:sz w:val="22"/>
                <w:szCs w:val="22"/>
                <w:lang w:val="de-DE"/>
              </w:rPr>
            </w:pPr>
          </w:p>
        </w:tc>
      </w:tr>
      <w:tr w:rsidR="00FE291A" w14:paraId="6C7C4C91" w14:textId="77777777">
        <w:tc>
          <w:tcPr>
            <w:tcW w:w="4463" w:type="dxa"/>
          </w:tcPr>
          <w:p w14:paraId="0B11BBF5" w14:textId="77777777" w:rsidR="00FE291A" w:rsidRDefault="00C8738F">
            <w:pPr>
              <w:pStyle w:val="lbltxt"/>
              <w:rPr>
                <w:szCs w:val="22"/>
                <w:lang w:val="fr-FR"/>
              </w:rPr>
            </w:pPr>
            <w:r>
              <w:rPr>
                <w:b/>
                <w:szCs w:val="22"/>
                <w:lang w:val="fr-FR"/>
              </w:rPr>
              <w:t>France</w:t>
            </w:r>
          </w:p>
          <w:p w14:paraId="426449D2" w14:textId="77777777" w:rsidR="00FE291A" w:rsidRDefault="00C8738F">
            <w:pPr>
              <w:pStyle w:val="lbltxt"/>
              <w:rPr>
                <w:szCs w:val="22"/>
                <w:lang w:val="fr-FR"/>
              </w:rPr>
            </w:pPr>
            <w:r>
              <w:rPr>
                <w:szCs w:val="22"/>
                <w:lang w:val="fr-FR"/>
              </w:rPr>
              <w:t>Amgen S.A.S.</w:t>
            </w:r>
          </w:p>
          <w:p w14:paraId="1C70D063" w14:textId="77777777" w:rsidR="00FE291A" w:rsidRDefault="00C8738F">
            <w:pPr>
              <w:widowControl/>
              <w:rPr>
                <w:sz w:val="22"/>
                <w:szCs w:val="22"/>
                <w:lang w:val="fr-FR"/>
              </w:rPr>
            </w:pPr>
            <w:r>
              <w:rPr>
                <w:sz w:val="22"/>
                <w:szCs w:val="22"/>
                <w:lang w:val="fr-FR"/>
              </w:rPr>
              <w:t>Tél: +33 (0)9 69 363 363</w:t>
            </w:r>
          </w:p>
          <w:p w14:paraId="2EF72A4D" w14:textId="77777777" w:rsidR="00FE291A" w:rsidRDefault="00FE291A">
            <w:pPr>
              <w:widowControl/>
              <w:kinsoku w:val="0"/>
              <w:overflowPunct w:val="0"/>
              <w:rPr>
                <w:sz w:val="22"/>
                <w:szCs w:val="22"/>
                <w:lang w:val="fr-FR"/>
              </w:rPr>
            </w:pPr>
          </w:p>
        </w:tc>
        <w:tc>
          <w:tcPr>
            <w:tcW w:w="4572" w:type="dxa"/>
          </w:tcPr>
          <w:p w14:paraId="5B1E989F" w14:textId="77777777" w:rsidR="00FE291A" w:rsidRDefault="00C8738F">
            <w:pPr>
              <w:pStyle w:val="lbltxt"/>
              <w:rPr>
                <w:szCs w:val="22"/>
                <w:lang w:val="es-ES"/>
              </w:rPr>
            </w:pPr>
            <w:r>
              <w:rPr>
                <w:b/>
                <w:szCs w:val="22"/>
                <w:lang w:val="es-ES"/>
              </w:rPr>
              <w:t>Portugal</w:t>
            </w:r>
          </w:p>
          <w:p w14:paraId="3FD204FF" w14:textId="77777777" w:rsidR="00FE291A" w:rsidRDefault="00C8738F">
            <w:pPr>
              <w:pStyle w:val="lbltxt"/>
              <w:rPr>
                <w:szCs w:val="22"/>
                <w:lang w:val="es-ES"/>
              </w:rPr>
            </w:pPr>
            <w:r>
              <w:rPr>
                <w:szCs w:val="22"/>
                <w:lang w:val="es-ES"/>
              </w:rPr>
              <w:t>Amgen Biofarmacêutica, Lda.</w:t>
            </w:r>
          </w:p>
          <w:p w14:paraId="7716806D" w14:textId="77777777" w:rsidR="00FE291A" w:rsidRDefault="00C8738F">
            <w:pPr>
              <w:pStyle w:val="lbltxt"/>
              <w:rPr>
                <w:szCs w:val="22"/>
                <w:lang w:val="es-ES"/>
              </w:rPr>
            </w:pPr>
            <w:r>
              <w:rPr>
                <w:szCs w:val="22"/>
                <w:lang w:val="es-ES"/>
              </w:rPr>
              <w:t>Tel: +351 21 4220606</w:t>
            </w:r>
          </w:p>
          <w:p w14:paraId="3549D4FA" w14:textId="77777777" w:rsidR="00FE291A" w:rsidRDefault="00FE291A">
            <w:pPr>
              <w:widowControl/>
              <w:kinsoku w:val="0"/>
              <w:overflowPunct w:val="0"/>
              <w:rPr>
                <w:sz w:val="22"/>
                <w:szCs w:val="22"/>
                <w:lang w:val="es-ES"/>
              </w:rPr>
            </w:pPr>
          </w:p>
        </w:tc>
      </w:tr>
      <w:tr w:rsidR="00FE291A" w14:paraId="2C94DA01" w14:textId="77777777">
        <w:tc>
          <w:tcPr>
            <w:tcW w:w="4463" w:type="dxa"/>
          </w:tcPr>
          <w:p w14:paraId="77923708" w14:textId="77777777" w:rsidR="00FE291A" w:rsidRDefault="00C8738F">
            <w:pPr>
              <w:keepNext/>
              <w:keepLines/>
              <w:widowControl/>
              <w:rPr>
                <w:sz w:val="22"/>
                <w:szCs w:val="22"/>
                <w:lang w:val="sv-SE"/>
              </w:rPr>
            </w:pPr>
            <w:r>
              <w:rPr>
                <w:b/>
                <w:sz w:val="22"/>
                <w:szCs w:val="22"/>
                <w:lang w:val="sv-SE"/>
              </w:rPr>
              <w:t>Hrvatska</w:t>
            </w:r>
          </w:p>
          <w:p w14:paraId="3F561E86" w14:textId="77777777" w:rsidR="00FE291A" w:rsidRDefault="00C8738F">
            <w:pPr>
              <w:keepNext/>
              <w:keepLines/>
              <w:widowControl/>
              <w:rPr>
                <w:sz w:val="22"/>
                <w:szCs w:val="22"/>
                <w:lang w:val="sv-SE"/>
              </w:rPr>
            </w:pPr>
            <w:r>
              <w:rPr>
                <w:sz w:val="22"/>
                <w:szCs w:val="22"/>
                <w:lang w:val="sv-SE"/>
              </w:rPr>
              <w:t>Amgen d.o.o.</w:t>
            </w:r>
          </w:p>
          <w:p w14:paraId="65DDD4D1" w14:textId="77777777" w:rsidR="00FE291A" w:rsidRDefault="00C8738F">
            <w:pPr>
              <w:keepNext/>
              <w:keepLines/>
              <w:widowControl/>
              <w:rPr>
                <w:sz w:val="22"/>
                <w:szCs w:val="22"/>
                <w:lang w:val="de-DE"/>
              </w:rPr>
            </w:pPr>
            <w:r>
              <w:rPr>
                <w:sz w:val="22"/>
                <w:szCs w:val="22"/>
                <w:lang w:val="de-DE"/>
              </w:rPr>
              <w:t>Tel: +385 (0)1 562 57 20</w:t>
            </w:r>
          </w:p>
          <w:p w14:paraId="0A3A4379" w14:textId="77777777" w:rsidR="00FE291A" w:rsidRDefault="00FE291A">
            <w:pPr>
              <w:widowControl/>
              <w:kinsoku w:val="0"/>
              <w:overflowPunct w:val="0"/>
              <w:rPr>
                <w:sz w:val="22"/>
                <w:szCs w:val="22"/>
                <w:lang w:val="de-DE"/>
              </w:rPr>
            </w:pPr>
          </w:p>
        </w:tc>
        <w:tc>
          <w:tcPr>
            <w:tcW w:w="4572" w:type="dxa"/>
          </w:tcPr>
          <w:p w14:paraId="783B41DC" w14:textId="77777777" w:rsidR="00FE291A" w:rsidRDefault="00C8738F">
            <w:pPr>
              <w:keepNext/>
              <w:keepLines/>
              <w:widowControl/>
              <w:suppressAutoHyphens/>
              <w:rPr>
                <w:b/>
                <w:sz w:val="22"/>
                <w:szCs w:val="22"/>
                <w:lang w:val="it-IT"/>
              </w:rPr>
            </w:pPr>
            <w:r>
              <w:rPr>
                <w:b/>
                <w:sz w:val="22"/>
                <w:szCs w:val="22"/>
                <w:lang w:val="it-IT"/>
              </w:rPr>
              <w:t>România</w:t>
            </w:r>
          </w:p>
          <w:p w14:paraId="145A8B03" w14:textId="77777777" w:rsidR="00FE291A" w:rsidRDefault="00C8738F">
            <w:pPr>
              <w:keepNext/>
              <w:keepLines/>
              <w:widowControl/>
              <w:rPr>
                <w:color w:val="000000"/>
                <w:sz w:val="22"/>
                <w:szCs w:val="22"/>
                <w:lang w:val="it-IT"/>
              </w:rPr>
            </w:pPr>
            <w:r>
              <w:rPr>
                <w:color w:val="000000"/>
                <w:sz w:val="22"/>
                <w:szCs w:val="22"/>
                <w:lang w:val="it-IT"/>
              </w:rPr>
              <w:t>Amgen România SRL</w:t>
            </w:r>
          </w:p>
          <w:p w14:paraId="7093AFC1" w14:textId="77777777" w:rsidR="00FE291A" w:rsidRDefault="00C8738F">
            <w:pPr>
              <w:pStyle w:val="lbltxt"/>
              <w:keepNext/>
              <w:keepLines/>
              <w:rPr>
                <w:szCs w:val="22"/>
                <w:lang w:val="it-IT"/>
              </w:rPr>
            </w:pPr>
            <w:r>
              <w:rPr>
                <w:szCs w:val="22"/>
                <w:lang w:val="it-IT"/>
              </w:rPr>
              <w:t>Tel: +4021 527 3000</w:t>
            </w:r>
          </w:p>
          <w:p w14:paraId="6CCA6BC2" w14:textId="77777777" w:rsidR="00FE291A" w:rsidRDefault="00FE291A">
            <w:pPr>
              <w:widowControl/>
              <w:kinsoku w:val="0"/>
              <w:overflowPunct w:val="0"/>
              <w:rPr>
                <w:sz w:val="22"/>
                <w:szCs w:val="22"/>
                <w:lang w:val="it-IT"/>
              </w:rPr>
            </w:pPr>
          </w:p>
        </w:tc>
      </w:tr>
      <w:tr w:rsidR="00FE291A" w14:paraId="1A5E2635" w14:textId="77777777">
        <w:tc>
          <w:tcPr>
            <w:tcW w:w="4463" w:type="dxa"/>
          </w:tcPr>
          <w:p w14:paraId="657C1AD3" w14:textId="77777777" w:rsidR="00FE291A" w:rsidRDefault="00C8738F">
            <w:pPr>
              <w:pStyle w:val="lbltxt"/>
              <w:rPr>
                <w:rFonts w:eastAsia="Arial Unicode MS"/>
                <w:b/>
                <w:szCs w:val="22"/>
                <w:lang w:val="en-US"/>
              </w:rPr>
            </w:pPr>
            <w:r>
              <w:rPr>
                <w:rFonts w:eastAsia="Arial Unicode MS"/>
                <w:b/>
                <w:szCs w:val="22"/>
                <w:lang w:val="en-US"/>
              </w:rPr>
              <w:t>Ireland</w:t>
            </w:r>
          </w:p>
          <w:p w14:paraId="651DEEE9" w14:textId="77777777" w:rsidR="00FE291A" w:rsidRDefault="00C8738F">
            <w:pPr>
              <w:pStyle w:val="lbltxt"/>
              <w:rPr>
                <w:rFonts w:eastAsia="Arial Unicode MS"/>
                <w:bCs/>
                <w:szCs w:val="22"/>
                <w:lang w:val="en-US"/>
              </w:rPr>
            </w:pPr>
            <w:r>
              <w:rPr>
                <w:rFonts w:eastAsia="Arial Unicode MS"/>
                <w:bCs/>
                <w:szCs w:val="22"/>
                <w:lang w:val="en-US"/>
              </w:rPr>
              <w:t>Amgen Ireland Limited</w:t>
            </w:r>
          </w:p>
          <w:p w14:paraId="48634DD1" w14:textId="77777777" w:rsidR="00FE291A" w:rsidRDefault="00C8738F">
            <w:pPr>
              <w:pStyle w:val="lbltxt"/>
              <w:rPr>
                <w:rStyle w:val="Initial"/>
                <w:rFonts w:eastAsia="Arial Unicode MS"/>
                <w:bCs/>
                <w:sz w:val="22"/>
                <w:szCs w:val="22"/>
                <w:lang w:val="en-US"/>
              </w:rPr>
            </w:pPr>
            <w:r>
              <w:rPr>
                <w:rFonts w:eastAsia="Arial Unicode MS"/>
                <w:bCs/>
                <w:szCs w:val="22"/>
                <w:lang w:val="en-US"/>
              </w:rPr>
              <w:t>Tel: +353 1 8527400</w:t>
            </w:r>
          </w:p>
          <w:p w14:paraId="24AD175B" w14:textId="77777777" w:rsidR="00FE291A" w:rsidRDefault="00FE291A">
            <w:pPr>
              <w:widowControl/>
              <w:kinsoku w:val="0"/>
              <w:overflowPunct w:val="0"/>
              <w:rPr>
                <w:sz w:val="22"/>
                <w:szCs w:val="22"/>
                <w:lang w:val="en-US"/>
              </w:rPr>
            </w:pPr>
          </w:p>
        </w:tc>
        <w:tc>
          <w:tcPr>
            <w:tcW w:w="4572" w:type="dxa"/>
          </w:tcPr>
          <w:p w14:paraId="1F65BC07" w14:textId="77777777" w:rsidR="00FE291A" w:rsidRDefault="00C8738F">
            <w:pPr>
              <w:pStyle w:val="lbltxt"/>
              <w:rPr>
                <w:b/>
                <w:szCs w:val="22"/>
                <w:lang w:val="en-US"/>
              </w:rPr>
            </w:pPr>
            <w:r>
              <w:rPr>
                <w:b/>
                <w:szCs w:val="22"/>
                <w:lang w:val="en-US"/>
              </w:rPr>
              <w:t>Slovenija</w:t>
            </w:r>
          </w:p>
          <w:p w14:paraId="1CEB1457" w14:textId="77777777" w:rsidR="00FE291A" w:rsidRDefault="00C8738F">
            <w:pPr>
              <w:pStyle w:val="lbltxt"/>
              <w:rPr>
                <w:bCs/>
                <w:szCs w:val="22"/>
                <w:lang w:val="en-US"/>
              </w:rPr>
            </w:pPr>
            <w:r>
              <w:rPr>
                <w:szCs w:val="22"/>
                <w:lang w:val="en-US"/>
              </w:rPr>
              <w:t>AMGEN zdravila d.o.o.</w:t>
            </w:r>
          </w:p>
          <w:p w14:paraId="0177FF23" w14:textId="77777777" w:rsidR="00FE291A" w:rsidRDefault="00C8738F">
            <w:pPr>
              <w:pStyle w:val="lbltxt"/>
              <w:rPr>
                <w:bCs/>
                <w:szCs w:val="22"/>
                <w:lang w:val="en-US"/>
              </w:rPr>
            </w:pPr>
            <w:r>
              <w:rPr>
                <w:bCs/>
                <w:szCs w:val="22"/>
                <w:lang w:val="en-US"/>
              </w:rPr>
              <w:t>Tel: +386 (0)1 585 1767</w:t>
            </w:r>
          </w:p>
          <w:p w14:paraId="738397A9" w14:textId="77777777" w:rsidR="00FE291A" w:rsidRDefault="00FE291A">
            <w:pPr>
              <w:widowControl/>
              <w:kinsoku w:val="0"/>
              <w:overflowPunct w:val="0"/>
              <w:rPr>
                <w:sz w:val="22"/>
                <w:szCs w:val="22"/>
                <w:lang w:val="en-US"/>
              </w:rPr>
            </w:pPr>
          </w:p>
        </w:tc>
      </w:tr>
      <w:tr w:rsidR="00FE291A" w14:paraId="0E2E9ACE" w14:textId="77777777">
        <w:tc>
          <w:tcPr>
            <w:tcW w:w="4463" w:type="dxa"/>
          </w:tcPr>
          <w:p w14:paraId="28EC8F5B" w14:textId="77777777" w:rsidR="00FE291A" w:rsidRDefault="00C8738F">
            <w:pPr>
              <w:pStyle w:val="lbltxt"/>
              <w:keepNext/>
              <w:keepLines/>
              <w:rPr>
                <w:b/>
                <w:szCs w:val="22"/>
                <w:lang w:val="de-DE"/>
              </w:rPr>
            </w:pPr>
            <w:r>
              <w:rPr>
                <w:b/>
                <w:szCs w:val="22"/>
                <w:lang w:val="de-DE"/>
              </w:rPr>
              <w:t>Ísland</w:t>
            </w:r>
          </w:p>
          <w:p w14:paraId="16445035" w14:textId="77777777" w:rsidR="00FE291A" w:rsidRDefault="00C8738F">
            <w:pPr>
              <w:pStyle w:val="lbltxt"/>
              <w:keepNext/>
              <w:keepLines/>
              <w:rPr>
                <w:szCs w:val="22"/>
                <w:lang w:val="de-DE"/>
              </w:rPr>
            </w:pPr>
            <w:r>
              <w:rPr>
                <w:szCs w:val="22"/>
                <w:lang w:val="de-DE"/>
              </w:rPr>
              <w:t>Vistor</w:t>
            </w:r>
            <w:del w:id="140" w:author="Author">
              <w:r>
                <w:rPr>
                  <w:szCs w:val="22"/>
                  <w:lang w:val="de-DE"/>
                </w:rPr>
                <w:delText xml:space="preserve"> hf.</w:delText>
              </w:r>
            </w:del>
          </w:p>
          <w:p w14:paraId="55C5B2EE" w14:textId="77777777" w:rsidR="00FE291A" w:rsidRDefault="00C8738F">
            <w:pPr>
              <w:pStyle w:val="lbltxt"/>
              <w:keepNext/>
              <w:keepLines/>
              <w:rPr>
                <w:szCs w:val="22"/>
                <w:lang w:val="de-DE"/>
              </w:rPr>
            </w:pPr>
            <w:r>
              <w:rPr>
                <w:szCs w:val="22"/>
                <w:lang w:val="de-DE"/>
              </w:rPr>
              <w:t>Sími: +354 535 7000</w:t>
            </w:r>
          </w:p>
          <w:p w14:paraId="1C6E3EB6" w14:textId="77777777" w:rsidR="00FE291A" w:rsidRDefault="00FE291A">
            <w:pPr>
              <w:keepNext/>
              <w:keepLines/>
              <w:widowControl/>
              <w:kinsoku w:val="0"/>
              <w:overflowPunct w:val="0"/>
              <w:rPr>
                <w:sz w:val="22"/>
                <w:szCs w:val="22"/>
                <w:lang w:val="de-DE"/>
              </w:rPr>
            </w:pPr>
          </w:p>
        </w:tc>
        <w:tc>
          <w:tcPr>
            <w:tcW w:w="4572" w:type="dxa"/>
          </w:tcPr>
          <w:p w14:paraId="4C689552" w14:textId="77777777" w:rsidR="00FE291A" w:rsidRDefault="00C8738F">
            <w:pPr>
              <w:pStyle w:val="lbltxt"/>
              <w:keepNext/>
              <w:keepLines/>
              <w:rPr>
                <w:b/>
                <w:szCs w:val="22"/>
                <w:lang w:val="de-DE"/>
              </w:rPr>
            </w:pPr>
            <w:r>
              <w:rPr>
                <w:b/>
                <w:szCs w:val="22"/>
                <w:lang w:val="de-DE"/>
              </w:rPr>
              <w:t>Slovenská republika</w:t>
            </w:r>
          </w:p>
          <w:p w14:paraId="63355662" w14:textId="77777777" w:rsidR="00FE291A" w:rsidRDefault="00C8738F">
            <w:pPr>
              <w:pStyle w:val="lbltxt"/>
              <w:keepNext/>
              <w:keepLines/>
              <w:rPr>
                <w:bCs/>
                <w:szCs w:val="22"/>
                <w:lang w:val="de-DE"/>
              </w:rPr>
            </w:pPr>
            <w:r>
              <w:rPr>
                <w:bCs/>
                <w:szCs w:val="22"/>
                <w:lang w:val="de-DE"/>
              </w:rPr>
              <w:t>Amgen Slovakia s.r.o.</w:t>
            </w:r>
          </w:p>
          <w:p w14:paraId="103FE783" w14:textId="77777777" w:rsidR="00FE291A" w:rsidRDefault="00C8738F">
            <w:pPr>
              <w:pStyle w:val="lbltxt"/>
              <w:keepNext/>
              <w:keepLines/>
              <w:rPr>
                <w:bCs/>
                <w:szCs w:val="22"/>
                <w:lang w:val="de-DE"/>
              </w:rPr>
            </w:pPr>
            <w:r>
              <w:rPr>
                <w:bCs/>
                <w:szCs w:val="22"/>
                <w:lang w:val="de-DE"/>
              </w:rPr>
              <w:t>Tel: +421 2 321 114 49</w:t>
            </w:r>
          </w:p>
          <w:p w14:paraId="7EA1545E" w14:textId="77777777" w:rsidR="00FE291A" w:rsidRDefault="00FE291A">
            <w:pPr>
              <w:keepNext/>
              <w:keepLines/>
              <w:widowControl/>
              <w:kinsoku w:val="0"/>
              <w:overflowPunct w:val="0"/>
              <w:rPr>
                <w:sz w:val="22"/>
                <w:szCs w:val="22"/>
                <w:lang w:val="de-DE"/>
              </w:rPr>
            </w:pPr>
          </w:p>
        </w:tc>
      </w:tr>
      <w:tr w:rsidR="00FE291A" w14:paraId="32AB61E2" w14:textId="77777777">
        <w:tc>
          <w:tcPr>
            <w:tcW w:w="4463" w:type="dxa"/>
          </w:tcPr>
          <w:p w14:paraId="2CF57FAB" w14:textId="77777777" w:rsidR="00FE291A" w:rsidRDefault="00C8738F">
            <w:pPr>
              <w:pStyle w:val="lbltxt"/>
              <w:rPr>
                <w:szCs w:val="22"/>
                <w:lang w:val="es-ES"/>
              </w:rPr>
            </w:pPr>
            <w:r>
              <w:rPr>
                <w:b/>
                <w:szCs w:val="22"/>
                <w:lang w:val="es-ES"/>
              </w:rPr>
              <w:t>Italia</w:t>
            </w:r>
          </w:p>
          <w:p w14:paraId="612F8AC0" w14:textId="77777777" w:rsidR="00FE291A" w:rsidRDefault="00C8738F">
            <w:pPr>
              <w:pStyle w:val="lbltxt"/>
              <w:rPr>
                <w:szCs w:val="22"/>
                <w:lang w:val="es-ES"/>
              </w:rPr>
            </w:pPr>
            <w:r>
              <w:rPr>
                <w:szCs w:val="22"/>
                <w:lang w:val="es-ES"/>
              </w:rPr>
              <w:t>Amgen S.r.l.</w:t>
            </w:r>
          </w:p>
          <w:p w14:paraId="77EADA76" w14:textId="77777777" w:rsidR="00FE291A" w:rsidRDefault="00C8738F">
            <w:pPr>
              <w:pStyle w:val="lbltxt"/>
              <w:rPr>
                <w:szCs w:val="22"/>
                <w:lang w:val="de-DE"/>
              </w:rPr>
            </w:pPr>
            <w:r>
              <w:rPr>
                <w:szCs w:val="22"/>
                <w:lang w:val="de-DE"/>
              </w:rPr>
              <w:t>Tel: +39 02 6241121</w:t>
            </w:r>
          </w:p>
          <w:p w14:paraId="07CBE498" w14:textId="77777777" w:rsidR="00FE291A" w:rsidRDefault="00FE291A">
            <w:pPr>
              <w:widowControl/>
              <w:kinsoku w:val="0"/>
              <w:overflowPunct w:val="0"/>
              <w:rPr>
                <w:sz w:val="22"/>
                <w:szCs w:val="22"/>
                <w:lang w:val="de-DE"/>
              </w:rPr>
            </w:pPr>
          </w:p>
        </w:tc>
        <w:tc>
          <w:tcPr>
            <w:tcW w:w="4572" w:type="dxa"/>
          </w:tcPr>
          <w:p w14:paraId="340D5B49" w14:textId="77777777" w:rsidR="00FE291A" w:rsidRDefault="00C8738F">
            <w:pPr>
              <w:pStyle w:val="lbltxt"/>
              <w:rPr>
                <w:szCs w:val="22"/>
                <w:lang w:val="de-DE"/>
              </w:rPr>
            </w:pPr>
            <w:r>
              <w:rPr>
                <w:b/>
                <w:szCs w:val="22"/>
                <w:lang w:val="de-DE"/>
              </w:rPr>
              <w:t>Suomi/Finland</w:t>
            </w:r>
          </w:p>
          <w:p w14:paraId="7F73BE9B" w14:textId="77777777" w:rsidR="00FE291A" w:rsidRDefault="00C8738F">
            <w:pPr>
              <w:pStyle w:val="lbltxt"/>
              <w:rPr>
                <w:szCs w:val="22"/>
                <w:lang w:val="de-DE"/>
              </w:rPr>
            </w:pPr>
            <w:r>
              <w:rPr>
                <w:szCs w:val="22"/>
                <w:lang w:val="de-DE"/>
              </w:rPr>
              <w:t>Amgen AB, sivuliike Suomessa/Amgen AB, filial i Finland</w:t>
            </w:r>
          </w:p>
          <w:p w14:paraId="16643E44" w14:textId="77777777" w:rsidR="00FE291A" w:rsidRDefault="00C8738F">
            <w:pPr>
              <w:pStyle w:val="lbltxt"/>
              <w:rPr>
                <w:szCs w:val="22"/>
                <w:lang w:val="de-DE"/>
              </w:rPr>
            </w:pPr>
            <w:r>
              <w:rPr>
                <w:szCs w:val="22"/>
                <w:lang w:val="nl-NL"/>
              </w:rPr>
              <w:t>Puh/Tel: +358 (0)9 54900500</w:t>
            </w:r>
          </w:p>
          <w:p w14:paraId="1EB57738" w14:textId="77777777" w:rsidR="00FE291A" w:rsidRDefault="00FE291A">
            <w:pPr>
              <w:pStyle w:val="lbltxt"/>
              <w:rPr>
                <w:szCs w:val="22"/>
                <w:lang w:val="de-DE"/>
              </w:rPr>
            </w:pPr>
          </w:p>
        </w:tc>
      </w:tr>
      <w:tr w:rsidR="00FE291A" w14:paraId="31358115" w14:textId="77777777">
        <w:tc>
          <w:tcPr>
            <w:tcW w:w="4463" w:type="dxa"/>
          </w:tcPr>
          <w:p w14:paraId="73D6D9F7" w14:textId="77777777" w:rsidR="00FE291A" w:rsidRDefault="00C8738F">
            <w:pPr>
              <w:pStyle w:val="lbltxt"/>
              <w:rPr>
                <w:b/>
                <w:szCs w:val="22"/>
                <w:lang w:val="en-IN"/>
              </w:rPr>
            </w:pPr>
            <w:r>
              <w:rPr>
                <w:b/>
                <w:szCs w:val="22"/>
                <w:lang w:val="en-IN"/>
              </w:rPr>
              <w:t>K</w:t>
            </w:r>
            <w:r>
              <w:rPr>
                <w:b/>
                <w:szCs w:val="22"/>
                <w:lang w:val="de-DE"/>
              </w:rPr>
              <w:t>ύπρος</w:t>
            </w:r>
          </w:p>
          <w:p w14:paraId="1474C1C8" w14:textId="77777777" w:rsidR="00FE291A" w:rsidRDefault="00C8738F">
            <w:pPr>
              <w:widowControl/>
              <w:rPr>
                <w:sz w:val="22"/>
                <w:szCs w:val="22"/>
              </w:rPr>
            </w:pPr>
            <w:r>
              <w:rPr>
                <w:sz w:val="22"/>
                <w:szCs w:val="22"/>
              </w:rPr>
              <w:t>C.A. Papaellinas Ltd</w:t>
            </w:r>
          </w:p>
          <w:p w14:paraId="5E3AE29B" w14:textId="77777777" w:rsidR="00FE291A" w:rsidRDefault="00C8738F">
            <w:pPr>
              <w:pStyle w:val="lbltxt"/>
              <w:rPr>
                <w:szCs w:val="22"/>
                <w:lang w:val="en-IN"/>
              </w:rPr>
            </w:pPr>
            <w:r>
              <w:rPr>
                <w:szCs w:val="22"/>
                <w:lang w:val="de-DE"/>
              </w:rPr>
              <w:t>Τηλ</w:t>
            </w:r>
            <w:r>
              <w:rPr>
                <w:szCs w:val="22"/>
                <w:lang w:val="en-IN"/>
              </w:rPr>
              <w:t>: +357 22741 741</w:t>
            </w:r>
          </w:p>
          <w:p w14:paraId="1414430E" w14:textId="77777777" w:rsidR="00FE291A" w:rsidRDefault="00FE291A">
            <w:pPr>
              <w:widowControl/>
              <w:kinsoku w:val="0"/>
              <w:overflowPunct w:val="0"/>
              <w:rPr>
                <w:sz w:val="22"/>
                <w:szCs w:val="22"/>
              </w:rPr>
            </w:pPr>
          </w:p>
        </w:tc>
        <w:tc>
          <w:tcPr>
            <w:tcW w:w="4572" w:type="dxa"/>
          </w:tcPr>
          <w:p w14:paraId="685D3564" w14:textId="77777777" w:rsidR="00FE291A" w:rsidRDefault="00C8738F">
            <w:pPr>
              <w:pStyle w:val="lbltxt"/>
              <w:rPr>
                <w:szCs w:val="22"/>
                <w:lang w:val="de-DE"/>
              </w:rPr>
            </w:pPr>
            <w:r>
              <w:rPr>
                <w:b/>
                <w:szCs w:val="22"/>
                <w:lang w:val="de-DE"/>
              </w:rPr>
              <w:t>Sverige</w:t>
            </w:r>
          </w:p>
          <w:p w14:paraId="5AD63E34" w14:textId="77777777" w:rsidR="00FE291A" w:rsidRDefault="00C8738F">
            <w:pPr>
              <w:pStyle w:val="lbltxt"/>
              <w:rPr>
                <w:szCs w:val="22"/>
                <w:lang w:val="de-DE"/>
              </w:rPr>
            </w:pPr>
            <w:r>
              <w:rPr>
                <w:szCs w:val="22"/>
                <w:lang w:val="de-DE"/>
              </w:rPr>
              <w:t xml:space="preserve">Amgen AB </w:t>
            </w:r>
          </w:p>
          <w:p w14:paraId="681D3AE9" w14:textId="77777777" w:rsidR="00FE291A" w:rsidRDefault="00C8738F">
            <w:pPr>
              <w:pStyle w:val="lbltxt"/>
              <w:rPr>
                <w:szCs w:val="22"/>
                <w:lang w:val="de-DE"/>
              </w:rPr>
            </w:pPr>
            <w:r>
              <w:rPr>
                <w:szCs w:val="22"/>
                <w:lang w:val="de-DE"/>
              </w:rPr>
              <w:t>Tel: +46 (0)8 6951100</w:t>
            </w:r>
          </w:p>
          <w:p w14:paraId="4469FDAC" w14:textId="77777777" w:rsidR="00FE291A" w:rsidRDefault="00FE291A">
            <w:pPr>
              <w:widowControl/>
              <w:kinsoku w:val="0"/>
              <w:overflowPunct w:val="0"/>
              <w:rPr>
                <w:sz w:val="22"/>
                <w:szCs w:val="22"/>
                <w:lang w:val="de-DE"/>
              </w:rPr>
            </w:pPr>
          </w:p>
        </w:tc>
      </w:tr>
      <w:tr w:rsidR="00FE291A" w14:paraId="1621A091" w14:textId="77777777">
        <w:tc>
          <w:tcPr>
            <w:tcW w:w="4463" w:type="dxa"/>
          </w:tcPr>
          <w:p w14:paraId="6CA5D50C" w14:textId="77777777" w:rsidR="00FE291A" w:rsidRPr="00211AE1" w:rsidRDefault="00C8738F">
            <w:pPr>
              <w:pStyle w:val="lbltxt"/>
              <w:rPr>
                <w:b/>
                <w:bCs/>
                <w:szCs w:val="22"/>
                <w:lang w:val="de-DE"/>
              </w:rPr>
            </w:pPr>
            <w:r w:rsidRPr="00211AE1">
              <w:rPr>
                <w:b/>
                <w:bCs/>
                <w:szCs w:val="22"/>
                <w:lang w:val="de-DE"/>
              </w:rPr>
              <w:t>Latvija</w:t>
            </w:r>
          </w:p>
          <w:p w14:paraId="30EB2612" w14:textId="77777777" w:rsidR="00FE291A" w:rsidRPr="00211AE1" w:rsidRDefault="00C8738F">
            <w:pPr>
              <w:pStyle w:val="lbltxt"/>
              <w:rPr>
                <w:szCs w:val="22"/>
                <w:lang w:val="de-DE"/>
              </w:rPr>
            </w:pPr>
            <w:r w:rsidRPr="00211AE1">
              <w:rPr>
                <w:szCs w:val="22"/>
                <w:lang w:val="de-DE"/>
              </w:rPr>
              <w:t>Amgen Switzerland AG Rīgas filiāle</w:t>
            </w:r>
          </w:p>
          <w:p w14:paraId="48204BFE" w14:textId="77777777" w:rsidR="00FE291A" w:rsidRDefault="00C8738F">
            <w:pPr>
              <w:pStyle w:val="lbltxt"/>
              <w:rPr>
                <w:szCs w:val="22"/>
                <w:lang w:val="de-DE"/>
              </w:rPr>
            </w:pPr>
            <w:r>
              <w:rPr>
                <w:bCs/>
                <w:szCs w:val="22"/>
                <w:lang w:val="de-DE"/>
              </w:rPr>
              <w:t>Tel: +</w:t>
            </w:r>
            <w:r>
              <w:rPr>
                <w:szCs w:val="22"/>
                <w:lang w:val="de-DE"/>
              </w:rPr>
              <w:t>371 257 25888</w:t>
            </w:r>
          </w:p>
          <w:p w14:paraId="1A1025BE" w14:textId="77777777" w:rsidR="00FE291A" w:rsidRDefault="00FE291A">
            <w:pPr>
              <w:widowControl/>
              <w:kinsoku w:val="0"/>
              <w:overflowPunct w:val="0"/>
              <w:rPr>
                <w:sz w:val="22"/>
                <w:szCs w:val="22"/>
                <w:lang w:val="de-DE"/>
              </w:rPr>
            </w:pPr>
          </w:p>
        </w:tc>
        <w:tc>
          <w:tcPr>
            <w:tcW w:w="4572" w:type="dxa"/>
          </w:tcPr>
          <w:p w14:paraId="7884B506" w14:textId="77777777" w:rsidR="00FE291A" w:rsidRDefault="00FE291A">
            <w:pPr>
              <w:pStyle w:val="lbltxt"/>
              <w:rPr>
                <w:szCs w:val="22"/>
                <w:lang w:val="de-DE"/>
              </w:rPr>
            </w:pPr>
          </w:p>
        </w:tc>
      </w:tr>
    </w:tbl>
    <w:p w14:paraId="2319980B" w14:textId="77777777" w:rsidR="00FE291A" w:rsidRDefault="00FE291A">
      <w:pPr>
        <w:widowControl/>
        <w:rPr>
          <w:sz w:val="22"/>
          <w:lang w:val="de-DE"/>
        </w:rPr>
      </w:pPr>
    </w:p>
    <w:p w14:paraId="27EAAEC5" w14:textId="77777777" w:rsidR="00FE291A" w:rsidRDefault="00C8738F">
      <w:pPr>
        <w:pStyle w:val="Heading1"/>
        <w:keepNext/>
        <w:widowControl/>
        <w:kinsoku w:val="0"/>
        <w:overflowPunct w:val="0"/>
        <w:ind w:left="0"/>
        <w:rPr>
          <w:b w:val="0"/>
          <w:bCs w:val="0"/>
          <w:lang w:val="de-DE"/>
        </w:rPr>
      </w:pPr>
      <w:r>
        <w:rPr>
          <w:lang w:val="de-DE"/>
        </w:rPr>
        <w:t>Diese Packungsbeilage wurde zuletzt überarbeitet im</w:t>
      </w:r>
    </w:p>
    <w:p w14:paraId="713F8E0F" w14:textId="77777777" w:rsidR="00FE291A" w:rsidRDefault="00FE291A">
      <w:pPr>
        <w:keepNext/>
        <w:widowControl/>
        <w:kinsoku w:val="0"/>
        <w:overflowPunct w:val="0"/>
        <w:rPr>
          <w:sz w:val="22"/>
          <w:szCs w:val="22"/>
          <w:lang w:val="de-DE"/>
        </w:rPr>
      </w:pPr>
    </w:p>
    <w:p w14:paraId="2E39D521" w14:textId="77777777" w:rsidR="00FE291A" w:rsidRDefault="00C8738F">
      <w:pPr>
        <w:keepNext/>
        <w:widowControl/>
        <w:kinsoku w:val="0"/>
        <w:overflowPunct w:val="0"/>
        <w:rPr>
          <w:b/>
          <w:sz w:val="22"/>
          <w:szCs w:val="22"/>
          <w:lang w:val="de-DE"/>
        </w:rPr>
      </w:pPr>
      <w:r>
        <w:rPr>
          <w:b/>
          <w:sz w:val="22"/>
          <w:szCs w:val="22"/>
          <w:lang w:val="de-DE"/>
        </w:rPr>
        <w:t>Weitere Informationsquellen</w:t>
      </w:r>
    </w:p>
    <w:p w14:paraId="7BB21A3E" w14:textId="77777777" w:rsidR="00FE291A" w:rsidRDefault="00FE291A">
      <w:pPr>
        <w:widowControl/>
        <w:kinsoku w:val="0"/>
        <w:overflowPunct w:val="0"/>
        <w:rPr>
          <w:sz w:val="22"/>
          <w:szCs w:val="22"/>
          <w:lang w:val="de-DE"/>
        </w:rPr>
      </w:pPr>
    </w:p>
    <w:p w14:paraId="7AA5B2C2" w14:textId="77777777" w:rsidR="00FE291A" w:rsidRDefault="00C8738F">
      <w:pPr>
        <w:pStyle w:val="BodyText"/>
        <w:widowControl/>
        <w:kinsoku w:val="0"/>
        <w:overflowPunct w:val="0"/>
        <w:ind w:left="0"/>
        <w:rPr>
          <w:color w:val="000000"/>
          <w:lang w:val="de-DE"/>
        </w:rPr>
      </w:pPr>
      <w:r>
        <w:rPr>
          <w:lang w:val="de-DE"/>
        </w:rPr>
        <w:t xml:space="preserve">Ausführliche Informationen zu diesem Arzneimittel sind auf den Internetseiten der Europäischen Arzneimittel-Agentur </w:t>
      </w:r>
      <w:r>
        <w:fldChar w:fldCharType="begin"/>
      </w:r>
      <w:r w:rsidRPr="00F076DE">
        <w:rPr>
          <w:lang w:val="de-DE"/>
          <w:rPrChange w:id="141" w:author="Author">
            <w:rPr/>
          </w:rPrChange>
        </w:rPr>
        <w:instrText>HYPERLINK "https://www.ema.europa.eu/"</w:instrText>
      </w:r>
      <w:r>
        <w:fldChar w:fldCharType="separate"/>
      </w:r>
      <w:r>
        <w:rPr>
          <w:rStyle w:val="Hyperlink"/>
          <w:color w:val="0000FF"/>
          <w:lang w:val="de-DE" w:eastAsia="en-US"/>
        </w:rPr>
        <w:t>https://www.ema.europa.eu/</w:t>
      </w:r>
      <w:r>
        <w:fldChar w:fldCharType="end"/>
      </w:r>
      <w:r>
        <w:rPr>
          <w:lang w:val="de-DE"/>
        </w:rPr>
        <w:t xml:space="preserve"> </w:t>
      </w:r>
      <w:r>
        <w:rPr>
          <w:color w:val="000000"/>
          <w:lang w:val="de-DE"/>
        </w:rPr>
        <w:t>verfügbar.</w:t>
      </w:r>
    </w:p>
    <w:p w14:paraId="41C7AE98" w14:textId="77777777" w:rsidR="00FE291A" w:rsidRDefault="00FE291A">
      <w:pPr>
        <w:pStyle w:val="BodyText"/>
        <w:widowControl/>
        <w:kinsoku w:val="0"/>
        <w:overflowPunct w:val="0"/>
        <w:ind w:left="0"/>
        <w:rPr>
          <w:color w:val="000000"/>
          <w:lang w:val="de-DE"/>
        </w:rPr>
      </w:pPr>
    </w:p>
    <w:p w14:paraId="2481C946" w14:textId="77777777" w:rsidR="00FE291A" w:rsidRDefault="00C8738F">
      <w:pPr>
        <w:widowControl/>
        <w:numPr>
          <w:ilvl w:val="12"/>
          <w:numId w:val="0"/>
        </w:numPr>
        <w:ind w:right="-2"/>
        <w:rPr>
          <w:sz w:val="22"/>
          <w:szCs w:val="22"/>
          <w:lang w:val="de-DE"/>
        </w:rPr>
      </w:pPr>
      <w:r>
        <w:rPr>
          <w:sz w:val="22"/>
          <w:szCs w:val="22"/>
          <w:lang w:val="de-DE"/>
        </w:rPr>
        <w:t>-----------------------------------------------------------------------------------------------------------------</w:t>
      </w:r>
    </w:p>
    <w:tbl>
      <w:tblPr>
        <w:tblW w:w="4999" w:type="pct"/>
        <w:tblLook w:val="04A0" w:firstRow="1" w:lastRow="0" w:firstColumn="1" w:lastColumn="0" w:noHBand="0" w:noVBand="1"/>
      </w:tblPr>
      <w:tblGrid>
        <w:gridCol w:w="1787"/>
        <w:gridCol w:w="2873"/>
        <w:gridCol w:w="2375"/>
        <w:gridCol w:w="2024"/>
      </w:tblGrid>
      <w:tr w:rsidR="00FE291A" w14:paraId="39A11F0D" w14:textId="77777777">
        <w:trPr>
          <w:trHeight w:val="283"/>
        </w:trPr>
        <w:tc>
          <w:tcPr>
            <w:tcW w:w="5000" w:type="pct"/>
            <w:gridSpan w:val="4"/>
            <w:tcBorders>
              <w:top w:val="single" w:sz="4" w:space="0" w:color="auto"/>
              <w:left w:val="single" w:sz="4" w:space="0" w:color="auto"/>
              <w:bottom w:val="single" w:sz="4" w:space="0" w:color="auto"/>
              <w:right w:val="single" w:sz="4" w:space="0" w:color="auto"/>
            </w:tcBorders>
          </w:tcPr>
          <w:p w14:paraId="221343EB" w14:textId="77777777" w:rsidR="00FE291A" w:rsidRDefault="00C8738F">
            <w:pPr>
              <w:pageBreakBefore/>
              <w:widowControl/>
              <w:rPr>
                <w:sz w:val="22"/>
                <w:szCs w:val="22"/>
                <w:lang w:val="de-DE"/>
              </w:rPr>
            </w:pPr>
            <w:r>
              <w:rPr>
                <w:sz w:val="22"/>
                <w:szCs w:val="22"/>
                <w:lang w:val="de-DE"/>
              </w:rPr>
              <w:t>Gebrauchsanleitung:</w:t>
            </w:r>
          </w:p>
          <w:p w14:paraId="58215EC5" w14:textId="77777777" w:rsidR="00FE291A" w:rsidRDefault="00C8738F">
            <w:pPr>
              <w:pStyle w:val="lbltxt"/>
              <w:keepNext/>
              <w:keepLines/>
              <w:rPr>
                <w:szCs w:val="22"/>
                <w:lang w:val="de-DE"/>
              </w:rPr>
            </w:pPr>
            <w:r>
              <w:rPr>
                <w:rFonts w:eastAsia="Calibri"/>
                <w:szCs w:val="22"/>
                <w:lang w:val="de-DE"/>
              </w:rPr>
              <w:t>AMGEVITA</w:t>
            </w:r>
            <w:r>
              <w:rPr>
                <w:szCs w:val="22"/>
                <w:lang w:val="de-DE"/>
              </w:rPr>
              <w:t xml:space="preserve"> </w:t>
            </w:r>
            <w:r>
              <w:rPr>
                <w:rFonts w:eastAsia="Calibri"/>
                <w:szCs w:val="22"/>
                <w:lang w:val="de-DE"/>
              </w:rPr>
              <w:t>SureClick Fertigpen zum Einmalgebrauch</w:t>
            </w:r>
          </w:p>
          <w:p w14:paraId="133D8196" w14:textId="77777777" w:rsidR="00FE291A" w:rsidRDefault="00C8738F">
            <w:pPr>
              <w:pStyle w:val="lbltxt"/>
              <w:keepNext/>
              <w:keepLines/>
              <w:rPr>
                <w:b/>
                <w:szCs w:val="22"/>
                <w:lang w:val="de-DE"/>
              </w:rPr>
            </w:pPr>
            <w:r>
              <w:rPr>
                <w:szCs w:val="22"/>
                <w:lang w:val="de-DE"/>
              </w:rPr>
              <w:t>Zur subkutanen Anwendung</w:t>
            </w:r>
          </w:p>
        </w:tc>
      </w:tr>
      <w:tr w:rsidR="00FE291A" w14:paraId="731E1C4A" w14:textId="77777777">
        <w:trPr>
          <w:trHeight w:val="73"/>
        </w:trPr>
        <w:tc>
          <w:tcPr>
            <w:tcW w:w="5000" w:type="pct"/>
            <w:gridSpan w:val="4"/>
            <w:tcBorders>
              <w:top w:val="single" w:sz="4" w:space="0" w:color="auto"/>
              <w:bottom w:val="single" w:sz="4" w:space="0" w:color="auto"/>
            </w:tcBorders>
          </w:tcPr>
          <w:p w14:paraId="7530FB1A" w14:textId="77777777" w:rsidR="00FE291A" w:rsidRDefault="00FE291A">
            <w:pPr>
              <w:keepNext/>
              <w:keepLines/>
              <w:widowControl/>
              <w:jc w:val="center"/>
              <w:rPr>
                <w:bCs/>
                <w:sz w:val="22"/>
                <w:szCs w:val="22"/>
                <w:lang w:val="de-DE"/>
              </w:rPr>
            </w:pPr>
          </w:p>
        </w:tc>
      </w:tr>
      <w:tr w:rsidR="00FE291A" w14:paraId="2168914A" w14:textId="77777777">
        <w:tc>
          <w:tcPr>
            <w:tcW w:w="5000" w:type="pct"/>
            <w:gridSpan w:val="4"/>
            <w:tcBorders>
              <w:top w:val="single" w:sz="4" w:space="0" w:color="auto"/>
              <w:left w:val="single" w:sz="4" w:space="0" w:color="auto"/>
              <w:bottom w:val="single" w:sz="4" w:space="0" w:color="auto"/>
              <w:right w:val="single" w:sz="4" w:space="0" w:color="auto"/>
            </w:tcBorders>
          </w:tcPr>
          <w:p w14:paraId="653028DC" w14:textId="77777777" w:rsidR="00FE291A" w:rsidRDefault="00C8738F">
            <w:pPr>
              <w:keepNext/>
              <w:keepLines/>
              <w:widowControl/>
              <w:jc w:val="center"/>
              <w:rPr>
                <w:b/>
                <w:bCs/>
                <w:sz w:val="22"/>
                <w:szCs w:val="22"/>
                <w:lang w:val="de-DE"/>
              </w:rPr>
            </w:pPr>
            <w:r>
              <w:rPr>
                <w:b/>
                <w:bCs/>
                <w:sz w:val="22"/>
                <w:szCs w:val="22"/>
                <w:lang w:val="de-DE"/>
              </w:rPr>
              <w:t>Darstellung der Einzelteile</w:t>
            </w:r>
          </w:p>
          <w:p w14:paraId="039C6202" w14:textId="77777777" w:rsidR="00FE291A" w:rsidRDefault="00FE291A">
            <w:pPr>
              <w:keepNext/>
              <w:keepLines/>
              <w:widowControl/>
              <w:jc w:val="center"/>
              <w:rPr>
                <w:b/>
                <w:sz w:val="22"/>
                <w:szCs w:val="22"/>
                <w:lang w:val="de-DE"/>
              </w:rPr>
            </w:pPr>
          </w:p>
        </w:tc>
      </w:tr>
      <w:tr w:rsidR="00FE291A" w14:paraId="3613967D" w14:textId="77777777">
        <w:trPr>
          <w:trHeight w:val="332"/>
        </w:trPr>
        <w:tc>
          <w:tcPr>
            <w:tcW w:w="2556" w:type="pct"/>
            <w:gridSpan w:val="2"/>
            <w:tcBorders>
              <w:top w:val="single" w:sz="4" w:space="0" w:color="auto"/>
              <w:left w:val="single" w:sz="4" w:space="0" w:color="auto"/>
              <w:right w:val="single" w:sz="4" w:space="0" w:color="auto"/>
            </w:tcBorders>
          </w:tcPr>
          <w:p w14:paraId="439A7DF4" w14:textId="77777777" w:rsidR="00FE291A" w:rsidRDefault="00C8738F">
            <w:pPr>
              <w:keepNext/>
              <w:keepLines/>
              <w:widowControl/>
              <w:jc w:val="center"/>
              <w:rPr>
                <w:b/>
                <w:bCs/>
                <w:sz w:val="22"/>
                <w:szCs w:val="22"/>
                <w:lang w:val="de-DE"/>
              </w:rPr>
            </w:pPr>
            <w:r>
              <w:rPr>
                <w:b/>
                <w:sz w:val="22"/>
                <w:szCs w:val="22"/>
                <w:lang w:val="de-DE"/>
              </w:rPr>
              <w:t>Vor der Anwendung</w:t>
            </w:r>
          </w:p>
        </w:tc>
        <w:tc>
          <w:tcPr>
            <w:tcW w:w="2444" w:type="pct"/>
            <w:gridSpan w:val="2"/>
            <w:tcBorders>
              <w:top w:val="single" w:sz="4" w:space="0" w:color="auto"/>
              <w:left w:val="single" w:sz="4" w:space="0" w:color="auto"/>
              <w:right w:val="single" w:sz="4" w:space="0" w:color="auto"/>
            </w:tcBorders>
          </w:tcPr>
          <w:p w14:paraId="18DECAB7" w14:textId="77777777" w:rsidR="00FE291A" w:rsidRDefault="00C8738F">
            <w:pPr>
              <w:keepNext/>
              <w:widowControl/>
              <w:jc w:val="center"/>
              <w:rPr>
                <w:b/>
                <w:bCs/>
                <w:sz w:val="22"/>
                <w:szCs w:val="22"/>
                <w:lang w:val="de-DE"/>
              </w:rPr>
            </w:pPr>
            <w:r>
              <w:rPr>
                <w:b/>
                <w:sz w:val="22"/>
                <w:szCs w:val="22"/>
                <w:lang w:val="de-DE"/>
              </w:rPr>
              <w:t>Nach der Anwendung</w:t>
            </w:r>
          </w:p>
        </w:tc>
      </w:tr>
      <w:tr w:rsidR="00FE291A" w14:paraId="42B304F2" w14:textId="77777777">
        <w:trPr>
          <w:trHeight w:val="332"/>
        </w:trPr>
        <w:tc>
          <w:tcPr>
            <w:tcW w:w="2556" w:type="pct"/>
            <w:gridSpan w:val="2"/>
            <w:tcBorders>
              <w:top w:val="single" w:sz="4" w:space="0" w:color="auto"/>
              <w:left w:val="single" w:sz="4" w:space="0" w:color="auto"/>
              <w:right w:val="single" w:sz="4" w:space="0" w:color="auto"/>
            </w:tcBorders>
            <w:vAlign w:val="center"/>
          </w:tcPr>
          <w:p w14:paraId="2881023E" w14:textId="77777777" w:rsidR="00FE291A" w:rsidRDefault="00C8738F">
            <w:pPr>
              <w:keepNext/>
              <w:keepLines/>
              <w:widowControl/>
              <w:jc w:val="center"/>
              <w:rPr>
                <w:b/>
                <w:bCs/>
                <w:sz w:val="22"/>
                <w:szCs w:val="22"/>
                <w:lang w:val="de-DE"/>
              </w:rPr>
            </w:pPr>
            <w:r>
              <w:rPr>
                <w:sz w:val="22"/>
                <w:szCs w:val="22"/>
                <w:lang w:val="de-DE"/>
              </w:rPr>
              <w:t>Blauer Startknopf</w:t>
            </w:r>
          </w:p>
        </w:tc>
        <w:tc>
          <w:tcPr>
            <w:tcW w:w="2444" w:type="pct"/>
            <w:gridSpan w:val="2"/>
            <w:tcBorders>
              <w:top w:val="single" w:sz="4" w:space="0" w:color="auto"/>
              <w:left w:val="single" w:sz="4" w:space="0" w:color="auto"/>
              <w:right w:val="single" w:sz="4" w:space="0" w:color="auto"/>
            </w:tcBorders>
          </w:tcPr>
          <w:p w14:paraId="783FCD47" w14:textId="77777777" w:rsidR="00FE291A" w:rsidRDefault="00FE291A">
            <w:pPr>
              <w:keepNext/>
              <w:widowControl/>
              <w:jc w:val="center"/>
              <w:rPr>
                <w:b/>
                <w:bCs/>
                <w:sz w:val="22"/>
                <w:szCs w:val="22"/>
                <w:lang w:val="de-DE"/>
              </w:rPr>
            </w:pPr>
          </w:p>
        </w:tc>
      </w:tr>
      <w:tr w:rsidR="00FE291A" w14:paraId="117D8EB0" w14:textId="77777777">
        <w:trPr>
          <w:cantSplit/>
          <w:trHeight w:val="9168"/>
        </w:trPr>
        <w:tc>
          <w:tcPr>
            <w:tcW w:w="962" w:type="pct"/>
            <w:tcBorders>
              <w:left w:val="single" w:sz="4" w:space="0" w:color="auto"/>
              <w:bottom w:val="single" w:sz="4" w:space="0" w:color="auto"/>
            </w:tcBorders>
          </w:tcPr>
          <w:tbl>
            <w:tblPr>
              <w:tblW w:w="1571" w:type="dxa"/>
              <w:tblLook w:val="04A0" w:firstRow="1" w:lastRow="0" w:firstColumn="1" w:lastColumn="0" w:noHBand="0" w:noVBand="1"/>
            </w:tblPr>
            <w:tblGrid>
              <w:gridCol w:w="1571"/>
            </w:tblGrid>
            <w:tr w:rsidR="00FE291A" w14:paraId="47DA8CED" w14:textId="77777777">
              <w:trPr>
                <w:trHeight w:val="923"/>
              </w:trPr>
              <w:tc>
                <w:tcPr>
                  <w:tcW w:w="1571" w:type="dxa"/>
                  <w:tcMar>
                    <w:top w:w="113" w:type="dxa"/>
                  </w:tcMar>
                  <w:vAlign w:val="bottom"/>
                </w:tcPr>
                <w:p w14:paraId="68D17DF8" w14:textId="77777777" w:rsidR="00FE291A" w:rsidRDefault="00C8738F">
                  <w:pPr>
                    <w:keepNext/>
                    <w:keepLines/>
                    <w:widowControl/>
                    <w:jc w:val="right"/>
                    <w:rPr>
                      <w:sz w:val="22"/>
                      <w:szCs w:val="22"/>
                      <w:lang w:val="de-DE"/>
                    </w:rPr>
                  </w:pPr>
                  <w:r>
                    <w:rPr>
                      <w:sz w:val="22"/>
                      <w:szCs w:val="22"/>
                      <w:lang w:val="de-DE"/>
                    </w:rPr>
                    <w:t>Verfalldatum</w:t>
                  </w:r>
                </w:p>
              </w:tc>
            </w:tr>
            <w:tr w:rsidR="00FE291A" w14:paraId="638426D6" w14:textId="77777777">
              <w:trPr>
                <w:trHeight w:val="3404"/>
              </w:trPr>
              <w:tc>
                <w:tcPr>
                  <w:tcW w:w="1571" w:type="dxa"/>
                  <w:vAlign w:val="bottom"/>
                </w:tcPr>
                <w:p w14:paraId="265D4747" w14:textId="77777777" w:rsidR="00FE291A" w:rsidRDefault="00C8738F">
                  <w:pPr>
                    <w:keepNext/>
                    <w:keepLines/>
                    <w:widowControl/>
                    <w:jc w:val="right"/>
                    <w:rPr>
                      <w:sz w:val="22"/>
                      <w:szCs w:val="22"/>
                      <w:lang w:val="de-DE"/>
                    </w:rPr>
                  </w:pPr>
                  <w:r>
                    <w:rPr>
                      <w:sz w:val="22"/>
                      <w:szCs w:val="22"/>
                      <w:lang w:val="de-DE"/>
                    </w:rPr>
                    <w:t>Sichtfenster</w:t>
                  </w:r>
                </w:p>
              </w:tc>
            </w:tr>
            <w:tr w:rsidR="00FE291A" w14:paraId="3722A162" w14:textId="77777777">
              <w:trPr>
                <w:trHeight w:val="844"/>
              </w:trPr>
              <w:tc>
                <w:tcPr>
                  <w:tcW w:w="1571" w:type="dxa"/>
                  <w:vAlign w:val="bottom"/>
                </w:tcPr>
                <w:p w14:paraId="5FD2DAD9" w14:textId="77777777" w:rsidR="00FE291A" w:rsidRDefault="00C8738F">
                  <w:pPr>
                    <w:keepNext/>
                    <w:keepLines/>
                    <w:widowControl/>
                    <w:jc w:val="right"/>
                    <w:rPr>
                      <w:sz w:val="22"/>
                      <w:szCs w:val="22"/>
                      <w:lang w:val="de-DE"/>
                    </w:rPr>
                  </w:pPr>
                  <w:r>
                    <w:rPr>
                      <w:sz w:val="22"/>
                      <w:szCs w:val="22"/>
                      <w:lang w:val="de-DE"/>
                    </w:rPr>
                    <w:t>Arzneimittel</w:t>
                  </w:r>
                </w:p>
              </w:tc>
            </w:tr>
            <w:tr w:rsidR="00FE291A" w14:paraId="181E4C2E" w14:textId="77777777">
              <w:trPr>
                <w:trHeight w:val="998"/>
              </w:trPr>
              <w:tc>
                <w:tcPr>
                  <w:tcW w:w="1571" w:type="dxa"/>
                  <w:vAlign w:val="bottom"/>
                </w:tcPr>
                <w:p w14:paraId="4695EB51" w14:textId="77777777" w:rsidR="00FE291A" w:rsidRDefault="00C8738F">
                  <w:pPr>
                    <w:widowControl/>
                    <w:jc w:val="right"/>
                    <w:rPr>
                      <w:sz w:val="22"/>
                      <w:szCs w:val="22"/>
                      <w:lang w:val="de-DE"/>
                    </w:rPr>
                  </w:pPr>
                  <w:r>
                    <w:rPr>
                      <w:sz w:val="22"/>
                      <w:szCs w:val="22"/>
                      <w:lang w:val="de-DE"/>
                    </w:rPr>
                    <w:t>Gelbe Kappe,</w:t>
                  </w:r>
                </w:p>
                <w:p w14:paraId="00715D8B" w14:textId="77777777" w:rsidR="00FE291A" w:rsidRDefault="00C8738F">
                  <w:pPr>
                    <w:keepNext/>
                    <w:keepLines/>
                    <w:widowControl/>
                    <w:jc w:val="right"/>
                    <w:rPr>
                      <w:sz w:val="22"/>
                      <w:szCs w:val="22"/>
                      <w:lang w:val="de-DE"/>
                    </w:rPr>
                  </w:pPr>
                  <w:r>
                    <w:rPr>
                      <w:sz w:val="22"/>
                      <w:szCs w:val="22"/>
                      <w:lang w:val="de-DE"/>
                    </w:rPr>
                    <w:t>aufgesetzt</w:t>
                  </w:r>
                </w:p>
              </w:tc>
            </w:tr>
          </w:tbl>
          <w:p w14:paraId="5D5D3A68" w14:textId="77777777" w:rsidR="00FE291A" w:rsidRDefault="00FE291A">
            <w:pPr>
              <w:keepNext/>
              <w:keepLines/>
              <w:widowControl/>
              <w:jc w:val="right"/>
              <w:rPr>
                <w:sz w:val="22"/>
                <w:szCs w:val="22"/>
                <w:lang w:val="de-DE"/>
              </w:rPr>
            </w:pPr>
          </w:p>
        </w:tc>
        <w:tc>
          <w:tcPr>
            <w:tcW w:w="1594" w:type="pct"/>
            <w:tcBorders>
              <w:bottom w:val="single" w:sz="4" w:space="0" w:color="auto"/>
              <w:right w:val="single" w:sz="4" w:space="0" w:color="auto"/>
            </w:tcBorders>
          </w:tcPr>
          <w:p w14:paraId="5C9687E0" w14:textId="3E4C149D" w:rsidR="00FE291A" w:rsidRDefault="009C5B62">
            <w:pPr>
              <w:keepNext/>
              <w:keepLines/>
              <w:widowControl/>
              <w:ind w:left="-75"/>
              <w:rPr>
                <w:sz w:val="22"/>
                <w:szCs w:val="22"/>
                <w:lang w:val="de-DE"/>
              </w:rPr>
            </w:pPr>
            <w:r>
              <w:rPr>
                <w:noProof/>
                <w:sz w:val="22"/>
                <w:szCs w:val="22"/>
                <w:lang w:val="de-DE" w:eastAsia="en-GB"/>
              </w:rPr>
              <w:drawing>
                <wp:inline distT="0" distB="0" distL="0" distR="0" wp14:anchorId="24A6276C" wp14:editId="05202C31">
                  <wp:extent cx="685800" cy="4040505"/>
                  <wp:effectExtent l="0" t="0" r="0" b="0"/>
                  <wp:docPr id="31" name="Picture 45" descr="ILL0948 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LL0948 v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85800" cy="4040505"/>
                          </a:xfrm>
                          <a:prstGeom prst="rect">
                            <a:avLst/>
                          </a:prstGeom>
                          <a:noFill/>
                          <a:ln>
                            <a:noFill/>
                          </a:ln>
                        </pic:spPr>
                      </pic:pic>
                    </a:graphicData>
                  </a:graphic>
                </wp:inline>
              </w:drawing>
            </w:r>
          </w:p>
        </w:tc>
        <w:tc>
          <w:tcPr>
            <w:tcW w:w="1319" w:type="pct"/>
            <w:tcBorders>
              <w:left w:val="single" w:sz="4" w:space="0" w:color="auto"/>
              <w:bottom w:val="single" w:sz="4" w:space="0" w:color="auto"/>
            </w:tcBorders>
          </w:tcPr>
          <w:p w14:paraId="15E787AD" w14:textId="77777777" w:rsidR="00FE291A" w:rsidRDefault="00FE291A">
            <w:pPr>
              <w:widowControl/>
              <w:ind w:right="139"/>
              <w:jc w:val="right"/>
              <w:rPr>
                <w:sz w:val="22"/>
                <w:szCs w:val="22"/>
                <w:lang w:val="de-DE" w:eastAsia="en-GB"/>
              </w:rPr>
            </w:pPr>
          </w:p>
          <w:p w14:paraId="6E4CAF84" w14:textId="3BC8CBFD" w:rsidR="00FE291A" w:rsidRDefault="009C5B62">
            <w:pPr>
              <w:widowControl/>
              <w:ind w:right="139"/>
              <w:jc w:val="right"/>
              <w:rPr>
                <w:sz w:val="22"/>
                <w:szCs w:val="22"/>
                <w:lang w:val="de-DE"/>
              </w:rPr>
            </w:pPr>
            <w:r>
              <w:rPr>
                <w:noProof/>
                <w:szCs w:val="22"/>
              </w:rPr>
              <w:drawing>
                <wp:inline distT="0" distB="0" distL="0" distR="0" wp14:anchorId="1CA0A0D7" wp14:editId="1E764F31">
                  <wp:extent cx="760095" cy="5103495"/>
                  <wp:effectExtent l="0" t="0" r="0" b="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60095" cy="5103495"/>
                          </a:xfrm>
                          <a:prstGeom prst="rect">
                            <a:avLst/>
                          </a:prstGeom>
                          <a:noFill/>
                          <a:ln>
                            <a:noFill/>
                          </a:ln>
                        </pic:spPr>
                      </pic:pic>
                    </a:graphicData>
                  </a:graphic>
                </wp:inline>
              </w:drawing>
            </w:r>
          </w:p>
        </w:tc>
        <w:tc>
          <w:tcPr>
            <w:tcW w:w="1125" w:type="pct"/>
            <w:tcBorders>
              <w:bottom w:val="single" w:sz="4" w:space="0" w:color="auto"/>
              <w:right w:val="single" w:sz="4" w:space="0" w:color="auto"/>
            </w:tcBorders>
          </w:tcPr>
          <w:tbl>
            <w:tblPr>
              <w:tblW w:w="0" w:type="auto"/>
              <w:tblLook w:val="04A0" w:firstRow="1" w:lastRow="0" w:firstColumn="1" w:lastColumn="0" w:noHBand="0" w:noVBand="1"/>
            </w:tblPr>
            <w:tblGrid>
              <w:gridCol w:w="1808"/>
            </w:tblGrid>
            <w:tr w:rsidR="00FE291A" w14:paraId="1BD78212" w14:textId="77777777">
              <w:trPr>
                <w:trHeight w:val="1036"/>
              </w:trPr>
              <w:tc>
                <w:tcPr>
                  <w:tcW w:w="1977" w:type="dxa"/>
                  <w:vAlign w:val="bottom"/>
                </w:tcPr>
                <w:p w14:paraId="0EF65996" w14:textId="77777777" w:rsidR="00FE291A" w:rsidRDefault="00C8738F">
                  <w:pPr>
                    <w:widowControl/>
                    <w:rPr>
                      <w:sz w:val="22"/>
                      <w:szCs w:val="22"/>
                      <w:lang w:val="de-DE"/>
                    </w:rPr>
                  </w:pPr>
                  <w:r>
                    <w:rPr>
                      <w:sz w:val="22"/>
                      <w:szCs w:val="22"/>
                      <w:lang w:val="de-DE"/>
                    </w:rPr>
                    <w:t>Verfalldatum</w:t>
                  </w:r>
                </w:p>
              </w:tc>
            </w:tr>
            <w:tr w:rsidR="00FE291A" w14:paraId="317682E8" w14:textId="77777777">
              <w:trPr>
                <w:trHeight w:val="3841"/>
              </w:trPr>
              <w:tc>
                <w:tcPr>
                  <w:tcW w:w="1977" w:type="dxa"/>
                  <w:vAlign w:val="bottom"/>
                </w:tcPr>
                <w:p w14:paraId="35A5B752" w14:textId="77777777" w:rsidR="00FE291A" w:rsidRDefault="00C8738F">
                  <w:pPr>
                    <w:widowControl/>
                    <w:rPr>
                      <w:sz w:val="22"/>
                      <w:szCs w:val="22"/>
                      <w:lang w:val="de-DE"/>
                    </w:rPr>
                  </w:pPr>
                  <w:r>
                    <w:rPr>
                      <w:sz w:val="22"/>
                      <w:szCs w:val="22"/>
                      <w:lang w:val="de-DE"/>
                    </w:rPr>
                    <w:t>Gelbes Sichtfenster (Injektion abgeschlossen)</w:t>
                  </w:r>
                </w:p>
              </w:tc>
            </w:tr>
            <w:tr w:rsidR="00FE291A" w14:paraId="7FD331B8" w14:textId="77777777">
              <w:trPr>
                <w:trHeight w:val="1830"/>
              </w:trPr>
              <w:tc>
                <w:tcPr>
                  <w:tcW w:w="1977" w:type="dxa"/>
                  <w:vAlign w:val="bottom"/>
                </w:tcPr>
                <w:p w14:paraId="2A88C803" w14:textId="77777777" w:rsidR="00FE291A" w:rsidRDefault="00C8738F">
                  <w:pPr>
                    <w:widowControl/>
                    <w:rPr>
                      <w:sz w:val="22"/>
                      <w:szCs w:val="22"/>
                      <w:lang w:val="de-DE"/>
                    </w:rPr>
                  </w:pPr>
                  <w:r>
                    <w:rPr>
                      <w:sz w:val="22"/>
                      <w:szCs w:val="22"/>
                      <w:lang w:val="de-DE"/>
                    </w:rPr>
                    <w:t>Gelbe</w:t>
                  </w:r>
                </w:p>
                <w:p w14:paraId="5C6DEABD" w14:textId="77777777" w:rsidR="00FE291A" w:rsidRDefault="00C8738F">
                  <w:pPr>
                    <w:widowControl/>
                    <w:rPr>
                      <w:sz w:val="22"/>
                      <w:szCs w:val="22"/>
                      <w:lang w:val="de-DE"/>
                    </w:rPr>
                  </w:pPr>
                  <w:r>
                    <w:rPr>
                      <w:sz w:val="22"/>
                      <w:szCs w:val="22"/>
                      <w:lang w:val="de-DE"/>
                    </w:rPr>
                    <w:t>Sicherheitshülse</w:t>
                  </w:r>
                </w:p>
              </w:tc>
            </w:tr>
            <w:tr w:rsidR="00FE291A" w14:paraId="32F57CB1" w14:textId="77777777">
              <w:trPr>
                <w:trHeight w:val="990"/>
              </w:trPr>
              <w:tc>
                <w:tcPr>
                  <w:tcW w:w="1977" w:type="dxa"/>
                  <w:vAlign w:val="bottom"/>
                </w:tcPr>
                <w:p w14:paraId="6427509C" w14:textId="77777777" w:rsidR="00FE291A" w:rsidRDefault="00C8738F">
                  <w:pPr>
                    <w:widowControl/>
                    <w:rPr>
                      <w:sz w:val="22"/>
                      <w:szCs w:val="22"/>
                      <w:lang w:val="de-DE"/>
                    </w:rPr>
                  </w:pPr>
                  <w:r>
                    <w:rPr>
                      <w:sz w:val="22"/>
                      <w:szCs w:val="22"/>
                      <w:lang w:val="de-DE"/>
                    </w:rPr>
                    <w:t>Gelbe Kappe,</w:t>
                  </w:r>
                </w:p>
                <w:p w14:paraId="534C58BF" w14:textId="77777777" w:rsidR="00FE291A" w:rsidRDefault="00C8738F">
                  <w:pPr>
                    <w:widowControl/>
                    <w:rPr>
                      <w:sz w:val="22"/>
                      <w:szCs w:val="22"/>
                      <w:lang w:val="de-DE"/>
                    </w:rPr>
                  </w:pPr>
                  <w:r>
                    <w:rPr>
                      <w:sz w:val="22"/>
                      <w:szCs w:val="22"/>
                      <w:lang w:val="de-DE"/>
                    </w:rPr>
                    <w:t>abgezogen</w:t>
                  </w:r>
                </w:p>
              </w:tc>
            </w:tr>
          </w:tbl>
          <w:p w14:paraId="0EBD5BF5" w14:textId="77777777" w:rsidR="00FE291A" w:rsidRDefault="00FE291A">
            <w:pPr>
              <w:widowControl/>
              <w:rPr>
                <w:sz w:val="22"/>
                <w:szCs w:val="22"/>
                <w:lang w:val="de-DE"/>
              </w:rPr>
            </w:pPr>
          </w:p>
        </w:tc>
      </w:tr>
      <w:tr w:rsidR="00FE291A" w:rsidRPr="00723069" w14:paraId="25A4CC82" w14:textId="77777777">
        <w:trPr>
          <w:trHeight w:val="485"/>
        </w:trPr>
        <w:tc>
          <w:tcPr>
            <w:tcW w:w="5000" w:type="pct"/>
            <w:gridSpan w:val="4"/>
            <w:tcBorders>
              <w:top w:val="single" w:sz="4" w:space="0" w:color="auto"/>
              <w:left w:val="single" w:sz="4" w:space="0" w:color="auto"/>
              <w:bottom w:val="single" w:sz="4" w:space="0" w:color="auto"/>
              <w:right w:val="single" w:sz="4" w:space="0" w:color="auto"/>
            </w:tcBorders>
            <w:vAlign w:val="center"/>
          </w:tcPr>
          <w:p w14:paraId="18D7B0C2" w14:textId="77777777" w:rsidR="00FE291A" w:rsidRDefault="00C8738F">
            <w:pPr>
              <w:widowControl/>
              <w:rPr>
                <w:sz w:val="22"/>
                <w:szCs w:val="22"/>
                <w:lang w:val="de-DE"/>
              </w:rPr>
            </w:pPr>
            <w:r>
              <w:rPr>
                <w:b/>
                <w:sz w:val="22"/>
                <w:szCs w:val="22"/>
                <w:lang w:val="de-DE"/>
              </w:rPr>
              <w:t xml:space="preserve">Wichtig: </w:t>
            </w:r>
            <w:r>
              <w:rPr>
                <w:sz w:val="22"/>
                <w:szCs w:val="22"/>
                <w:lang w:val="de-DE"/>
              </w:rPr>
              <w:t>Die Nadel ist im Inneren.</w:t>
            </w:r>
          </w:p>
        </w:tc>
      </w:tr>
    </w:tbl>
    <w:p w14:paraId="3E465C63" w14:textId="77777777" w:rsidR="00FE291A" w:rsidRDefault="00FE291A">
      <w:pPr>
        <w:pStyle w:val="lbltxt"/>
        <w:rPr>
          <w:b/>
          <w:szCs w:val="22"/>
          <w:lang w:val="de-DE"/>
        </w:rPr>
      </w:pPr>
    </w:p>
    <w:p w14:paraId="2C530E8B" w14:textId="77777777" w:rsidR="00FE291A" w:rsidRDefault="00C8738F">
      <w:pPr>
        <w:pStyle w:val="lbltxt"/>
        <w:rPr>
          <w:b/>
          <w:szCs w:val="22"/>
          <w:lang w:val="de-DE"/>
        </w:rPr>
      </w:pPr>
      <w:r>
        <w:rPr>
          <w:b/>
          <w:szCs w:val="22"/>
          <w:lang w:val="de-DE"/>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left w:w="28" w:type="dxa"/>
          <w:right w:w="0" w:type="dxa"/>
        </w:tblCellMar>
        <w:tblLook w:val="04A0" w:firstRow="1" w:lastRow="0" w:firstColumn="1" w:lastColumn="0" w:noHBand="0" w:noVBand="1"/>
      </w:tblPr>
      <w:tblGrid>
        <w:gridCol w:w="569"/>
        <w:gridCol w:w="8492"/>
      </w:tblGrid>
      <w:tr w:rsidR="00FE291A" w14:paraId="049F40F9" w14:textId="77777777">
        <w:trPr>
          <w:cantSplit/>
          <w:trHeight w:val="399"/>
        </w:trPr>
        <w:tc>
          <w:tcPr>
            <w:tcW w:w="5000" w:type="pct"/>
            <w:gridSpan w:val="2"/>
            <w:tcBorders>
              <w:top w:val="single" w:sz="4" w:space="0" w:color="auto"/>
              <w:left w:val="single" w:sz="4" w:space="0" w:color="auto"/>
              <w:bottom w:val="nil"/>
              <w:right w:val="single" w:sz="4" w:space="0" w:color="auto"/>
            </w:tcBorders>
            <w:tcMar>
              <w:top w:w="57" w:type="dxa"/>
              <w:left w:w="57" w:type="dxa"/>
              <w:bottom w:w="57" w:type="dxa"/>
              <w:right w:w="57" w:type="dxa"/>
            </w:tcMar>
          </w:tcPr>
          <w:p w14:paraId="0961B667" w14:textId="77777777" w:rsidR="00FE291A" w:rsidRDefault="00C8738F">
            <w:pPr>
              <w:keepNext/>
              <w:keepLines/>
              <w:widowControl/>
              <w:jc w:val="center"/>
              <w:rPr>
                <w:b/>
                <w:sz w:val="22"/>
                <w:szCs w:val="22"/>
                <w:lang w:val="de-DE"/>
              </w:rPr>
            </w:pPr>
            <w:r>
              <w:rPr>
                <w:b/>
                <w:sz w:val="22"/>
                <w:szCs w:val="22"/>
                <w:lang w:val="de-DE"/>
              </w:rPr>
              <w:t>Wichtig</w:t>
            </w:r>
          </w:p>
        </w:tc>
      </w:tr>
      <w:tr w:rsidR="00FE291A" w:rsidRPr="00723069" w14:paraId="1407B86E" w14:textId="77777777">
        <w:trPr>
          <w:cantSplit/>
        </w:trPr>
        <w:tc>
          <w:tcPr>
            <w:tcW w:w="5000" w:type="pct"/>
            <w:gridSpan w:val="2"/>
            <w:tcBorders>
              <w:top w:val="nil"/>
              <w:left w:val="single" w:sz="4" w:space="0" w:color="auto"/>
              <w:bottom w:val="nil"/>
              <w:right w:val="single" w:sz="4" w:space="0" w:color="auto"/>
            </w:tcBorders>
            <w:tcMar>
              <w:top w:w="57" w:type="dxa"/>
              <w:left w:w="57" w:type="dxa"/>
              <w:bottom w:w="57" w:type="dxa"/>
              <w:right w:w="57" w:type="dxa"/>
            </w:tcMar>
          </w:tcPr>
          <w:p w14:paraId="6C8C42BB" w14:textId="77777777" w:rsidR="00FE291A" w:rsidRDefault="00C8738F">
            <w:pPr>
              <w:keepNext/>
              <w:keepLines/>
              <w:widowControl/>
              <w:suppressAutoHyphens/>
              <w:textAlignment w:val="center"/>
              <w:rPr>
                <w:b/>
                <w:bCs/>
                <w:color w:val="000000"/>
                <w:sz w:val="22"/>
                <w:szCs w:val="22"/>
                <w:lang w:val="de-DE"/>
              </w:rPr>
            </w:pPr>
            <w:r>
              <w:rPr>
                <w:rFonts w:eastAsia="Calibri"/>
                <w:b/>
                <w:bCs/>
                <w:sz w:val="22"/>
                <w:szCs w:val="22"/>
                <w:lang w:val="de-DE"/>
              </w:rPr>
              <w:t>Lesen Sie diese wichtige Information, bevor Sie einen AMGEVITA-Fertigpen anwenden:</w:t>
            </w:r>
          </w:p>
          <w:p w14:paraId="5BE8FB90" w14:textId="77777777" w:rsidR="00FE291A" w:rsidRDefault="00FE291A">
            <w:pPr>
              <w:keepNext/>
              <w:keepLines/>
              <w:widowControl/>
              <w:suppressAutoHyphens/>
              <w:textAlignment w:val="center"/>
              <w:rPr>
                <w:b/>
                <w:bCs/>
                <w:color w:val="000000"/>
                <w:sz w:val="22"/>
                <w:szCs w:val="22"/>
                <w:lang w:val="de-DE"/>
              </w:rPr>
            </w:pPr>
          </w:p>
        </w:tc>
      </w:tr>
      <w:tr w:rsidR="00FE291A" w14:paraId="7E0C4BB1" w14:textId="77777777">
        <w:trPr>
          <w:cantSplit/>
          <w:trHeight w:val="299"/>
        </w:trPr>
        <w:tc>
          <w:tcPr>
            <w:tcW w:w="5000" w:type="pct"/>
            <w:gridSpan w:val="2"/>
            <w:tcBorders>
              <w:top w:val="nil"/>
              <w:left w:val="single" w:sz="4" w:space="0" w:color="auto"/>
              <w:bottom w:val="nil"/>
              <w:right w:val="single" w:sz="4" w:space="0" w:color="auto"/>
            </w:tcBorders>
            <w:tcMar>
              <w:left w:w="57" w:type="dxa"/>
            </w:tcMar>
            <w:vAlign w:val="center"/>
          </w:tcPr>
          <w:p w14:paraId="073B03C5" w14:textId="77777777" w:rsidR="00FE291A" w:rsidRDefault="00C8738F">
            <w:pPr>
              <w:widowControl/>
              <w:rPr>
                <w:rFonts w:eastAsia="Calibri"/>
                <w:b/>
                <w:bCs/>
                <w:sz w:val="22"/>
                <w:szCs w:val="22"/>
                <w:lang w:val="de-DE"/>
              </w:rPr>
            </w:pPr>
            <w:r>
              <w:rPr>
                <w:rFonts w:eastAsia="Calibri"/>
                <w:b/>
                <w:bCs/>
                <w:sz w:val="22"/>
                <w:szCs w:val="22"/>
                <w:lang w:val="de-DE"/>
              </w:rPr>
              <w:t>Anwendung Ihres AMGEVITA-Fertigpens</w:t>
            </w:r>
          </w:p>
        </w:tc>
      </w:tr>
      <w:tr w:rsidR="00FE291A" w:rsidRPr="002E6CD3" w14:paraId="28BA380E" w14:textId="77777777">
        <w:trPr>
          <w:cantSplit/>
        </w:trPr>
        <w:tc>
          <w:tcPr>
            <w:tcW w:w="314" w:type="pct"/>
            <w:tcBorders>
              <w:top w:val="nil"/>
              <w:left w:val="single" w:sz="4" w:space="0" w:color="auto"/>
              <w:bottom w:val="nil"/>
              <w:right w:val="nil"/>
            </w:tcBorders>
            <w:tcMar>
              <w:left w:w="57" w:type="dxa"/>
            </w:tcMar>
          </w:tcPr>
          <w:p w14:paraId="38C0CF2B" w14:textId="77777777" w:rsidR="00FE291A" w:rsidRDefault="00C8738F">
            <w:pPr>
              <w:pStyle w:val="ListParagraph"/>
              <w:widowControl/>
              <w:tabs>
                <w:tab w:val="left" w:pos="90"/>
              </w:tabs>
              <w:suppressAutoHyphens/>
              <w:textAlignment w:val="center"/>
              <w:rPr>
                <w:color w:val="000000"/>
                <w:sz w:val="22"/>
                <w:szCs w:val="22"/>
                <w:lang w:val="de-DE"/>
              </w:rPr>
            </w:pPr>
            <w:r>
              <w:rPr>
                <w:color w:val="000000"/>
                <w:sz w:val="22"/>
                <w:szCs w:val="22"/>
                <w:lang w:val="de-DE"/>
              </w:rPr>
              <w:t>●</w:t>
            </w:r>
          </w:p>
        </w:tc>
        <w:tc>
          <w:tcPr>
            <w:tcW w:w="4686" w:type="pct"/>
            <w:tcBorders>
              <w:top w:val="nil"/>
              <w:left w:val="nil"/>
              <w:bottom w:val="nil"/>
              <w:right w:val="single" w:sz="4" w:space="0" w:color="auto"/>
            </w:tcBorders>
            <w:tcMar>
              <w:top w:w="57" w:type="dxa"/>
              <w:left w:w="0" w:type="dxa"/>
              <w:bottom w:w="57" w:type="dxa"/>
              <w:right w:w="57" w:type="dxa"/>
            </w:tcMar>
          </w:tcPr>
          <w:p w14:paraId="57D886DA" w14:textId="77777777" w:rsidR="00FE291A" w:rsidRDefault="00C8738F">
            <w:pPr>
              <w:widowControl/>
              <w:rPr>
                <w:rFonts w:eastAsia="Calibri"/>
                <w:sz w:val="22"/>
                <w:szCs w:val="22"/>
                <w:lang w:val="de-DE"/>
              </w:rPr>
            </w:pPr>
            <w:r>
              <w:rPr>
                <w:rFonts w:eastAsia="Calibri"/>
                <w:sz w:val="22"/>
                <w:szCs w:val="22"/>
                <w:lang w:val="de-DE"/>
              </w:rPr>
              <w:t>Es ist wichtig, dass Sie nicht versuchen, sich selbst die Injektion zu geben, es sei denn, Sie oder Ihre Pflegekraft sind geschult worden.</w:t>
            </w:r>
          </w:p>
        </w:tc>
      </w:tr>
      <w:tr w:rsidR="00FE291A" w14:paraId="7313405C" w14:textId="77777777">
        <w:trPr>
          <w:cantSplit/>
        </w:trPr>
        <w:tc>
          <w:tcPr>
            <w:tcW w:w="314" w:type="pct"/>
            <w:tcBorders>
              <w:top w:val="nil"/>
              <w:left w:val="single" w:sz="4" w:space="0" w:color="auto"/>
              <w:bottom w:val="single" w:sz="4" w:space="0" w:color="auto"/>
              <w:right w:val="nil"/>
            </w:tcBorders>
            <w:tcMar>
              <w:left w:w="57" w:type="dxa"/>
            </w:tcMar>
          </w:tcPr>
          <w:p w14:paraId="0B054948" w14:textId="77777777" w:rsidR="00FE291A" w:rsidRDefault="00C8738F">
            <w:pPr>
              <w:pStyle w:val="ListParagraph"/>
              <w:widowControl/>
              <w:tabs>
                <w:tab w:val="left" w:pos="90"/>
              </w:tabs>
              <w:suppressAutoHyphens/>
              <w:textAlignment w:val="center"/>
              <w:rPr>
                <w:color w:val="000000"/>
                <w:sz w:val="22"/>
                <w:szCs w:val="22"/>
                <w:lang w:val="de-DE"/>
              </w:rPr>
            </w:pPr>
            <w:r>
              <w:rPr>
                <w:color w:val="000000"/>
                <w:sz w:val="22"/>
                <w:szCs w:val="22"/>
                <w:lang w:val="de-DE"/>
              </w:rPr>
              <w:t>●</w:t>
            </w:r>
          </w:p>
        </w:tc>
        <w:tc>
          <w:tcPr>
            <w:tcW w:w="4686" w:type="pct"/>
            <w:tcBorders>
              <w:top w:val="nil"/>
              <w:left w:val="nil"/>
              <w:bottom w:val="single" w:sz="4" w:space="0" w:color="auto"/>
              <w:right w:val="single" w:sz="4" w:space="0" w:color="auto"/>
            </w:tcBorders>
            <w:tcMar>
              <w:top w:w="57" w:type="dxa"/>
              <w:left w:w="0" w:type="dxa"/>
              <w:bottom w:w="57" w:type="dxa"/>
              <w:right w:w="57" w:type="dxa"/>
            </w:tcMar>
          </w:tcPr>
          <w:p w14:paraId="64D8FA9D" w14:textId="77777777" w:rsidR="00FE291A" w:rsidRDefault="00C8738F">
            <w:pPr>
              <w:widowControl/>
              <w:rPr>
                <w:rFonts w:eastAsia="Calibri"/>
                <w:sz w:val="22"/>
                <w:szCs w:val="22"/>
                <w:lang w:val="de-DE"/>
              </w:rPr>
            </w:pPr>
            <w:r>
              <w:rPr>
                <w:rFonts w:eastAsia="Calibri"/>
                <w:sz w:val="22"/>
                <w:szCs w:val="22"/>
                <w:lang w:val="de-DE"/>
              </w:rPr>
              <w:t xml:space="preserve">Benutzen Sie </w:t>
            </w:r>
            <w:r>
              <w:rPr>
                <w:rFonts w:eastAsia="Calibri"/>
                <w:bCs/>
                <w:sz w:val="22"/>
                <w:szCs w:val="22"/>
                <w:lang w:val="de-DE"/>
              </w:rPr>
              <w:t xml:space="preserve">einen </w:t>
            </w:r>
            <w:r>
              <w:rPr>
                <w:rFonts w:eastAsia="Calibri"/>
                <w:sz w:val="22"/>
                <w:szCs w:val="22"/>
                <w:lang w:val="de-DE"/>
              </w:rPr>
              <w:t>AMGEVITA-Fertigpen</w:t>
            </w:r>
            <w:r>
              <w:rPr>
                <w:rFonts w:eastAsia="Calibri"/>
                <w:bCs/>
                <w:sz w:val="22"/>
                <w:szCs w:val="22"/>
                <w:lang w:val="de-DE"/>
              </w:rPr>
              <w:t xml:space="preserve"> </w:t>
            </w:r>
            <w:r>
              <w:rPr>
                <w:rFonts w:eastAsia="Calibri"/>
                <w:b/>
                <w:sz w:val="22"/>
                <w:szCs w:val="22"/>
                <w:lang w:val="de-DE"/>
              </w:rPr>
              <w:t>nicht</w:t>
            </w:r>
            <w:r>
              <w:rPr>
                <w:rFonts w:eastAsia="Calibri"/>
                <w:sz w:val="22"/>
                <w:szCs w:val="22"/>
                <w:lang w:val="de-DE"/>
              </w:rPr>
              <w:t>, wenn er auf eine harte Oberfläche gefallen ist. Teile des AMGEVITA-Fertigpens</w:t>
            </w:r>
            <w:r>
              <w:rPr>
                <w:rFonts w:eastAsia="Calibri"/>
                <w:bCs/>
                <w:sz w:val="22"/>
                <w:szCs w:val="22"/>
                <w:lang w:val="de-DE"/>
              </w:rPr>
              <w:t xml:space="preserve"> können </w:t>
            </w:r>
            <w:r>
              <w:rPr>
                <w:rFonts w:eastAsia="Calibri"/>
                <w:sz w:val="22"/>
                <w:szCs w:val="22"/>
                <w:lang w:val="de-DE"/>
              </w:rPr>
              <w:t>beschädigt sein, selbst wenn Sie keine Beschädigung erkennen können. Benutzen Sie einen neuen AMGEVITA-Fertigpen.</w:t>
            </w:r>
          </w:p>
        </w:tc>
      </w:tr>
    </w:tbl>
    <w:p w14:paraId="4498F5C5" w14:textId="77777777" w:rsidR="00FE291A" w:rsidRDefault="00FE291A">
      <w:pPr>
        <w:widowControl/>
        <w:ind w:left="567" w:hanging="567"/>
        <w:rPr>
          <w:b/>
          <w:bCs/>
          <w:sz w:val="22"/>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9061"/>
      </w:tblGrid>
      <w:tr w:rsidR="00FE291A" w14:paraId="559A5E37" w14:textId="77777777">
        <w:tc>
          <w:tcPr>
            <w:tcW w:w="500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B195338" w14:textId="77777777" w:rsidR="00FE291A" w:rsidRDefault="00C8738F">
            <w:pPr>
              <w:keepLines/>
              <w:widowControl/>
              <w:suppressAutoHyphens/>
              <w:jc w:val="center"/>
              <w:textAlignment w:val="center"/>
              <w:rPr>
                <w:b/>
                <w:color w:val="000000"/>
                <w:sz w:val="22"/>
                <w:szCs w:val="22"/>
                <w:lang w:val="de-DE"/>
              </w:rPr>
            </w:pPr>
            <w:r>
              <w:rPr>
                <w:b/>
                <w:bCs/>
                <w:sz w:val="22"/>
                <w:szCs w:val="22"/>
                <w:lang w:val="de-DE"/>
              </w:rPr>
              <w:t>Schritt 1: Vorbereitung</w:t>
            </w:r>
          </w:p>
        </w:tc>
      </w:tr>
    </w:tbl>
    <w:p w14:paraId="1E1D39C7" w14:textId="77777777" w:rsidR="00FE291A" w:rsidRDefault="00FE291A">
      <w:pPr>
        <w:keepLines/>
        <w:widowControl/>
        <w:ind w:left="567" w:hanging="567"/>
        <w:rPr>
          <w:b/>
          <w:bCs/>
          <w:sz w:val="22"/>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49"/>
        <w:gridCol w:w="8512"/>
      </w:tblGrid>
      <w:tr w:rsidR="00FE291A" w:rsidRPr="00723069" w14:paraId="5F0895C0" w14:textId="77777777">
        <w:tc>
          <w:tcPr>
            <w:tcW w:w="30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3E39F1" w14:textId="77777777" w:rsidR="00FE291A" w:rsidRDefault="00C8738F">
            <w:pPr>
              <w:keepLines/>
              <w:widowControl/>
              <w:suppressAutoHyphens/>
              <w:textAlignment w:val="center"/>
              <w:rPr>
                <w:b/>
                <w:color w:val="000000"/>
                <w:sz w:val="22"/>
                <w:szCs w:val="22"/>
                <w:lang w:val="de-DE"/>
              </w:rPr>
            </w:pPr>
            <w:r>
              <w:rPr>
                <w:b/>
                <w:sz w:val="22"/>
                <w:szCs w:val="22"/>
                <w:lang w:val="de-DE"/>
              </w:rPr>
              <w:t>A.</w:t>
            </w:r>
          </w:p>
        </w:tc>
        <w:tc>
          <w:tcPr>
            <w:tcW w:w="4697"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41CAAA" w14:textId="77777777" w:rsidR="00FE291A" w:rsidRDefault="00C8738F">
            <w:pPr>
              <w:keepLines/>
              <w:widowControl/>
              <w:rPr>
                <w:color w:val="000000"/>
                <w:sz w:val="22"/>
                <w:szCs w:val="22"/>
                <w:lang w:val="de-DE"/>
              </w:rPr>
            </w:pPr>
            <w:r>
              <w:rPr>
                <w:bCs/>
                <w:sz w:val="22"/>
                <w:szCs w:val="22"/>
                <w:lang w:val="de-DE"/>
              </w:rPr>
              <w:t>Entnehmen Sie einen AMGEVITA-Fertigpen aus der Packung.</w:t>
            </w:r>
          </w:p>
        </w:tc>
      </w:tr>
      <w:tr w:rsidR="00FE291A" w:rsidRPr="002E6CD3" w14:paraId="062B35A4" w14:textId="77777777">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p w14:paraId="6765D737" w14:textId="77777777" w:rsidR="00FE291A" w:rsidRDefault="00C8738F">
            <w:pPr>
              <w:widowControl/>
              <w:suppressAutoHyphens/>
              <w:textAlignment w:val="center"/>
              <w:rPr>
                <w:color w:val="000000"/>
                <w:sz w:val="22"/>
                <w:szCs w:val="22"/>
                <w:lang w:val="de-DE"/>
              </w:rPr>
            </w:pPr>
            <w:r>
              <w:rPr>
                <w:color w:val="000000"/>
                <w:sz w:val="22"/>
                <w:szCs w:val="22"/>
                <w:lang w:val="de-DE"/>
              </w:rPr>
              <w:t>Heben Sie den Fertigpen vorsichtig und gerade aus der Schachtel heraus.</w:t>
            </w:r>
          </w:p>
          <w:p w14:paraId="48FE4B78" w14:textId="77777777" w:rsidR="00FE291A" w:rsidRDefault="00FE291A">
            <w:pPr>
              <w:widowControl/>
              <w:suppressAutoHyphens/>
              <w:textAlignment w:val="center"/>
              <w:rPr>
                <w:color w:val="000000"/>
                <w:sz w:val="22"/>
                <w:szCs w:val="22"/>
                <w:lang w:val="de-DE"/>
              </w:rPr>
            </w:pPr>
          </w:p>
          <w:p w14:paraId="5EA22969" w14:textId="77777777" w:rsidR="00FE291A" w:rsidRDefault="00C8738F">
            <w:pPr>
              <w:widowControl/>
              <w:suppressAutoHyphens/>
              <w:textAlignment w:val="center"/>
              <w:rPr>
                <w:color w:val="000000"/>
                <w:sz w:val="22"/>
                <w:szCs w:val="22"/>
                <w:lang w:val="de-DE"/>
              </w:rPr>
            </w:pPr>
            <w:r>
              <w:rPr>
                <w:color w:val="000000"/>
                <w:sz w:val="22"/>
                <w:szCs w:val="22"/>
                <w:lang w:val="de-DE"/>
              </w:rPr>
              <w:t>Stellen Sie die Originalverpackung mit unbenutzten Fertigpens zurück in den Kühlschrank.</w:t>
            </w:r>
          </w:p>
          <w:p w14:paraId="0E1B93CA" w14:textId="77777777" w:rsidR="00FE291A" w:rsidRDefault="00FE291A">
            <w:pPr>
              <w:widowControl/>
              <w:suppressAutoHyphens/>
              <w:textAlignment w:val="center"/>
              <w:rPr>
                <w:color w:val="000000"/>
                <w:sz w:val="22"/>
                <w:szCs w:val="22"/>
                <w:lang w:val="de-DE"/>
              </w:rPr>
            </w:pPr>
          </w:p>
          <w:p w14:paraId="53015C69" w14:textId="77777777" w:rsidR="00FE291A" w:rsidRDefault="00C8738F">
            <w:pPr>
              <w:widowControl/>
              <w:suppressAutoHyphens/>
              <w:textAlignment w:val="center"/>
              <w:rPr>
                <w:color w:val="000000"/>
                <w:sz w:val="22"/>
                <w:szCs w:val="22"/>
                <w:lang w:val="de-DE"/>
              </w:rPr>
            </w:pPr>
            <w:r>
              <w:rPr>
                <w:rFonts w:eastAsia="Calibri"/>
                <w:sz w:val="22"/>
                <w:szCs w:val="22"/>
                <w:lang w:val="de-DE"/>
              </w:rPr>
              <w:t xml:space="preserve">Lassen Sie den Fertigpen für eine angenehmere Injektion für </w:t>
            </w:r>
            <w:r>
              <w:rPr>
                <w:rFonts w:eastAsia="Calibri"/>
                <w:b/>
                <w:sz w:val="22"/>
                <w:szCs w:val="22"/>
                <w:lang w:val="de-DE"/>
              </w:rPr>
              <w:t>15 bis 30</w:t>
            </w:r>
            <w:r>
              <w:rPr>
                <w:rFonts w:eastAsia="Calibri"/>
                <w:sz w:val="22"/>
                <w:szCs w:val="22"/>
                <w:lang w:val="de-DE"/>
              </w:rPr>
              <w:t xml:space="preserve"> Minuten bei Raumtemperatur liegen, bevor Sie injizieren</w:t>
            </w:r>
            <w:r>
              <w:rPr>
                <w:color w:val="000000"/>
                <w:sz w:val="22"/>
                <w:szCs w:val="22"/>
                <w:lang w:val="de-DE"/>
              </w:rPr>
              <w:t>.</w:t>
            </w:r>
          </w:p>
          <w:p w14:paraId="7643128A" w14:textId="77777777" w:rsidR="00FE291A" w:rsidRDefault="00FE291A">
            <w:pPr>
              <w:widowControl/>
              <w:suppressAutoHyphens/>
              <w:textAlignment w:val="center"/>
              <w:rPr>
                <w:color w:val="000000"/>
                <w:sz w:val="22"/>
                <w:szCs w:val="22"/>
                <w:lang w:val="de-DE"/>
              </w:rPr>
            </w:pPr>
          </w:p>
        </w:tc>
      </w:tr>
      <w:tr w:rsidR="00FE291A" w:rsidRPr="00723069" w14:paraId="2775A7DF" w14:textId="77777777">
        <w:tc>
          <w:tcPr>
            <w:tcW w:w="303" w:type="pct"/>
            <w:tcBorders>
              <w:top w:val="nil"/>
              <w:left w:val="single" w:sz="4" w:space="0" w:color="auto"/>
              <w:bottom w:val="nil"/>
              <w:right w:val="nil"/>
            </w:tcBorders>
            <w:tcMar>
              <w:top w:w="28" w:type="dxa"/>
              <w:left w:w="57" w:type="dxa"/>
              <w:bottom w:w="28" w:type="dxa"/>
              <w:right w:w="57" w:type="dxa"/>
            </w:tcMar>
          </w:tcPr>
          <w:p w14:paraId="42B591A5" w14:textId="77777777" w:rsidR="00FE291A" w:rsidRDefault="00C8738F">
            <w:pPr>
              <w:pStyle w:val="ListParagraph"/>
              <w:widowControl/>
              <w:tabs>
                <w:tab w:val="left" w:pos="90"/>
              </w:tabs>
              <w:suppressAutoHyphens/>
              <w:textAlignment w:val="center"/>
              <w:rPr>
                <w:color w:val="000000"/>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0" w:type="dxa"/>
            </w:tcMar>
          </w:tcPr>
          <w:p w14:paraId="4AA14234" w14:textId="77777777" w:rsidR="00FE291A" w:rsidRDefault="00C8738F">
            <w:pPr>
              <w:widowControl/>
              <w:rPr>
                <w:rFonts w:eastAsia="Calibri"/>
                <w:sz w:val="22"/>
                <w:szCs w:val="22"/>
                <w:lang w:val="de-DE"/>
              </w:rPr>
            </w:pPr>
            <w:r>
              <w:rPr>
                <w:rFonts w:eastAsia="Calibri"/>
                <w:bCs/>
                <w:sz w:val="22"/>
                <w:szCs w:val="22"/>
                <w:lang w:val="de-DE"/>
              </w:rPr>
              <w:t xml:space="preserve">Legen Sie den Fertigpen </w:t>
            </w:r>
            <w:r>
              <w:rPr>
                <w:rFonts w:eastAsia="Calibri"/>
                <w:b/>
                <w:bCs/>
                <w:sz w:val="22"/>
                <w:szCs w:val="22"/>
                <w:lang w:val="de-DE"/>
              </w:rPr>
              <w:t>nicht</w:t>
            </w:r>
            <w:r>
              <w:rPr>
                <w:rFonts w:eastAsia="Calibri"/>
                <w:bCs/>
                <w:sz w:val="22"/>
                <w:szCs w:val="22"/>
                <w:lang w:val="de-DE"/>
              </w:rPr>
              <w:t xml:space="preserve"> zurück in den Kühlschrank, sobald dieser Raumtemperatur erreicht hat.</w:t>
            </w:r>
          </w:p>
        </w:tc>
      </w:tr>
      <w:tr w:rsidR="00FE291A" w:rsidRPr="002E6CD3" w14:paraId="29FAA5FE" w14:textId="77777777">
        <w:tc>
          <w:tcPr>
            <w:tcW w:w="303" w:type="pct"/>
            <w:tcBorders>
              <w:top w:val="nil"/>
              <w:left w:val="single" w:sz="4" w:space="0" w:color="auto"/>
              <w:bottom w:val="nil"/>
              <w:right w:val="nil"/>
            </w:tcBorders>
            <w:tcMar>
              <w:top w:w="28" w:type="dxa"/>
              <w:left w:w="57" w:type="dxa"/>
              <w:bottom w:w="28" w:type="dxa"/>
              <w:right w:w="57" w:type="dxa"/>
            </w:tcMar>
          </w:tcPr>
          <w:p w14:paraId="67B5EDD3" w14:textId="77777777" w:rsidR="00FE291A" w:rsidRDefault="00C8738F">
            <w:pPr>
              <w:pStyle w:val="ListParagraph"/>
              <w:widowControl/>
              <w:tabs>
                <w:tab w:val="left" w:pos="90"/>
              </w:tabs>
              <w:suppressAutoHyphens/>
              <w:textAlignment w:val="center"/>
              <w:rPr>
                <w:color w:val="000000"/>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0" w:type="dxa"/>
            </w:tcMar>
          </w:tcPr>
          <w:p w14:paraId="4971B35C" w14:textId="77777777" w:rsidR="00FE291A" w:rsidRDefault="00C8738F">
            <w:pPr>
              <w:widowControl/>
              <w:rPr>
                <w:rFonts w:eastAsia="Calibri"/>
                <w:sz w:val="22"/>
                <w:szCs w:val="22"/>
                <w:lang w:val="de-DE"/>
              </w:rPr>
            </w:pPr>
            <w:r>
              <w:rPr>
                <w:rFonts w:eastAsia="Calibri"/>
                <w:sz w:val="22"/>
                <w:szCs w:val="22"/>
                <w:lang w:val="de-DE"/>
              </w:rPr>
              <w:t xml:space="preserve">Versuchen Sie </w:t>
            </w:r>
            <w:r>
              <w:rPr>
                <w:rFonts w:eastAsia="Calibri"/>
                <w:b/>
                <w:sz w:val="22"/>
                <w:szCs w:val="22"/>
                <w:lang w:val="de-DE"/>
              </w:rPr>
              <w:t>nicht</w:t>
            </w:r>
            <w:r>
              <w:rPr>
                <w:rFonts w:eastAsia="Calibri"/>
                <w:sz w:val="22"/>
                <w:szCs w:val="22"/>
                <w:lang w:val="de-DE"/>
              </w:rPr>
              <w:t xml:space="preserve">, den Fertigpen </w:t>
            </w:r>
            <w:r>
              <w:rPr>
                <w:rFonts w:eastAsia="HelveticaLTStd-Roman"/>
                <w:sz w:val="22"/>
                <w:szCs w:val="22"/>
                <w:lang w:val="de-DE"/>
              </w:rPr>
              <w:t>durch Verwendung einer Wärmequelle wie z. B. heißen Wassers oder einer Mikrowelle zu erwärmen.</w:t>
            </w:r>
          </w:p>
        </w:tc>
      </w:tr>
      <w:tr w:rsidR="00FE291A" w14:paraId="3A520B5A" w14:textId="77777777">
        <w:tc>
          <w:tcPr>
            <w:tcW w:w="303" w:type="pct"/>
            <w:tcBorders>
              <w:top w:val="nil"/>
              <w:left w:val="single" w:sz="4" w:space="0" w:color="auto"/>
              <w:bottom w:val="nil"/>
              <w:right w:val="nil"/>
            </w:tcBorders>
            <w:tcMar>
              <w:top w:w="28" w:type="dxa"/>
              <w:left w:w="57" w:type="dxa"/>
              <w:bottom w:w="28" w:type="dxa"/>
              <w:right w:w="57" w:type="dxa"/>
            </w:tcMar>
          </w:tcPr>
          <w:p w14:paraId="0FBEC563" w14:textId="77777777" w:rsidR="00FE291A" w:rsidRDefault="00C8738F">
            <w:pPr>
              <w:pStyle w:val="ListParagraph"/>
              <w:widowControl/>
              <w:tabs>
                <w:tab w:val="left" w:pos="90"/>
              </w:tabs>
              <w:suppressAutoHyphens/>
              <w:textAlignment w:val="center"/>
              <w:rPr>
                <w:color w:val="000000"/>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0" w:type="dxa"/>
            </w:tcMar>
          </w:tcPr>
          <w:p w14:paraId="24A71EB7" w14:textId="77777777" w:rsidR="00FE291A" w:rsidRDefault="00C8738F">
            <w:pPr>
              <w:widowControl/>
              <w:ind w:left="720" w:hanging="720"/>
              <w:rPr>
                <w:rFonts w:eastAsia="Calibri"/>
                <w:sz w:val="22"/>
                <w:szCs w:val="22"/>
                <w:lang w:val="de-DE"/>
              </w:rPr>
            </w:pPr>
            <w:r>
              <w:rPr>
                <w:rFonts w:eastAsia="Calibri"/>
                <w:bCs/>
                <w:sz w:val="22"/>
                <w:szCs w:val="22"/>
                <w:lang w:val="de-DE"/>
              </w:rPr>
              <w:t xml:space="preserve">Den Fertigpen </w:t>
            </w:r>
            <w:r>
              <w:rPr>
                <w:rFonts w:eastAsia="Calibri"/>
                <w:b/>
                <w:bCs/>
                <w:sz w:val="22"/>
                <w:szCs w:val="22"/>
                <w:lang w:val="de-DE"/>
              </w:rPr>
              <w:t>nicht</w:t>
            </w:r>
            <w:r>
              <w:rPr>
                <w:rFonts w:eastAsia="Calibri"/>
                <w:bCs/>
                <w:sz w:val="22"/>
                <w:szCs w:val="22"/>
                <w:lang w:val="de-DE"/>
              </w:rPr>
              <w:t xml:space="preserve"> schütteln</w:t>
            </w:r>
            <w:r>
              <w:rPr>
                <w:rFonts w:eastAsia="Calibri"/>
                <w:sz w:val="22"/>
                <w:szCs w:val="22"/>
                <w:lang w:val="de-DE"/>
              </w:rPr>
              <w:t>.</w:t>
            </w:r>
          </w:p>
        </w:tc>
      </w:tr>
      <w:tr w:rsidR="00FE291A" w:rsidRPr="002E6CD3" w14:paraId="60D4500F" w14:textId="77777777">
        <w:tc>
          <w:tcPr>
            <w:tcW w:w="303" w:type="pct"/>
            <w:tcBorders>
              <w:top w:val="nil"/>
              <w:left w:val="single" w:sz="4" w:space="0" w:color="auto"/>
              <w:bottom w:val="single" w:sz="4" w:space="0" w:color="auto"/>
              <w:right w:val="nil"/>
            </w:tcBorders>
            <w:tcMar>
              <w:top w:w="28" w:type="dxa"/>
              <w:left w:w="57" w:type="dxa"/>
              <w:bottom w:w="28" w:type="dxa"/>
              <w:right w:w="57" w:type="dxa"/>
            </w:tcMar>
          </w:tcPr>
          <w:p w14:paraId="788A505C" w14:textId="77777777" w:rsidR="00FE291A" w:rsidRDefault="00C8738F">
            <w:pPr>
              <w:pStyle w:val="ListParagraph"/>
              <w:widowControl/>
              <w:tabs>
                <w:tab w:val="left" w:pos="90"/>
              </w:tabs>
              <w:suppressAutoHyphens/>
              <w:textAlignment w:val="center"/>
              <w:rPr>
                <w:color w:val="000000"/>
                <w:sz w:val="22"/>
                <w:szCs w:val="22"/>
                <w:lang w:val="de-DE"/>
              </w:rPr>
            </w:pPr>
            <w:r>
              <w:rPr>
                <w:color w:val="000000"/>
                <w:sz w:val="22"/>
                <w:szCs w:val="22"/>
                <w:lang w:val="de-DE"/>
              </w:rPr>
              <w:t>●</w:t>
            </w:r>
          </w:p>
        </w:tc>
        <w:tc>
          <w:tcPr>
            <w:tcW w:w="4697" w:type="pct"/>
            <w:tcBorders>
              <w:top w:val="nil"/>
              <w:left w:val="nil"/>
              <w:bottom w:val="single" w:sz="4" w:space="0" w:color="auto"/>
              <w:right w:val="single" w:sz="4" w:space="0" w:color="auto"/>
            </w:tcBorders>
            <w:tcMar>
              <w:left w:w="0" w:type="dxa"/>
            </w:tcMar>
          </w:tcPr>
          <w:p w14:paraId="6D39E35D" w14:textId="77777777" w:rsidR="00FE291A" w:rsidRDefault="00C8738F">
            <w:pPr>
              <w:widowControl/>
              <w:rPr>
                <w:rFonts w:eastAsia="Calibri"/>
                <w:sz w:val="22"/>
                <w:szCs w:val="22"/>
                <w:lang w:val="de-DE"/>
              </w:rPr>
            </w:pPr>
            <w:r>
              <w:rPr>
                <w:rFonts w:eastAsia="Calibri"/>
                <w:bCs/>
                <w:sz w:val="22"/>
                <w:szCs w:val="22"/>
                <w:lang w:val="de-DE"/>
              </w:rPr>
              <w:t xml:space="preserve">Die gelbe Kappe noch </w:t>
            </w:r>
            <w:r>
              <w:rPr>
                <w:rFonts w:eastAsia="Calibri"/>
                <w:b/>
                <w:bCs/>
                <w:sz w:val="22"/>
                <w:szCs w:val="22"/>
                <w:lang w:val="de-DE"/>
              </w:rPr>
              <w:t>nicht</w:t>
            </w:r>
            <w:r>
              <w:rPr>
                <w:rFonts w:eastAsia="Calibri"/>
                <w:bCs/>
                <w:sz w:val="22"/>
                <w:szCs w:val="22"/>
                <w:lang w:val="de-DE"/>
              </w:rPr>
              <w:t xml:space="preserve"> vom Fertigpen entfernen.</w:t>
            </w:r>
          </w:p>
        </w:tc>
      </w:tr>
    </w:tbl>
    <w:p w14:paraId="4C10313B" w14:textId="77777777" w:rsidR="00FE291A" w:rsidRDefault="00FE291A">
      <w:pPr>
        <w:pStyle w:val="trianglemarkcopy"/>
        <w:widowControl/>
        <w:tabs>
          <w:tab w:val="clear" w:pos="828"/>
        </w:tabs>
        <w:spacing w:before="0" w:line="240" w:lineRule="auto"/>
        <w:ind w:left="0" w:firstLine="0"/>
        <w:rPr>
          <w:rStyle w:val="bodybold"/>
          <w:rFonts w:ascii="Times New Roman" w:hAnsi="Times New Roman"/>
          <w:bCs/>
          <w:color w:val="auto"/>
          <w:sz w:val="22"/>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49"/>
        <w:gridCol w:w="8512"/>
      </w:tblGrid>
      <w:tr w:rsidR="00FE291A" w:rsidRPr="00723069" w14:paraId="50570F8A" w14:textId="77777777">
        <w:tc>
          <w:tcPr>
            <w:tcW w:w="30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43D7FD9" w14:textId="77777777" w:rsidR="00FE291A" w:rsidRDefault="00C8738F">
            <w:pPr>
              <w:widowControl/>
              <w:suppressAutoHyphens/>
              <w:textAlignment w:val="center"/>
              <w:rPr>
                <w:b/>
                <w:color w:val="000000"/>
                <w:sz w:val="22"/>
                <w:szCs w:val="22"/>
                <w:lang w:val="de-DE"/>
              </w:rPr>
            </w:pPr>
            <w:r>
              <w:rPr>
                <w:rStyle w:val="bodybold"/>
                <w:sz w:val="22"/>
                <w:szCs w:val="22"/>
                <w:lang w:val="de-DE"/>
              </w:rPr>
              <w:t>B.</w:t>
            </w:r>
          </w:p>
        </w:tc>
        <w:tc>
          <w:tcPr>
            <w:tcW w:w="4697" w:type="pct"/>
            <w:tcBorders>
              <w:top w:val="single" w:sz="4" w:space="0" w:color="auto"/>
              <w:left w:val="single" w:sz="4" w:space="0" w:color="auto"/>
              <w:bottom w:val="single" w:sz="4" w:space="0" w:color="auto"/>
              <w:right w:val="single" w:sz="4" w:space="0" w:color="auto"/>
            </w:tcBorders>
            <w:tcMar>
              <w:left w:w="57" w:type="dxa"/>
            </w:tcMar>
          </w:tcPr>
          <w:p w14:paraId="665E7262" w14:textId="77777777" w:rsidR="00FE291A" w:rsidRDefault="00C8738F">
            <w:pPr>
              <w:widowControl/>
              <w:rPr>
                <w:color w:val="000000"/>
                <w:sz w:val="22"/>
                <w:szCs w:val="22"/>
                <w:lang w:val="de-DE"/>
              </w:rPr>
            </w:pPr>
            <w:r>
              <w:rPr>
                <w:bCs/>
                <w:sz w:val="22"/>
                <w:szCs w:val="22"/>
                <w:lang w:val="de-DE"/>
              </w:rPr>
              <w:t>Überprüfen Sie den AMGEVITA-Fertigpen.</w:t>
            </w:r>
          </w:p>
        </w:tc>
      </w:tr>
      <w:tr w:rsidR="00FE291A" w14:paraId="0C18140A" w14:textId="77777777">
        <w:trPr>
          <w:trHeight w:val="1624"/>
        </w:trPr>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tbl>
            <w:tblPr>
              <w:tblW w:w="0" w:type="auto"/>
              <w:tblLook w:val="04A0" w:firstRow="1" w:lastRow="0" w:firstColumn="1" w:lastColumn="0" w:noHBand="0" w:noVBand="1"/>
            </w:tblPr>
            <w:tblGrid>
              <w:gridCol w:w="1839"/>
              <w:gridCol w:w="2520"/>
              <w:gridCol w:w="4588"/>
            </w:tblGrid>
            <w:tr w:rsidR="00FE291A" w14:paraId="7B483A98" w14:textId="77777777">
              <w:tc>
                <w:tcPr>
                  <w:tcW w:w="9107" w:type="dxa"/>
                  <w:gridSpan w:val="3"/>
                </w:tcPr>
                <w:p w14:paraId="36FBF73A" w14:textId="5DDB0748" w:rsidR="00FE291A" w:rsidRDefault="009C5B62">
                  <w:pPr>
                    <w:widowControl/>
                    <w:rPr>
                      <w:rFonts w:eastAsia="Calibri"/>
                      <w:bCs/>
                      <w:sz w:val="22"/>
                      <w:szCs w:val="22"/>
                      <w:lang w:val="de-DE"/>
                    </w:rPr>
                  </w:pPr>
                  <w:r>
                    <w:rPr>
                      <w:rFonts w:eastAsia="Calibri"/>
                      <w:noProof/>
                      <w:sz w:val="22"/>
                      <w:szCs w:val="22"/>
                      <w:lang w:val="de-DE" w:eastAsia="en-GB"/>
                    </w:rPr>
                    <w:drawing>
                      <wp:inline distT="0" distB="0" distL="0" distR="0" wp14:anchorId="393246A4" wp14:editId="623672B2">
                        <wp:extent cx="3360420" cy="914400"/>
                        <wp:effectExtent l="0" t="0" r="0" b="0"/>
                        <wp:docPr id="33" name="Picture 47" descr="ILL0950 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LL0950 v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60420" cy="914400"/>
                                </a:xfrm>
                                <a:prstGeom prst="rect">
                                  <a:avLst/>
                                </a:prstGeom>
                                <a:noFill/>
                                <a:ln>
                                  <a:noFill/>
                                </a:ln>
                              </pic:spPr>
                            </pic:pic>
                          </a:graphicData>
                        </a:graphic>
                      </wp:inline>
                    </w:drawing>
                  </w:r>
                </w:p>
              </w:tc>
            </w:tr>
            <w:tr w:rsidR="00FE291A" w14:paraId="0EF4A30C" w14:textId="77777777">
              <w:tc>
                <w:tcPr>
                  <w:tcW w:w="1843" w:type="dxa"/>
                </w:tcPr>
                <w:p w14:paraId="1CFCC0D9" w14:textId="77777777" w:rsidR="00FE291A" w:rsidRDefault="00C8738F">
                  <w:pPr>
                    <w:widowControl/>
                    <w:ind w:right="330"/>
                    <w:jc w:val="right"/>
                    <w:rPr>
                      <w:sz w:val="22"/>
                      <w:szCs w:val="22"/>
                      <w:lang w:val="de-DE"/>
                    </w:rPr>
                  </w:pPr>
                  <w:r>
                    <w:rPr>
                      <w:sz w:val="22"/>
                      <w:szCs w:val="22"/>
                      <w:lang w:val="de-DE"/>
                    </w:rPr>
                    <w:t>Gelbe Kappe,</w:t>
                  </w:r>
                </w:p>
                <w:p w14:paraId="277F0067" w14:textId="77777777" w:rsidR="00FE291A" w:rsidRDefault="00C8738F">
                  <w:pPr>
                    <w:widowControl/>
                    <w:jc w:val="center"/>
                    <w:rPr>
                      <w:rFonts w:eastAsia="Calibri"/>
                      <w:bCs/>
                      <w:sz w:val="22"/>
                      <w:szCs w:val="22"/>
                      <w:lang w:val="de-DE"/>
                    </w:rPr>
                  </w:pPr>
                  <w:r>
                    <w:rPr>
                      <w:sz w:val="22"/>
                      <w:szCs w:val="22"/>
                      <w:lang w:val="de-DE"/>
                    </w:rPr>
                    <w:t>aufgesetzt</w:t>
                  </w:r>
                </w:p>
              </w:tc>
              <w:tc>
                <w:tcPr>
                  <w:tcW w:w="2552" w:type="dxa"/>
                </w:tcPr>
                <w:p w14:paraId="4E3F3267" w14:textId="77777777" w:rsidR="00FE291A" w:rsidRDefault="00C8738F">
                  <w:pPr>
                    <w:widowControl/>
                    <w:jc w:val="center"/>
                    <w:rPr>
                      <w:rFonts w:eastAsia="Calibri"/>
                      <w:bCs/>
                      <w:sz w:val="22"/>
                      <w:szCs w:val="22"/>
                      <w:lang w:val="de-DE"/>
                    </w:rPr>
                  </w:pPr>
                  <w:r>
                    <w:rPr>
                      <w:bCs/>
                      <w:sz w:val="22"/>
                      <w:szCs w:val="22"/>
                      <w:lang w:val="de-DE"/>
                    </w:rPr>
                    <w:t>Sichtfenster</w:t>
                  </w:r>
                </w:p>
              </w:tc>
              <w:tc>
                <w:tcPr>
                  <w:tcW w:w="4712" w:type="dxa"/>
                </w:tcPr>
                <w:p w14:paraId="697D8217" w14:textId="77777777" w:rsidR="00FE291A" w:rsidRDefault="00C8738F">
                  <w:pPr>
                    <w:widowControl/>
                    <w:rPr>
                      <w:rFonts w:eastAsia="Calibri"/>
                      <w:bCs/>
                      <w:sz w:val="22"/>
                      <w:szCs w:val="22"/>
                      <w:lang w:val="de-DE"/>
                    </w:rPr>
                  </w:pPr>
                  <w:r>
                    <w:rPr>
                      <w:bCs/>
                      <w:sz w:val="22"/>
                      <w:szCs w:val="22"/>
                      <w:lang w:val="de-DE"/>
                    </w:rPr>
                    <w:t>Arzneimittel</w:t>
                  </w:r>
                </w:p>
              </w:tc>
            </w:tr>
          </w:tbl>
          <w:p w14:paraId="5A1FAC0B" w14:textId="77777777" w:rsidR="00FE291A" w:rsidRDefault="00FE291A">
            <w:pPr>
              <w:widowControl/>
              <w:rPr>
                <w:rFonts w:eastAsia="Calibri"/>
                <w:bCs/>
                <w:sz w:val="22"/>
                <w:szCs w:val="22"/>
                <w:lang w:val="de-DE"/>
              </w:rPr>
            </w:pPr>
          </w:p>
        </w:tc>
      </w:tr>
      <w:tr w:rsidR="00FE291A" w:rsidRPr="00723069" w14:paraId="120F8847"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12C588A5" w14:textId="77777777" w:rsidR="00FE291A" w:rsidRDefault="00C8738F">
            <w:pPr>
              <w:widowControl/>
              <w:rPr>
                <w:rFonts w:eastAsia="Calibri"/>
                <w:b/>
                <w:bCs/>
                <w:sz w:val="22"/>
                <w:szCs w:val="22"/>
                <w:lang w:val="de-DE"/>
              </w:rPr>
            </w:pPr>
            <w:r>
              <w:rPr>
                <w:rFonts w:eastAsia="Calibri"/>
                <w:b/>
                <w:bCs/>
                <w:sz w:val="22"/>
                <w:szCs w:val="22"/>
                <w:lang w:val="de-DE"/>
              </w:rPr>
              <w:t>Stellen Sie sicher, dass das Arzneimittel im Sichtfenster klar sowie farblos bis leicht gelblich ist.</w:t>
            </w:r>
          </w:p>
          <w:p w14:paraId="3F17E095" w14:textId="77777777" w:rsidR="00FE291A" w:rsidRDefault="00FE291A">
            <w:pPr>
              <w:widowControl/>
              <w:rPr>
                <w:rFonts w:eastAsia="Calibri"/>
                <w:bCs/>
                <w:sz w:val="22"/>
                <w:szCs w:val="22"/>
                <w:lang w:val="de-DE"/>
              </w:rPr>
            </w:pPr>
          </w:p>
        </w:tc>
      </w:tr>
      <w:tr w:rsidR="00FE291A" w:rsidRPr="002E6CD3" w14:paraId="0024F21D" w14:textId="77777777">
        <w:tc>
          <w:tcPr>
            <w:tcW w:w="303" w:type="pct"/>
            <w:tcBorders>
              <w:top w:val="nil"/>
              <w:left w:val="single" w:sz="4" w:space="0" w:color="auto"/>
              <w:bottom w:val="nil"/>
              <w:right w:val="nil"/>
            </w:tcBorders>
            <w:tcMar>
              <w:top w:w="28" w:type="dxa"/>
              <w:left w:w="57" w:type="dxa"/>
              <w:bottom w:w="28" w:type="dxa"/>
              <w:right w:w="57" w:type="dxa"/>
            </w:tcMar>
          </w:tcPr>
          <w:p w14:paraId="78EBBE97" w14:textId="77777777" w:rsidR="00FE291A" w:rsidRDefault="00C8738F">
            <w:pPr>
              <w:widowControl/>
              <w:rPr>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57" w:type="dxa"/>
            </w:tcMar>
          </w:tcPr>
          <w:p w14:paraId="06FBACE8" w14:textId="77777777" w:rsidR="00FE291A" w:rsidRDefault="00C8738F">
            <w:pPr>
              <w:pStyle w:val="ListParagraph"/>
              <w:widowControl/>
              <w:suppressAutoHyphens/>
              <w:textAlignment w:val="center"/>
              <w:rPr>
                <w:color w:val="000000"/>
                <w:sz w:val="22"/>
                <w:szCs w:val="22"/>
                <w:lang w:val="de-DE"/>
              </w:rPr>
            </w:pPr>
            <w:r>
              <w:rPr>
                <w:bCs/>
                <w:color w:val="000000"/>
                <w:sz w:val="22"/>
                <w:szCs w:val="22"/>
                <w:lang w:val="de-DE"/>
              </w:rPr>
              <w:t xml:space="preserve">Wenden Sie den Fertigpen </w:t>
            </w:r>
            <w:r>
              <w:rPr>
                <w:b/>
                <w:bCs/>
                <w:color w:val="000000"/>
                <w:sz w:val="22"/>
                <w:szCs w:val="22"/>
                <w:lang w:val="de-DE"/>
              </w:rPr>
              <w:t>nicht</w:t>
            </w:r>
            <w:r>
              <w:rPr>
                <w:bCs/>
                <w:color w:val="000000"/>
                <w:sz w:val="22"/>
                <w:szCs w:val="22"/>
                <w:lang w:val="de-DE"/>
              </w:rPr>
              <w:t xml:space="preserve"> an, wenn</w:t>
            </w:r>
            <w:r>
              <w:rPr>
                <w:color w:val="000000"/>
                <w:sz w:val="22"/>
                <w:szCs w:val="22"/>
                <w:lang w:val="de-DE"/>
              </w:rPr>
              <w:t>:</w:t>
            </w:r>
          </w:p>
        </w:tc>
      </w:tr>
      <w:tr w:rsidR="00FE291A" w:rsidRPr="002E6CD3" w14:paraId="2AC01EC0" w14:textId="77777777">
        <w:tc>
          <w:tcPr>
            <w:tcW w:w="303" w:type="pct"/>
            <w:tcBorders>
              <w:top w:val="nil"/>
              <w:left w:val="single" w:sz="4" w:space="0" w:color="auto"/>
              <w:bottom w:val="nil"/>
              <w:right w:val="nil"/>
            </w:tcBorders>
            <w:tcMar>
              <w:top w:w="28" w:type="dxa"/>
              <w:left w:w="57" w:type="dxa"/>
              <w:bottom w:w="28" w:type="dxa"/>
              <w:right w:w="57" w:type="dxa"/>
            </w:tcMar>
          </w:tcPr>
          <w:p w14:paraId="2468EDFF" w14:textId="77777777" w:rsidR="00FE291A" w:rsidRDefault="00FE291A">
            <w:pPr>
              <w:widowControl/>
              <w:rPr>
                <w:color w:val="000000"/>
                <w:sz w:val="22"/>
                <w:szCs w:val="22"/>
                <w:lang w:val="de-DE"/>
              </w:rPr>
            </w:pPr>
          </w:p>
        </w:tc>
        <w:tc>
          <w:tcPr>
            <w:tcW w:w="4697" w:type="pct"/>
            <w:tcBorders>
              <w:top w:val="nil"/>
              <w:left w:val="nil"/>
              <w:bottom w:val="nil"/>
              <w:right w:val="single" w:sz="4" w:space="0" w:color="auto"/>
            </w:tcBorders>
            <w:tcMar>
              <w:left w:w="57" w:type="dxa"/>
            </w:tcMar>
          </w:tcPr>
          <w:p w14:paraId="687F1099" w14:textId="77777777" w:rsidR="00FE291A" w:rsidRDefault="00C8738F">
            <w:pPr>
              <w:pStyle w:val="ListParagraph"/>
              <w:widowControl/>
              <w:numPr>
                <w:ilvl w:val="0"/>
                <w:numId w:val="59"/>
              </w:numPr>
              <w:suppressAutoHyphens/>
              <w:contextualSpacing/>
              <w:textAlignment w:val="center"/>
              <w:rPr>
                <w:color w:val="000000"/>
                <w:sz w:val="22"/>
                <w:szCs w:val="22"/>
                <w:lang w:val="de-DE"/>
              </w:rPr>
            </w:pPr>
            <w:r>
              <w:rPr>
                <w:color w:val="000000"/>
                <w:sz w:val="22"/>
                <w:szCs w:val="22"/>
                <w:lang w:val="de-DE"/>
              </w:rPr>
              <w:t xml:space="preserve">das Arzneimittel trübe oder </w:t>
            </w:r>
            <w:r>
              <w:rPr>
                <w:rFonts w:eastAsia="Calibri"/>
                <w:sz w:val="22"/>
                <w:szCs w:val="22"/>
                <w:lang w:val="de-DE"/>
              </w:rPr>
              <w:t>verfärbt ist oder Flocken oder Partikel enthält.</w:t>
            </w:r>
          </w:p>
          <w:p w14:paraId="6DACB850" w14:textId="77777777" w:rsidR="00FE291A" w:rsidRDefault="00C8738F">
            <w:pPr>
              <w:pStyle w:val="ListParagraph"/>
              <w:widowControl/>
              <w:numPr>
                <w:ilvl w:val="0"/>
                <w:numId w:val="59"/>
              </w:numPr>
              <w:suppressAutoHyphens/>
              <w:autoSpaceDE/>
              <w:autoSpaceDN/>
              <w:adjustRightInd/>
              <w:contextualSpacing/>
              <w:textAlignment w:val="center"/>
              <w:rPr>
                <w:sz w:val="22"/>
                <w:szCs w:val="22"/>
                <w:lang w:val="de-DE"/>
              </w:rPr>
            </w:pPr>
            <w:r>
              <w:rPr>
                <w:rFonts w:eastAsia="Calibri"/>
                <w:sz w:val="22"/>
                <w:szCs w:val="22"/>
                <w:lang w:val="de-DE"/>
              </w:rPr>
              <w:t>wenn Teile davon gesprungen oder gebrochen erscheinen</w:t>
            </w:r>
            <w:r>
              <w:rPr>
                <w:color w:val="000000"/>
                <w:sz w:val="22"/>
                <w:szCs w:val="22"/>
                <w:lang w:val="de-DE"/>
              </w:rPr>
              <w:t>.</w:t>
            </w:r>
          </w:p>
          <w:p w14:paraId="1627C323" w14:textId="77777777" w:rsidR="00FE291A" w:rsidRDefault="00C8738F">
            <w:pPr>
              <w:pStyle w:val="ListParagraph"/>
              <w:widowControl/>
              <w:numPr>
                <w:ilvl w:val="0"/>
                <w:numId w:val="59"/>
              </w:numPr>
              <w:autoSpaceDE/>
              <w:autoSpaceDN/>
              <w:adjustRightInd/>
              <w:contextualSpacing/>
              <w:rPr>
                <w:sz w:val="22"/>
                <w:szCs w:val="22"/>
                <w:lang w:val="de-DE"/>
              </w:rPr>
            </w:pPr>
            <w:r>
              <w:rPr>
                <w:sz w:val="22"/>
                <w:szCs w:val="22"/>
                <w:lang w:val="de-DE"/>
              </w:rPr>
              <w:t>der Fertigpen auf eine harte Oberfläche gefallen ist.</w:t>
            </w:r>
          </w:p>
          <w:p w14:paraId="0E75C2C0" w14:textId="77777777" w:rsidR="00FE291A" w:rsidRDefault="00C8738F">
            <w:pPr>
              <w:pStyle w:val="ListParagraph"/>
              <w:widowControl/>
              <w:numPr>
                <w:ilvl w:val="0"/>
                <w:numId w:val="59"/>
              </w:numPr>
              <w:autoSpaceDE/>
              <w:autoSpaceDN/>
              <w:adjustRightInd/>
              <w:contextualSpacing/>
              <w:rPr>
                <w:sz w:val="22"/>
                <w:szCs w:val="22"/>
                <w:lang w:val="de-DE"/>
              </w:rPr>
            </w:pPr>
            <w:r>
              <w:rPr>
                <w:sz w:val="22"/>
                <w:szCs w:val="22"/>
                <w:lang w:val="de-DE"/>
              </w:rPr>
              <w:t>die gelbe Kappe fehlt oder nicht sicher angebracht ist.</w:t>
            </w:r>
          </w:p>
          <w:p w14:paraId="56BCF998" w14:textId="77777777" w:rsidR="00FE291A" w:rsidRDefault="00C8738F">
            <w:pPr>
              <w:pStyle w:val="ListParagraph"/>
              <w:widowControl/>
              <w:numPr>
                <w:ilvl w:val="0"/>
                <w:numId w:val="59"/>
              </w:numPr>
              <w:autoSpaceDE/>
              <w:autoSpaceDN/>
              <w:adjustRightInd/>
              <w:contextualSpacing/>
              <w:rPr>
                <w:sz w:val="22"/>
                <w:szCs w:val="22"/>
                <w:lang w:val="de-DE"/>
              </w:rPr>
            </w:pPr>
            <w:r>
              <w:rPr>
                <w:rFonts w:eastAsia="Calibri"/>
                <w:sz w:val="22"/>
                <w:szCs w:val="22"/>
                <w:lang w:val="de-DE"/>
              </w:rPr>
              <w:t>das Verfalldatum, das auf dem Etikett aufgedruckt ist, überschritten ist.</w:t>
            </w:r>
          </w:p>
        </w:tc>
      </w:tr>
      <w:tr w:rsidR="00FE291A" w:rsidRPr="002E6CD3" w14:paraId="6F07ECF7" w14:textId="77777777">
        <w:tc>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tcPr>
          <w:p w14:paraId="2768801F" w14:textId="77777777" w:rsidR="00FE291A" w:rsidRDefault="00C8738F">
            <w:pPr>
              <w:pStyle w:val="DONOT"/>
              <w:spacing w:line="240" w:lineRule="auto"/>
              <w:rPr>
                <w:sz w:val="22"/>
                <w:szCs w:val="22"/>
                <w:lang w:val="de-DE"/>
              </w:rPr>
            </w:pPr>
            <w:r>
              <w:rPr>
                <w:rFonts w:eastAsia="PMingLiU"/>
                <w:bCs/>
                <w:color w:val="000000"/>
                <w:sz w:val="22"/>
                <w:szCs w:val="22"/>
                <w:lang w:val="de-DE"/>
              </w:rPr>
              <w:t>Benutzen Sie in allen Fällen einen neuen Fertigpen.</w:t>
            </w:r>
          </w:p>
        </w:tc>
      </w:tr>
    </w:tbl>
    <w:p w14:paraId="1E1AB96B" w14:textId="77777777" w:rsidR="00FE291A" w:rsidRDefault="00FE291A">
      <w:pPr>
        <w:pageBreakBefore/>
        <w:widowControl/>
        <w:rPr>
          <w:sz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9"/>
        <w:gridCol w:w="8512"/>
      </w:tblGrid>
      <w:tr w:rsidR="00FE291A" w:rsidRPr="00723069" w14:paraId="19B371A2" w14:textId="77777777">
        <w:tc>
          <w:tcPr>
            <w:tcW w:w="30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247F0C0" w14:textId="77777777" w:rsidR="00FE291A" w:rsidRDefault="00C8738F">
            <w:pPr>
              <w:widowControl/>
              <w:suppressAutoHyphens/>
              <w:textAlignment w:val="center"/>
              <w:rPr>
                <w:b/>
                <w:color w:val="000000"/>
                <w:sz w:val="22"/>
                <w:szCs w:val="22"/>
                <w:lang w:val="de-DE"/>
              </w:rPr>
            </w:pPr>
            <w:r>
              <w:rPr>
                <w:rStyle w:val="bodybold"/>
                <w:sz w:val="22"/>
                <w:szCs w:val="22"/>
                <w:lang w:val="de-DE"/>
              </w:rPr>
              <w:t>C.</w:t>
            </w:r>
          </w:p>
        </w:tc>
        <w:tc>
          <w:tcPr>
            <w:tcW w:w="4697" w:type="pct"/>
            <w:tcBorders>
              <w:top w:val="single" w:sz="4" w:space="0" w:color="auto"/>
              <w:left w:val="single" w:sz="4" w:space="0" w:color="auto"/>
              <w:bottom w:val="single" w:sz="4" w:space="0" w:color="auto"/>
              <w:right w:val="single" w:sz="4" w:space="0" w:color="auto"/>
            </w:tcBorders>
            <w:tcMar>
              <w:left w:w="57" w:type="dxa"/>
            </w:tcMar>
          </w:tcPr>
          <w:p w14:paraId="1CEBB60A" w14:textId="77777777" w:rsidR="00FE291A" w:rsidRDefault="00C8738F">
            <w:pPr>
              <w:pStyle w:val="BasicParagraph"/>
              <w:widowControl/>
              <w:suppressAutoHyphens/>
              <w:spacing w:line="240" w:lineRule="auto"/>
              <w:rPr>
                <w:rFonts w:ascii="Times New Roman" w:hAnsi="Times New Roman" w:cs="Times New Roman"/>
                <w:bCs/>
                <w:szCs w:val="22"/>
                <w:lang w:val="de-DE"/>
              </w:rPr>
            </w:pPr>
            <w:r>
              <w:rPr>
                <w:rFonts w:ascii="Times New Roman" w:hAnsi="Times New Roman" w:cs="Times New Roman"/>
                <w:bCs/>
                <w:szCs w:val="22"/>
                <w:lang w:val="de-DE"/>
              </w:rPr>
              <w:t>Stellen Sie alle Gegenstände zusammen, die Sie für Ihre Injektion benötigen.</w:t>
            </w:r>
          </w:p>
        </w:tc>
      </w:tr>
      <w:tr w:rsidR="00FE291A" w:rsidRPr="00723069" w14:paraId="45392F8D" w14:textId="77777777">
        <w:trPr>
          <w:trHeight w:val="541"/>
        </w:trPr>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p w14:paraId="141B0FB9" w14:textId="77777777" w:rsidR="00FE291A" w:rsidRDefault="00C8738F">
            <w:pPr>
              <w:widowControl/>
              <w:rPr>
                <w:sz w:val="22"/>
                <w:szCs w:val="22"/>
                <w:lang w:val="de-DE"/>
              </w:rPr>
            </w:pPr>
            <w:r>
              <w:rPr>
                <w:rFonts w:eastAsia="Calibri"/>
                <w:bCs/>
                <w:sz w:val="22"/>
                <w:szCs w:val="22"/>
                <w:lang w:val="de-DE"/>
              </w:rPr>
              <w:t>Waschen Sie Ihre Hände gründlich mit Seife und Wasser.</w:t>
            </w:r>
          </w:p>
          <w:p w14:paraId="6D36E4B3" w14:textId="77777777" w:rsidR="00FE291A" w:rsidRDefault="00C8738F">
            <w:pPr>
              <w:widowControl/>
              <w:rPr>
                <w:sz w:val="22"/>
                <w:szCs w:val="22"/>
                <w:lang w:val="de-DE"/>
              </w:rPr>
            </w:pPr>
            <w:r>
              <w:rPr>
                <w:rFonts w:eastAsia="Calibri"/>
                <w:bCs/>
                <w:sz w:val="22"/>
                <w:szCs w:val="22"/>
                <w:lang w:val="de-DE"/>
              </w:rPr>
              <w:t>Legen Sie auf eine saubere, gut beleuchtete Arbeitsfläche</w:t>
            </w:r>
            <w:r>
              <w:rPr>
                <w:sz w:val="22"/>
                <w:szCs w:val="22"/>
                <w:lang w:val="de-DE"/>
              </w:rPr>
              <w:t xml:space="preserve"> einen neuen Fertigpen.</w:t>
            </w:r>
          </w:p>
          <w:p w14:paraId="6DF0A594" w14:textId="77777777" w:rsidR="00FE291A" w:rsidRDefault="00FE291A">
            <w:pPr>
              <w:widowControl/>
              <w:rPr>
                <w:sz w:val="22"/>
                <w:szCs w:val="22"/>
                <w:lang w:val="de-DE"/>
              </w:rPr>
            </w:pPr>
          </w:p>
          <w:p w14:paraId="440D1707" w14:textId="77777777" w:rsidR="00FE291A" w:rsidRDefault="00C8738F">
            <w:pPr>
              <w:widowControl/>
              <w:rPr>
                <w:sz w:val="22"/>
                <w:szCs w:val="22"/>
                <w:lang w:val="de-DE"/>
              </w:rPr>
            </w:pPr>
            <w:r>
              <w:rPr>
                <w:sz w:val="22"/>
                <w:szCs w:val="22"/>
                <w:lang w:val="de-DE"/>
              </w:rPr>
              <w:t>Sie benötigen auch die folgenden zusätzlichen Gegenstände, da diese nicht im Karton enthalten sind:</w:t>
            </w:r>
          </w:p>
        </w:tc>
      </w:tr>
      <w:tr w:rsidR="00FE291A" w14:paraId="56338241" w14:textId="77777777">
        <w:tc>
          <w:tcPr>
            <w:tcW w:w="303" w:type="pct"/>
            <w:tcBorders>
              <w:top w:val="nil"/>
              <w:left w:val="single" w:sz="4" w:space="0" w:color="auto"/>
              <w:bottom w:val="nil"/>
              <w:right w:val="nil"/>
            </w:tcBorders>
            <w:tcMar>
              <w:top w:w="28" w:type="dxa"/>
              <w:left w:w="57" w:type="dxa"/>
              <w:bottom w:w="28" w:type="dxa"/>
              <w:right w:w="57" w:type="dxa"/>
            </w:tcMar>
          </w:tcPr>
          <w:p w14:paraId="3DE1FD0E" w14:textId="77777777" w:rsidR="00FE291A" w:rsidRDefault="00C8738F">
            <w:pPr>
              <w:widowControl/>
              <w:rPr>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57" w:type="dxa"/>
            </w:tcMar>
          </w:tcPr>
          <w:p w14:paraId="21B5CAD8" w14:textId="77777777" w:rsidR="00FE291A" w:rsidRDefault="00C8738F">
            <w:pPr>
              <w:pStyle w:val="ListParagraph"/>
              <w:widowControl/>
              <w:suppressAutoHyphens/>
              <w:textAlignment w:val="center"/>
              <w:rPr>
                <w:color w:val="000000"/>
                <w:sz w:val="22"/>
                <w:szCs w:val="22"/>
                <w:lang w:val="de-DE"/>
              </w:rPr>
            </w:pPr>
            <w:r>
              <w:rPr>
                <w:color w:val="000000"/>
                <w:sz w:val="22"/>
                <w:szCs w:val="22"/>
                <w:lang w:val="de-DE"/>
              </w:rPr>
              <w:t>Alkoholtupfer</w:t>
            </w:r>
          </w:p>
        </w:tc>
      </w:tr>
      <w:tr w:rsidR="00FE291A" w14:paraId="1629660F" w14:textId="77777777">
        <w:tc>
          <w:tcPr>
            <w:tcW w:w="303" w:type="pct"/>
            <w:tcBorders>
              <w:top w:val="nil"/>
              <w:left w:val="single" w:sz="4" w:space="0" w:color="auto"/>
              <w:bottom w:val="nil"/>
              <w:right w:val="nil"/>
            </w:tcBorders>
            <w:tcMar>
              <w:top w:w="28" w:type="dxa"/>
              <w:left w:w="57" w:type="dxa"/>
              <w:bottom w:w="28" w:type="dxa"/>
              <w:right w:w="57" w:type="dxa"/>
            </w:tcMar>
          </w:tcPr>
          <w:p w14:paraId="1118E3E3" w14:textId="77777777" w:rsidR="00FE291A" w:rsidRDefault="00C8738F">
            <w:pPr>
              <w:widowControl/>
              <w:rPr>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57" w:type="dxa"/>
            </w:tcMar>
          </w:tcPr>
          <w:p w14:paraId="02EB4101" w14:textId="77777777" w:rsidR="00FE291A" w:rsidRDefault="00C8738F">
            <w:pPr>
              <w:pStyle w:val="ListParagraph"/>
              <w:widowControl/>
              <w:suppressAutoHyphens/>
              <w:textAlignment w:val="center"/>
              <w:rPr>
                <w:color w:val="000000"/>
                <w:sz w:val="22"/>
                <w:szCs w:val="22"/>
                <w:lang w:val="de-DE"/>
              </w:rPr>
            </w:pPr>
            <w:r>
              <w:rPr>
                <w:rFonts w:eastAsia="Calibri"/>
                <w:sz w:val="22"/>
                <w:szCs w:val="22"/>
                <w:lang w:val="de-DE"/>
              </w:rPr>
              <w:t>Wattebausch oder Verbandmull</w:t>
            </w:r>
          </w:p>
        </w:tc>
      </w:tr>
      <w:tr w:rsidR="00FE291A" w14:paraId="51B5D0AD" w14:textId="77777777">
        <w:tc>
          <w:tcPr>
            <w:tcW w:w="303" w:type="pct"/>
            <w:tcBorders>
              <w:top w:val="nil"/>
              <w:left w:val="single" w:sz="4" w:space="0" w:color="auto"/>
              <w:bottom w:val="nil"/>
              <w:right w:val="nil"/>
            </w:tcBorders>
            <w:tcMar>
              <w:top w:w="28" w:type="dxa"/>
              <w:left w:w="57" w:type="dxa"/>
              <w:bottom w:w="28" w:type="dxa"/>
              <w:right w:w="57" w:type="dxa"/>
            </w:tcMar>
          </w:tcPr>
          <w:p w14:paraId="4D3D04C0" w14:textId="77777777" w:rsidR="00FE291A" w:rsidRDefault="00C8738F">
            <w:pPr>
              <w:widowControl/>
              <w:rPr>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57" w:type="dxa"/>
            </w:tcMar>
          </w:tcPr>
          <w:p w14:paraId="38EC062D" w14:textId="77777777" w:rsidR="00FE291A" w:rsidRDefault="00C8738F">
            <w:pPr>
              <w:pStyle w:val="ListParagraph"/>
              <w:widowControl/>
              <w:suppressAutoHyphens/>
              <w:textAlignment w:val="center"/>
              <w:rPr>
                <w:color w:val="000000"/>
                <w:sz w:val="22"/>
                <w:szCs w:val="22"/>
                <w:lang w:val="de-DE"/>
              </w:rPr>
            </w:pPr>
            <w:r>
              <w:rPr>
                <w:color w:val="000000"/>
                <w:sz w:val="22"/>
                <w:szCs w:val="22"/>
                <w:lang w:val="de-DE"/>
              </w:rPr>
              <w:t>Pflaster</w:t>
            </w:r>
          </w:p>
        </w:tc>
      </w:tr>
      <w:tr w:rsidR="00FE291A" w14:paraId="58DB76EC" w14:textId="77777777">
        <w:tc>
          <w:tcPr>
            <w:tcW w:w="303" w:type="pct"/>
            <w:tcBorders>
              <w:top w:val="nil"/>
              <w:left w:val="single" w:sz="4" w:space="0" w:color="auto"/>
              <w:bottom w:val="nil"/>
              <w:right w:val="nil"/>
            </w:tcBorders>
            <w:tcMar>
              <w:top w:w="28" w:type="dxa"/>
              <w:left w:w="57" w:type="dxa"/>
              <w:bottom w:w="28" w:type="dxa"/>
              <w:right w:w="57" w:type="dxa"/>
            </w:tcMar>
          </w:tcPr>
          <w:p w14:paraId="47135F01" w14:textId="77777777" w:rsidR="00FE291A" w:rsidRDefault="00C8738F">
            <w:pPr>
              <w:widowControl/>
              <w:rPr>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57" w:type="dxa"/>
            </w:tcMar>
          </w:tcPr>
          <w:p w14:paraId="4D308141" w14:textId="77777777" w:rsidR="00FE291A" w:rsidRDefault="00C8738F">
            <w:pPr>
              <w:pStyle w:val="ListParagraph"/>
              <w:widowControl/>
              <w:suppressAutoHyphens/>
              <w:textAlignment w:val="center"/>
              <w:rPr>
                <w:color w:val="000000"/>
                <w:sz w:val="22"/>
                <w:szCs w:val="22"/>
                <w:lang w:val="de-DE"/>
              </w:rPr>
            </w:pPr>
            <w:r>
              <w:rPr>
                <w:rFonts w:eastAsia="Calibri"/>
                <w:sz w:val="22"/>
                <w:szCs w:val="22"/>
                <w:lang w:val="de-DE"/>
              </w:rPr>
              <w:t>durchstichsicherer Behälter</w:t>
            </w:r>
          </w:p>
        </w:tc>
      </w:tr>
      <w:tr w:rsidR="00FE291A" w14:paraId="16A247F6" w14:textId="77777777">
        <w:tc>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tcPr>
          <w:tbl>
            <w:tblPr>
              <w:tblW w:w="0" w:type="auto"/>
              <w:tblLayout w:type="fixed"/>
              <w:tblLook w:val="04A0" w:firstRow="1" w:lastRow="0" w:firstColumn="1" w:lastColumn="0" w:noHBand="0" w:noVBand="1"/>
            </w:tblPr>
            <w:tblGrid>
              <w:gridCol w:w="2830"/>
              <w:gridCol w:w="6237"/>
            </w:tblGrid>
            <w:tr w:rsidR="00FE291A" w14:paraId="5DE378B5" w14:textId="77777777">
              <w:tc>
                <w:tcPr>
                  <w:tcW w:w="2830" w:type="dxa"/>
                  <w:vAlign w:val="center"/>
                </w:tcPr>
                <w:p w14:paraId="766E338B" w14:textId="69A0BC31" w:rsidR="00FE291A" w:rsidRDefault="009C5B62">
                  <w:pPr>
                    <w:pStyle w:val="DONOT"/>
                    <w:spacing w:line="240" w:lineRule="auto"/>
                    <w:jc w:val="center"/>
                    <w:rPr>
                      <w:sz w:val="22"/>
                      <w:szCs w:val="22"/>
                      <w:lang w:val="de-DE"/>
                    </w:rPr>
                  </w:pPr>
                  <w:r>
                    <w:rPr>
                      <w:noProof/>
                      <w:sz w:val="22"/>
                      <w:szCs w:val="22"/>
                      <w:lang w:val="de-DE" w:eastAsia="en-GB"/>
                    </w:rPr>
                    <w:drawing>
                      <wp:inline distT="0" distB="0" distL="0" distR="0" wp14:anchorId="5D586E6A" wp14:editId="5E6F29BA">
                        <wp:extent cx="1514475" cy="228600"/>
                        <wp:effectExtent l="0" t="0" r="0" b="0"/>
                        <wp:docPr id="34" name="Picture 48" descr="ILL0937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LL0937 v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14475" cy="228600"/>
                                </a:xfrm>
                                <a:prstGeom prst="rect">
                                  <a:avLst/>
                                </a:prstGeom>
                                <a:noFill/>
                                <a:ln>
                                  <a:noFill/>
                                </a:ln>
                              </pic:spPr>
                            </pic:pic>
                          </a:graphicData>
                        </a:graphic>
                      </wp:inline>
                    </w:drawing>
                  </w:r>
                </w:p>
              </w:tc>
              <w:tc>
                <w:tcPr>
                  <w:tcW w:w="6237" w:type="dxa"/>
                </w:tcPr>
                <w:p w14:paraId="7CBC4657" w14:textId="357BDD68" w:rsidR="00FE291A" w:rsidRDefault="009C5B62">
                  <w:pPr>
                    <w:pStyle w:val="DONOT"/>
                    <w:spacing w:line="240" w:lineRule="auto"/>
                    <w:rPr>
                      <w:sz w:val="22"/>
                      <w:szCs w:val="22"/>
                      <w:lang w:val="de-DE"/>
                    </w:rPr>
                  </w:pPr>
                  <w:r>
                    <w:rPr>
                      <w:noProof/>
                      <w:sz w:val="22"/>
                      <w:szCs w:val="22"/>
                      <w:lang w:val="de-DE" w:eastAsia="en-GB"/>
                    </w:rPr>
                    <w:drawing>
                      <wp:inline distT="0" distB="0" distL="0" distR="0" wp14:anchorId="1ADBAE9D" wp14:editId="4EA1EFDD">
                        <wp:extent cx="1760220" cy="1068705"/>
                        <wp:effectExtent l="0" t="0" r="0" b="0"/>
                        <wp:docPr id="35" name="Picture 49" descr="ILL0012 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LL0012 v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60220" cy="1068705"/>
                                </a:xfrm>
                                <a:prstGeom prst="rect">
                                  <a:avLst/>
                                </a:prstGeom>
                                <a:noFill/>
                                <a:ln>
                                  <a:noFill/>
                                </a:ln>
                              </pic:spPr>
                            </pic:pic>
                          </a:graphicData>
                        </a:graphic>
                      </wp:inline>
                    </w:drawing>
                  </w:r>
                </w:p>
              </w:tc>
            </w:tr>
          </w:tbl>
          <w:p w14:paraId="7A9A9064" w14:textId="77777777" w:rsidR="00FE291A" w:rsidRDefault="00FE291A">
            <w:pPr>
              <w:pStyle w:val="DONOT"/>
              <w:spacing w:line="240" w:lineRule="auto"/>
              <w:rPr>
                <w:sz w:val="22"/>
                <w:szCs w:val="22"/>
                <w:lang w:val="de-DE"/>
              </w:rPr>
            </w:pPr>
          </w:p>
        </w:tc>
      </w:tr>
    </w:tbl>
    <w:p w14:paraId="6AAF771D" w14:textId="77777777" w:rsidR="00FE291A" w:rsidRDefault="00FE291A">
      <w:pPr>
        <w:pStyle w:val="BasicParagraph"/>
        <w:widowControl/>
        <w:suppressAutoHyphens/>
        <w:spacing w:line="240" w:lineRule="auto"/>
        <w:rPr>
          <w:rStyle w:val="bodybold"/>
          <w:rFonts w:ascii="Times New Roman" w:hAnsi="Times New Roman"/>
          <w:color w:val="auto"/>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49"/>
        <w:gridCol w:w="8512"/>
      </w:tblGrid>
      <w:tr w:rsidR="00FE291A" w:rsidRPr="002E6CD3" w14:paraId="6EE4D0A0" w14:textId="77777777">
        <w:tc>
          <w:tcPr>
            <w:tcW w:w="30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799010" w14:textId="77777777" w:rsidR="00FE291A" w:rsidRDefault="00C8738F">
            <w:pPr>
              <w:keepNext/>
              <w:keepLines/>
              <w:widowControl/>
              <w:suppressAutoHyphens/>
              <w:textAlignment w:val="center"/>
              <w:rPr>
                <w:b/>
                <w:color w:val="000000"/>
                <w:sz w:val="22"/>
                <w:szCs w:val="22"/>
                <w:lang w:val="de-DE"/>
              </w:rPr>
            </w:pPr>
            <w:r>
              <w:rPr>
                <w:rStyle w:val="bodybold"/>
                <w:sz w:val="22"/>
                <w:szCs w:val="22"/>
                <w:lang w:val="de-DE"/>
              </w:rPr>
              <w:t>D.</w:t>
            </w:r>
          </w:p>
        </w:tc>
        <w:tc>
          <w:tcPr>
            <w:tcW w:w="4697" w:type="pct"/>
            <w:tcBorders>
              <w:top w:val="single" w:sz="4" w:space="0" w:color="auto"/>
              <w:left w:val="single" w:sz="4" w:space="0" w:color="auto"/>
              <w:bottom w:val="single" w:sz="4" w:space="0" w:color="auto"/>
              <w:right w:val="single" w:sz="4" w:space="0" w:color="auto"/>
            </w:tcBorders>
            <w:tcMar>
              <w:left w:w="57" w:type="dxa"/>
            </w:tcMar>
          </w:tcPr>
          <w:p w14:paraId="1A98B1AC" w14:textId="77777777" w:rsidR="00FE291A" w:rsidRDefault="00C8738F">
            <w:pPr>
              <w:pStyle w:val="BasicParagraph"/>
              <w:keepNext/>
              <w:keepLines/>
              <w:widowControl/>
              <w:suppressAutoHyphens/>
              <w:spacing w:line="240" w:lineRule="auto"/>
              <w:rPr>
                <w:rFonts w:ascii="Times New Roman" w:hAnsi="Times New Roman" w:cs="Times New Roman"/>
                <w:b/>
                <w:bCs/>
                <w:szCs w:val="22"/>
                <w:lang w:val="de-DE"/>
              </w:rPr>
            </w:pPr>
            <w:r>
              <w:rPr>
                <w:rFonts w:ascii="Times New Roman" w:hAnsi="Times New Roman" w:cs="Times New Roman"/>
                <w:bCs/>
                <w:szCs w:val="22"/>
                <w:lang w:val="de-DE"/>
              </w:rPr>
              <w:t>Bereiten Sie Ihre Injektionsstelle vor und reinigen Sie diese.</w:t>
            </w:r>
          </w:p>
        </w:tc>
      </w:tr>
      <w:tr w:rsidR="00FE291A" w14:paraId="6B360135" w14:textId="77777777">
        <w:trPr>
          <w:trHeight w:val="541"/>
        </w:trPr>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tbl>
            <w:tblPr>
              <w:tblW w:w="0" w:type="auto"/>
              <w:jc w:val="right"/>
              <w:tblLook w:val="04A0" w:firstRow="1" w:lastRow="0" w:firstColumn="1" w:lastColumn="0" w:noHBand="0" w:noVBand="1"/>
            </w:tblPr>
            <w:tblGrid>
              <w:gridCol w:w="2637"/>
              <w:gridCol w:w="3593"/>
            </w:tblGrid>
            <w:tr w:rsidR="00FE291A" w14:paraId="6A4E986E" w14:textId="77777777">
              <w:trPr>
                <w:trHeight w:val="1675"/>
                <w:jc w:val="right"/>
              </w:trPr>
              <w:tc>
                <w:tcPr>
                  <w:tcW w:w="2598" w:type="dxa"/>
                  <w:vMerge w:val="restart"/>
                </w:tcPr>
                <w:p w14:paraId="5B246C5B" w14:textId="4DB16A91" w:rsidR="00FE291A" w:rsidRDefault="009C5B62">
                  <w:pPr>
                    <w:pStyle w:val="BasicParagraph"/>
                    <w:keepNext/>
                    <w:keepLines/>
                    <w:widowControl/>
                    <w:suppressAutoHyphens/>
                    <w:spacing w:line="240" w:lineRule="auto"/>
                    <w:ind w:right="-108"/>
                    <w:rPr>
                      <w:rFonts w:ascii="Times New Roman" w:hAnsi="Times New Roman" w:cs="Times New Roman"/>
                      <w:b/>
                      <w:bCs/>
                      <w:szCs w:val="22"/>
                      <w:lang w:val="de-DE"/>
                    </w:rPr>
                  </w:pPr>
                  <w:r>
                    <w:rPr>
                      <w:rFonts w:ascii="Times New Roman" w:hAnsi="Times New Roman" w:cs="Times New Roman"/>
                      <w:b/>
                      <w:noProof/>
                      <w:szCs w:val="22"/>
                      <w:lang w:val="de-DE" w:eastAsia="en-GB"/>
                    </w:rPr>
                    <w:drawing>
                      <wp:inline distT="0" distB="0" distL="0" distR="0" wp14:anchorId="371B1C7E" wp14:editId="2F9A4E0F">
                        <wp:extent cx="1537335" cy="2211705"/>
                        <wp:effectExtent l="0" t="0" r="0" b="0"/>
                        <wp:docPr id="36" name="Bild 37" descr="ILL0124 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7" descr="ILL0124 v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37335" cy="2211705"/>
                                </a:xfrm>
                                <a:prstGeom prst="rect">
                                  <a:avLst/>
                                </a:prstGeom>
                                <a:noFill/>
                                <a:ln>
                                  <a:noFill/>
                                </a:ln>
                              </pic:spPr>
                            </pic:pic>
                          </a:graphicData>
                        </a:graphic>
                      </wp:inline>
                    </w:drawing>
                  </w:r>
                </w:p>
              </w:tc>
              <w:tc>
                <w:tcPr>
                  <w:tcW w:w="3593" w:type="dxa"/>
                  <w:vAlign w:val="bottom"/>
                </w:tcPr>
                <w:p w14:paraId="1F5DBDFF" w14:textId="77777777" w:rsidR="00FE291A" w:rsidRDefault="00C8738F">
                  <w:pPr>
                    <w:pStyle w:val="BasicParagraph"/>
                    <w:keepNext/>
                    <w:keepLines/>
                    <w:widowControl/>
                    <w:suppressAutoHyphens/>
                    <w:spacing w:line="240" w:lineRule="auto"/>
                    <w:ind w:left="-36"/>
                    <w:rPr>
                      <w:rFonts w:ascii="Times New Roman" w:hAnsi="Times New Roman" w:cs="Times New Roman"/>
                      <w:bCs/>
                      <w:szCs w:val="22"/>
                      <w:lang w:val="de-DE"/>
                    </w:rPr>
                  </w:pPr>
                  <w:r>
                    <w:rPr>
                      <w:rFonts w:ascii="Times New Roman" w:hAnsi="Times New Roman" w:cs="Times New Roman"/>
                      <w:bCs/>
                      <w:szCs w:val="22"/>
                      <w:lang w:val="de-DE"/>
                    </w:rPr>
                    <w:t>Bauch</w:t>
                  </w:r>
                </w:p>
              </w:tc>
            </w:tr>
            <w:tr w:rsidR="00FE291A" w14:paraId="53B60190" w14:textId="77777777">
              <w:trPr>
                <w:jc w:val="right"/>
              </w:trPr>
              <w:tc>
                <w:tcPr>
                  <w:tcW w:w="2598" w:type="dxa"/>
                  <w:vMerge/>
                </w:tcPr>
                <w:p w14:paraId="643AA806" w14:textId="77777777" w:rsidR="00FE291A" w:rsidRDefault="00FE291A">
                  <w:pPr>
                    <w:pStyle w:val="BasicParagraph"/>
                    <w:keepNext/>
                    <w:keepLines/>
                    <w:widowControl/>
                    <w:suppressAutoHyphens/>
                    <w:spacing w:line="240" w:lineRule="auto"/>
                    <w:rPr>
                      <w:rFonts w:ascii="Times New Roman" w:hAnsi="Times New Roman" w:cs="Times New Roman"/>
                      <w:b/>
                      <w:bCs/>
                      <w:szCs w:val="22"/>
                      <w:lang w:val="de-DE"/>
                    </w:rPr>
                  </w:pPr>
                </w:p>
              </w:tc>
              <w:tc>
                <w:tcPr>
                  <w:tcW w:w="3593" w:type="dxa"/>
                  <w:vAlign w:val="center"/>
                </w:tcPr>
                <w:p w14:paraId="394CD5E2" w14:textId="77777777" w:rsidR="00FE291A" w:rsidRDefault="00C8738F">
                  <w:pPr>
                    <w:pStyle w:val="BasicParagraph"/>
                    <w:keepNext/>
                    <w:keepLines/>
                    <w:widowControl/>
                    <w:suppressAutoHyphens/>
                    <w:spacing w:line="240" w:lineRule="auto"/>
                    <w:ind w:left="-36"/>
                    <w:rPr>
                      <w:rFonts w:ascii="Times New Roman" w:hAnsi="Times New Roman" w:cs="Times New Roman"/>
                      <w:bCs/>
                      <w:szCs w:val="22"/>
                      <w:lang w:val="de-DE"/>
                    </w:rPr>
                  </w:pPr>
                  <w:r>
                    <w:rPr>
                      <w:rFonts w:ascii="Times New Roman" w:hAnsi="Times New Roman" w:cs="Times New Roman"/>
                      <w:bCs/>
                      <w:szCs w:val="22"/>
                      <w:lang w:val="de-DE"/>
                    </w:rPr>
                    <w:t>Oberschenkel</w:t>
                  </w:r>
                </w:p>
              </w:tc>
            </w:tr>
          </w:tbl>
          <w:p w14:paraId="0866CF93" w14:textId="77777777" w:rsidR="00FE291A" w:rsidRDefault="00FE291A">
            <w:pPr>
              <w:keepNext/>
              <w:keepLines/>
              <w:widowControl/>
              <w:rPr>
                <w:sz w:val="22"/>
                <w:szCs w:val="22"/>
                <w:lang w:val="de-DE"/>
              </w:rPr>
            </w:pPr>
          </w:p>
        </w:tc>
      </w:tr>
      <w:tr w:rsidR="00FE291A" w14:paraId="56A12753" w14:textId="77777777">
        <w:trPr>
          <w:trHeight w:val="355"/>
        </w:trPr>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11D9410C" w14:textId="77777777" w:rsidR="00FE291A" w:rsidRDefault="00C8738F">
            <w:pPr>
              <w:keepNext/>
              <w:keepLines/>
              <w:widowControl/>
              <w:suppressAutoHyphens/>
              <w:textAlignment w:val="center"/>
              <w:rPr>
                <w:b/>
                <w:bCs/>
                <w:color w:val="000000"/>
                <w:sz w:val="22"/>
                <w:szCs w:val="22"/>
                <w:lang w:val="de-DE"/>
              </w:rPr>
            </w:pPr>
            <w:r>
              <w:rPr>
                <w:b/>
                <w:bCs/>
                <w:color w:val="000000"/>
                <w:sz w:val="22"/>
                <w:szCs w:val="22"/>
                <w:lang w:val="de-DE"/>
              </w:rPr>
              <w:t>Sie können verwenden:</w:t>
            </w:r>
          </w:p>
        </w:tc>
      </w:tr>
      <w:tr w:rsidR="00FE291A" w14:paraId="7FF7D83D" w14:textId="77777777">
        <w:tc>
          <w:tcPr>
            <w:tcW w:w="303" w:type="pct"/>
            <w:tcBorders>
              <w:top w:val="nil"/>
              <w:left w:val="single" w:sz="4" w:space="0" w:color="auto"/>
              <w:bottom w:val="nil"/>
              <w:right w:val="nil"/>
            </w:tcBorders>
            <w:tcMar>
              <w:top w:w="28" w:type="dxa"/>
              <w:left w:w="57" w:type="dxa"/>
              <w:bottom w:w="28" w:type="dxa"/>
              <w:right w:w="57" w:type="dxa"/>
            </w:tcMar>
          </w:tcPr>
          <w:p w14:paraId="7F6E7D4E" w14:textId="77777777" w:rsidR="00FE291A" w:rsidRDefault="00C8738F">
            <w:pPr>
              <w:keepNext/>
              <w:keepLines/>
              <w:widowControl/>
              <w:rPr>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57" w:type="dxa"/>
            </w:tcMar>
          </w:tcPr>
          <w:p w14:paraId="4CCA1797" w14:textId="77777777" w:rsidR="00FE291A" w:rsidRDefault="00C8738F">
            <w:pPr>
              <w:pStyle w:val="ListParagraph"/>
              <w:keepNext/>
              <w:keepLines/>
              <w:widowControl/>
              <w:suppressAutoHyphens/>
              <w:textAlignment w:val="center"/>
              <w:rPr>
                <w:color w:val="000000"/>
                <w:sz w:val="22"/>
                <w:szCs w:val="22"/>
                <w:lang w:val="de-DE"/>
              </w:rPr>
            </w:pPr>
            <w:r>
              <w:rPr>
                <w:color w:val="000000"/>
                <w:sz w:val="22"/>
                <w:szCs w:val="22"/>
                <w:lang w:val="de-DE"/>
              </w:rPr>
              <w:t>Ihren Oberschenkel</w:t>
            </w:r>
          </w:p>
        </w:tc>
      </w:tr>
      <w:tr w:rsidR="00FE291A" w:rsidRPr="002E6CD3" w14:paraId="5ED01EF8" w14:textId="77777777">
        <w:tc>
          <w:tcPr>
            <w:tcW w:w="303" w:type="pct"/>
            <w:tcBorders>
              <w:top w:val="nil"/>
              <w:left w:val="single" w:sz="4" w:space="0" w:color="auto"/>
              <w:bottom w:val="nil"/>
              <w:right w:val="nil"/>
            </w:tcBorders>
            <w:tcMar>
              <w:top w:w="28" w:type="dxa"/>
              <w:left w:w="57" w:type="dxa"/>
              <w:bottom w:w="28" w:type="dxa"/>
              <w:right w:w="57" w:type="dxa"/>
            </w:tcMar>
          </w:tcPr>
          <w:p w14:paraId="622F9AF0" w14:textId="77777777" w:rsidR="00FE291A" w:rsidRDefault="00C8738F">
            <w:pPr>
              <w:keepNext/>
              <w:keepLines/>
              <w:widowControl/>
              <w:rPr>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57" w:type="dxa"/>
            </w:tcMar>
          </w:tcPr>
          <w:p w14:paraId="5757CFEA" w14:textId="77777777" w:rsidR="00FE291A" w:rsidRDefault="00C8738F">
            <w:pPr>
              <w:pStyle w:val="ListParagraph"/>
              <w:keepNext/>
              <w:keepLines/>
              <w:widowControl/>
              <w:suppressAutoHyphens/>
              <w:textAlignment w:val="center"/>
              <w:rPr>
                <w:color w:val="000000"/>
                <w:sz w:val="22"/>
                <w:szCs w:val="22"/>
                <w:lang w:val="de-DE"/>
              </w:rPr>
            </w:pPr>
            <w:r>
              <w:rPr>
                <w:color w:val="000000"/>
                <w:sz w:val="22"/>
                <w:szCs w:val="22"/>
                <w:lang w:val="de-DE"/>
              </w:rPr>
              <w:t xml:space="preserve">Bauch, </w:t>
            </w:r>
            <w:r>
              <w:rPr>
                <w:rFonts w:eastAsia="Calibri"/>
                <w:sz w:val="22"/>
                <w:szCs w:val="22"/>
                <w:lang w:val="de-DE"/>
              </w:rPr>
              <w:t>mit Ausnahme eines 5 Zentimeter (2 Zoll)-Bereiches um Ihren Bauchnabel herum</w:t>
            </w:r>
          </w:p>
        </w:tc>
      </w:tr>
      <w:tr w:rsidR="00FE291A" w:rsidRPr="00723069" w14:paraId="3EE30BE1"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7140FD90" w14:textId="77777777" w:rsidR="00FE291A" w:rsidRDefault="00FE291A">
            <w:pPr>
              <w:pStyle w:val="ListParagraph"/>
              <w:keepNext/>
              <w:keepLines/>
              <w:widowControl/>
              <w:suppressAutoHyphens/>
              <w:textAlignment w:val="center"/>
              <w:rPr>
                <w:color w:val="000000"/>
                <w:sz w:val="22"/>
                <w:szCs w:val="22"/>
                <w:lang w:val="de-DE"/>
              </w:rPr>
            </w:pPr>
          </w:p>
          <w:p w14:paraId="654C659C" w14:textId="77777777" w:rsidR="00FE291A" w:rsidRDefault="00C8738F">
            <w:pPr>
              <w:pStyle w:val="ListParagraph"/>
              <w:keepNext/>
              <w:keepLines/>
              <w:widowControl/>
              <w:suppressAutoHyphens/>
              <w:textAlignment w:val="center"/>
              <w:rPr>
                <w:color w:val="000000"/>
                <w:sz w:val="22"/>
                <w:szCs w:val="22"/>
                <w:lang w:val="de-DE"/>
              </w:rPr>
            </w:pPr>
            <w:r>
              <w:rPr>
                <w:rFonts w:eastAsia="Calibri"/>
                <w:sz w:val="22"/>
                <w:szCs w:val="22"/>
                <w:lang w:val="de-DE"/>
              </w:rPr>
              <w:t>Reinigen Sie Ihre Injektionsstelle mit einem Alkoholtupfer. Lassen Sie Ihre Haut trocknen.</w:t>
            </w:r>
          </w:p>
        </w:tc>
      </w:tr>
      <w:tr w:rsidR="00FE291A" w:rsidRPr="00723069" w14:paraId="2A5A84C1" w14:textId="77777777">
        <w:tc>
          <w:tcPr>
            <w:tcW w:w="303" w:type="pct"/>
            <w:tcBorders>
              <w:top w:val="nil"/>
              <w:left w:val="single" w:sz="4" w:space="0" w:color="auto"/>
              <w:bottom w:val="nil"/>
              <w:right w:val="nil"/>
            </w:tcBorders>
            <w:tcMar>
              <w:top w:w="28" w:type="dxa"/>
              <w:left w:w="57" w:type="dxa"/>
              <w:bottom w:w="28" w:type="dxa"/>
              <w:right w:w="57" w:type="dxa"/>
            </w:tcMar>
          </w:tcPr>
          <w:p w14:paraId="274B9A65" w14:textId="77777777" w:rsidR="00FE291A" w:rsidRDefault="00C8738F">
            <w:pPr>
              <w:keepNext/>
              <w:keepLines/>
              <w:widowControl/>
              <w:rPr>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57" w:type="dxa"/>
            </w:tcMar>
          </w:tcPr>
          <w:p w14:paraId="1A6EDE80" w14:textId="77777777" w:rsidR="00FE291A" w:rsidRDefault="00C8738F">
            <w:pPr>
              <w:pStyle w:val="ListParagraph"/>
              <w:keepNext/>
              <w:keepLines/>
              <w:widowControl/>
              <w:suppressAutoHyphens/>
              <w:textAlignment w:val="center"/>
              <w:rPr>
                <w:color w:val="000000"/>
                <w:sz w:val="22"/>
                <w:szCs w:val="22"/>
                <w:lang w:val="de-DE"/>
              </w:rPr>
            </w:pPr>
            <w:r>
              <w:rPr>
                <w:rFonts w:eastAsia="HelveticaLTStd-Roman"/>
                <w:b/>
                <w:sz w:val="22"/>
                <w:szCs w:val="22"/>
                <w:lang w:val="de-DE"/>
              </w:rPr>
              <w:t>Nicht</w:t>
            </w:r>
            <w:r>
              <w:rPr>
                <w:rFonts w:eastAsia="HelveticaLTStd-Roman"/>
                <w:sz w:val="22"/>
                <w:szCs w:val="22"/>
                <w:lang w:val="de-DE"/>
              </w:rPr>
              <w:t xml:space="preserve"> diesen Bereich vor der Injektion noch einmal berühren.</w:t>
            </w:r>
          </w:p>
        </w:tc>
      </w:tr>
      <w:tr w:rsidR="00FE291A" w:rsidRPr="002E6CD3" w14:paraId="2169BAEB" w14:textId="77777777">
        <w:tc>
          <w:tcPr>
            <w:tcW w:w="303" w:type="pct"/>
            <w:tcBorders>
              <w:top w:val="nil"/>
              <w:left w:val="single" w:sz="4" w:space="0" w:color="auto"/>
              <w:bottom w:val="nil"/>
              <w:right w:val="nil"/>
            </w:tcBorders>
            <w:tcMar>
              <w:top w:w="28" w:type="dxa"/>
              <w:left w:w="57" w:type="dxa"/>
              <w:bottom w:w="28" w:type="dxa"/>
              <w:right w:w="57" w:type="dxa"/>
            </w:tcMar>
          </w:tcPr>
          <w:p w14:paraId="6DA3B90D" w14:textId="77777777" w:rsidR="00FE291A" w:rsidRDefault="00C8738F">
            <w:pPr>
              <w:keepNext/>
              <w:keepLines/>
              <w:widowControl/>
              <w:rPr>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57" w:type="dxa"/>
            </w:tcMar>
          </w:tcPr>
          <w:p w14:paraId="3CFF18DD" w14:textId="77777777" w:rsidR="00FE291A" w:rsidRDefault="00C8738F">
            <w:pPr>
              <w:pStyle w:val="ListParagraph"/>
              <w:keepNext/>
              <w:keepLines/>
              <w:widowControl/>
              <w:suppressAutoHyphens/>
              <w:textAlignment w:val="center"/>
              <w:rPr>
                <w:color w:val="000000"/>
                <w:sz w:val="22"/>
                <w:szCs w:val="22"/>
                <w:lang w:val="de-DE"/>
              </w:rPr>
            </w:pPr>
            <w:r>
              <w:rPr>
                <w:rFonts w:eastAsia="HelveticaLTStd-Roman"/>
                <w:sz w:val="22"/>
                <w:szCs w:val="22"/>
                <w:lang w:val="de-DE"/>
              </w:rPr>
              <w:t xml:space="preserve">Wenn Sie dieselbe Injektionsstelle verwenden wollen, müssen Sie sicherstellen, dass es nicht derselbe Punkt an der Injektionsstelle ist, den Sie bei einer vorherigen Injektion verwendet haben. </w:t>
            </w:r>
          </w:p>
        </w:tc>
      </w:tr>
      <w:tr w:rsidR="00FE291A" w:rsidRPr="002E6CD3" w14:paraId="1423C980" w14:textId="77777777">
        <w:tc>
          <w:tcPr>
            <w:tcW w:w="303" w:type="pct"/>
            <w:tcBorders>
              <w:top w:val="nil"/>
              <w:left w:val="single" w:sz="4" w:space="0" w:color="auto"/>
              <w:bottom w:val="nil"/>
              <w:right w:val="nil"/>
            </w:tcBorders>
            <w:tcMar>
              <w:top w:w="28" w:type="dxa"/>
              <w:left w:w="57" w:type="dxa"/>
              <w:bottom w:w="28" w:type="dxa"/>
              <w:right w:w="57" w:type="dxa"/>
            </w:tcMar>
          </w:tcPr>
          <w:p w14:paraId="70347AAC" w14:textId="77777777" w:rsidR="00FE291A" w:rsidRDefault="00FE291A">
            <w:pPr>
              <w:widowControl/>
              <w:rPr>
                <w:color w:val="000000"/>
                <w:sz w:val="22"/>
                <w:szCs w:val="22"/>
                <w:lang w:val="de-DE"/>
              </w:rPr>
            </w:pPr>
          </w:p>
        </w:tc>
        <w:tc>
          <w:tcPr>
            <w:tcW w:w="4697" w:type="pct"/>
            <w:tcBorders>
              <w:top w:val="nil"/>
              <w:left w:val="nil"/>
              <w:bottom w:val="nil"/>
              <w:right w:val="single" w:sz="4" w:space="0" w:color="auto"/>
            </w:tcBorders>
            <w:tcMar>
              <w:left w:w="57" w:type="dxa"/>
            </w:tcMar>
          </w:tcPr>
          <w:p w14:paraId="28530642" w14:textId="77777777" w:rsidR="00FE291A" w:rsidRDefault="00C8738F">
            <w:pPr>
              <w:pStyle w:val="ListParagraph"/>
              <w:widowControl/>
              <w:numPr>
                <w:ilvl w:val="0"/>
                <w:numId w:val="60"/>
              </w:numPr>
              <w:autoSpaceDE/>
              <w:autoSpaceDN/>
              <w:adjustRightInd/>
              <w:contextualSpacing/>
              <w:rPr>
                <w:sz w:val="22"/>
                <w:szCs w:val="22"/>
                <w:lang w:val="de-DE"/>
              </w:rPr>
            </w:pPr>
            <w:r>
              <w:rPr>
                <w:rFonts w:eastAsia="HelveticaLTStd-Roman"/>
                <w:b/>
                <w:sz w:val="22"/>
                <w:szCs w:val="22"/>
                <w:lang w:val="de-DE"/>
              </w:rPr>
              <w:t>Nicht</w:t>
            </w:r>
            <w:r>
              <w:rPr>
                <w:rFonts w:eastAsia="HelveticaLTStd-Roman"/>
                <w:sz w:val="22"/>
                <w:szCs w:val="22"/>
                <w:lang w:val="de-DE"/>
              </w:rPr>
              <w:t xml:space="preserve"> in Bereiche </w:t>
            </w:r>
            <w:r>
              <w:rPr>
                <w:sz w:val="22"/>
                <w:szCs w:val="22"/>
                <w:lang w:val="de-DE"/>
              </w:rPr>
              <w:t>injizieren, in denen die Haut empfindlich, verletzt, gerötet oder verhärtet ist. Vermeiden Sie, in Bereiche mit Narben oder Dehnungsstreifen zu injizieren.</w:t>
            </w:r>
          </w:p>
        </w:tc>
      </w:tr>
      <w:tr w:rsidR="00FE291A" w:rsidRPr="00723069" w14:paraId="0DD7A1D2" w14:textId="77777777">
        <w:tc>
          <w:tcPr>
            <w:tcW w:w="303" w:type="pct"/>
            <w:tcBorders>
              <w:top w:val="nil"/>
              <w:left w:val="single" w:sz="4" w:space="0" w:color="auto"/>
              <w:bottom w:val="single" w:sz="4" w:space="0" w:color="auto"/>
              <w:right w:val="nil"/>
            </w:tcBorders>
            <w:tcMar>
              <w:top w:w="28" w:type="dxa"/>
              <w:left w:w="57" w:type="dxa"/>
              <w:bottom w:w="28" w:type="dxa"/>
              <w:right w:w="57" w:type="dxa"/>
            </w:tcMar>
          </w:tcPr>
          <w:p w14:paraId="3BF5FDD4" w14:textId="77777777" w:rsidR="00FE291A" w:rsidRDefault="00C8738F">
            <w:pPr>
              <w:widowControl/>
              <w:rPr>
                <w:sz w:val="22"/>
                <w:szCs w:val="22"/>
                <w:lang w:val="de-DE"/>
              </w:rPr>
            </w:pPr>
            <w:r>
              <w:rPr>
                <w:color w:val="000000"/>
                <w:sz w:val="22"/>
                <w:szCs w:val="22"/>
                <w:lang w:val="de-DE"/>
              </w:rPr>
              <w:t>●</w:t>
            </w:r>
          </w:p>
        </w:tc>
        <w:tc>
          <w:tcPr>
            <w:tcW w:w="4697" w:type="pct"/>
            <w:tcBorders>
              <w:top w:val="nil"/>
              <w:left w:val="nil"/>
              <w:bottom w:val="single" w:sz="4" w:space="0" w:color="auto"/>
              <w:right w:val="single" w:sz="4" w:space="0" w:color="auto"/>
            </w:tcBorders>
            <w:tcMar>
              <w:left w:w="57" w:type="dxa"/>
            </w:tcMar>
          </w:tcPr>
          <w:p w14:paraId="67178F0C" w14:textId="77777777" w:rsidR="00FE291A" w:rsidRDefault="00C8738F">
            <w:pPr>
              <w:pStyle w:val="ListParagraph"/>
              <w:widowControl/>
              <w:suppressAutoHyphens/>
              <w:textAlignment w:val="center"/>
              <w:rPr>
                <w:color w:val="000000"/>
                <w:sz w:val="22"/>
                <w:szCs w:val="22"/>
                <w:lang w:val="de-DE"/>
              </w:rPr>
            </w:pPr>
            <w:r>
              <w:rPr>
                <w:color w:val="000000"/>
                <w:sz w:val="22"/>
                <w:szCs w:val="22"/>
                <w:lang w:val="de-DE"/>
              </w:rPr>
              <w:t>Wenn Sie unter Psoriasis leiden, vermeiden Sie eine direkte Injektion in geschwollene, dicke, gerötete oder schuppige Hautbereiche oder Läsionen.</w:t>
            </w:r>
          </w:p>
        </w:tc>
      </w:tr>
    </w:tbl>
    <w:p w14:paraId="24679C54" w14:textId="77777777" w:rsidR="00FE291A" w:rsidRDefault="00FE291A">
      <w:pPr>
        <w:pStyle w:val="STEPS"/>
        <w:pageBreakBefore/>
        <w:widowControl/>
        <w:spacing w:before="0" w:line="240" w:lineRule="auto"/>
        <w:rPr>
          <w:rFonts w:cs="Times New Roman"/>
          <w:sz w:val="22"/>
          <w:szCs w:val="22"/>
          <w:lang w:val="de-DE"/>
        </w:rPr>
      </w:pP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9146"/>
      </w:tblGrid>
      <w:tr w:rsidR="00FE291A" w:rsidRPr="00723069" w14:paraId="2F6418EA" w14:textId="77777777">
        <w:tc>
          <w:tcPr>
            <w:tcW w:w="500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E50E58" w14:textId="77777777" w:rsidR="00FE291A" w:rsidRDefault="00C8738F">
            <w:pPr>
              <w:keepLines/>
              <w:widowControl/>
              <w:suppressAutoHyphens/>
              <w:jc w:val="center"/>
              <w:textAlignment w:val="center"/>
              <w:rPr>
                <w:b/>
                <w:bCs/>
                <w:color w:val="000000"/>
                <w:sz w:val="22"/>
                <w:szCs w:val="22"/>
                <w:lang w:val="de-DE"/>
              </w:rPr>
            </w:pPr>
            <w:r>
              <w:rPr>
                <w:b/>
                <w:bCs/>
                <w:sz w:val="22"/>
                <w:szCs w:val="22"/>
                <w:lang w:val="de-DE"/>
              </w:rPr>
              <w:t>Schritt 2: Machen Sie sich bereit</w:t>
            </w:r>
          </w:p>
        </w:tc>
      </w:tr>
    </w:tbl>
    <w:p w14:paraId="2E1CA5C5" w14:textId="77777777" w:rsidR="00FE291A" w:rsidRDefault="00FE291A">
      <w:pPr>
        <w:keepLines/>
        <w:widowControl/>
        <w:ind w:left="567" w:hanging="567"/>
        <w:rPr>
          <w:b/>
          <w:bCs/>
          <w:sz w:val="22"/>
          <w:szCs w:val="22"/>
          <w:lang w:val="de-DE"/>
        </w:rPr>
      </w:pP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13"/>
        <w:gridCol w:w="8533"/>
      </w:tblGrid>
      <w:tr w:rsidR="00FE291A" w:rsidRPr="00723069" w14:paraId="017129C0" w14:textId="77777777">
        <w:tc>
          <w:tcPr>
            <w:tcW w:w="33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104B76" w14:textId="77777777" w:rsidR="00FE291A" w:rsidRDefault="00C8738F">
            <w:pPr>
              <w:keepLines/>
              <w:widowControl/>
              <w:suppressAutoHyphens/>
              <w:textAlignment w:val="center"/>
              <w:rPr>
                <w:b/>
                <w:color w:val="000000"/>
                <w:sz w:val="22"/>
                <w:szCs w:val="22"/>
                <w:lang w:val="de-DE"/>
              </w:rPr>
            </w:pPr>
            <w:r>
              <w:rPr>
                <w:b/>
                <w:sz w:val="22"/>
                <w:szCs w:val="22"/>
                <w:lang w:val="de-DE"/>
              </w:rPr>
              <w:t>E.</w:t>
            </w:r>
          </w:p>
        </w:tc>
        <w:tc>
          <w:tcPr>
            <w:tcW w:w="466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2BBFFD" w14:textId="77777777" w:rsidR="00FE291A" w:rsidRDefault="00C8738F">
            <w:pPr>
              <w:keepLines/>
              <w:widowControl/>
              <w:rPr>
                <w:color w:val="000000"/>
                <w:sz w:val="22"/>
                <w:szCs w:val="22"/>
                <w:lang w:val="de-DE"/>
              </w:rPr>
            </w:pPr>
            <w:r>
              <w:rPr>
                <w:sz w:val="22"/>
                <w:szCs w:val="22"/>
                <w:lang w:val="de-DE"/>
              </w:rPr>
              <w:t>Ziehen Sie die gelbe Kappe gerade ab, sobald Sie für die Injektion bereit sind.</w:t>
            </w:r>
          </w:p>
        </w:tc>
      </w:tr>
      <w:tr w:rsidR="00FE291A" w14:paraId="65884540" w14:textId="77777777">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p w14:paraId="6D5B603F" w14:textId="2183C6F5" w:rsidR="00FE291A" w:rsidRDefault="009C5B62">
            <w:pPr>
              <w:widowControl/>
              <w:suppressAutoHyphens/>
              <w:textAlignment w:val="center"/>
              <w:rPr>
                <w:color w:val="000000"/>
                <w:sz w:val="22"/>
                <w:szCs w:val="22"/>
                <w:lang w:val="de-DE"/>
              </w:rPr>
            </w:pPr>
            <w:r>
              <w:rPr>
                <w:noProof/>
                <w:sz w:val="22"/>
                <w:lang w:val="de-DE" w:eastAsia="en-GB"/>
              </w:rPr>
              <w:drawing>
                <wp:inline distT="0" distB="0" distL="0" distR="0" wp14:anchorId="2C7DD0CC" wp14:editId="2EAF98C0">
                  <wp:extent cx="3211830" cy="2360295"/>
                  <wp:effectExtent l="0" t="0" r="0" b="0"/>
                  <wp:docPr id="37" name="Bild 38" descr="ILL0940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8" descr="ILL0940 v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11830" cy="2360295"/>
                          </a:xfrm>
                          <a:prstGeom prst="rect">
                            <a:avLst/>
                          </a:prstGeom>
                          <a:noFill/>
                          <a:ln>
                            <a:noFill/>
                          </a:ln>
                        </pic:spPr>
                      </pic:pic>
                    </a:graphicData>
                  </a:graphic>
                </wp:inline>
              </w:drawing>
            </w:r>
          </w:p>
        </w:tc>
      </w:tr>
      <w:tr w:rsidR="00FE291A" w:rsidRPr="00723069" w14:paraId="172B642A"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37D59113" w14:textId="77777777" w:rsidR="00FE291A" w:rsidRDefault="00C8738F">
            <w:pPr>
              <w:widowControl/>
              <w:suppressAutoHyphens/>
              <w:textAlignment w:val="center"/>
              <w:rPr>
                <w:color w:val="000000"/>
                <w:sz w:val="22"/>
                <w:szCs w:val="22"/>
                <w:lang w:val="de-DE"/>
              </w:rPr>
            </w:pPr>
            <w:r>
              <w:rPr>
                <w:rFonts w:eastAsia="HelveticaLTStd-Roman"/>
                <w:sz w:val="22"/>
                <w:szCs w:val="22"/>
                <w:lang w:val="de-DE"/>
              </w:rPr>
              <w:t>Es ist normal, einen Tropfen Flüssigkeit an der Nadelspitze oder der gelben Sicherheitshülse zu sehen</w:t>
            </w:r>
            <w:r>
              <w:rPr>
                <w:color w:val="000000"/>
                <w:sz w:val="22"/>
                <w:szCs w:val="22"/>
                <w:lang w:val="de-DE"/>
              </w:rPr>
              <w:t>.</w:t>
            </w:r>
          </w:p>
        </w:tc>
      </w:tr>
      <w:tr w:rsidR="00FE291A" w:rsidRPr="00723069" w14:paraId="41030646" w14:textId="77777777">
        <w:tc>
          <w:tcPr>
            <w:tcW w:w="335" w:type="pct"/>
            <w:tcBorders>
              <w:top w:val="nil"/>
              <w:left w:val="single" w:sz="4" w:space="0" w:color="auto"/>
              <w:bottom w:val="nil"/>
              <w:right w:val="nil"/>
            </w:tcBorders>
            <w:tcMar>
              <w:top w:w="28" w:type="dxa"/>
              <w:left w:w="57" w:type="dxa"/>
              <w:bottom w:w="28" w:type="dxa"/>
              <w:right w:w="57" w:type="dxa"/>
            </w:tcMar>
          </w:tcPr>
          <w:p w14:paraId="76AE6610" w14:textId="77777777" w:rsidR="00FE291A" w:rsidRDefault="00C8738F">
            <w:pPr>
              <w:pStyle w:val="ListParagraph"/>
              <w:widowControl/>
              <w:tabs>
                <w:tab w:val="left" w:pos="90"/>
              </w:tabs>
              <w:suppressAutoHyphens/>
              <w:textAlignment w:val="center"/>
              <w:rPr>
                <w:color w:val="000000"/>
                <w:sz w:val="22"/>
                <w:szCs w:val="22"/>
                <w:lang w:val="de-DE"/>
              </w:rPr>
            </w:pPr>
            <w:r>
              <w:rPr>
                <w:color w:val="000000"/>
                <w:sz w:val="22"/>
                <w:szCs w:val="22"/>
                <w:lang w:val="de-DE"/>
              </w:rPr>
              <w:t>●</w:t>
            </w:r>
          </w:p>
        </w:tc>
        <w:tc>
          <w:tcPr>
            <w:tcW w:w="4665" w:type="pct"/>
            <w:tcBorders>
              <w:top w:val="nil"/>
              <w:left w:val="nil"/>
              <w:bottom w:val="nil"/>
              <w:right w:val="single" w:sz="4" w:space="0" w:color="auto"/>
            </w:tcBorders>
            <w:tcMar>
              <w:left w:w="0" w:type="dxa"/>
            </w:tcMar>
          </w:tcPr>
          <w:p w14:paraId="1B8E669B" w14:textId="77777777" w:rsidR="00FE291A" w:rsidRDefault="00C8738F">
            <w:pPr>
              <w:widowControl/>
              <w:rPr>
                <w:rFonts w:eastAsia="Calibri"/>
                <w:sz w:val="22"/>
                <w:szCs w:val="22"/>
                <w:lang w:val="de-DE"/>
              </w:rPr>
            </w:pPr>
            <w:r>
              <w:rPr>
                <w:rFonts w:eastAsia="HelveticaLTStd-Roman"/>
                <w:sz w:val="22"/>
                <w:szCs w:val="22"/>
                <w:lang w:val="de-DE"/>
              </w:rPr>
              <w:t xml:space="preserve">Die gelbe Kappe </w:t>
            </w:r>
            <w:r>
              <w:rPr>
                <w:rFonts w:eastAsia="HelveticaLTStd-Roman"/>
                <w:b/>
                <w:sz w:val="22"/>
                <w:szCs w:val="22"/>
                <w:lang w:val="de-DE"/>
              </w:rPr>
              <w:t>nicht</w:t>
            </w:r>
            <w:r>
              <w:rPr>
                <w:rFonts w:eastAsia="HelveticaLTStd-Roman"/>
                <w:sz w:val="22"/>
                <w:szCs w:val="22"/>
                <w:lang w:val="de-DE"/>
              </w:rPr>
              <w:t xml:space="preserve"> drehen oder biegen</w:t>
            </w:r>
            <w:r>
              <w:rPr>
                <w:rFonts w:eastAsia="Calibri"/>
                <w:sz w:val="22"/>
                <w:szCs w:val="22"/>
                <w:lang w:val="de-DE"/>
              </w:rPr>
              <w:t>.</w:t>
            </w:r>
          </w:p>
        </w:tc>
      </w:tr>
      <w:tr w:rsidR="00FE291A" w:rsidRPr="002E6CD3" w14:paraId="30580AEA" w14:textId="77777777">
        <w:tc>
          <w:tcPr>
            <w:tcW w:w="335" w:type="pct"/>
            <w:tcBorders>
              <w:top w:val="nil"/>
              <w:left w:val="single" w:sz="4" w:space="0" w:color="auto"/>
              <w:bottom w:val="nil"/>
              <w:right w:val="nil"/>
            </w:tcBorders>
            <w:tcMar>
              <w:top w:w="28" w:type="dxa"/>
              <w:left w:w="57" w:type="dxa"/>
              <w:bottom w:w="28" w:type="dxa"/>
              <w:right w:w="57" w:type="dxa"/>
            </w:tcMar>
          </w:tcPr>
          <w:p w14:paraId="2C148D96" w14:textId="77777777" w:rsidR="00FE291A" w:rsidRDefault="00C8738F">
            <w:pPr>
              <w:pStyle w:val="ListParagraph"/>
              <w:widowControl/>
              <w:tabs>
                <w:tab w:val="left" w:pos="90"/>
              </w:tabs>
              <w:suppressAutoHyphens/>
              <w:textAlignment w:val="center"/>
              <w:rPr>
                <w:color w:val="000000"/>
                <w:sz w:val="22"/>
                <w:szCs w:val="22"/>
                <w:lang w:val="de-DE"/>
              </w:rPr>
            </w:pPr>
            <w:r>
              <w:rPr>
                <w:color w:val="000000"/>
                <w:sz w:val="22"/>
                <w:szCs w:val="22"/>
                <w:lang w:val="de-DE"/>
              </w:rPr>
              <w:t>●</w:t>
            </w:r>
          </w:p>
        </w:tc>
        <w:tc>
          <w:tcPr>
            <w:tcW w:w="4665" w:type="pct"/>
            <w:tcBorders>
              <w:top w:val="nil"/>
              <w:left w:val="nil"/>
              <w:bottom w:val="nil"/>
              <w:right w:val="single" w:sz="4" w:space="0" w:color="auto"/>
            </w:tcBorders>
            <w:tcMar>
              <w:left w:w="0" w:type="dxa"/>
            </w:tcMar>
          </w:tcPr>
          <w:p w14:paraId="2B888B62" w14:textId="77777777" w:rsidR="00FE291A" w:rsidRDefault="00C8738F">
            <w:pPr>
              <w:widowControl/>
              <w:ind w:left="720" w:hanging="720"/>
              <w:rPr>
                <w:rFonts w:eastAsia="Calibri"/>
                <w:sz w:val="22"/>
                <w:szCs w:val="22"/>
                <w:lang w:val="de-DE"/>
              </w:rPr>
            </w:pPr>
            <w:r>
              <w:rPr>
                <w:rFonts w:eastAsia="HelveticaLTStd-Roman"/>
                <w:sz w:val="22"/>
                <w:szCs w:val="22"/>
                <w:lang w:val="de-DE"/>
              </w:rPr>
              <w:t xml:space="preserve">Die gelbe Kappe </w:t>
            </w:r>
            <w:r>
              <w:rPr>
                <w:rFonts w:eastAsia="HelveticaLTStd-Roman"/>
                <w:b/>
                <w:sz w:val="22"/>
                <w:szCs w:val="22"/>
                <w:lang w:val="de-DE"/>
              </w:rPr>
              <w:t>nicht</w:t>
            </w:r>
            <w:r>
              <w:rPr>
                <w:rFonts w:eastAsia="HelveticaLTStd-Roman"/>
                <w:sz w:val="22"/>
                <w:szCs w:val="22"/>
                <w:lang w:val="de-DE"/>
              </w:rPr>
              <w:t xml:space="preserve"> wieder auf den Fertigpen aufsetzen.</w:t>
            </w:r>
          </w:p>
        </w:tc>
      </w:tr>
      <w:tr w:rsidR="00FE291A" w:rsidRPr="002E6CD3" w14:paraId="3C770480" w14:textId="77777777">
        <w:tc>
          <w:tcPr>
            <w:tcW w:w="335" w:type="pct"/>
            <w:tcBorders>
              <w:top w:val="nil"/>
              <w:left w:val="single" w:sz="4" w:space="0" w:color="auto"/>
              <w:bottom w:val="single" w:sz="4" w:space="0" w:color="auto"/>
              <w:right w:val="nil"/>
            </w:tcBorders>
            <w:tcMar>
              <w:top w:w="28" w:type="dxa"/>
              <w:left w:w="57" w:type="dxa"/>
              <w:bottom w:w="28" w:type="dxa"/>
              <w:right w:w="57" w:type="dxa"/>
            </w:tcMar>
          </w:tcPr>
          <w:p w14:paraId="3CA78475" w14:textId="77777777" w:rsidR="00FE291A" w:rsidRDefault="00C8738F">
            <w:pPr>
              <w:pStyle w:val="ListParagraph"/>
              <w:widowControl/>
              <w:tabs>
                <w:tab w:val="left" w:pos="90"/>
              </w:tabs>
              <w:suppressAutoHyphens/>
              <w:textAlignment w:val="center"/>
              <w:rPr>
                <w:color w:val="000000"/>
                <w:sz w:val="22"/>
                <w:szCs w:val="22"/>
                <w:lang w:val="de-DE"/>
              </w:rPr>
            </w:pPr>
            <w:r>
              <w:rPr>
                <w:color w:val="000000"/>
                <w:sz w:val="22"/>
                <w:szCs w:val="22"/>
                <w:lang w:val="de-DE"/>
              </w:rPr>
              <w:t>●</w:t>
            </w:r>
          </w:p>
        </w:tc>
        <w:tc>
          <w:tcPr>
            <w:tcW w:w="4665" w:type="pct"/>
            <w:tcBorders>
              <w:top w:val="nil"/>
              <w:left w:val="nil"/>
              <w:bottom w:val="single" w:sz="4" w:space="0" w:color="auto"/>
              <w:right w:val="single" w:sz="4" w:space="0" w:color="auto"/>
            </w:tcBorders>
            <w:tcMar>
              <w:left w:w="0" w:type="dxa"/>
            </w:tcMar>
          </w:tcPr>
          <w:p w14:paraId="019140FE" w14:textId="77777777" w:rsidR="00FE291A" w:rsidRDefault="00C8738F">
            <w:pPr>
              <w:widowControl/>
              <w:tabs>
                <w:tab w:val="left" w:pos="5520"/>
              </w:tabs>
              <w:rPr>
                <w:rFonts w:eastAsia="Calibri"/>
                <w:sz w:val="22"/>
                <w:szCs w:val="22"/>
                <w:lang w:val="de-DE"/>
              </w:rPr>
            </w:pPr>
            <w:r>
              <w:rPr>
                <w:rFonts w:eastAsia="HelveticaLTStd-Roman"/>
                <w:sz w:val="22"/>
                <w:szCs w:val="22"/>
                <w:lang w:val="de-DE"/>
              </w:rPr>
              <w:t xml:space="preserve">Die gelbe Kappe </w:t>
            </w:r>
            <w:r>
              <w:rPr>
                <w:rFonts w:eastAsia="HelveticaLTStd-Roman"/>
                <w:b/>
                <w:sz w:val="22"/>
                <w:szCs w:val="22"/>
                <w:lang w:val="de-DE"/>
              </w:rPr>
              <w:t>nicht</w:t>
            </w:r>
            <w:r>
              <w:rPr>
                <w:rFonts w:eastAsia="HelveticaLTStd-Roman"/>
                <w:sz w:val="22"/>
                <w:szCs w:val="22"/>
                <w:lang w:val="de-DE"/>
              </w:rPr>
              <w:t xml:space="preserve"> vom Fertigpen abziehen, bevor Sie für die Injektion bereit sind</w:t>
            </w:r>
            <w:r>
              <w:rPr>
                <w:rFonts w:eastAsia="Calibri"/>
                <w:sz w:val="22"/>
                <w:szCs w:val="22"/>
                <w:lang w:val="de-DE"/>
              </w:rPr>
              <w:t>.</w:t>
            </w:r>
          </w:p>
        </w:tc>
      </w:tr>
    </w:tbl>
    <w:p w14:paraId="3CF46D21" w14:textId="77777777" w:rsidR="00FE291A" w:rsidRDefault="00FE291A">
      <w:pPr>
        <w:pStyle w:val="trianglemarkcopy"/>
        <w:pageBreakBefore/>
        <w:widowControl/>
        <w:tabs>
          <w:tab w:val="clear" w:pos="828"/>
        </w:tabs>
        <w:spacing w:before="0" w:line="240" w:lineRule="auto"/>
        <w:ind w:left="0" w:firstLine="0"/>
        <w:rPr>
          <w:rStyle w:val="bodybold"/>
          <w:rFonts w:ascii="Times New Roman" w:hAnsi="Times New Roman"/>
          <w:b/>
          <w:bCs/>
          <w:color w:val="auto"/>
          <w:sz w:val="22"/>
          <w:szCs w:val="22"/>
          <w:lang w:val="de-DE"/>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33"/>
        <w:gridCol w:w="8532"/>
      </w:tblGrid>
      <w:tr w:rsidR="00FE291A" w:rsidRPr="002E6CD3" w14:paraId="625E5168" w14:textId="77777777">
        <w:tc>
          <w:tcPr>
            <w:tcW w:w="29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0B6D00" w14:textId="77777777" w:rsidR="00FE291A" w:rsidRDefault="00C8738F">
            <w:pPr>
              <w:widowControl/>
              <w:suppressAutoHyphens/>
              <w:textAlignment w:val="center"/>
              <w:rPr>
                <w:b/>
                <w:color w:val="000000"/>
                <w:sz w:val="22"/>
                <w:szCs w:val="22"/>
                <w:lang w:val="de-DE"/>
              </w:rPr>
            </w:pPr>
            <w:r>
              <w:rPr>
                <w:b/>
                <w:sz w:val="22"/>
                <w:szCs w:val="22"/>
                <w:lang w:val="de-DE"/>
              </w:rPr>
              <w:t>F.</w:t>
            </w:r>
          </w:p>
        </w:tc>
        <w:tc>
          <w:tcPr>
            <w:tcW w:w="470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613C97" w14:textId="77777777" w:rsidR="00FE291A" w:rsidRDefault="00C8738F">
            <w:pPr>
              <w:widowControl/>
              <w:rPr>
                <w:color w:val="000000"/>
                <w:sz w:val="22"/>
                <w:szCs w:val="22"/>
                <w:lang w:val="de-DE"/>
              </w:rPr>
            </w:pPr>
            <w:r>
              <w:rPr>
                <w:rFonts w:eastAsia="Calibri"/>
                <w:bCs/>
                <w:sz w:val="22"/>
                <w:szCs w:val="22"/>
                <w:lang w:val="de-DE"/>
              </w:rPr>
              <w:t>Dehnen Sie Ihre Injektionsstelle oder drücken Sie sie zusammen, um eine feste Oberfläche zu erzeugen</w:t>
            </w:r>
            <w:r>
              <w:rPr>
                <w:sz w:val="22"/>
                <w:szCs w:val="22"/>
                <w:lang w:val="de-DE"/>
              </w:rPr>
              <w:t>.</w:t>
            </w:r>
          </w:p>
        </w:tc>
      </w:tr>
      <w:tr w:rsidR="00FE291A" w14:paraId="7E2E9EFE" w14:textId="77777777">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p w14:paraId="5765F9D7" w14:textId="77777777" w:rsidR="00FE291A" w:rsidRDefault="00C8738F">
            <w:pPr>
              <w:pStyle w:val="BULLETED"/>
              <w:widowControl/>
              <w:numPr>
                <w:ilvl w:val="0"/>
                <w:numId w:val="0"/>
              </w:numPr>
              <w:spacing w:before="0" w:line="240" w:lineRule="auto"/>
              <w:rPr>
                <w:b/>
                <w:sz w:val="22"/>
                <w:szCs w:val="22"/>
                <w:lang w:val="de-DE"/>
              </w:rPr>
            </w:pPr>
            <w:r>
              <w:rPr>
                <w:b/>
                <w:sz w:val="22"/>
                <w:szCs w:val="22"/>
                <w:lang w:val="de-DE"/>
              </w:rPr>
              <w:t>Dehnmethode</w:t>
            </w:r>
          </w:p>
        </w:tc>
      </w:tr>
      <w:tr w:rsidR="00FE291A" w14:paraId="70D5F1DB"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5D967A12" w14:textId="5E7B8C1E" w:rsidR="00FE291A" w:rsidRDefault="009C5B62">
            <w:pPr>
              <w:widowControl/>
              <w:suppressAutoHyphens/>
              <w:textAlignment w:val="center"/>
              <w:rPr>
                <w:color w:val="000000"/>
                <w:sz w:val="22"/>
                <w:szCs w:val="22"/>
                <w:lang w:val="de-DE"/>
              </w:rPr>
            </w:pPr>
            <w:r>
              <w:rPr>
                <w:b/>
                <w:noProof/>
                <w:sz w:val="22"/>
                <w:szCs w:val="22"/>
                <w:lang w:val="de-DE" w:eastAsia="en-GB"/>
              </w:rPr>
              <w:drawing>
                <wp:inline distT="0" distB="0" distL="0" distR="0" wp14:anchorId="1DBBEA92" wp14:editId="3FB0034E">
                  <wp:extent cx="2366010" cy="1828800"/>
                  <wp:effectExtent l="0" t="0" r="0" b="0"/>
                  <wp:docPr id="38" name="Bild 39" descr="ILL0716 v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9" descr="ILL0716 v4&#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66010" cy="1828800"/>
                          </a:xfrm>
                          <a:prstGeom prst="rect">
                            <a:avLst/>
                          </a:prstGeom>
                          <a:noFill/>
                          <a:ln>
                            <a:noFill/>
                          </a:ln>
                        </pic:spPr>
                      </pic:pic>
                    </a:graphicData>
                  </a:graphic>
                </wp:inline>
              </w:drawing>
            </w:r>
          </w:p>
        </w:tc>
      </w:tr>
      <w:tr w:rsidR="00FE291A" w:rsidRPr="00723069" w14:paraId="21D04FC2"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5AAC5F49" w14:textId="77777777" w:rsidR="00FE291A" w:rsidRDefault="00C8738F">
            <w:pPr>
              <w:widowControl/>
              <w:suppressAutoHyphens/>
              <w:textAlignment w:val="center"/>
              <w:rPr>
                <w:color w:val="000000"/>
                <w:sz w:val="22"/>
                <w:szCs w:val="22"/>
                <w:lang w:val="de-DE"/>
              </w:rPr>
            </w:pPr>
            <w:r>
              <w:rPr>
                <w:rFonts w:eastAsia="HelveticaLTStd-Roman"/>
                <w:sz w:val="22"/>
                <w:szCs w:val="22"/>
                <w:lang w:val="de-DE"/>
              </w:rPr>
              <w:t xml:space="preserve">Dehnen Sie Ihre Haut fest, indem Sie Ihren Daumen und Ihre Finger fest in entgegengesetzter Richtung bewegen, um eine etwa </w:t>
            </w:r>
            <w:r>
              <w:rPr>
                <w:rFonts w:eastAsia="HelveticaLTStd-Roman"/>
                <w:b/>
                <w:sz w:val="22"/>
                <w:szCs w:val="22"/>
                <w:lang w:val="de-DE"/>
              </w:rPr>
              <w:t>5</w:t>
            </w:r>
            <w:r>
              <w:rPr>
                <w:rFonts w:eastAsia="HelveticaLTStd-Roman"/>
                <w:sz w:val="22"/>
                <w:szCs w:val="22"/>
                <w:lang w:val="de-DE"/>
              </w:rPr>
              <w:t> Zentimeter (</w:t>
            </w:r>
            <w:r>
              <w:rPr>
                <w:rFonts w:eastAsia="HelveticaLTStd-Roman"/>
                <w:b/>
                <w:sz w:val="22"/>
                <w:szCs w:val="22"/>
                <w:lang w:val="de-DE"/>
              </w:rPr>
              <w:t>2</w:t>
            </w:r>
            <w:r>
              <w:rPr>
                <w:rFonts w:eastAsia="HelveticaLTStd-Roman"/>
                <w:sz w:val="22"/>
                <w:szCs w:val="22"/>
                <w:lang w:val="de-DE"/>
              </w:rPr>
              <w:t> Zoll) breite Fläche zu erzeugen</w:t>
            </w:r>
            <w:r>
              <w:rPr>
                <w:rFonts w:eastAsia="Calibri"/>
                <w:sz w:val="22"/>
                <w:szCs w:val="22"/>
                <w:lang w:val="de-DE"/>
              </w:rPr>
              <w:t>.</w:t>
            </w:r>
            <w:r>
              <w:rPr>
                <w:color w:val="000000"/>
                <w:sz w:val="22"/>
                <w:szCs w:val="22"/>
                <w:lang w:val="de-DE"/>
              </w:rPr>
              <w:t xml:space="preserve"> </w:t>
            </w:r>
          </w:p>
        </w:tc>
      </w:tr>
      <w:tr w:rsidR="00FE291A" w14:paraId="77EF729B"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4F908FF4" w14:textId="77777777" w:rsidR="00FE291A" w:rsidRDefault="00C8738F">
            <w:pPr>
              <w:widowControl/>
              <w:ind w:left="720" w:hanging="720"/>
              <w:jc w:val="center"/>
              <w:rPr>
                <w:rFonts w:eastAsia="Calibri"/>
                <w:b/>
                <w:bCs/>
                <w:sz w:val="22"/>
                <w:szCs w:val="22"/>
                <w:lang w:val="de-DE"/>
              </w:rPr>
            </w:pPr>
            <w:r>
              <w:rPr>
                <w:rFonts w:eastAsia="Calibri"/>
                <w:b/>
                <w:bCs/>
                <w:sz w:val="22"/>
                <w:szCs w:val="22"/>
                <w:lang w:val="de-DE"/>
              </w:rPr>
              <w:t>ODER</w:t>
            </w:r>
          </w:p>
        </w:tc>
      </w:tr>
      <w:tr w:rsidR="00FE291A" w14:paraId="581E669D"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380CA4E3" w14:textId="77777777" w:rsidR="00FE291A" w:rsidRDefault="00C8738F">
            <w:pPr>
              <w:pStyle w:val="BULLETED"/>
              <w:widowControl/>
              <w:numPr>
                <w:ilvl w:val="0"/>
                <w:numId w:val="0"/>
              </w:numPr>
              <w:spacing w:before="0" w:line="240" w:lineRule="auto"/>
              <w:rPr>
                <w:b/>
                <w:sz w:val="22"/>
                <w:szCs w:val="22"/>
                <w:lang w:val="de-DE"/>
              </w:rPr>
            </w:pPr>
            <w:r>
              <w:rPr>
                <w:b/>
                <w:sz w:val="22"/>
                <w:szCs w:val="22"/>
                <w:lang w:val="de-DE"/>
              </w:rPr>
              <w:t>Drückmethode</w:t>
            </w:r>
          </w:p>
        </w:tc>
      </w:tr>
      <w:tr w:rsidR="00FE291A" w14:paraId="1B695B2D"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2153802F" w14:textId="0D52FD72" w:rsidR="00FE291A" w:rsidRDefault="009C5B62">
            <w:pPr>
              <w:widowControl/>
              <w:ind w:left="720" w:hanging="720"/>
              <w:rPr>
                <w:rFonts w:eastAsia="Calibri"/>
                <w:b/>
                <w:bCs/>
                <w:sz w:val="22"/>
                <w:szCs w:val="22"/>
                <w:lang w:val="de-DE"/>
              </w:rPr>
            </w:pPr>
            <w:r>
              <w:rPr>
                <w:noProof/>
                <w:sz w:val="22"/>
                <w:szCs w:val="22"/>
                <w:lang w:val="de-DE" w:eastAsia="en-GB"/>
              </w:rPr>
              <w:drawing>
                <wp:inline distT="0" distB="0" distL="0" distR="0" wp14:anchorId="2A1C0D43" wp14:editId="465D88B9">
                  <wp:extent cx="2440305" cy="1445895"/>
                  <wp:effectExtent l="0" t="0" r="0" b="0"/>
                  <wp:docPr id="39" name="Picture 53" descr="ILL0718 v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LL0718 v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40305" cy="1445895"/>
                          </a:xfrm>
                          <a:prstGeom prst="rect">
                            <a:avLst/>
                          </a:prstGeom>
                          <a:noFill/>
                          <a:ln>
                            <a:noFill/>
                          </a:ln>
                        </pic:spPr>
                      </pic:pic>
                    </a:graphicData>
                  </a:graphic>
                </wp:inline>
              </w:drawing>
            </w:r>
          </w:p>
        </w:tc>
      </w:tr>
      <w:tr w:rsidR="00FE291A" w:rsidRPr="00723069" w14:paraId="07E9C4D1"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33DB877E" w14:textId="77777777" w:rsidR="00FE291A" w:rsidRDefault="00C8738F">
            <w:pPr>
              <w:widowControl/>
              <w:suppressAutoHyphens/>
              <w:textAlignment w:val="center"/>
              <w:rPr>
                <w:color w:val="000000"/>
                <w:sz w:val="22"/>
                <w:szCs w:val="22"/>
                <w:lang w:val="de-DE"/>
              </w:rPr>
            </w:pPr>
            <w:r>
              <w:rPr>
                <w:rFonts w:eastAsia="HelveticaLTStd-Roman"/>
                <w:sz w:val="22"/>
                <w:szCs w:val="22"/>
                <w:lang w:val="de-DE"/>
              </w:rPr>
              <w:t xml:space="preserve">Drücken Sie die Haut fest zwischen Ihrem Daumen und Ihren Fingern zusammen, um eine etwa </w:t>
            </w:r>
            <w:r>
              <w:rPr>
                <w:rFonts w:eastAsia="HelveticaLTStd-Roman"/>
                <w:b/>
                <w:sz w:val="22"/>
                <w:szCs w:val="22"/>
                <w:lang w:val="de-DE"/>
              </w:rPr>
              <w:t>5</w:t>
            </w:r>
            <w:r>
              <w:rPr>
                <w:rFonts w:eastAsia="HelveticaLTStd-Roman"/>
                <w:sz w:val="22"/>
                <w:szCs w:val="22"/>
                <w:lang w:val="de-DE"/>
              </w:rPr>
              <w:t> Zentimeter (</w:t>
            </w:r>
            <w:r>
              <w:rPr>
                <w:rFonts w:eastAsia="HelveticaLTStd-Roman"/>
                <w:b/>
                <w:sz w:val="22"/>
                <w:szCs w:val="22"/>
                <w:lang w:val="de-DE"/>
              </w:rPr>
              <w:t>2</w:t>
            </w:r>
            <w:r>
              <w:rPr>
                <w:rFonts w:eastAsia="HelveticaLTStd-Roman"/>
                <w:sz w:val="22"/>
                <w:szCs w:val="22"/>
                <w:lang w:val="de-DE"/>
              </w:rPr>
              <w:t> Zoll) breite Fläche zu bilden.</w:t>
            </w:r>
          </w:p>
        </w:tc>
      </w:tr>
      <w:tr w:rsidR="00FE291A" w:rsidRPr="00723069" w14:paraId="0D8C79C5" w14:textId="77777777">
        <w:tc>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tcPr>
          <w:p w14:paraId="2E3049D0" w14:textId="77777777" w:rsidR="00FE291A" w:rsidRDefault="00C8738F">
            <w:pPr>
              <w:widowControl/>
              <w:rPr>
                <w:rFonts w:eastAsia="Calibri"/>
                <w:sz w:val="22"/>
                <w:szCs w:val="22"/>
                <w:lang w:val="de-DE"/>
              </w:rPr>
            </w:pPr>
            <w:r>
              <w:rPr>
                <w:rFonts w:eastAsia="Calibri"/>
                <w:b/>
                <w:bCs/>
                <w:sz w:val="22"/>
                <w:szCs w:val="22"/>
                <w:lang w:val="de-DE"/>
              </w:rPr>
              <w:t xml:space="preserve">Wichtig: </w:t>
            </w:r>
            <w:r>
              <w:rPr>
                <w:rFonts w:eastAsia="Calibri"/>
                <w:bCs/>
                <w:sz w:val="22"/>
                <w:szCs w:val="22"/>
                <w:lang w:val="de-DE"/>
              </w:rPr>
              <w:t xml:space="preserve">Halten Sie </w:t>
            </w:r>
            <w:r>
              <w:rPr>
                <w:sz w:val="22"/>
                <w:szCs w:val="22"/>
                <w:lang w:val="de-DE"/>
              </w:rPr>
              <w:t>die Haut während der Injektion gedehnt oder zusammengedrückt</w:t>
            </w:r>
            <w:r>
              <w:rPr>
                <w:rFonts w:eastAsia="HelveticaLTStd-Roman"/>
                <w:sz w:val="22"/>
                <w:szCs w:val="22"/>
                <w:lang w:val="de-DE"/>
              </w:rPr>
              <w:t>.</w:t>
            </w:r>
          </w:p>
        </w:tc>
      </w:tr>
    </w:tbl>
    <w:p w14:paraId="61283FCC" w14:textId="77777777" w:rsidR="00FE291A" w:rsidRDefault="00FE291A">
      <w:pPr>
        <w:pStyle w:val="BULLETED"/>
        <w:widowControl/>
        <w:numPr>
          <w:ilvl w:val="0"/>
          <w:numId w:val="0"/>
        </w:numPr>
        <w:spacing w:before="0" w:line="240" w:lineRule="auto"/>
        <w:rPr>
          <w:b/>
          <w:sz w:val="22"/>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9061"/>
      </w:tblGrid>
      <w:tr w:rsidR="00FE291A" w14:paraId="70C3DA98" w14:textId="77777777">
        <w:tc>
          <w:tcPr>
            <w:tcW w:w="500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246F04" w14:textId="77777777" w:rsidR="00FE291A" w:rsidRDefault="00C8738F">
            <w:pPr>
              <w:pStyle w:val="BULLETED"/>
              <w:widowControl/>
              <w:numPr>
                <w:ilvl w:val="0"/>
                <w:numId w:val="0"/>
              </w:numPr>
              <w:spacing w:before="0" w:line="240" w:lineRule="auto"/>
              <w:jc w:val="center"/>
              <w:rPr>
                <w:b/>
                <w:sz w:val="22"/>
                <w:szCs w:val="22"/>
                <w:lang w:val="de-DE"/>
              </w:rPr>
            </w:pPr>
            <w:r>
              <w:rPr>
                <w:b/>
                <w:bCs/>
                <w:sz w:val="22"/>
                <w:szCs w:val="22"/>
                <w:lang w:val="de-DE"/>
              </w:rPr>
              <w:t>Schritt 3: Injektion</w:t>
            </w:r>
          </w:p>
        </w:tc>
      </w:tr>
    </w:tbl>
    <w:p w14:paraId="24A5F9DF" w14:textId="77777777" w:rsidR="00FE291A" w:rsidRDefault="00FE291A">
      <w:pPr>
        <w:keepLines/>
        <w:widowControl/>
        <w:ind w:left="567" w:hanging="567"/>
        <w:rPr>
          <w:b/>
          <w:bCs/>
          <w:sz w:val="22"/>
          <w:szCs w:val="22"/>
          <w:lang w:val="de-DE"/>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33"/>
        <w:gridCol w:w="8530"/>
      </w:tblGrid>
      <w:tr w:rsidR="00FE291A" w:rsidRPr="00723069" w14:paraId="5E5BC5D1" w14:textId="77777777">
        <w:tc>
          <w:tcPr>
            <w:tcW w:w="29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6FB535" w14:textId="77777777" w:rsidR="00FE291A" w:rsidRDefault="00C8738F">
            <w:pPr>
              <w:keepLines/>
              <w:widowControl/>
              <w:suppressAutoHyphens/>
              <w:textAlignment w:val="center"/>
              <w:rPr>
                <w:b/>
                <w:color w:val="000000"/>
                <w:sz w:val="22"/>
                <w:szCs w:val="22"/>
                <w:lang w:val="de-DE"/>
              </w:rPr>
            </w:pPr>
            <w:r>
              <w:rPr>
                <w:b/>
                <w:sz w:val="22"/>
                <w:szCs w:val="22"/>
                <w:lang w:val="de-DE"/>
              </w:rPr>
              <w:t>G.</w:t>
            </w:r>
          </w:p>
        </w:tc>
        <w:tc>
          <w:tcPr>
            <w:tcW w:w="470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8779E2" w14:textId="77777777" w:rsidR="00FE291A" w:rsidRDefault="00C8738F">
            <w:pPr>
              <w:keepLines/>
              <w:widowControl/>
              <w:rPr>
                <w:color w:val="000000"/>
                <w:sz w:val="22"/>
                <w:szCs w:val="22"/>
                <w:lang w:val="de-DE"/>
              </w:rPr>
            </w:pPr>
            <w:r>
              <w:rPr>
                <w:rFonts w:eastAsia="Calibri"/>
                <w:bCs/>
                <w:sz w:val="22"/>
                <w:szCs w:val="22"/>
                <w:lang w:val="de-DE"/>
              </w:rPr>
              <w:t>Halten Sie die Haut gedehnt oder zusammengedrückt</w:t>
            </w:r>
            <w:r>
              <w:rPr>
                <w:sz w:val="22"/>
                <w:szCs w:val="22"/>
                <w:lang w:val="de-DE"/>
              </w:rPr>
              <w:t>. N</w:t>
            </w:r>
            <w:r>
              <w:rPr>
                <w:rFonts w:eastAsia="Calibri"/>
                <w:bCs/>
                <w:sz w:val="22"/>
                <w:szCs w:val="22"/>
                <w:lang w:val="de-DE"/>
              </w:rPr>
              <w:t>achdem die gelbe Kappe entfernt wurde,</w:t>
            </w:r>
            <w:r>
              <w:rPr>
                <w:rFonts w:eastAsia="Calibri"/>
                <w:b/>
                <w:bCs/>
                <w:sz w:val="22"/>
                <w:szCs w:val="22"/>
                <w:lang w:val="de-DE"/>
              </w:rPr>
              <w:t xml:space="preserve"> halten</w:t>
            </w:r>
            <w:r>
              <w:rPr>
                <w:rFonts w:eastAsia="Calibri"/>
                <w:bCs/>
                <w:sz w:val="22"/>
                <w:szCs w:val="22"/>
                <w:lang w:val="de-DE"/>
              </w:rPr>
              <w:t xml:space="preserve"> Sie den Fertigpen in einem Winkel von 90 Grad auf die Haut.</w:t>
            </w:r>
          </w:p>
        </w:tc>
      </w:tr>
      <w:tr w:rsidR="00FE291A" w14:paraId="5AA076AB" w14:textId="77777777">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p w14:paraId="01C0C05E" w14:textId="601FE90F" w:rsidR="00FE291A" w:rsidRDefault="009C5B62">
            <w:pPr>
              <w:widowControl/>
              <w:suppressAutoHyphens/>
              <w:textAlignment w:val="center"/>
              <w:rPr>
                <w:color w:val="000000"/>
                <w:sz w:val="22"/>
                <w:szCs w:val="22"/>
                <w:lang w:val="de-DE"/>
              </w:rPr>
            </w:pPr>
            <w:r>
              <w:rPr>
                <w:rFonts w:ascii="Verdana" w:hAnsi="Verdana" w:cs="Arial"/>
                <w:b/>
                <w:noProof/>
                <w:sz w:val="22"/>
                <w:szCs w:val="22"/>
                <w:lang w:val="de-DE" w:eastAsia="en-GB"/>
              </w:rPr>
              <w:drawing>
                <wp:inline distT="0" distB="0" distL="0" distR="0" wp14:anchorId="46C17206" wp14:editId="690AD87C">
                  <wp:extent cx="2811780" cy="1525905"/>
                  <wp:effectExtent l="0" t="0" r="0" b="0"/>
                  <wp:docPr id="40" name="Picture 54"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11780" cy="1525905"/>
                          </a:xfrm>
                          <a:prstGeom prst="rect">
                            <a:avLst/>
                          </a:prstGeom>
                          <a:noFill/>
                          <a:ln>
                            <a:noFill/>
                          </a:ln>
                        </pic:spPr>
                      </pic:pic>
                    </a:graphicData>
                  </a:graphic>
                </wp:inline>
              </w:drawing>
            </w:r>
          </w:p>
        </w:tc>
      </w:tr>
      <w:tr w:rsidR="00FE291A" w:rsidRPr="00723069" w14:paraId="56452C2A" w14:textId="77777777">
        <w:tc>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tcPr>
          <w:p w14:paraId="58F55184" w14:textId="77777777" w:rsidR="00FE291A" w:rsidRDefault="00C8738F">
            <w:pPr>
              <w:pStyle w:val="BULLETED"/>
              <w:widowControl/>
              <w:numPr>
                <w:ilvl w:val="0"/>
                <w:numId w:val="0"/>
              </w:numPr>
              <w:spacing w:before="0" w:line="240" w:lineRule="auto"/>
              <w:rPr>
                <w:sz w:val="22"/>
                <w:szCs w:val="22"/>
                <w:lang w:val="de-DE"/>
              </w:rPr>
            </w:pPr>
            <w:r>
              <w:rPr>
                <w:b/>
                <w:sz w:val="22"/>
                <w:szCs w:val="22"/>
                <w:lang w:val="de-DE"/>
              </w:rPr>
              <w:t xml:space="preserve">Wichtig: </w:t>
            </w:r>
            <w:r>
              <w:rPr>
                <w:sz w:val="22"/>
                <w:szCs w:val="22"/>
                <w:lang w:val="de-DE"/>
              </w:rPr>
              <w:t>Berühren Sie noch nicht den blauen Startknopf.</w:t>
            </w:r>
          </w:p>
        </w:tc>
      </w:tr>
    </w:tbl>
    <w:p w14:paraId="36BC20B9" w14:textId="77777777" w:rsidR="00FE291A" w:rsidRDefault="00FE291A">
      <w:pPr>
        <w:pStyle w:val="trianglemarkcopy"/>
        <w:widowControl/>
        <w:tabs>
          <w:tab w:val="clear" w:pos="828"/>
        </w:tabs>
        <w:spacing w:before="0" w:line="240" w:lineRule="auto"/>
        <w:ind w:left="0" w:firstLine="0"/>
        <w:rPr>
          <w:rStyle w:val="bodybold"/>
          <w:rFonts w:ascii="Times New Roman" w:hAnsi="Times New Roman"/>
          <w:b/>
          <w:bCs/>
          <w:color w:val="auto"/>
          <w:sz w:val="22"/>
          <w:szCs w:val="22"/>
          <w:lang w:val="de-DE"/>
        </w:rPr>
      </w:pP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85"/>
        <w:gridCol w:w="8322"/>
      </w:tblGrid>
      <w:tr w:rsidR="00FE291A" w:rsidRPr="00723069" w14:paraId="44D2D813" w14:textId="77777777">
        <w:tc>
          <w:tcPr>
            <w:tcW w:w="38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A402E66" w14:textId="77777777" w:rsidR="00FE291A" w:rsidRDefault="00C8738F">
            <w:pPr>
              <w:keepNext/>
              <w:keepLines/>
              <w:widowControl/>
              <w:suppressAutoHyphens/>
              <w:textAlignment w:val="center"/>
              <w:rPr>
                <w:b/>
                <w:color w:val="000000"/>
                <w:sz w:val="22"/>
                <w:szCs w:val="22"/>
                <w:lang w:val="de-DE"/>
              </w:rPr>
            </w:pPr>
            <w:r>
              <w:rPr>
                <w:b/>
                <w:sz w:val="22"/>
                <w:szCs w:val="22"/>
                <w:lang w:val="de-DE"/>
              </w:rPr>
              <w:t>H.</w:t>
            </w:r>
          </w:p>
        </w:tc>
        <w:tc>
          <w:tcPr>
            <w:tcW w:w="46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B40ED0D" w14:textId="77777777" w:rsidR="00FE291A" w:rsidRDefault="00C8738F">
            <w:pPr>
              <w:keepLines/>
              <w:widowControl/>
              <w:rPr>
                <w:color w:val="000000"/>
                <w:sz w:val="22"/>
                <w:szCs w:val="22"/>
                <w:lang w:val="de-DE"/>
              </w:rPr>
            </w:pPr>
            <w:r>
              <w:rPr>
                <w:b/>
                <w:sz w:val="22"/>
                <w:szCs w:val="22"/>
                <w:lang w:val="de-DE"/>
              </w:rPr>
              <w:t>Drücken</w:t>
            </w:r>
            <w:r>
              <w:rPr>
                <w:sz w:val="22"/>
                <w:szCs w:val="22"/>
                <w:lang w:val="de-DE"/>
              </w:rPr>
              <w:t xml:space="preserve"> Sie </w:t>
            </w:r>
            <w:r>
              <w:rPr>
                <w:rFonts w:eastAsia="Calibri"/>
                <w:bCs/>
                <w:sz w:val="22"/>
                <w:szCs w:val="22"/>
                <w:lang w:val="de-DE"/>
              </w:rPr>
              <w:t>den Fertigpen fest auf die Haut, bis er sich nicht weiterbewegt.</w:t>
            </w:r>
            <w:r>
              <w:rPr>
                <w:sz w:val="22"/>
                <w:szCs w:val="22"/>
                <w:lang w:val="de-DE"/>
              </w:rPr>
              <w:t xml:space="preserve"> </w:t>
            </w:r>
          </w:p>
        </w:tc>
      </w:tr>
      <w:tr w:rsidR="00FE291A" w14:paraId="22A9E429" w14:textId="77777777">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tbl>
            <w:tblPr>
              <w:tblW w:w="0" w:type="auto"/>
              <w:tblLayout w:type="fixed"/>
              <w:tblLook w:val="04A0" w:firstRow="1" w:lastRow="0" w:firstColumn="1" w:lastColumn="0" w:noHBand="0" w:noVBand="1"/>
            </w:tblPr>
            <w:tblGrid>
              <w:gridCol w:w="4820"/>
              <w:gridCol w:w="4054"/>
            </w:tblGrid>
            <w:tr w:rsidR="00FE291A" w14:paraId="15ABD2EB" w14:textId="77777777">
              <w:trPr>
                <w:trHeight w:val="437"/>
              </w:trPr>
              <w:tc>
                <w:tcPr>
                  <w:tcW w:w="4820" w:type="dxa"/>
                  <w:vMerge w:val="restart"/>
                </w:tcPr>
                <w:p w14:paraId="67B82E43" w14:textId="46505B68" w:rsidR="00FE291A" w:rsidRDefault="009C5B62">
                  <w:pPr>
                    <w:pStyle w:val="BULLETED"/>
                    <w:keepNext/>
                    <w:keepLines/>
                    <w:widowControl/>
                    <w:numPr>
                      <w:ilvl w:val="0"/>
                      <w:numId w:val="0"/>
                    </w:numPr>
                    <w:spacing w:before="0" w:line="240" w:lineRule="auto"/>
                    <w:rPr>
                      <w:b/>
                      <w:sz w:val="22"/>
                      <w:szCs w:val="22"/>
                      <w:lang w:val="de-DE" w:eastAsia="en-US"/>
                    </w:rPr>
                  </w:pPr>
                  <w:r>
                    <w:rPr>
                      <w:b/>
                      <w:noProof/>
                      <w:sz w:val="22"/>
                      <w:szCs w:val="22"/>
                      <w:lang w:val="de-DE" w:eastAsia="en-GB"/>
                    </w:rPr>
                    <w:drawing>
                      <wp:inline distT="0" distB="0" distL="0" distR="0" wp14:anchorId="495F1EFC" wp14:editId="5C33B269">
                        <wp:extent cx="2743200" cy="1525905"/>
                        <wp:effectExtent l="0" t="0" r="0" b="0"/>
                        <wp:docPr id="41" name="Bild 42" descr="ILL0942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2" descr="ILL0942 v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43200" cy="1525905"/>
                                </a:xfrm>
                                <a:prstGeom prst="rect">
                                  <a:avLst/>
                                </a:prstGeom>
                                <a:noFill/>
                                <a:ln>
                                  <a:noFill/>
                                </a:ln>
                              </pic:spPr>
                            </pic:pic>
                          </a:graphicData>
                        </a:graphic>
                      </wp:inline>
                    </w:drawing>
                  </w:r>
                </w:p>
              </w:tc>
              <w:tc>
                <w:tcPr>
                  <w:tcW w:w="4054" w:type="dxa"/>
                  <w:tcMar>
                    <w:left w:w="567" w:type="dxa"/>
                  </w:tcMar>
                  <w:vAlign w:val="bottom"/>
                </w:tcPr>
                <w:p w14:paraId="1FD3A69F" w14:textId="0E07BDB7" w:rsidR="00FE291A" w:rsidRDefault="009C5B62">
                  <w:pPr>
                    <w:pStyle w:val="BULLETED"/>
                    <w:keepNext/>
                    <w:keepLines/>
                    <w:widowControl/>
                    <w:numPr>
                      <w:ilvl w:val="0"/>
                      <w:numId w:val="0"/>
                    </w:numPr>
                    <w:spacing w:before="0" w:line="240" w:lineRule="auto"/>
                    <w:ind w:left="-108"/>
                    <w:rPr>
                      <w:b/>
                      <w:sz w:val="22"/>
                      <w:szCs w:val="22"/>
                      <w:lang w:val="de-DE" w:eastAsia="en-US"/>
                    </w:rPr>
                  </w:pPr>
                  <w:r>
                    <w:rPr>
                      <w:b/>
                      <w:noProof/>
                      <w:sz w:val="22"/>
                      <w:szCs w:val="22"/>
                      <w:lang w:val="de-DE" w:eastAsia="en-GB"/>
                    </w:rPr>
                    <w:drawing>
                      <wp:inline distT="0" distB="0" distL="0" distR="0" wp14:anchorId="46741CC1" wp14:editId="0D519682">
                        <wp:extent cx="760095" cy="760095"/>
                        <wp:effectExtent l="0" t="0" r="0" b="0"/>
                        <wp:docPr id="42" name="Picture 56" descr="ILL0943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LL0943 v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60095" cy="760095"/>
                                </a:xfrm>
                                <a:prstGeom prst="rect">
                                  <a:avLst/>
                                </a:prstGeom>
                                <a:noFill/>
                                <a:ln>
                                  <a:noFill/>
                                </a:ln>
                              </pic:spPr>
                            </pic:pic>
                          </a:graphicData>
                        </a:graphic>
                      </wp:inline>
                    </w:drawing>
                  </w:r>
                  <w:r w:rsidR="00C8738F">
                    <w:rPr>
                      <w:b/>
                      <w:bCs/>
                      <w:szCs w:val="22"/>
                      <w:lang w:val="de-DE"/>
                    </w:rPr>
                    <w:t>Herunterdrücken</w:t>
                  </w:r>
                </w:p>
              </w:tc>
            </w:tr>
            <w:tr w:rsidR="00FE291A" w14:paraId="382957A8" w14:textId="77777777">
              <w:trPr>
                <w:trHeight w:val="1200"/>
              </w:trPr>
              <w:tc>
                <w:tcPr>
                  <w:tcW w:w="4820" w:type="dxa"/>
                  <w:vMerge/>
                </w:tcPr>
                <w:p w14:paraId="7BC73AD6" w14:textId="77777777" w:rsidR="00FE291A" w:rsidRDefault="00FE291A">
                  <w:pPr>
                    <w:pStyle w:val="BULLETED"/>
                    <w:keepNext/>
                    <w:keepLines/>
                    <w:widowControl/>
                    <w:numPr>
                      <w:ilvl w:val="0"/>
                      <w:numId w:val="0"/>
                    </w:numPr>
                    <w:spacing w:before="0" w:line="240" w:lineRule="auto"/>
                    <w:rPr>
                      <w:b/>
                      <w:sz w:val="22"/>
                      <w:szCs w:val="22"/>
                      <w:lang w:val="de-DE" w:eastAsia="nl-NL"/>
                    </w:rPr>
                  </w:pPr>
                </w:p>
              </w:tc>
              <w:tc>
                <w:tcPr>
                  <w:tcW w:w="4054" w:type="dxa"/>
                </w:tcPr>
                <w:p w14:paraId="25293029" w14:textId="77777777" w:rsidR="00FE291A" w:rsidRDefault="00FE291A">
                  <w:pPr>
                    <w:pStyle w:val="BULLETED"/>
                    <w:keepNext/>
                    <w:keepLines/>
                    <w:widowControl/>
                    <w:numPr>
                      <w:ilvl w:val="0"/>
                      <w:numId w:val="0"/>
                    </w:numPr>
                    <w:spacing w:before="0" w:line="240" w:lineRule="auto"/>
                    <w:ind w:left="189"/>
                    <w:rPr>
                      <w:b/>
                      <w:sz w:val="22"/>
                      <w:szCs w:val="22"/>
                      <w:lang w:val="de-DE" w:eastAsia="en-US"/>
                    </w:rPr>
                  </w:pPr>
                </w:p>
              </w:tc>
            </w:tr>
          </w:tbl>
          <w:p w14:paraId="25149BCE" w14:textId="77777777" w:rsidR="00FE291A" w:rsidRDefault="00FE291A">
            <w:pPr>
              <w:keepNext/>
              <w:keepLines/>
              <w:widowControl/>
              <w:suppressAutoHyphens/>
              <w:textAlignment w:val="center"/>
              <w:rPr>
                <w:color w:val="000000"/>
                <w:sz w:val="22"/>
                <w:szCs w:val="22"/>
                <w:lang w:val="de-DE"/>
              </w:rPr>
            </w:pPr>
          </w:p>
        </w:tc>
      </w:tr>
      <w:tr w:rsidR="00FE291A" w:rsidRPr="00723069" w14:paraId="01B23C89" w14:textId="77777777">
        <w:tc>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tcPr>
          <w:p w14:paraId="6AA2C6D1" w14:textId="77777777" w:rsidR="00FE291A" w:rsidRDefault="00C8738F">
            <w:pPr>
              <w:pStyle w:val="BULLETED"/>
              <w:keepNext/>
              <w:keepLines/>
              <w:widowControl/>
              <w:numPr>
                <w:ilvl w:val="0"/>
                <w:numId w:val="0"/>
              </w:numPr>
              <w:spacing w:before="0" w:line="240" w:lineRule="auto"/>
              <w:rPr>
                <w:sz w:val="22"/>
                <w:szCs w:val="22"/>
                <w:lang w:val="de-DE"/>
              </w:rPr>
            </w:pPr>
            <w:r>
              <w:rPr>
                <w:b/>
                <w:sz w:val="22"/>
                <w:szCs w:val="22"/>
                <w:lang w:val="de-DE"/>
              </w:rPr>
              <w:t xml:space="preserve">Wichtig: </w:t>
            </w:r>
            <w:r>
              <w:rPr>
                <w:rFonts w:eastAsia="Calibri"/>
                <w:sz w:val="22"/>
                <w:szCs w:val="22"/>
                <w:lang w:val="de-DE"/>
              </w:rPr>
              <w:t>Sie müssen ganz herunterdrücken, dürfen aber niemals den blauen Startknopf berühren, bevor Sie für die Injektion bereit sind</w:t>
            </w:r>
            <w:r>
              <w:rPr>
                <w:bCs/>
                <w:sz w:val="22"/>
                <w:szCs w:val="22"/>
                <w:lang w:val="de-DE"/>
              </w:rPr>
              <w:t>.</w:t>
            </w:r>
          </w:p>
        </w:tc>
      </w:tr>
    </w:tbl>
    <w:p w14:paraId="2DC909DF" w14:textId="77777777" w:rsidR="00FE291A" w:rsidRDefault="00FE291A">
      <w:pPr>
        <w:pStyle w:val="BULLETED"/>
        <w:widowControl/>
        <w:numPr>
          <w:ilvl w:val="0"/>
          <w:numId w:val="0"/>
        </w:numPr>
        <w:spacing w:before="0" w:line="240" w:lineRule="auto"/>
        <w:rPr>
          <w:b/>
          <w:sz w:val="22"/>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29"/>
        <w:gridCol w:w="8532"/>
      </w:tblGrid>
      <w:tr w:rsidR="00FE291A" w:rsidRPr="002E6CD3" w14:paraId="2C92073A" w14:textId="77777777">
        <w:tc>
          <w:tcPr>
            <w:tcW w:w="292"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8C690A" w14:textId="77777777" w:rsidR="00FE291A" w:rsidRDefault="00C8738F">
            <w:pPr>
              <w:keepLines/>
              <w:widowControl/>
              <w:suppressAutoHyphens/>
              <w:textAlignment w:val="center"/>
              <w:rPr>
                <w:b/>
                <w:color w:val="000000"/>
                <w:sz w:val="22"/>
                <w:szCs w:val="22"/>
                <w:lang w:val="de-DE"/>
              </w:rPr>
            </w:pPr>
            <w:r>
              <w:rPr>
                <w:b/>
                <w:sz w:val="22"/>
                <w:szCs w:val="22"/>
                <w:lang w:val="de-DE"/>
              </w:rPr>
              <w:t>I.</w:t>
            </w:r>
          </w:p>
        </w:tc>
        <w:tc>
          <w:tcPr>
            <w:tcW w:w="470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9A65183" w14:textId="77777777" w:rsidR="00FE291A" w:rsidRDefault="00C8738F">
            <w:pPr>
              <w:keepLines/>
              <w:widowControl/>
              <w:rPr>
                <w:color w:val="000000"/>
                <w:sz w:val="22"/>
                <w:szCs w:val="22"/>
                <w:lang w:val="de-DE"/>
              </w:rPr>
            </w:pPr>
            <w:r>
              <w:rPr>
                <w:rFonts w:eastAsia="Calibri"/>
                <w:bCs/>
                <w:sz w:val="22"/>
                <w:szCs w:val="22"/>
                <w:lang w:val="de-DE"/>
              </w:rPr>
              <w:t xml:space="preserve">Wenn Sie bereit für die Injektion sind, </w:t>
            </w:r>
            <w:r>
              <w:rPr>
                <w:rFonts w:eastAsia="Calibri"/>
                <w:b/>
                <w:bCs/>
                <w:sz w:val="22"/>
                <w:szCs w:val="22"/>
                <w:lang w:val="de-DE"/>
              </w:rPr>
              <w:t>drücken</w:t>
            </w:r>
            <w:r>
              <w:rPr>
                <w:rFonts w:eastAsia="Calibri"/>
                <w:bCs/>
                <w:sz w:val="22"/>
                <w:szCs w:val="22"/>
                <w:lang w:val="de-DE"/>
              </w:rPr>
              <w:t xml:space="preserve"> Sie den blauen Startknopf</w:t>
            </w:r>
            <w:r>
              <w:rPr>
                <w:sz w:val="22"/>
                <w:szCs w:val="22"/>
                <w:lang w:val="de-DE"/>
              </w:rPr>
              <w:t>. Sie werden einen Klick hören.</w:t>
            </w:r>
          </w:p>
        </w:tc>
      </w:tr>
      <w:tr w:rsidR="00FE291A" w14:paraId="281B424E" w14:textId="77777777">
        <w:trPr>
          <w:trHeight w:val="3930"/>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2C007A" w14:textId="3212768D" w:rsidR="00FE291A" w:rsidRDefault="009C5B62">
            <w:pPr>
              <w:widowControl/>
              <w:suppressAutoHyphens/>
              <w:textAlignment w:val="center"/>
              <w:rPr>
                <w:color w:val="000000"/>
                <w:sz w:val="22"/>
                <w:szCs w:val="22"/>
                <w:lang w:val="de-DE"/>
              </w:rPr>
            </w:pPr>
            <w:r>
              <w:rPr>
                <w:noProof/>
                <w:lang w:eastAsia="en-GB"/>
              </w:rPr>
              <w:drawing>
                <wp:inline distT="0" distB="0" distL="0" distR="0" wp14:anchorId="16586E52" wp14:editId="46018C3B">
                  <wp:extent cx="3366135" cy="2131695"/>
                  <wp:effectExtent l="0" t="0" r="0" b="0"/>
                  <wp:docPr id="43" name="Picture 614159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15940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66135" cy="2131695"/>
                          </a:xfrm>
                          <a:prstGeom prst="rect">
                            <a:avLst/>
                          </a:prstGeom>
                          <a:noFill/>
                          <a:ln>
                            <a:noFill/>
                          </a:ln>
                        </pic:spPr>
                      </pic:pic>
                    </a:graphicData>
                  </a:graphic>
                </wp:inline>
              </w:drawing>
            </w:r>
            <w:r>
              <w:rPr>
                <w:noProof/>
              </w:rPr>
              <mc:AlternateContent>
                <mc:Choice Requires="wps">
                  <w:drawing>
                    <wp:anchor distT="0" distB="0" distL="114300" distR="114300" simplePos="0" relativeHeight="15" behindDoc="0" locked="0" layoutInCell="1" allowOverlap="1" wp14:anchorId="1424A123" wp14:editId="1779ADEF">
                      <wp:simplePos x="0" y="0"/>
                      <wp:positionH relativeFrom="column">
                        <wp:posOffset>433070</wp:posOffset>
                      </wp:positionH>
                      <wp:positionV relativeFrom="paragraph">
                        <wp:posOffset>175895</wp:posOffset>
                      </wp:positionV>
                      <wp:extent cx="666750" cy="295910"/>
                      <wp:effectExtent l="0" t="0" r="0" b="8890"/>
                      <wp:wrapNone/>
                      <wp:docPr id="172972570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0" cy="295910"/>
                              </a:xfrm>
                              <a:prstGeom prst="rect">
                                <a:avLst/>
                              </a:prstGeom>
                              <a:solidFill>
                                <a:sysClr val="windowText" lastClr="000000"/>
                              </a:solidFill>
                              <a:ln w="6350">
                                <a:solidFill>
                                  <a:prstClr val="black"/>
                                </a:solidFill>
                              </a:ln>
                              <a:effectLst/>
                            </wps:spPr>
                            <wps:txbx>
                              <w:txbxContent>
                                <w:p w14:paraId="6123373D" w14:textId="77777777" w:rsidR="00FE291A" w:rsidRDefault="00C8738F">
                                  <w:pPr>
                                    <w:rPr>
                                      <w:color w:val="FFFFFF"/>
                                      <w:sz w:val="22"/>
                                      <w:szCs w:val="22"/>
                                    </w:rPr>
                                  </w:pPr>
                                  <w:r>
                                    <w:rPr>
                                      <w:rFonts w:eastAsia="Calibri"/>
                                      <w:color w:val="FFFFFF"/>
                                      <w:sz w:val="22"/>
                                      <w:szCs w:val="22"/>
                                      <w:lang w:val="de-DE"/>
                                    </w:rPr>
                                    <w:t>„</w:t>
                                  </w:r>
                                  <w:r>
                                    <w:rPr>
                                      <w:b/>
                                      <w:color w:val="FFFFFF"/>
                                      <w:sz w:val="22"/>
                                      <w:szCs w:val="22"/>
                                    </w:rPr>
                                    <w:t>Klick”</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1424A123" id="_x0000_t202" coordsize="21600,21600" o:spt="202" path="m,l,21600r21600,l21600,xe">
                      <v:stroke joinstyle="miter"/>
                      <v:path gradientshapeok="t" o:connecttype="rect"/>
                    </v:shapetype>
                    <v:shape id="Text Box 22" o:spid="_x0000_s1026" type="#_x0000_t202" style="position:absolute;margin-left:34.1pt;margin-top:13.85pt;width:52.5pt;height:23.3pt;z-index: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" fillcolor="windowText" strokeweight=".5pt">
                      <v:path arrowok="t"/>
                      <v:textbox>
                        <w:txbxContent>
                          <w:p w14:paraId="6123373D" w14:textId="77777777" w:rsidR="00FE291A" w:rsidRDefault="00C8738F">
                            <w:pPr>
                              <w:rPr>
                                <w:color w:val="FFFFFF"/>
                                <w:sz w:val="22"/>
                                <w:szCs w:val="22"/>
                              </w:rPr>
                            </w:pPr>
                            <w:r>
                              <w:rPr>
                                <w:rFonts w:eastAsia="Calibri"/>
                                <w:color w:val="FFFFFF"/>
                                <w:sz w:val="22"/>
                                <w:szCs w:val="22"/>
                                <w:lang w:val="de-DE"/>
                              </w:rPr>
                              <w:t>„</w:t>
                            </w:r>
                            <w:r>
                              <w:rPr>
                                <w:b/>
                                <w:color w:val="FFFFFF"/>
                                <w:sz w:val="22"/>
                                <w:szCs w:val="22"/>
                              </w:rPr>
                              <w:t>Klick”</w:t>
                            </w:r>
                          </w:p>
                        </w:txbxContent>
                      </v:textbox>
                    </v:shape>
                  </w:pict>
                </mc:Fallback>
              </mc:AlternateContent>
            </w:r>
          </w:p>
        </w:tc>
      </w:tr>
    </w:tbl>
    <w:p w14:paraId="38CB7916" w14:textId="77777777" w:rsidR="00FE291A" w:rsidRDefault="00FE291A">
      <w:pPr>
        <w:pStyle w:val="BULLETED"/>
        <w:widowControl/>
        <w:numPr>
          <w:ilvl w:val="0"/>
          <w:numId w:val="0"/>
        </w:numPr>
        <w:spacing w:before="0" w:line="240" w:lineRule="auto"/>
        <w:rPr>
          <w:b/>
          <w:sz w:val="22"/>
          <w:szCs w:val="22"/>
          <w:lang w:val="de-DE"/>
        </w:rPr>
      </w:pP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36"/>
        <w:gridCol w:w="8371"/>
      </w:tblGrid>
      <w:tr w:rsidR="00FE291A" w:rsidRPr="00723069" w14:paraId="16629A8C" w14:textId="77777777">
        <w:tc>
          <w:tcPr>
            <w:tcW w:w="35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F11728" w14:textId="77777777" w:rsidR="00FE291A" w:rsidRDefault="00C8738F">
            <w:pPr>
              <w:keepNext/>
              <w:keepLines/>
              <w:widowControl/>
              <w:suppressAutoHyphens/>
              <w:textAlignment w:val="center"/>
              <w:rPr>
                <w:b/>
                <w:color w:val="000000"/>
                <w:sz w:val="22"/>
                <w:szCs w:val="22"/>
                <w:lang w:val="de-DE"/>
              </w:rPr>
            </w:pPr>
            <w:r>
              <w:rPr>
                <w:b/>
                <w:sz w:val="22"/>
                <w:szCs w:val="22"/>
                <w:lang w:val="de-DE"/>
              </w:rPr>
              <w:t>J.</w:t>
            </w:r>
          </w:p>
        </w:tc>
        <w:tc>
          <w:tcPr>
            <w:tcW w:w="4647"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C125563" w14:textId="77777777" w:rsidR="00FE291A" w:rsidRDefault="00C8738F">
            <w:pPr>
              <w:keepNext/>
              <w:keepLines/>
              <w:widowControl/>
              <w:rPr>
                <w:color w:val="000000"/>
                <w:sz w:val="22"/>
                <w:szCs w:val="22"/>
                <w:lang w:val="de-DE"/>
              </w:rPr>
            </w:pPr>
            <w:r>
              <w:rPr>
                <w:rFonts w:eastAsia="Calibri"/>
                <w:bCs/>
                <w:sz w:val="22"/>
                <w:szCs w:val="22"/>
                <w:lang w:val="de-DE"/>
              </w:rPr>
              <w:t xml:space="preserve">Erhalten Sie den </w:t>
            </w:r>
            <w:r>
              <w:rPr>
                <w:rFonts w:eastAsia="Calibri"/>
                <w:b/>
                <w:bCs/>
                <w:sz w:val="22"/>
                <w:szCs w:val="22"/>
                <w:lang w:val="de-DE"/>
              </w:rPr>
              <w:t>Druck</w:t>
            </w:r>
            <w:r>
              <w:rPr>
                <w:rFonts w:eastAsia="Calibri"/>
                <w:bCs/>
                <w:sz w:val="22"/>
                <w:szCs w:val="22"/>
                <w:lang w:val="de-DE"/>
              </w:rPr>
              <w:t xml:space="preserve"> auf die Haut aufrecht. Ihre Injektion kann etwa 10 Sekunden dauern.</w:t>
            </w:r>
            <w:r>
              <w:rPr>
                <w:sz w:val="22"/>
                <w:szCs w:val="22"/>
                <w:lang w:val="de-DE"/>
              </w:rPr>
              <w:t xml:space="preserve"> </w:t>
            </w:r>
          </w:p>
        </w:tc>
      </w:tr>
      <w:tr w:rsidR="00FE291A" w14:paraId="246CE9DE" w14:textId="77777777">
        <w:trPr>
          <w:trHeight w:val="2938"/>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bl>
            <w:tblPr>
              <w:tblW w:w="8786" w:type="dxa"/>
              <w:tblLayout w:type="fixed"/>
              <w:tblLook w:val="04A0" w:firstRow="1" w:lastRow="0" w:firstColumn="1" w:lastColumn="0" w:noHBand="0" w:noVBand="1"/>
            </w:tblPr>
            <w:tblGrid>
              <w:gridCol w:w="3196"/>
              <w:gridCol w:w="2900"/>
              <w:gridCol w:w="929"/>
              <w:gridCol w:w="1761"/>
            </w:tblGrid>
            <w:tr w:rsidR="00FE291A" w14:paraId="40C9170D" w14:textId="77777777">
              <w:tc>
                <w:tcPr>
                  <w:tcW w:w="6096" w:type="dxa"/>
                  <w:gridSpan w:val="2"/>
                  <w:vMerge w:val="restart"/>
                </w:tcPr>
                <w:p w14:paraId="5FCFAFC5" w14:textId="38024712" w:rsidR="00FE291A" w:rsidRDefault="009C5B62">
                  <w:pPr>
                    <w:pStyle w:val="BULLETED"/>
                    <w:keepNext/>
                    <w:keepLines/>
                    <w:widowControl/>
                    <w:numPr>
                      <w:ilvl w:val="0"/>
                      <w:numId w:val="0"/>
                    </w:numPr>
                    <w:spacing w:before="0"/>
                    <w:rPr>
                      <w:sz w:val="22"/>
                      <w:szCs w:val="22"/>
                      <w:lang w:val="de-DE"/>
                    </w:rPr>
                  </w:pPr>
                  <w:r>
                    <w:rPr>
                      <w:noProof/>
                    </w:rPr>
                    <mc:AlternateContent>
                      <mc:Choice Requires="wps">
                        <w:drawing>
                          <wp:anchor distT="0" distB="0" distL="114300" distR="114300" simplePos="0" relativeHeight="30" behindDoc="0" locked="0" layoutInCell="1" allowOverlap="1" wp14:anchorId="7C3B55EF" wp14:editId="326DC3EE">
                            <wp:simplePos x="0" y="0"/>
                            <wp:positionH relativeFrom="column">
                              <wp:posOffset>414020</wp:posOffset>
                            </wp:positionH>
                            <wp:positionV relativeFrom="paragraph">
                              <wp:posOffset>389890</wp:posOffset>
                            </wp:positionV>
                            <wp:extent cx="666750" cy="295910"/>
                            <wp:effectExtent l="0" t="0" r="0" b="8890"/>
                            <wp:wrapNone/>
                            <wp:docPr id="205664489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0" cy="295910"/>
                                    </a:xfrm>
                                    <a:prstGeom prst="rect">
                                      <a:avLst/>
                                    </a:prstGeom>
                                    <a:solidFill>
                                      <a:sysClr val="windowText" lastClr="000000"/>
                                    </a:solidFill>
                                    <a:ln w="6350">
                                      <a:solidFill>
                                        <a:prstClr val="black"/>
                                      </a:solidFill>
                                    </a:ln>
                                    <a:effectLst/>
                                  </wps:spPr>
                                  <wps:txbx>
                                    <w:txbxContent>
                                      <w:p w14:paraId="0588E973" w14:textId="77777777" w:rsidR="00FE291A" w:rsidRDefault="00C8738F">
                                        <w:pPr>
                                          <w:rPr>
                                            <w:b/>
                                            <w:color w:val="FFFFFF"/>
                                            <w:sz w:val="20"/>
                                          </w:rPr>
                                        </w:pPr>
                                        <w:r>
                                          <w:rPr>
                                            <w:rFonts w:eastAsia="Calibri"/>
                                            <w:b/>
                                            <w:color w:val="FFFFFF"/>
                                            <w:sz w:val="22"/>
                                            <w:szCs w:val="22"/>
                                            <w:lang w:val="de-DE"/>
                                          </w:rPr>
                                          <w:t>„</w:t>
                                        </w:r>
                                        <w:r>
                                          <w:rPr>
                                            <w:b/>
                                            <w:color w:val="FFFFFF"/>
                                            <w:sz w:val="20"/>
                                          </w:rPr>
                                          <w:t>Klick”</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7C3B55EF" id="Text Box 21" o:spid="_x0000_s1027" type="#_x0000_t202" style="position:absolute;margin-left:32.6pt;margin-top:30.7pt;width:52.5pt;height:23.3pt;z-index: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" fillcolor="windowText" strokeweight=".5pt">
                            <v:path arrowok="t"/>
                            <v:textbox>
                              <w:txbxContent>
                                <w:p w14:paraId="0588E973" w14:textId="77777777" w:rsidR="00FE291A" w:rsidRDefault="00C8738F">
                                  <w:pPr>
                                    <w:rPr>
                                      <w:b/>
                                      <w:color w:val="FFFFFF"/>
                                      <w:sz w:val="20"/>
                                    </w:rPr>
                                  </w:pPr>
                                  <w:r>
                                    <w:rPr>
                                      <w:rFonts w:eastAsia="Calibri"/>
                                      <w:b/>
                                      <w:color w:val="FFFFFF"/>
                                      <w:sz w:val="22"/>
                                      <w:szCs w:val="22"/>
                                      <w:lang w:val="de-DE"/>
                                    </w:rPr>
                                    <w:t>„</w:t>
                                  </w:r>
                                  <w:r>
                                    <w:rPr>
                                      <w:b/>
                                      <w:color w:val="FFFFFF"/>
                                      <w:sz w:val="20"/>
                                    </w:rPr>
                                    <w:t>Klick”</w:t>
                                  </w:r>
                                </w:p>
                              </w:txbxContent>
                            </v:textbox>
                          </v:shape>
                        </w:pict>
                      </mc:Fallback>
                    </mc:AlternateContent>
                  </w:r>
                  <w:r w:rsidR="00C8738F">
                    <w:rPr>
                      <w:rFonts w:ascii="Verdana" w:hAnsi="Verdana" w:cs="Arial"/>
                      <w:sz w:val="22"/>
                      <w:szCs w:val="22"/>
                      <w:lang w:val="de-DE" w:eastAsia="en-US"/>
                    </w:rPr>
                    <w:t xml:space="preserve"> </w:t>
                  </w:r>
                  <w:r>
                    <w:rPr>
                      <w:noProof/>
                      <w:lang w:val="en-GB" w:eastAsia="en-GB"/>
                    </w:rPr>
                    <w:drawing>
                      <wp:inline distT="0" distB="0" distL="0" distR="0" wp14:anchorId="640EAEA8" wp14:editId="122194F6">
                        <wp:extent cx="3754755" cy="2371725"/>
                        <wp:effectExtent l="0" t="0" r="0" b="0"/>
                        <wp:docPr id="44"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54755" cy="2371725"/>
                                </a:xfrm>
                                <a:prstGeom prst="rect">
                                  <a:avLst/>
                                </a:prstGeom>
                                <a:noFill/>
                                <a:ln>
                                  <a:noFill/>
                                </a:ln>
                              </pic:spPr>
                            </pic:pic>
                          </a:graphicData>
                        </a:graphic>
                      </wp:inline>
                    </w:drawing>
                  </w:r>
                </w:p>
              </w:tc>
              <w:tc>
                <w:tcPr>
                  <w:tcW w:w="929" w:type="dxa"/>
                </w:tcPr>
                <w:p w14:paraId="3D96FA46" w14:textId="77777777" w:rsidR="00FE291A" w:rsidRDefault="00C8738F">
                  <w:pPr>
                    <w:keepNext/>
                    <w:keepLines/>
                    <w:widowControl/>
                    <w:suppressAutoHyphens/>
                    <w:jc w:val="center"/>
                    <w:textAlignment w:val="center"/>
                    <w:rPr>
                      <w:color w:val="000000"/>
                      <w:sz w:val="22"/>
                      <w:szCs w:val="22"/>
                      <w:lang w:val="de-DE"/>
                    </w:rPr>
                  </w:pPr>
                  <w:r>
                    <w:rPr>
                      <w:b/>
                      <w:color w:val="000000"/>
                      <w:sz w:val="22"/>
                      <w:szCs w:val="22"/>
                      <w:lang w:val="de-DE"/>
                    </w:rPr>
                    <w:t>~10 s</w:t>
                  </w:r>
                </w:p>
              </w:tc>
              <w:tc>
                <w:tcPr>
                  <w:tcW w:w="1761" w:type="dxa"/>
                </w:tcPr>
                <w:p w14:paraId="640C23DF" w14:textId="77777777" w:rsidR="00FE291A" w:rsidRDefault="00FE291A">
                  <w:pPr>
                    <w:keepNext/>
                    <w:keepLines/>
                    <w:widowControl/>
                    <w:suppressAutoHyphens/>
                    <w:textAlignment w:val="center"/>
                    <w:rPr>
                      <w:color w:val="000000"/>
                      <w:sz w:val="22"/>
                      <w:szCs w:val="22"/>
                      <w:lang w:val="de-DE"/>
                    </w:rPr>
                  </w:pPr>
                </w:p>
              </w:tc>
            </w:tr>
            <w:tr w:rsidR="00FE291A" w14:paraId="2010049F" w14:textId="77777777">
              <w:trPr>
                <w:trHeight w:val="960"/>
              </w:trPr>
              <w:tc>
                <w:tcPr>
                  <w:tcW w:w="6096" w:type="dxa"/>
                  <w:gridSpan w:val="2"/>
                  <w:vMerge/>
                </w:tcPr>
                <w:p w14:paraId="7D861CEB" w14:textId="77777777" w:rsidR="00FE291A" w:rsidRDefault="00FE291A">
                  <w:pPr>
                    <w:keepNext/>
                    <w:keepLines/>
                    <w:widowControl/>
                    <w:suppressAutoHyphens/>
                    <w:textAlignment w:val="center"/>
                    <w:rPr>
                      <w:color w:val="000000"/>
                      <w:sz w:val="22"/>
                      <w:szCs w:val="22"/>
                      <w:lang w:val="de-DE"/>
                    </w:rPr>
                  </w:pPr>
                </w:p>
              </w:tc>
              <w:tc>
                <w:tcPr>
                  <w:tcW w:w="929" w:type="dxa"/>
                </w:tcPr>
                <w:p w14:paraId="1D10635A" w14:textId="0945D21B" w:rsidR="00FE291A" w:rsidRDefault="009C5B62">
                  <w:pPr>
                    <w:keepNext/>
                    <w:keepLines/>
                    <w:widowControl/>
                    <w:suppressAutoHyphens/>
                    <w:jc w:val="center"/>
                    <w:textAlignment w:val="center"/>
                    <w:rPr>
                      <w:color w:val="000000"/>
                      <w:sz w:val="22"/>
                      <w:szCs w:val="22"/>
                      <w:lang w:val="de-DE"/>
                    </w:rPr>
                  </w:pPr>
                  <w:r>
                    <w:rPr>
                      <w:noProof/>
                      <w:lang w:eastAsia="en-GB"/>
                    </w:rPr>
                    <w:drawing>
                      <wp:inline distT="0" distB="0" distL="0" distR="0" wp14:anchorId="1029FBEA" wp14:editId="5C782C3C">
                        <wp:extent cx="531495" cy="531495"/>
                        <wp:effectExtent l="0" t="0" r="0" b="0"/>
                        <wp:docPr id="45" name="Bild 46" descr="SYM0152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6" descr="SYM0152 v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1495" cy="531495"/>
                                </a:xfrm>
                                <a:prstGeom prst="rect">
                                  <a:avLst/>
                                </a:prstGeom>
                                <a:noFill/>
                                <a:ln>
                                  <a:noFill/>
                                </a:ln>
                              </pic:spPr>
                            </pic:pic>
                          </a:graphicData>
                        </a:graphic>
                      </wp:inline>
                    </w:drawing>
                  </w:r>
                </w:p>
              </w:tc>
              <w:tc>
                <w:tcPr>
                  <w:tcW w:w="1761" w:type="dxa"/>
                </w:tcPr>
                <w:p w14:paraId="18C03077" w14:textId="33DB594F" w:rsidR="00FE291A" w:rsidRDefault="009C5B62">
                  <w:pPr>
                    <w:keepNext/>
                    <w:keepLines/>
                    <w:widowControl/>
                    <w:suppressAutoHyphens/>
                    <w:textAlignment w:val="center"/>
                    <w:rPr>
                      <w:color w:val="000000"/>
                      <w:sz w:val="22"/>
                      <w:szCs w:val="22"/>
                      <w:lang w:val="de-DE"/>
                    </w:rPr>
                  </w:pPr>
                  <w:r>
                    <w:rPr>
                      <w:noProof/>
                      <w:color w:val="000000"/>
                      <w:sz w:val="22"/>
                      <w:szCs w:val="22"/>
                      <w:lang w:val="de-DE" w:eastAsia="en-GB"/>
                    </w:rPr>
                    <w:drawing>
                      <wp:inline distT="0" distB="0" distL="0" distR="0" wp14:anchorId="21C33F3C" wp14:editId="1DFAA6BD">
                        <wp:extent cx="982980" cy="982980"/>
                        <wp:effectExtent l="0" t="0" r="0" b="0"/>
                        <wp:docPr id="46" name="Bild 47" descr="ILL0996 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7" descr="ILL0996 v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82980" cy="982980"/>
                                </a:xfrm>
                                <a:prstGeom prst="rect">
                                  <a:avLst/>
                                </a:prstGeom>
                                <a:noFill/>
                                <a:ln>
                                  <a:noFill/>
                                </a:ln>
                              </pic:spPr>
                            </pic:pic>
                          </a:graphicData>
                        </a:graphic>
                      </wp:inline>
                    </w:drawing>
                  </w:r>
                </w:p>
              </w:tc>
            </w:tr>
            <w:tr w:rsidR="00FE291A" w14:paraId="765F4F5F" w14:textId="77777777">
              <w:trPr>
                <w:trHeight w:val="2116"/>
              </w:trPr>
              <w:tc>
                <w:tcPr>
                  <w:tcW w:w="6096" w:type="dxa"/>
                  <w:gridSpan w:val="2"/>
                  <w:vMerge/>
                </w:tcPr>
                <w:p w14:paraId="218E14DD" w14:textId="77777777" w:rsidR="00FE291A" w:rsidRDefault="00FE291A">
                  <w:pPr>
                    <w:keepNext/>
                    <w:keepLines/>
                    <w:widowControl/>
                    <w:suppressAutoHyphens/>
                    <w:textAlignment w:val="center"/>
                    <w:rPr>
                      <w:color w:val="000000"/>
                      <w:sz w:val="22"/>
                      <w:szCs w:val="22"/>
                      <w:lang w:val="de-DE"/>
                    </w:rPr>
                  </w:pPr>
                </w:p>
              </w:tc>
              <w:tc>
                <w:tcPr>
                  <w:tcW w:w="2688" w:type="dxa"/>
                  <w:gridSpan w:val="2"/>
                </w:tcPr>
                <w:p w14:paraId="62C3389A" w14:textId="77777777" w:rsidR="00FE291A" w:rsidRDefault="00C8738F">
                  <w:pPr>
                    <w:keepNext/>
                    <w:keepLines/>
                    <w:widowControl/>
                    <w:textAlignment w:val="center"/>
                    <w:rPr>
                      <w:color w:val="000000"/>
                      <w:sz w:val="22"/>
                      <w:szCs w:val="22"/>
                      <w:lang w:val="de-DE"/>
                    </w:rPr>
                  </w:pPr>
                  <w:r>
                    <w:rPr>
                      <w:rFonts w:eastAsia="Calibri"/>
                      <w:sz w:val="22"/>
                      <w:szCs w:val="22"/>
                      <w:lang w:val="de-DE"/>
                    </w:rPr>
                    <w:t>Das Sichtfenster wird gelb, wenn die Injektion abgeschlossen ist. Möglicherweise hören Sie einen zweiten Klick.</w:t>
                  </w:r>
                </w:p>
              </w:tc>
            </w:tr>
            <w:tr w:rsidR="00FE291A" w:rsidRPr="002E6CD3" w14:paraId="2B677A39" w14:textId="77777777">
              <w:trPr>
                <w:trHeight w:val="1835"/>
              </w:trPr>
              <w:tc>
                <w:tcPr>
                  <w:tcW w:w="3196" w:type="dxa"/>
                  <w:tcMar>
                    <w:left w:w="0" w:type="dxa"/>
                    <w:right w:w="0" w:type="dxa"/>
                  </w:tcMar>
                </w:tcPr>
                <w:p w14:paraId="4174F123" w14:textId="674D5800" w:rsidR="00FE291A" w:rsidRDefault="009C5B62">
                  <w:pPr>
                    <w:keepNext/>
                    <w:keepLines/>
                    <w:widowControl/>
                    <w:suppressAutoHyphens/>
                    <w:textAlignment w:val="center"/>
                    <w:rPr>
                      <w:color w:val="000000"/>
                      <w:sz w:val="22"/>
                      <w:szCs w:val="22"/>
                      <w:lang w:val="de-DE"/>
                    </w:rPr>
                  </w:pPr>
                  <w:r>
                    <w:rPr>
                      <w:noProof/>
                      <w:color w:val="000000"/>
                      <w:sz w:val="22"/>
                      <w:szCs w:val="22"/>
                      <w:lang w:val="de-DE" w:eastAsia="en-GB"/>
                    </w:rPr>
                    <w:drawing>
                      <wp:inline distT="0" distB="0" distL="0" distR="0" wp14:anchorId="59A30A6A" wp14:editId="078DD5BD">
                        <wp:extent cx="982980" cy="988695"/>
                        <wp:effectExtent l="0" t="0" r="0" b="0"/>
                        <wp:docPr id="47" name="Bild 48" descr="ILL0997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8" descr="ILL0997 v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82980" cy="988695"/>
                                </a:xfrm>
                                <a:prstGeom prst="rect">
                                  <a:avLst/>
                                </a:prstGeom>
                                <a:noFill/>
                                <a:ln>
                                  <a:noFill/>
                                </a:ln>
                              </pic:spPr>
                            </pic:pic>
                          </a:graphicData>
                        </a:graphic>
                      </wp:inline>
                    </w:drawing>
                  </w:r>
                </w:p>
              </w:tc>
              <w:tc>
                <w:tcPr>
                  <w:tcW w:w="5588" w:type="dxa"/>
                  <w:gridSpan w:val="3"/>
                  <w:tcMar>
                    <w:top w:w="142" w:type="dxa"/>
                  </w:tcMar>
                </w:tcPr>
                <w:p w14:paraId="3E53AED8" w14:textId="77777777" w:rsidR="00FE291A" w:rsidRDefault="00C8738F">
                  <w:pPr>
                    <w:keepNext/>
                    <w:keepLines/>
                    <w:widowControl/>
                    <w:suppressAutoHyphens/>
                    <w:textAlignment w:val="center"/>
                    <w:rPr>
                      <w:sz w:val="22"/>
                      <w:szCs w:val="22"/>
                      <w:lang w:val="de-DE"/>
                    </w:rPr>
                  </w:pPr>
                  <w:r>
                    <w:rPr>
                      <w:b/>
                      <w:bCs/>
                      <w:color w:val="000000"/>
                      <w:sz w:val="22"/>
                      <w:szCs w:val="22"/>
                      <w:lang w:val="de-DE"/>
                    </w:rPr>
                    <w:t>Anmerkung:</w:t>
                  </w:r>
                  <w:r>
                    <w:rPr>
                      <w:bCs/>
                      <w:color w:val="000000"/>
                      <w:sz w:val="22"/>
                      <w:szCs w:val="22"/>
                      <w:lang w:val="de-DE"/>
                    </w:rPr>
                    <w:t xml:space="preserve"> Nachdem Sie den Fertigpen von Ihrer Haut entfernt haben, wird die Nadel automatisch abgedeckt.</w:t>
                  </w:r>
                </w:p>
              </w:tc>
            </w:tr>
            <w:tr w:rsidR="00FE291A" w14:paraId="1C274085" w14:textId="77777777">
              <w:tc>
                <w:tcPr>
                  <w:tcW w:w="8784" w:type="dxa"/>
                  <w:gridSpan w:val="4"/>
                </w:tcPr>
                <w:p w14:paraId="3BC8A9CF" w14:textId="77777777" w:rsidR="00FE291A" w:rsidRDefault="00C8738F">
                  <w:pPr>
                    <w:keepNext/>
                    <w:keepLines/>
                    <w:widowControl/>
                    <w:suppressAutoHyphens/>
                    <w:textAlignment w:val="center"/>
                    <w:rPr>
                      <w:color w:val="000000"/>
                      <w:sz w:val="22"/>
                      <w:szCs w:val="22"/>
                      <w:lang w:val="de-DE"/>
                    </w:rPr>
                  </w:pPr>
                  <w:r>
                    <w:rPr>
                      <w:b/>
                      <w:sz w:val="22"/>
                      <w:szCs w:val="22"/>
                      <w:lang w:val="de-DE"/>
                    </w:rPr>
                    <w:t>Wichtig:</w:t>
                  </w:r>
                  <w:r>
                    <w:rPr>
                      <w:sz w:val="22"/>
                      <w:szCs w:val="22"/>
                      <w:lang w:val="de-DE"/>
                    </w:rPr>
                    <w:t xml:space="preserve"> Wenn Sie den Fertigpen entfernen und das Sichtfenster noch nicht gelb geworden ist oder es so aussieht, als ob das Arzneimittel noch injiziert wird, kann das bedeuten, dass Sie nicht die vollständige Dosis erhalten haben. Rufen Sie unverzüglich Ihren Arzt an.</w:t>
                  </w:r>
                </w:p>
              </w:tc>
            </w:tr>
          </w:tbl>
          <w:p w14:paraId="28E2EB62" w14:textId="77777777" w:rsidR="00FE291A" w:rsidRDefault="00FE291A">
            <w:pPr>
              <w:keepNext/>
              <w:keepLines/>
              <w:widowControl/>
              <w:suppressAutoHyphens/>
              <w:textAlignment w:val="center"/>
              <w:rPr>
                <w:color w:val="000000"/>
                <w:sz w:val="22"/>
                <w:szCs w:val="22"/>
                <w:lang w:val="de-DE"/>
              </w:rPr>
            </w:pPr>
          </w:p>
        </w:tc>
      </w:tr>
    </w:tbl>
    <w:p w14:paraId="0154A645" w14:textId="77777777" w:rsidR="00FE291A" w:rsidRDefault="00FE291A">
      <w:pPr>
        <w:pStyle w:val="SUBSTEP"/>
        <w:widowControl/>
        <w:spacing w:before="0" w:line="240" w:lineRule="auto"/>
        <w:ind w:left="0" w:firstLine="0"/>
        <w:rPr>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9061"/>
      </w:tblGrid>
      <w:tr w:rsidR="00FE291A" w14:paraId="41B301A9" w14:textId="77777777">
        <w:tc>
          <w:tcPr>
            <w:tcW w:w="500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7B5685" w14:textId="77777777" w:rsidR="00FE291A" w:rsidRDefault="00C8738F">
            <w:pPr>
              <w:pStyle w:val="BULLETED"/>
              <w:keepNext/>
              <w:keepLines/>
              <w:widowControl/>
              <w:numPr>
                <w:ilvl w:val="0"/>
                <w:numId w:val="0"/>
              </w:numPr>
              <w:spacing w:before="0" w:line="240" w:lineRule="auto"/>
              <w:jc w:val="center"/>
              <w:rPr>
                <w:b/>
                <w:sz w:val="22"/>
                <w:szCs w:val="22"/>
                <w:lang w:val="de-DE"/>
              </w:rPr>
            </w:pPr>
            <w:r>
              <w:rPr>
                <w:b/>
                <w:sz w:val="22"/>
                <w:szCs w:val="22"/>
                <w:lang w:val="de-DE"/>
              </w:rPr>
              <w:t>Schritt 4: Abschluss</w:t>
            </w:r>
          </w:p>
        </w:tc>
      </w:tr>
    </w:tbl>
    <w:p w14:paraId="0B539178" w14:textId="77777777" w:rsidR="00FE291A" w:rsidRDefault="00FE291A">
      <w:pPr>
        <w:keepNext/>
        <w:keepLines/>
        <w:widowControl/>
        <w:ind w:left="567" w:hanging="567"/>
        <w:rPr>
          <w:b/>
          <w:bCs/>
          <w:sz w:val="22"/>
          <w:szCs w:val="22"/>
          <w:lang w:val="de-DE"/>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33"/>
        <w:gridCol w:w="16"/>
        <w:gridCol w:w="8514"/>
      </w:tblGrid>
      <w:tr w:rsidR="00FE291A" w:rsidRPr="00723069" w14:paraId="5962D564" w14:textId="77777777">
        <w:tc>
          <w:tcPr>
            <w:tcW w:w="29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0054F4" w14:textId="77777777" w:rsidR="00FE291A" w:rsidRDefault="00C8738F">
            <w:pPr>
              <w:keepNext/>
              <w:keepLines/>
              <w:widowControl/>
              <w:suppressAutoHyphens/>
              <w:textAlignment w:val="center"/>
              <w:rPr>
                <w:b/>
                <w:color w:val="000000"/>
                <w:sz w:val="22"/>
                <w:szCs w:val="22"/>
                <w:lang w:val="de-DE"/>
              </w:rPr>
            </w:pPr>
            <w:r>
              <w:rPr>
                <w:b/>
                <w:sz w:val="22"/>
                <w:szCs w:val="22"/>
                <w:lang w:val="de-DE"/>
              </w:rPr>
              <w:t>K.</w:t>
            </w:r>
          </w:p>
        </w:tc>
        <w:tc>
          <w:tcPr>
            <w:tcW w:w="4706"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C7DC7F" w14:textId="77777777" w:rsidR="00FE291A" w:rsidRDefault="00C8738F">
            <w:pPr>
              <w:keepNext/>
              <w:keepLines/>
              <w:widowControl/>
              <w:rPr>
                <w:color w:val="000000"/>
                <w:sz w:val="22"/>
                <w:szCs w:val="22"/>
                <w:lang w:val="de-DE"/>
              </w:rPr>
            </w:pPr>
            <w:r>
              <w:rPr>
                <w:color w:val="000000"/>
                <w:sz w:val="22"/>
                <w:szCs w:val="22"/>
                <w:lang w:val="de-DE"/>
              </w:rPr>
              <w:t>Entsorgen Sie den gebrauchten Fertigpen und die gelbe Nadelschutzkappe</w:t>
            </w:r>
            <w:r>
              <w:rPr>
                <w:sz w:val="22"/>
                <w:szCs w:val="22"/>
                <w:lang w:val="de-DE"/>
              </w:rPr>
              <w:t>.</w:t>
            </w:r>
          </w:p>
        </w:tc>
      </w:tr>
      <w:tr w:rsidR="00FE291A" w14:paraId="2B3ACB57" w14:textId="77777777">
        <w:trPr>
          <w:trHeight w:val="3930"/>
        </w:trPr>
        <w:tc>
          <w:tcPr>
            <w:tcW w:w="5000" w:type="pct"/>
            <w:gridSpan w:val="3"/>
            <w:tcBorders>
              <w:top w:val="single" w:sz="4" w:space="0" w:color="auto"/>
              <w:left w:val="single" w:sz="4" w:space="0" w:color="auto"/>
              <w:bottom w:val="nil"/>
              <w:right w:val="single" w:sz="4" w:space="0" w:color="auto"/>
            </w:tcBorders>
            <w:tcMar>
              <w:top w:w="28" w:type="dxa"/>
              <w:left w:w="57" w:type="dxa"/>
              <w:bottom w:w="28" w:type="dxa"/>
              <w:right w:w="57" w:type="dxa"/>
            </w:tcMar>
          </w:tcPr>
          <w:p w14:paraId="3FA154B0" w14:textId="5F4F1586" w:rsidR="00FE291A" w:rsidRDefault="009C5B62">
            <w:pPr>
              <w:keepNext/>
              <w:keepLines/>
              <w:widowControl/>
              <w:suppressAutoHyphens/>
              <w:textAlignment w:val="center"/>
              <w:rPr>
                <w:color w:val="000000"/>
                <w:sz w:val="22"/>
                <w:szCs w:val="22"/>
                <w:lang w:val="de-DE"/>
              </w:rPr>
            </w:pPr>
            <w:r>
              <w:rPr>
                <w:rFonts w:ascii="Verdana" w:hAnsi="Verdana" w:cs="Arial"/>
                <w:noProof/>
                <w:sz w:val="22"/>
                <w:szCs w:val="22"/>
                <w:lang w:val="de-DE" w:eastAsia="en-GB"/>
              </w:rPr>
              <w:drawing>
                <wp:inline distT="0" distB="0" distL="0" distR="0" wp14:anchorId="2003C824" wp14:editId="18F3E2C3">
                  <wp:extent cx="1754505" cy="2360295"/>
                  <wp:effectExtent l="0" t="0" r="0" b="0"/>
                  <wp:docPr id="48" name="Bild 49" descr="ILL0947 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9" descr="ILL0947 v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54505" cy="2360295"/>
                          </a:xfrm>
                          <a:prstGeom prst="rect">
                            <a:avLst/>
                          </a:prstGeom>
                          <a:noFill/>
                          <a:ln>
                            <a:noFill/>
                          </a:ln>
                        </pic:spPr>
                      </pic:pic>
                    </a:graphicData>
                  </a:graphic>
                </wp:inline>
              </w:drawing>
            </w:r>
          </w:p>
        </w:tc>
      </w:tr>
      <w:tr w:rsidR="00FE291A" w:rsidRPr="002E6CD3" w14:paraId="26901D31" w14:textId="77777777">
        <w:tc>
          <w:tcPr>
            <w:tcW w:w="303" w:type="pct"/>
            <w:gridSpan w:val="2"/>
            <w:tcBorders>
              <w:top w:val="nil"/>
              <w:left w:val="single" w:sz="4" w:space="0" w:color="auto"/>
              <w:bottom w:val="nil"/>
              <w:right w:val="nil"/>
            </w:tcBorders>
            <w:tcMar>
              <w:top w:w="28" w:type="dxa"/>
              <w:left w:w="57" w:type="dxa"/>
              <w:bottom w:w="28" w:type="dxa"/>
              <w:right w:w="57" w:type="dxa"/>
            </w:tcMar>
          </w:tcPr>
          <w:p w14:paraId="0997958F" w14:textId="77777777" w:rsidR="00FE291A" w:rsidRDefault="00C8738F">
            <w:pPr>
              <w:pStyle w:val="ListParagraph"/>
              <w:keepNext/>
              <w:keepLines/>
              <w:widowControl/>
              <w:tabs>
                <w:tab w:val="left" w:pos="90"/>
              </w:tabs>
              <w:suppressAutoHyphens/>
              <w:textAlignment w:val="center"/>
              <w:rPr>
                <w:color w:val="000000"/>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0" w:type="dxa"/>
            </w:tcMar>
          </w:tcPr>
          <w:p w14:paraId="17515755" w14:textId="77777777" w:rsidR="00FE291A" w:rsidRDefault="00C8738F">
            <w:pPr>
              <w:keepNext/>
              <w:keepLines/>
              <w:widowControl/>
              <w:rPr>
                <w:rFonts w:eastAsia="Calibri"/>
                <w:sz w:val="22"/>
                <w:szCs w:val="22"/>
                <w:lang w:val="de-DE"/>
              </w:rPr>
            </w:pPr>
            <w:r>
              <w:rPr>
                <w:rFonts w:eastAsia="Calibri"/>
                <w:sz w:val="22"/>
                <w:szCs w:val="22"/>
                <w:lang w:val="de-DE"/>
              </w:rPr>
              <w:t xml:space="preserve">Werfen Sie den gebrauchten Fertigpen sofort nach Anwendung </w:t>
            </w:r>
            <w:r>
              <w:rPr>
                <w:rFonts w:eastAsia="Calibri"/>
                <w:bCs/>
                <w:sz w:val="22"/>
                <w:szCs w:val="22"/>
                <w:lang w:val="de-DE"/>
              </w:rPr>
              <w:t>in einen durchstichsicheren Behälter</w:t>
            </w:r>
            <w:r>
              <w:rPr>
                <w:rFonts w:eastAsia="Calibri"/>
                <w:sz w:val="22"/>
                <w:szCs w:val="22"/>
                <w:lang w:val="de-DE"/>
              </w:rPr>
              <w:t xml:space="preserve">. Werfen oder entsorgen Sie den Fertigpen </w:t>
            </w:r>
            <w:r>
              <w:rPr>
                <w:rFonts w:eastAsia="Calibri"/>
                <w:b/>
                <w:sz w:val="22"/>
                <w:szCs w:val="22"/>
                <w:lang w:val="de-DE"/>
              </w:rPr>
              <w:t>nicht</w:t>
            </w:r>
            <w:r>
              <w:rPr>
                <w:rFonts w:eastAsia="Calibri"/>
                <w:sz w:val="22"/>
                <w:szCs w:val="22"/>
                <w:lang w:val="de-DE"/>
              </w:rPr>
              <w:t xml:space="preserve"> in Ihren Haushaltsabfall. </w:t>
            </w:r>
          </w:p>
        </w:tc>
      </w:tr>
      <w:tr w:rsidR="00FE291A" w14:paraId="50D01CA3" w14:textId="77777777">
        <w:tc>
          <w:tcPr>
            <w:tcW w:w="303" w:type="pct"/>
            <w:gridSpan w:val="2"/>
            <w:tcBorders>
              <w:top w:val="nil"/>
              <w:left w:val="single" w:sz="4" w:space="0" w:color="auto"/>
              <w:bottom w:val="nil"/>
              <w:right w:val="nil"/>
            </w:tcBorders>
            <w:tcMar>
              <w:top w:w="28" w:type="dxa"/>
              <w:left w:w="57" w:type="dxa"/>
              <w:bottom w:w="28" w:type="dxa"/>
              <w:right w:w="57" w:type="dxa"/>
            </w:tcMar>
          </w:tcPr>
          <w:p w14:paraId="01BC94F4" w14:textId="77777777" w:rsidR="00FE291A" w:rsidRDefault="00C8738F">
            <w:pPr>
              <w:pStyle w:val="ListParagraph"/>
              <w:keepNext/>
              <w:keepLines/>
              <w:widowControl/>
              <w:tabs>
                <w:tab w:val="left" w:pos="90"/>
              </w:tabs>
              <w:suppressAutoHyphens/>
              <w:textAlignment w:val="center"/>
              <w:rPr>
                <w:color w:val="000000"/>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0" w:type="dxa"/>
            </w:tcMar>
          </w:tcPr>
          <w:p w14:paraId="3AAB184D" w14:textId="77777777" w:rsidR="00FE291A" w:rsidRDefault="00C8738F">
            <w:pPr>
              <w:keepNext/>
              <w:keepLines/>
              <w:widowControl/>
              <w:suppressAutoHyphens/>
              <w:textAlignment w:val="center"/>
              <w:rPr>
                <w:color w:val="000000"/>
                <w:sz w:val="22"/>
                <w:szCs w:val="22"/>
                <w:lang w:val="de-DE"/>
              </w:rPr>
            </w:pPr>
            <w:r>
              <w:rPr>
                <w:rFonts w:eastAsia="Calibri"/>
                <w:sz w:val="22"/>
                <w:szCs w:val="22"/>
                <w:lang w:val="de-DE"/>
              </w:rPr>
              <w:t>Sprechen Sie mit Ihrem Arzt oder Apotheker über die ordnungsgemäße Entsorgung. Möglicherweise gibt es nationale Richtlinien für die Entsorgung.</w:t>
            </w:r>
          </w:p>
        </w:tc>
      </w:tr>
      <w:tr w:rsidR="00FE291A" w:rsidRPr="002E6CD3" w14:paraId="0F20B554" w14:textId="77777777">
        <w:tc>
          <w:tcPr>
            <w:tcW w:w="303" w:type="pct"/>
            <w:gridSpan w:val="2"/>
            <w:tcBorders>
              <w:top w:val="nil"/>
              <w:left w:val="single" w:sz="4" w:space="0" w:color="auto"/>
              <w:bottom w:val="nil"/>
              <w:right w:val="nil"/>
            </w:tcBorders>
            <w:tcMar>
              <w:top w:w="28" w:type="dxa"/>
              <w:left w:w="57" w:type="dxa"/>
              <w:bottom w:w="28" w:type="dxa"/>
              <w:right w:w="57" w:type="dxa"/>
            </w:tcMar>
          </w:tcPr>
          <w:p w14:paraId="5AE781D0" w14:textId="77777777" w:rsidR="00FE291A" w:rsidRDefault="00C8738F">
            <w:pPr>
              <w:pStyle w:val="ListParagraph"/>
              <w:keepNext/>
              <w:keepLines/>
              <w:widowControl/>
              <w:tabs>
                <w:tab w:val="left" w:pos="90"/>
              </w:tabs>
              <w:suppressAutoHyphens/>
              <w:textAlignment w:val="center"/>
              <w:rPr>
                <w:color w:val="000000"/>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0" w:type="dxa"/>
            </w:tcMar>
          </w:tcPr>
          <w:p w14:paraId="7E6BF847" w14:textId="77777777" w:rsidR="00FE291A" w:rsidRDefault="00C8738F">
            <w:pPr>
              <w:keepNext/>
              <w:keepLines/>
              <w:widowControl/>
              <w:rPr>
                <w:rFonts w:eastAsia="Calibri"/>
                <w:bCs/>
                <w:sz w:val="22"/>
                <w:szCs w:val="22"/>
                <w:lang w:val="de-DE"/>
              </w:rPr>
            </w:pPr>
            <w:r>
              <w:rPr>
                <w:rFonts w:eastAsia="Calibri"/>
                <w:bCs/>
                <w:sz w:val="22"/>
                <w:szCs w:val="22"/>
                <w:lang w:val="de-DE"/>
              </w:rPr>
              <w:t xml:space="preserve">Den gebrauchten Fertigpen </w:t>
            </w:r>
            <w:r>
              <w:rPr>
                <w:rFonts w:eastAsia="Calibri"/>
                <w:b/>
                <w:bCs/>
                <w:sz w:val="22"/>
                <w:szCs w:val="22"/>
                <w:lang w:val="de-DE"/>
              </w:rPr>
              <w:t>nicht</w:t>
            </w:r>
            <w:r>
              <w:rPr>
                <w:rFonts w:eastAsia="Calibri"/>
                <w:bCs/>
                <w:sz w:val="22"/>
                <w:szCs w:val="22"/>
                <w:lang w:val="de-DE"/>
              </w:rPr>
              <w:t xml:space="preserve"> wieder benutzen. </w:t>
            </w:r>
          </w:p>
        </w:tc>
      </w:tr>
      <w:tr w:rsidR="00FE291A" w:rsidRPr="002E6CD3" w14:paraId="52E21177" w14:textId="77777777">
        <w:tc>
          <w:tcPr>
            <w:tcW w:w="303" w:type="pct"/>
            <w:gridSpan w:val="2"/>
            <w:tcBorders>
              <w:top w:val="nil"/>
              <w:left w:val="single" w:sz="4" w:space="0" w:color="auto"/>
              <w:bottom w:val="nil"/>
              <w:right w:val="nil"/>
            </w:tcBorders>
            <w:tcMar>
              <w:top w:w="28" w:type="dxa"/>
              <w:left w:w="57" w:type="dxa"/>
              <w:bottom w:w="28" w:type="dxa"/>
              <w:right w:w="57" w:type="dxa"/>
            </w:tcMar>
          </w:tcPr>
          <w:p w14:paraId="74D922F7" w14:textId="77777777" w:rsidR="00FE291A" w:rsidRDefault="00C8738F">
            <w:pPr>
              <w:pStyle w:val="ListParagraph"/>
              <w:keepNext/>
              <w:keepLines/>
              <w:widowControl/>
              <w:tabs>
                <w:tab w:val="left" w:pos="90"/>
              </w:tabs>
              <w:suppressAutoHyphens/>
              <w:textAlignment w:val="center"/>
              <w:rPr>
                <w:color w:val="000000"/>
                <w:sz w:val="22"/>
                <w:szCs w:val="22"/>
                <w:lang w:val="de-DE"/>
              </w:rPr>
            </w:pPr>
            <w:r>
              <w:rPr>
                <w:color w:val="000000"/>
                <w:sz w:val="22"/>
                <w:szCs w:val="22"/>
                <w:lang w:val="de-DE"/>
              </w:rPr>
              <w:t>●</w:t>
            </w:r>
          </w:p>
        </w:tc>
        <w:tc>
          <w:tcPr>
            <w:tcW w:w="4697" w:type="pct"/>
            <w:tcBorders>
              <w:top w:val="nil"/>
              <w:left w:val="nil"/>
              <w:bottom w:val="nil"/>
              <w:right w:val="single" w:sz="4" w:space="0" w:color="auto"/>
            </w:tcBorders>
            <w:tcMar>
              <w:left w:w="0" w:type="dxa"/>
            </w:tcMar>
          </w:tcPr>
          <w:p w14:paraId="491F5A90" w14:textId="77777777" w:rsidR="00FE291A" w:rsidRDefault="00C8738F">
            <w:pPr>
              <w:keepNext/>
              <w:keepLines/>
              <w:widowControl/>
              <w:rPr>
                <w:rFonts w:eastAsia="Calibri"/>
                <w:b/>
                <w:bCs/>
                <w:sz w:val="22"/>
                <w:szCs w:val="22"/>
                <w:lang w:val="de-DE"/>
              </w:rPr>
            </w:pPr>
            <w:r>
              <w:rPr>
                <w:sz w:val="22"/>
                <w:szCs w:val="22"/>
                <w:lang w:val="de-DE"/>
              </w:rPr>
              <w:t xml:space="preserve">Den Fertigpen oder den durchstichsicheren Behälter </w:t>
            </w:r>
            <w:r>
              <w:rPr>
                <w:b/>
                <w:sz w:val="22"/>
                <w:szCs w:val="22"/>
                <w:lang w:val="de-DE"/>
              </w:rPr>
              <w:t>nicht</w:t>
            </w:r>
            <w:r>
              <w:rPr>
                <w:sz w:val="22"/>
                <w:szCs w:val="22"/>
                <w:lang w:val="de-DE"/>
              </w:rPr>
              <w:t xml:space="preserve"> recyceln oder in den Haushaltsabfall werfen.</w:t>
            </w:r>
          </w:p>
        </w:tc>
      </w:tr>
      <w:tr w:rsidR="00FE291A" w:rsidRPr="002E6CD3" w14:paraId="2D4C83ED" w14:textId="77777777">
        <w:tc>
          <w:tcPr>
            <w:tcW w:w="5000" w:type="pct"/>
            <w:gridSpan w:val="3"/>
            <w:tcBorders>
              <w:top w:val="nil"/>
              <w:left w:val="single" w:sz="4" w:space="0" w:color="auto"/>
              <w:bottom w:val="single" w:sz="4" w:space="0" w:color="auto"/>
              <w:right w:val="single" w:sz="4" w:space="0" w:color="auto"/>
            </w:tcBorders>
            <w:tcMar>
              <w:top w:w="28" w:type="dxa"/>
              <w:left w:w="57" w:type="dxa"/>
              <w:bottom w:w="28" w:type="dxa"/>
              <w:right w:w="57" w:type="dxa"/>
            </w:tcMar>
          </w:tcPr>
          <w:p w14:paraId="45C4E330" w14:textId="77777777" w:rsidR="00FE291A" w:rsidRDefault="00C8738F">
            <w:pPr>
              <w:pStyle w:val="SUBSTEP"/>
              <w:keepNext/>
              <w:keepLines/>
              <w:widowControl/>
              <w:tabs>
                <w:tab w:val="clear" w:pos="240"/>
                <w:tab w:val="clear" w:pos="360"/>
                <w:tab w:val="clear" w:pos="660"/>
                <w:tab w:val="clear" w:pos="780"/>
              </w:tabs>
              <w:spacing w:before="0" w:line="240" w:lineRule="auto"/>
              <w:ind w:left="0" w:firstLine="0"/>
              <w:rPr>
                <w:b w:val="0"/>
                <w:szCs w:val="22"/>
                <w:lang w:val="de-DE"/>
              </w:rPr>
            </w:pPr>
            <w:r>
              <w:rPr>
                <w:bCs w:val="0"/>
                <w:szCs w:val="22"/>
                <w:lang w:val="de-DE"/>
              </w:rPr>
              <w:t xml:space="preserve">Wichtig: </w:t>
            </w:r>
            <w:r>
              <w:rPr>
                <w:b w:val="0"/>
                <w:color w:val="auto"/>
                <w:szCs w:val="22"/>
                <w:lang w:val="de-DE"/>
              </w:rPr>
              <w:t>Den durchstichsicheren Behälter immer für Kinder unzugänglich aufbewahren.</w:t>
            </w:r>
          </w:p>
        </w:tc>
      </w:tr>
    </w:tbl>
    <w:p w14:paraId="6B6DEC9E" w14:textId="77777777" w:rsidR="00FE291A" w:rsidRDefault="00FE291A">
      <w:pPr>
        <w:pStyle w:val="trianglemarkcopy"/>
        <w:widowControl/>
        <w:tabs>
          <w:tab w:val="clear" w:pos="828"/>
        </w:tabs>
        <w:spacing w:before="0" w:line="240" w:lineRule="auto"/>
        <w:ind w:left="0" w:firstLine="0"/>
        <w:rPr>
          <w:rStyle w:val="bodybold"/>
          <w:rFonts w:ascii="Times New Roman" w:hAnsi="Times New Roman"/>
          <w:b/>
          <w:bCs/>
          <w:color w:val="auto"/>
          <w:sz w:val="22"/>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49"/>
        <w:gridCol w:w="8512"/>
      </w:tblGrid>
      <w:tr w:rsidR="00FE291A" w14:paraId="0A6A9DBB" w14:textId="77777777">
        <w:tc>
          <w:tcPr>
            <w:tcW w:w="30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1B5B36" w14:textId="77777777" w:rsidR="00FE291A" w:rsidRDefault="00C8738F">
            <w:pPr>
              <w:keepLines/>
              <w:widowControl/>
              <w:suppressAutoHyphens/>
              <w:textAlignment w:val="center"/>
              <w:rPr>
                <w:b/>
                <w:color w:val="000000"/>
                <w:sz w:val="22"/>
                <w:szCs w:val="22"/>
                <w:lang w:val="de-DE"/>
              </w:rPr>
            </w:pPr>
            <w:r>
              <w:rPr>
                <w:b/>
                <w:sz w:val="22"/>
                <w:szCs w:val="22"/>
                <w:lang w:val="de-DE"/>
              </w:rPr>
              <w:t>L.</w:t>
            </w:r>
          </w:p>
        </w:tc>
        <w:tc>
          <w:tcPr>
            <w:tcW w:w="4697"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872385" w14:textId="77777777" w:rsidR="00FE291A" w:rsidRDefault="00C8738F">
            <w:pPr>
              <w:keepLines/>
              <w:widowControl/>
              <w:rPr>
                <w:color w:val="000000"/>
                <w:sz w:val="22"/>
                <w:szCs w:val="22"/>
                <w:lang w:val="de-DE"/>
              </w:rPr>
            </w:pPr>
            <w:r>
              <w:rPr>
                <w:rFonts w:eastAsia="Calibri"/>
                <w:bCs/>
                <w:sz w:val="22"/>
                <w:szCs w:val="22"/>
                <w:lang w:val="de-DE"/>
              </w:rPr>
              <w:t>Überprüfen Sie die Injektionsstelle.</w:t>
            </w:r>
          </w:p>
        </w:tc>
      </w:tr>
      <w:tr w:rsidR="00FE291A" w:rsidRPr="002E6CD3" w14:paraId="0A668E8B" w14:textId="77777777">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31BE84" w14:textId="77777777" w:rsidR="00FE291A" w:rsidRDefault="00C8738F">
            <w:pPr>
              <w:widowControl/>
              <w:suppressAutoHyphens/>
              <w:textAlignment w:val="center"/>
              <w:rPr>
                <w:color w:val="000000"/>
                <w:sz w:val="22"/>
                <w:szCs w:val="22"/>
                <w:lang w:val="de-DE"/>
              </w:rPr>
            </w:pPr>
            <w:r>
              <w:rPr>
                <w:sz w:val="22"/>
                <w:szCs w:val="22"/>
                <w:lang w:val="de-DE"/>
              </w:rPr>
              <w:t>Falls Sie Blut bemerken</w:t>
            </w:r>
            <w:r>
              <w:rPr>
                <w:rFonts w:eastAsia="Calibri"/>
                <w:sz w:val="22"/>
                <w:szCs w:val="22"/>
                <w:lang w:val="de-DE"/>
              </w:rPr>
              <w:t xml:space="preserve">, drücken Sie einen Wattebausch oder Verbandmull auf Ihre Injektionsstelle. </w:t>
            </w:r>
            <w:r>
              <w:rPr>
                <w:rFonts w:eastAsia="Calibri"/>
                <w:b/>
                <w:sz w:val="22"/>
                <w:szCs w:val="22"/>
                <w:lang w:val="de-DE"/>
              </w:rPr>
              <w:t>Niemals</w:t>
            </w:r>
            <w:r>
              <w:rPr>
                <w:rFonts w:eastAsia="Calibri"/>
                <w:sz w:val="22"/>
                <w:szCs w:val="22"/>
                <w:lang w:val="de-DE"/>
              </w:rPr>
              <w:t xml:space="preserve"> die Injektionsstelle reiben. </w:t>
            </w:r>
            <w:r>
              <w:rPr>
                <w:sz w:val="22"/>
                <w:szCs w:val="22"/>
                <w:lang w:val="de-DE"/>
              </w:rPr>
              <w:t>Falls erforderlich, verwenden Sie ein Pflaster.</w:t>
            </w:r>
          </w:p>
        </w:tc>
      </w:tr>
    </w:tbl>
    <w:p w14:paraId="1B773401" w14:textId="77777777" w:rsidR="00FE291A" w:rsidRDefault="00FE291A">
      <w:pPr>
        <w:pStyle w:val="BodyText"/>
        <w:widowControl/>
        <w:kinsoku w:val="0"/>
        <w:overflowPunct w:val="0"/>
        <w:ind w:left="0"/>
        <w:jc w:val="center"/>
        <w:rPr>
          <w:b/>
          <w:lang w:val="de-DE"/>
        </w:rPr>
      </w:pPr>
    </w:p>
    <w:p w14:paraId="4712C51B" w14:textId="77777777" w:rsidR="00FE291A" w:rsidRDefault="00C8738F">
      <w:pPr>
        <w:widowControl/>
        <w:autoSpaceDE/>
        <w:autoSpaceDN/>
        <w:adjustRightInd/>
        <w:jc w:val="center"/>
        <w:rPr>
          <w:b/>
          <w:bCs/>
          <w:lang w:val="de-DE"/>
        </w:rPr>
      </w:pPr>
      <w:r>
        <w:rPr>
          <w:b/>
          <w:lang w:val="de-DE"/>
        </w:rPr>
        <w:br w:type="page"/>
        <w:t>Gebrauchsinformation: Information für den Patienten</w:t>
      </w:r>
    </w:p>
    <w:p w14:paraId="3620863C" w14:textId="77777777" w:rsidR="00FE291A" w:rsidRDefault="00FE291A">
      <w:pPr>
        <w:widowControl/>
        <w:kinsoku w:val="0"/>
        <w:overflowPunct w:val="0"/>
        <w:jc w:val="center"/>
        <w:rPr>
          <w:sz w:val="22"/>
          <w:szCs w:val="22"/>
          <w:lang w:val="de-DE"/>
        </w:rPr>
      </w:pPr>
    </w:p>
    <w:p w14:paraId="18CA7514" w14:textId="77777777" w:rsidR="00FE291A" w:rsidRDefault="00C8738F">
      <w:pPr>
        <w:widowControl/>
        <w:kinsoku w:val="0"/>
        <w:overflowPunct w:val="0"/>
        <w:jc w:val="center"/>
        <w:rPr>
          <w:sz w:val="22"/>
          <w:szCs w:val="22"/>
          <w:lang w:val="de-DE"/>
        </w:rPr>
      </w:pPr>
      <w:r>
        <w:rPr>
          <w:b/>
          <w:bCs/>
          <w:sz w:val="22"/>
          <w:szCs w:val="22"/>
          <w:lang w:val="de-DE"/>
        </w:rPr>
        <w:t>AMGEVITA 20 mg Injektionslösung in einer Fertigspritze</w:t>
      </w:r>
    </w:p>
    <w:p w14:paraId="29FA4C78" w14:textId="77777777" w:rsidR="00FE291A" w:rsidRDefault="00C8738F">
      <w:pPr>
        <w:widowControl/>
        <w:kinsoku w:val="0"/>
        <w:overflowPunct w:val="0"/>
        <w:jc w:val="center"/>
        <w:rPr>
          <w:b/>
          <w:bCs/>
          <w:sz w:val="22"/>
          <w:szCs w:val="22"/>
          <w:lang w:val="de-DE"/>
        </w:rPr>
      </w:pPr>
      <w:r>
        <w:rPr>
          <w:b/>
          <w:bCs/>
          <w:sz w:val="22"/>
          <w:szCs w:val="22"/>
          <w:lang w:val="de-DE"/>
        </w:rPr>
        <w:t>AMGEVITA 40 mg Injektionslösung in einer Fertigspritze</w:t>
      </w:r>
    </w:p>
    <w:p w14:paraId="02546706" w14:textId="77777777" w:rsidR="00FE291A" w:rsidRDefault="00C8738F">
      <w:pPr>
        <w:widowControl/>
        <w:kinsoku w:val="0"/>
        <w:overflowPunct w:val="0"/>
        <w:jc w:val="center"/>
        <w:rPr>
          <w:sz w:val="22"/>
          <w:szCs w:val="22"/>
          <w:lang w:val="de-DE"/>
        </w:rPr>
      </w:pPr>
      <w:r>
        <w:rPr>
          <w:b/>
          <w:bCs/>
          <w:sz w:val="22"/>
          <w:szCs w:val="22"/>
          <w:lang w:val="de-DE"/>
        </w:rPr>
        <w:t>AMGEVITA 80 mg Injektionslösung in einer Fertigspritze</w:t>
      </w:r>
    </w:p>
    <w:p w14:paraId="7B00F2F8" w14:textId="77777777" w:rsidR="00FE291A" w:rsidRDefault="00C8738F">
      <w:pPr>
        <w:pStyle w:val="BodyText"/>
        <w:widowControl/>
        <w:kinsoku w:val="0"/>
        <w:overflowPunct w:val="0"/>
        <w:ind w:left="0"/>
        <w:jc w:val="center"/>
        <w:rPr>
          <w:lang w:val="de-DE"/>
        </w:rPr>
      </w:pPr>
      <w:r>
        <w:rPr>
          <w:lang w:val="de-DE"/>
        </w:rPr>
        <w:t>Adalimumab</w:t>
      </w:r>
    </w:p>
    <w:p w14:paraId="6E761139" w14:textId="77777777" w:rsidR="00FE291A" w:rsidRDefault="00FE291A">
      <w:pPr>
        <w:pStyle w:val="BodyText"/>
        <w:widowControl/>
        <w:kinsoku w:val="0"/>
        <w:overflowPunct w:val="0"/>
        <w:ind w:left="0"/>
        <w:jc w:val="center"/>
        <w:rPr>
          <w:lang w:val="de-DE"/>
        </w:rPr>
      </w:pPr>
    </w:p>
    <w:p w14:paraId="427FB5A9" w14:textId="77777777" w:rsidR="00FE291A" w:rsidRDefault="00FE291A">
      <w:pPr>
        <w:widowControl/>
        <w:kinsoku w:val="0"/>
        <w:overflowPunct w:val="0"/>
        <w:rPr>
          <w:sz w:val="22"/>
          <w:szCs w:val="22"/>
          <w:lang w:val="de-DE"/>
        </w:rPr>
      </w:pPr>
    </w:p>
    <w:p w14:paraId="3868FB46" w14:textId="77777777" w:rsidR="00FE291A" w:rsidRDefault="00C8738F">
      <w:pPr>
        <w:pStyle w:val="Heading1"/>
        <w:widowControl/>
        <w:kinsoku w:val="0"/>
        <w:overflowPunct w:val="0"/>
        <w:ind w:left="0"/>
        <w:rPr>
          <w:b w:val="0"/>
          <w:bCs w:val="0"/>
          <w:lang w:val="de-DE"/>
        </w:rPr>
      </w:pPr>
      <w:r>
        <w:rPr>
          <w:lang w:val="de-DE"/>
        </w:rPr>
        <w:t>Lesen Sie die gesamte Packungsbeilage sorgfältig durch, bevor Sie mit der Anwendung dieses Arzneimittels beginnen, denn sie enthält wichtige Informationen.</w:t>
      </w:r>
    </w:p>
    <w:p w14:paraId="2E7C6EF8"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Heben Sie die Packungsbeilage auf. Vielleicht möchten Sie diese später nochmals lesen.</w:t>
      </w:r>
    </w:p>
    <w:p w14:paraId="76B9DEF5"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 xml:space="preserve">Ihr Arzt wird Ihnen auch einen </w:t>
      </w:r>
      <w:r>
        <w:rPr>
          <w:b/>
          <w:lang w:val="de-DE"/>
        </w:rPr>
        <w:t>Patientenpass</w:t>
      </w:r>
      <w:r>
        <w:rPr>
          <w:lang w:val="de-DE"/>
        </w:rPr>
        <w:t xml:space="preserve"> aushändigen, der wichtige Informationen zur Sicherheit enthält, die Sie vor und während der Behandlung mit AMGEVITA beachten sollten. Führen Sie diesen </w:t>
      </w:r>
      <w:r>
        <w:rPr>
          <w:b/>
          <w:lang w:val="de-DE"/>
        </w:rPr>
        <w:t>Patientenpass</w:t>
      </w:r>
      <w:r>
        <w:rPr>
          <w:lang w:val="de-DE"/>
        </w:rPr>
        <w:t xml:space="preserve"> mit sich.</w:t>
      </w:r>
    </w:p>
    <w:p w14:paraId="53AB460D"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Wenn Sie weitere Fragen haben, wenden Sie sich an Ihren Arzt oder Apotheker.</w:t>
      </w:r>
    </w:p>
    <w:p w14:paraId="6CAB5409"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Dieses Arzneimittel wurde Ihnen persönlich verschrieben. Geben Sie es nicht an Dritte weiter. Es kann anderen Menschen schaden, auch wenn diese die gleichen Beschwerden haben wie Sie.</w:t>
      </w:r>
    </w:p>
    <w:p w14:paraId="03C3CC04"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Wenn Sie Nebenwirkungen bemerken, wenden Sie sich an Ihren Arzt oder Apotheker. Dies gilt auch für Nebenwirkungen, die nicht in dieser Packungsbeilage angegeben sind (siehe Abschnitt 4).</w:t>
      </w:r>
    </w:p>
    <w:p w14:paraId="09767AEA" w14:textId="77777777" w:rsidR="00FE291A" w:rsidRDefault="00FE291A">
      <w:pPr>
        <w:widowControl/>
        <w:kinsoku w:val="0"/>
        <w:overflowPunct w:val="0"/>
        <w:rPr>
          <w:sz w:val="22"/>
          <w:szCs w:val="26"/>
          <w:lang w:val="de-DE"/>
        </w:rPr>
      </w:pPr>
    </w:p>
    <w:p w14:paraId="21562519" w14:textId="77777777" w:rsidR="00FE291A" w:rsidRDefault="00C8738F">
      <w:pPr>
        <w:pStyle w:val="Heading1"/>
        <w:widowControl/>
        <w:kinsoku w:val="0"/>
        <w:overflowPunct w:val="0"/>
        <w:ind w:left="0"/>
        <w:rPr>
          <w:lang w:val="de-DE"/>
        </w:rPr>
      </w:pPr>
      <w:r>
        <w:rPr>
          <w:lang w:val="de-DE"/>
        </w:rPr>
        <w:t>Diese Packungsbeilage beinhaltet</w:t>
      </w:r>
    </w:p>
    <w:p w14:paraId="00D9EB81" w14:textId="77777777" w:rsidR="00FE291A" w:rsidRDefault="00FE291A">
      <w:pPr>
        <w:widowControl/>
        <w:rPr>
          <w:sz w:val="22"/>
          <w:lang w:val="de-DE"/>
        </w:rPr>
      </w:pPr>
    </w:p>
    <w:p w14:paraId="432C68EA" w14:textId="77777777" w:rsidR="00FE291A" w:rsidRDefault="00C8738F">
      <w:pPr>
        <w:pStyle w:val="BodyText"/>
        <w:widowControl/>
        <w:numPr>
          <w:ilvl w:val="0"/>
          <w:numId w:val="63"/>
        </w:numPr>
        <w:tabs>
          <w:tab w:val="left" w:pos="567"/>
        </w:tabs>
        <w:kinsoku w:val="0"/>
        <w:overflowPunct w:val="0"/>
        <w:ind w:left="567"/>
        <w:rPr>
          <w:lang w:val="de-DE"/>
        </w:rPr>
      </w:pPr>
      <w:r>
        <w:rPr>
          <w:lang w:val="de-DE"/>
        </w:rPr>
        <w:t>Was ist AMGEVITA und wofür wird es angewendet?</w:t>
      </w:r>
    </w:p>
    <w:p w14:paraId="19C1A391" w14:textId="77777777" w:rsidR="00FE291A" w:rsidRDefault="00C8738F">
      <w:pPr>
        <w:pStyle w:val="BodyText"/>
        <w:widowControl/>
        <w:numPr>
          <w:ilvl w:val="0"/>
          <w:numId w:val="63"/>
        </w:numPr>
        <w:tabs>
          <w:tab w:val="left" w:pos="567"/>
        </w:tabs>
        <w:kinsoku w:val="0"/>
        <w:overflowPunct w:val="0"/>
        <w:ind w:left="567"/>
        <w:rPr>
          <w:lang w:val="de-DE"/>
        </w:rPr>
      </w:pPr>
      <w:r>
        <w:rPr>
          <w:lang w:val="de-DE"/>
        </w:rPr>
        <w:t>Was sollten Sie vor der Anwendung von AMGEVITA beachten?</w:t>
      </w:r>
    </w:p>
    <w:p w14:paraId="34ACA65A" w14:textId="77777777" w:rsidR="00FE291A" w:rsidRDefault="00C8738F">
      <w:pPr>
        <w:pStyle w:val="BodyText"/>
        <w:widowControl/>
        <w:numPr>
          <w:ilvl w:val="0"/>
          <w:numId w:val="63"/>
        </w:numPr>
        <w:tabs>
          <w:tab w:val="left" w:pos="567"/>
        </w:tabs>
        <w:kinsoku w:val="0"/>
        <w:overflowPunct w:val="0"/>
        <w:ind w:left="567"/>
        <w:rPr>
          <w:lang w:val="de-DE"/>
        </w:rPr>
      </w:pPr>
      <w:r>
        <w:rPr>
          <w:lang w:val="de-DE"/>
        </w:rPr>
        <w:t>Wie ist AMGEVITA anzuwenden?</w:t>
      </w:r>
    </w:p>
    <w:p w14:paraId="5E7698C5" w14:textId="77777777" w:rsidR="00FE291A" w:rsidRDefault="00C8738F">
      <w:pPr>
        <w:pStyle w:val="BodyText"/>
        <w:widowControl/>
        <w:numPr>
          <w:ilvl w:val="0"/>
          <w:numId w:val="63"/>
        </w:numPr>
        <w:tabs>
          <w:tab w:val="left" w:pos="567"/>
        </w:tabs>
        <w:kinsoku w:val="0"/>
        <w:overflowPunct w:val="0"/>
        <w:ind w:left="567"/>
        <w:rPr>
          <w:lang w:val="de-DE"/>
        </w:rPr>
      </w:pPr>
      <w:r>
        <w:rPr>
          <w:lang w:val="de-DE"/>
        </w:rPr>
        <w:t>Welche Nebenwirkungen sind möglich?</w:t>
      </w:r>
    </w:p>
    <w:p w14:paraId="06CFA1C0" w14:textId="77777777" w:rsidR="00FE291A" w:rsidRDefault="00C8738F">
      <w:pPr>
        <w:pStyle w:val="BodyText"/>
        <w:widowControl/>
        <w:numPr>
          <w:ilvl w:val="0"/>
          <w:numId w:val="63"/>
        </w:numPr>
        <w:tabs>
          <w:tab w:val="left" w:pos="567"/>
        </w:tabs>
        <w:kinsoku w:val="0"/>
        <w:overflowPunct w:val="0"/>
        <w:ind w:left="567"/>
        <w:rPr>
          <w:lang w:val="de-DE"/>
        </w:rPr>
      </w:pPr>
      <w:r>
        <w:rPr>
          <w:lang w:val="de-DE"/>
        </w:rPr>
        <w:t>Wie ist AMGEVITA aufzubewahren?</w:t>
      </w:r>
    </w:p>
    <w:p w14:paraId="667CF09B" w14:textId="77777777" w:rsidR="00FE291A" w:rsidRDefault="00C8738F">
      <w:pPr>
        <w:pStyle w:val="BodyText"/>
        <w:widowControl/>
        <w:numPr>
          <w:ilvl w:val="0"/>
          <w:numId w:val="63"/>
        </w:numPr>
        <w:tabs>
          <w:tab w:val="left" w:pos="567"/>
        </w:tabs>
        <w:kinsoku w:val="0"/>
        <w:overflowPunct w:val="0"/>
        <w:ind w:left="567"/>
        <w:rPr>
          <w:lang w:val="de-DE"/>
        </w:rPr>
      </w:pPr>
      <w:r>
        <w:rPr>
          <w:lang w:val="de-DE"/>
        </w:rPr>
        <w:t>Inhalt der Packung und weitere Informationen</w:t>
      </w:r>
    </w:p>
    <w:p w14:paraId="62274A71" w14:textId="77777777" w:rsidR="00FE291A" w:rsidRDefault="00FE291A">
      <w:pPr>
        <w:widowControl/>
        <w:kinsoku w:val="0"/>
        <w:overflowPunct w:val="0"/>
        <w:rPr>
          <w:sz w:val="22"/>
          <w:szCs w:val="20"/>
          <w:lang w:val="de-DE"/>
        </w:rPr>
      </w:pPr>
    </w:p>
    <w:p w14:paraId="185FAC9E" w14:textId="77777777" w:rsidR="00FE291A" w:rsidRDefault="00FE291A">
      <w:pPr>
        <w:widowControl/>
        <w:kinsoku w:val="0"/>
        <w:overflowPunct w:val="0"/>
        <w:rPr>
          <w:sz w:val="22"/>
          <w:szCs w:val="20"/>
          <w:lang w:val="de-DE"/>
        </w:rPr>
      </w:pPr>
    </w:p>
    <w:p w14:paraId="296DDB87" w14:textId="77777777" w:rsidR="00FE291A" w:rsidRDefault="00C8738F">
      <w:pPr>
        <w:pStyle w:val="Heading1"/>
        <w:widowControl/>
        <w:kinsoku w:val="0"/>
        <w:overflowPunct w:val="0"/>
        <w:ind w:left="567" w:hanging="567"/>
        <w:rPr>
          <w:b w:val="0"/>
          <w:bCs w:val="0"/>
          <w:lang w:val="de-DE"/>
        </w:rPr>
      </w:pPr>
      <w:r>
        <w:rPr>
          <w:lang w:val="de-DE"/>
        </w:rPr>
        <w:t>1.</w:t>
      </w:r>
      <w:r>
        <w:rPr>
          <w:lang w:val="de-DE"/>
        </w:rPr>
        <w:tab/>
        <w:t>Was ist AMGEVITA und wofür wird es angewendet?</w:t>
      </w:r>
    </w:p>
    <w:p w14:paraId="768B915F" w14:textId="77777777" w:rsidR="00FE291A" w:rsidRDefault="00FE291A">
      <w:pPr>
        <w:widowControl/>
        <w:kinsoku w:val="0"/>
        <w:overflowPunct w:val="0"/>
        <w:rPr>
          <w:sz w:val="22"/>
          <w:szCs w:val="22"/>
          <w:lang w:val="de-DE"/>
        </w:rPr>
      </w:pPr>
    </w:p>
    <w:p w14:paraId="6354E6B7" w14:textId="77777777" w:rsidR="00FE291A" w:rsidRDefault="00C8738F">
      <w:pPr>
        <w:pStyle w:val="BodyText"/>
        <w:widowControl/>
        <w:kinsoku w:val="0"/>
        <w:overflowPunct w:val="0"/>
        <w:ind w:left="0"/>
        <w:rPr>
          <w:lang w:val="de-DE"/>
        </w:rPr>
      </w:pPr>
      <w:r>
        <w:rPr>
          <w:lang w:val="de-DE"/>
        </w:rPr>
        <w:t>AMGEVITA enthält den Wirkstoff Adalimumab, ein Arzneimittel, das auf das Immunsystem (das körpereigene Abwehrsystem) Ihres Körpers wirkt.</w:t>
      </w:r>
    </w:p>
    <w:p w14:paraId="4B23E866" w14:textId="77777777" w:rsidR="00FE291A" w:rsidRDefault="00FE291A">
      <w:pPr>
        <w:pStyle w:val="BodyText"/>
        <w:widowControl/>
        <w:kinsoku w:val="0"/>
        <w:overflowPunct w:val="0"/>
        <w:ind w:left="0"/>
        <w:rPr>
          <w:lang w:val="de-DE"/>
        </w:rPr>
      </w:pPr>
    </w:p>
    <w:p w14:paraId="3B977CCD" w14:textId="77777777" w:rsidR="00FE291A" w:rsidRDefault="00C8738F">
      <w:pPr>
        <w:pStyle w:val="BodyText"/>
        <w:widowControl/>
        <w:kinsoku w:val="0"/>
        <w:overflowPunct w:val="0"/>
        <w:ind w:left="0"/>
        <w:rPr>
          <w:lang w:val="de-DE"/>
        </w:rPr>
      </w:pPr>
      <w:r>
        <w:rPr>
          <w:lang w:val="de-DE"/>
        </w:rPr>
        <w:t>AMGEVITA ist für die Behandlung folgender entzündlicher Erkrankungen vorgesehen:</w:t>
      </w:r>
    </w:p>
    <w:p w14:paraId="3D9BA5F4" w14:textId="77777777" w:rsidR="00FE291A" w:rsidRDefault="00C8738F">
      <w:pPr>
        <w:widowControl/>
        <w:numPr>
          <w:ilvl w:val="0"/>
          <w:numId w:val="50"/>
        </w:numPr>
        <w:tabs>
          <w:tab w:val="clear" w:pos="720"/>
          <w:tab w:val="left" w:pos="567"/>
        </w:tabs>
        <w:autoSpaceDE/>
        <w:autoSpaceDN/>
        <w:adjustRightInd/>
        <w:ind w:left="567" w:hanging="567"/>
        <w:rPr>
          <w:sz w:val="22"/>
          <w:szCs w:val="22"/>
          <w:lang w:val="de-DE"/>
        </w:rPr>
      </w:pPr>
      <w:r>
        <w:rPr>
          <w:sz w:val="22"/>
          <w:szCs w:val="22"/>
          <w:lang w:val="de-DE"/>
        </w:rPr>
        <w:t>Rheumatoide Arthritis</w:t>
      </w:r>
    </w:p>
    <w:p w14:paraId="173A678C" w14:textId="77777777" w:rsidR="00FE291A" w:rsidRDefault="00C8738F">
      <w:pPr>
        <w:widowControl/>
        <w:numPr>
          <w:ilvl w:val="0"/>
          <w:numId w:val="50"/>
        </w:numPr>
        <w:tabs>
          <w:tab w:val="clear" w:pos="720"/>
          <w:tab w:val="left" w:pos="567"/>
        </w:tabs>
        <w:autoSpaceDE/>
        <w:autoSpaceDN/>
        <w:adjustRightInd/>
        <w:ind w:left="567" w:hanging="567"/>
        <w:rPr>
          <w:sz w:val="22"/>
          <w:szCs w:val="22"/>
          <w:lang w:val="de-DE"/>
        </w:rPr>
      </w:pPr>
      <w:r>
        <w:rPr>
          <w:sz w:val="22"/>
          <w:szCs w:val="22"/>
          <w:lang w:val="de-DE"/>
        </w:rPr>
        <w:t>Polyartikuläre juvenile idiopathische Arthritis</w:t>
      </w:r>
    </w:p>
    <w:p w14:paraId="36A31A89" w14:textId="77777777" w:rsidR="00FE291A" w:rsidRDefault="00C8738F">
      <w:pPr>
        <w:widowControl/>
        <w:numPr>
          <w:ilvl w:val="0"/>
          <w:numId w:val="50"/>
        </w:numPr>
        <w:tabs>
          <w:tab w:val="clear" w:pos="720"/>
          <w:tab w:val="left" w:pos="567"/>
        </w:tabs>
        <w:autoSpaceDE/>
        <w:autoSpaceDN/>
        <w:adjustRightInd/>
        <w:ind w:left="567" w:hanging="567"/>
        <w:rPr>
          <w:sz w:val="22"/>
          <w:szCs w:val="22"/>
          <w:lang w:val="de-DE"/>
        </w:rPr>
      </w:pPr>
      <w:r>
        <w:rPr>
          <w:sz w:val="22"/>
          <w:szCs w:val="22"/>
          <w:lang w:val="de-DE"/>
        </w:rPr>
        <w:t>Enthesitis-assoziierte Arthritis</w:t>
      </w:r>
    </w:p>
    <w:p w14:paraId="2A3DC7D9" w14:textId="77777777" w:rsidR="00FE291A" w:rsidRDefault="00C8738F">
      <w:pPr>
        <w:widowControl/>
        <w:numPr>
          <w:ilvl w:val="0"/>
          <w:numId w:val="50"/>
        </w:numPr>
        <w:tabs>
          <w:tab w:val="clear" w:pos="720"/>
          <w:tab w:val="left" w:pos="567"/>
        </w:tabs>
        <w:autoSpaceDE/>
        <w:autoSpaceDN/>
        <w:adjustRightInd/>
        <w:ind w:left="567" w:hanging="567"/>
        <w:rPr>
          <w:sz w:val="22"/>
          <w:szCs w:val="22"/>
          <w:lang w:val="de-DE"/>
        </w:rPr>
      </w:pPr>
      <w:r>
        <w:rPr>
          <w:sz w:val="22"/>
          <w:szCs w:val="22"/>
          <w:lang w:val="de-DE"/>
        </w:rPr>
        <w:t>Ankylosierende Spondylitis</w:t>
      </w:r>
    </w:p>
    <w:p w14:paraId="1F288DA6" w14:textId="77777777" w:rsidR="00FE291A" w:rsidRDefault="00C8738F">
      <w:pPr>
        <w:widowControl/>
        <w:numPr>
          <w:ilvl w:val="0"/>
          <w:numId w:val="50"/>
        </w:numPr>
        <w:tabs>
          <w:tab w:val="clear" w:pos="720"/>
          <w:tab w:val="left" w:pos="567"/>
        </w:tabs>
        <w:autoSpaceDE/>
        <w:autoSpaceDN/>
        <w:adjustRightInd/>
        <w:ind w:left="567" w:hanging="567"/>
        <w:rPr>
          <w:sz w:val="22"/>
          <w:szCs w:val="22"/>
          <w:lang w:val="de-DE"/>
        </w:rPr>
      </w:pPr>
      <w:r>
        <w:rPr>
          <w:sz w:val="22"/>
          <w:szCs w:val="22"/>
          <w:lang w:val="de-DE"/>
        </w:rPr>
        <w:t>Axiale Spondyloarthritis, bei der im Röntgenbild noch keine Verknöcherung nachweisbar ist</w:t>
      </w:r>
    </w:p>
    <w:p w14:paraId="71CEED85" w14:textId="77777777" w:rsidR="00FE291A" w:rsidRDefault="00C8738F">
      <w:pPr>
        <w:widowControl/>
        <w:numPr>
          <w:ilvl w:val="0"/>
          <w:numId w:val="50"/>
        </w:numPr>
        <w:tabs>
          <w:tab w:val="clear" w:pos="720"/>
          <w:tab w:val="left" w:pos="567"/>
        </w:tabs>
        <w:autoSpaceDE/>
        <w:autoSpaceDN/>
        <w:adjustRightInd/>
        <w:ind w:left="567" w:hanging="567"/>
        <w:rPr>
          <w:sz w:val="22"/>
          <w:szCs w:val="22"/>
          <w:lang w:val="de-DE"/>
        </w:rPr>
      </w:pPr>
      <w:r>
        <w:rPr>
          <w:sz w:val="22"/>
          <w:szCs w:val="22"/>
          <w:lang w:val="de-DE"/>
        </w:rPr>
        <w:t>Psoriasis-Arthritis</w:t>
      </w:r>
    </w:p>
    <w:p w14:paraId="2A7B0DD0" w14:textId="77777777" w:rsidR="00FE291A" w:rsidRDefault="00C8738F">
      <w:pPr>
        <w:widowControl/>
        <w:numPr>
          <w:ilvl w:val="0"/>
          <w:numId w:val="50"/>
        </w:numPr>
        <w:tabs>
          <w:tab w:val="clear" w:pos="720"/>
          <w:tab w:val="left" w:pos="567"/>
        </w:tabs>
        <w:autoSpaceDE/>
        <w:autoSpaceDN/>
        <w:adjustRightInd/>
        <w:ind w:left="567" w:hanging="567"/>
        <w:rPr>
          <w:sz w:val="22"/>
          <w:szCs w:val="22"/>
          <w:lang w:val="de-DE"/>
        </w:rPr>
      </w:pPr>
      <w:r>
        <w:rPr>
          <w:sz w:val="22"/>
          <w:szCs w:val="22"/>
          <w:lang w:val="de-DE"/>
        </w:rPr>
        <w:t>Plaque-Psoriasis</w:t>
      </w:r>
    </w:p>
    <w:p w14:paraId="4DCDC033" w14:textId="77777777" w:rsidR="00FE291A" w:rsidRDefault="00C8738F">
      <w:pPr>
        <w:widowControl/>
        <w:numPr>
          <w:ilvl w:val="0"/>
          <w:numId w:val="50"/>
        </w:numPr>
        <w:tabs>
          <w:tab w:val="clear" w:pos="720"/>
          <w:tab w:val="left" w:pos="567"/>
        </w:tabs>
        <w:autoSpaceDE/>
        <w:autoSpaceDN/>
        <w:adjustRightInd/>
        <w:ind w:left="567" w:hanging="567"/>
        <w:rPr>
          <w:sz w:val="22"/>
          <w:szCs w:val="22"/>
          <w:lang w:val="de-DE"/>
        </w:rPr>
      </w:pPr>
      <w:r>
        <w:rPr>
          <w:sz w:val="22"/>
          <w:szCs w:val="22"/>
          <w:lang w:val="de-DE"/>
        </w:rPr>
        <w:t>Hidradenitis suppurativa (Acne inversa)</w:t>
      </w:r>
    </w:p>
    <w:p w14:paraId="695343FC" w14:textId="77777777" w:rsidR="00FE291A" w:rsidRDefault="00C8738F">
      <w:pPr>
        <w:widowControl/>
        <w:numPr>
          <w:ilvl w:val="0"/>
          <w:numId w:val="50"/>
        </w:numPr>
        <w:tabs>
          <w:tab w:val="clear" w:pos="720"/>
          <w:tab w:val="left" w:pos="567"/>
        </w:tabs>
        <w:autoSpaceDE/>
        <w:autoSpaceDN/>
        <w:adjustRightInd/>
        <w:ind w:left="567" w:hanging="567"/>
        <w:rPr>
          <w:sz w:val="22"/>
          <w:szCs w:val="22"/>
          <w:lang w:val="de-DE"/>
        </w:rPr>
      </w:pPr>
      <w:r>
        <w:rPr>
          <w:sz w:val="22"/>
          <w:szCs w:val="22"/>
          <w:lang w:val="de-DE"/>
        </w:rPr>
        <w:t>Morbus Crohn</w:t>
      </w:r>
    </w:p>
    <w:p w14:paraId="3A64041F" w14:textId="77777777" w:rsidR="00FE291A" w:rsidRDefault="00C8738F">
      <w:pPr>
        <w:widowControl/>
        <w:numPr>
          <w:ilvl w:val="0"/>
          <w:numId w:val="50"/>
        </w:numPr>
        <w:tabs>
          <w:tab w:val="clear" w:pos="720"/>
          <w:tab w:val="left" w:pos="567"/>
        </w:tabs>
        <w:autoSpaceDE/>
        <w:autoSpaceDN/>
        <w:adjustRightInd/>
        <w:ind w:left="567" w:hanging="567"/>
        <w:rPr>
          <w:sz w:val="22"/>
          <w:szCs w:val="22"/>
          <w:lang w:val="de-DE"/>
        </w:rPr>
      </w:pPr>
      <w:r>
        <w:rPr>
          <w:sz w:val="22"/>
          <w:szCs w:val="22"/>
          <w:lang w:val="de-DE"/>
        </w:rPr>
        <w:t xml:space="preserve">Colitis ulcerosa </w:t>
      </w:r>
    </w:p>
    <w:p w14:paraId="29FEF07B" w14:textId="77777777" w:rsidR="00FE291A" w:rsidRDefault="00C8738F">
      <w:pPr>
        <w:widowControl/>
        <w:numPr>
          <w:ilvl w:val="0"/>
          <w:numId w:val="50"/>
        </w:numPr>
        <w:tabs>
          <w:tab w:val="clear" w:pos="720"/>
          <w:tab w:val="left" w:pos="567"/>
        </w:tabs>
        <w:autoSpaceDE/>
        <w:autoSpaceDN/>
        <w:adjustRightInd/>
        <w:ind w:left="567" w:hanging="567"/>
        <w:rPr>
          <w:sz w:val="22"/>
          <w:szCs w:val="22"/>
          <w:lang w:val="de-DE"/>
        </w:rPr>
      </w:pPr>
      <w:r>
        <w:rPr>
          <w:sz w:val="22"/>
          <w:szCs w:val="22"/>
          <w:lang w:val="de-DE"/>
        </w:rPr>
        <w:t>Nicht-infektiöse Uveitis</w:t>
      </w:r>
    </w:p>
    <w:p w14:paraId="345C62A5" w14:textId="77777777" w:rsidR="00FE291A" w:rsidRDefault="00FE291A">
      <w:pPr>
        <w:widowControl/>
        <w:kinsoku w:val="0"/>
        <w:overflowPunct w:val="0"/>
        <w:rPr>
          <w:sz w:val="22"/>
          <w:szCs w:val="22"/>
          <w:lang w:val="de-DE"/>
        </w:rPr>
      </w:pPr>
    </w:p>
    <w:p w14:paraId="5741241D" w14:textId="77777777" w:rsidR="00FE291A" w:rsidRDefault="00C8738F">
      <w:pPr>
        <w:widowControl/>
        <w:kinsoku w:val="0"/>
        <w:overflowPunct w:val="0"/>
        <w:rPr>
          <w:sz w:val="22"/>
          <w:szCs w:val="22"/>
          <w:lang w:val="de-DE"/>
        </w:rPr>
      </w:pPr>
      <w:r>
        <w:rPr>
          <w:sz w:val="22"/>
          <w:szCs w:val="22"/>
          <w:lang w:val="de-DE"/>
        </w:rPr>
        <w:t xml:space="preserve">Der Wirkstoff von AMGEVITA, Adalimumab, ist ein humaner monoklonaler Antikörper. Monoklonale Antikörper sind Eiweiße, die sich an ein bestimmtes Ziel anheften. </w:t>
      </w:r>
    </w:p>
    <w:p w14:paraId="79135402" w14:textId="77777777" w:rsidR="00FE291A" w:rsidRDefault="00FE291A">
      <w:pPr>
        <w:widowControl/>
        <w:kinsoku w:val="0"/>
        <w:overflowPunct w:val="0"/>
        <w:rPr>
          <w:sz w:val="22"/>
          <w:szCs w:val="22"/>
          <w:lang w:val="de-DE"/>
        </w:rPr>
      </w:pPr>
    </w:p>
    <w:p w14:paraId="758ACB02" w14:textId="77777777" w:rsidR="00FE291A" w:rsidRDefault="00C8738F">
      <w:pPr>
        <w:keepLines/>
        <w:widowControl/>
        <w:kinsoku w:val="0"/>
        <w:overflowPunct w:val="0"/>
        <w:rPr>
          <w:sz w:val="22"/>
          <w:szCs w:val="22"/>
          <w:lang w:val="de-DE"/>
        </w:rPr>
      </w:pPr>
      <w:r>
        <w:rPr>
          <w:sz w:val="22"/>
          <w:szCs w:val="22"/>
          <w:lang w:val="de-DE"/>
        </w:rPr>
        <w:t>Das Ziel von Adalimumab ist das Eiweiß Tumornekrosefaktor-alpha (TNFα). TNFα ist beteiligt an Abwehrreaktionen des Körpers. Bei den oben genannten Erkrankungen ist die Menge an TNFα erhöht. AMGEVITA heftet sich an TNFα und verringert dadurch die entzündlichen Vorgänge bei diesen Erkrankungen.</w:t>
      </w:r>
    </w:p>
    <w:p w14:paraId="689AF659" w14:textId="77777777" w:rsidR="00FE291A" w:rsidRDefault="00FE291A">
      <w:pPr>
        <w:widowControl/>
        <w:kinsoku w:val="0"/>
        <w:overflowPunct w:val="0"/>
        <w:rPr>
          <w:sz w:val="22"/>
          <w:szCs w:val="22"/>
          <w:lang w:val="de-DE"/>
        </w:rPr>
      </w:pPr>
    </w:p>
    <w:p w14:paraId="1BE9A075" w14:textId="77777777" w:rsidR="00FE291A" w:rsidRDefault="00C8738F">
      <w:pPr>
        <w:pStyle w:val="BodyText"/>
        <w:keepNext/>
        <w:widowControl/>
        <w:kinsoku w:val="0"/>
        <w:overflowPunct w:val="0"/>
        <w:ind w:left="0"/>
        <w:rPr>
          <w:lang w:val="de-DE"/>
        </w:rPr>
      </w:pPr>
      <w:r>
        <w:rPr>
          <w:u w:val="single"/>
          <w:lang w:val="de-DE"/>
        </w:rPr>
        <w:t>Rheumatoide Arthritis</w:t>
      </w:r>
    </w:p>
    <w:p w14:paraId="6CBD6019" w14:textId="77777777" w:rsidR="00FE291A" w:rsidRDefault="00FE291A">
      <w:pPr>
        <w:keepNext/>
        <w:widowControl/>
        <w:kinsoku w:val="0"/>
        <w:overflowPunct w:val="0"/>
        <w:rPr>
          <w:sz w:val="22"/>
          <w:szCs w:val="22"/>
          <w:lang w:val="de-DE"/>
        </w:rPr>
      </w:pPr>
    </w:p>
    <w:p w14:paraId="381C96BE" w14:textId="77777777" w:rsidR="00FE291A" w:rsidRDefault="00C8738F">
      <w:pPr>
        <w:pStyle w:val="BodyText"/>
        <w:widowControl/>
        <w:kinsoku w:val="0"/>
        <w:overflowPunct w:val="0"/>
        <w:ind w:left="0"/>
        <w:rPr>
          <w:lang w:val="de-DE"/>
        </w:rPr>
      </w:pPr>
      <w:r>
        <w:rPr>
          <w:lang w:val="de-DE"/>
        </w:rPr>
        <w:t>Die rheumatoide Arthritis ist eine entzündliche Erkrankung der Gelenke.</w:t>
      </w:r>
    </w:p>
    <w:p w14:paraId="3BCFD403" w14:textId="77777777" w:rsidR="00FE291A" w:rsidRDefault="00FE291A">
      <w:pPr>
        <w:widowControl/>
        <w:kinsoku w:val="0"/>
        <w:overflowPunct w:val="0"/>
        <w:rPr>
          <w:sz w:val="22"/>
          <w:szCs w:val="22"/>
          <w:lang w:val="de-DE"/>
        </w:rPr>
      </w:pPr>
    </w:p>
    <w:p w14:paraId="2F053A87" w14:textId="77777777" w:rsidR="00FE291A" w:rsidRDefault="00C8738F">
      <w:pPr>
        <w:pStyle w:val="BodyText"/>
        <w:widowControl/>
        <w:kinsoku w:val="0"/>
        <w:overflowPunct w:val="0"/>
        <w:ind w:left="0"/>
        <w:rPr>
          <w:lang w:val="de-DE"/>
        </w:rPr>
      </w:pPr>
      <w:r>
        <w:rPr>
          <w:lang w:val="de-DE"/>
        </w:rPr>
        <w:t>AMGEVITA wird angewendet, um die rheumatoide Arthritis bei Erwachsenen zu behandeln. Wenn Sie eine mäßige bis schwere aktive rheumatoide Arthritis haben, werden Ihnen möglicherweise zunächst andere Arzneimittel (Basistherapeutika wie Methotrexat) verabreicht. Wenn Sie nicht ausreichend auf diese Arzneimittel ansprechen, erhalten Sie AMGEVITA, um Ihre rheumatoide Arthritis zu behandeln.</w:t>
      </w:r>
    </w:p>
    <w:p w14:paraId="76A312CC" w14:textId="77777777" w:rsidR="00FE291A" w:rsidRDefault="00FE291A">
      <w:pPr>
        <w:pStyle w:val="BodyText"/>
        <w:widowControl/>
        <w:kinsoku w:val="0"/>
        <w:overflowPunct w:val="0"/>
        <w:ind w:left="0"/>
        <w:rPr>
          <w:lang w:val="de-DE"/>
        </w:rPr>
      </w:pPr>
    </w:p>
    <w:p w14:paraId="6915206E" w14:textId="77777777" w:rsidR="00FE291A" w:rsidRDefault="00C8738F">
      <w:pPr>
        <w:pStyle w:val="BodyText"/>
        <w:widowControl/>
        <w:kinsoku w:val="0"/>
        <w:overflowPunct w:val="0"/>
        <w:ind w:left="0"/>
        <w:rPr>
          <w:lang w:val="de-DE"/>
        </w:rPr>
      </w:pPr>
      <w:r>
        <w:rPr>
          <w:lang w:val="de-DE"/>
        </w:rPr>
        <w:t>AMGEVITA kann auch zur Behandlung einer schweren aktiven und fortschreitenden (progressiven) rheumatoiden Arthritis ohne vorherige Methotrexat-Behandlung eingesetzt werden.</w:t>
      </w:r>
    </w:p>
    <w:p w14:paraId="6A8A13C5" w14:textId="77777777" w:rsidR="00FE291A" w:rsidRDefault="00FE291A">
      <w:pPr>
        <w:widowControl/>
        <w:kinsoku w:val="0"/>
        <w:overflowPunct w:val="0"/>
        <w:rPr>
          <w:sz w:val="22"/>
          <w:szCs w:val="22"/>
          <w:lang w:val="de-DE"/>
        </w:rPr>
      </w:pPr>
    </w:p>
    <w:p w14:paraId="4E25576A" w14:textId="77777777" w:rsidR="00FE291A" w:rsidRDefault="00C8738F">
      <w:pPr>
        <w:pStyle w:val="BodyText"/>
        <w:widowControl/>
        <w:kinsoku w:val="0"/>
        <w:overflowPunct w:val="0"/>
        <w:ind w:left="0"/>
        <w:rPr>
          <w:lang w:val="de-DE"/>
        </w:rPr>
      </w:pPr>
      <w:r>
        <w:rPr>
          <w:lang w:val="de-DE"/>
        </w:rPr>
        <w:t>AMGEVITA verlangsamt das Fortschreiten der durch die Erkrankung verursachten Knorpel- und Knochenschädigungen der Gelenke. AMGEVITA verbessert die körperliche Funktionsfähigkeit.</w:t>
      </w:r>
    </w:p>
    <w:p w14:paraId="0997581A" w14:textId="77777777" w:rsidR="00FE291A" w:rsidRDefault="00FE291A">
      <w:pPr>
        <w:widowControl/>
        <w:kinsoku w:val="0"/>
        <w:overflowPunct w:val="0"/>
        <w:rPr>
          <w:sz w:val="22"/>
          <w:szCs w:val="22"/>
          <w:lang w:val="de-DE"/>
        </w:rPr>
      </w:pPr>
    </w:p>
    <w:p w14:paraId="0E1B81B7" w14:textId="77777777" w:rsidR="00FE291A" w:rsidRDefault="00C8738F">
      <w:pPr>
        <w:pStyle w:val="BodyText"/>
        <w:widowControl/>
        <w:kinsoku w:val="0"/>
        <w:overflowPunct w:val="0"/>
        <w:ind w:left="0"/>
        <w:rPr>
          <w:lang w:val="de-DE"/>
        </w:rPr>
      </w:pPr>
      <w:r>
        <w:rPr>
          <w:lang w:val="de-DE"/>
        </w:rPr>
        <w:t>AMGEVITA wird üblicherweise mit Methotrexat verwendet. Sollte Ihr Arzt die Gabe von Methotrexat als nicht geeignet erachten, kann AMGEVITA auch alleine angewendet werden.</w:t>
      </w:r>
    </w:p>
    <w:p w14:paraId="504BF9A9" w14:textId="77777777" w:rsidR="00FE291A" w:rsidRDefault="00FE291A">
      <w:pPr>
        <w:widowControl/>
        <w:kinsoku w:val="0"/>
        <w:overflowPunct w:val="0"/>
        <w:rPr>
          <w:sz w:val="22"/>
          <w:szCs w:val="22"/>
          <w:lang w:val="de-DE"/>
        </w:rPr>
      </w:pPr>
    </w:p>
    <w:p w14:paraId="0DB59A5F" w14:textId="77777777" w:rsidR="00FE291A" w:rsidRDefault="00C8738F">
      <w:pPr>
        <w:pStyle w:val="BodyText"/>
        <w:widowControl/>
        <w:kinsoku w:val="0"/>
        <w:overflowPunct w:val="0"/>
        <w:ind w:left="0"/>
        <w:rPr>
          <w:lang w:val="de-DE"/>
        </w:rPr>
      </w:pPr>
      <w:r>
        <w:rPr>
          <w:u w:val="single"/>
          <w:lang w:val="de-DE"/>
        </w:rPr>
        <w:t>Polyartikuläre juvenile idiopathische Arthritis und Enthesitis-assoziierte Arthritis</w:t>
      </w:r>
    </w:p>
    <w:p w14:paraId="0AEFD70D" w14:textId="77777777" w:rsidR="00FE291A" w:rsidRDefault="00FE291A">
      <w:pPr>
        <w:widowControl/>
        <w:kinsoku w:val="0"/>
        <w:overflowPunct w:val="0"/>
        <w:rPr>
          <w:sz w:val="22"/>
          <w:szCs w:val="22"/>
          <w:lang w:val="de-DE"/>
        </w:rPr>
      </w:pPr>
    </w:p>
    <w:p w14:paraId="2E19CB77" w14:textId="77777777" w:rsidR="00FE291A" w:rsidRDefault="00C8738F">
      <w:pPr>
        <w:pStyle w:val="BodyText"/>
        <w:widowControl/>
        <w:kinsoku w:val="0"/>
        <w:overflowPunct w:val="0"/>
        <w:ind w:left="0"/>
        <w:rPr>
          <w:lang w:val="de-DE"/>
        </w:rPr>
      </w:pPr>
      <w:r>
        <w:rPr>
          <w:lang w:val="de-DE"/>
        </w:rPr>
        <w:t>Die polyartikuläre juvenile idiopathische Arthritis und die Enthesitis-assoziierte Arthritis sind entzündliche Erkrankungen der Gelenke, die üblicherweise das erste Mal in der Kindheit auftreten.</w:t>
      </w:r>
    </w:p>
    <w:p w14:paraId="2E9F617C" w14:textId="77777777" w:rsidR="00FE291A" w:rsidRDefault="00FE291A">
      <w:pPr>
        <w:widowControl/>
        <w:kinsoku w:val="0"/>
        <w:overflowPunct w:val="0"/>
        <w:rPr>
          <w:sz w:val="22"/>
          <w:szCs w:val="22"/>
          <w:lang w:val="de-DE"/>
        </w:rPr>
      </w:pPr>
    </w:p>
    <w:p w14:paraId="336B8FF0" w14:textId="77777777" w:rsidR="00FE291A" w:rsidRDefault="00C8738F">
      <w:pPr>
        <w:pStyle w:val="BodyText"/>
        <w:widowControl/>
        <w:kinsoku w:val="0"/>
        <w:overflowPunct w:val="0"/>
        <w:ind w:left="0"/>
        <w:rPr>
          <w:lang w:val="de-DE"/>
        </w:rPr>
      </w:pPr>
      <w:r>
        <w:rPr>
          <w:lang w:val="de-DE"/>
        </w:rPr>
        <w:t>AMGEVITA wird angewendet, um die polyartikuläre idiopathische Arthritis bei Patienten ab 2 Jahren bzw. die Enthesitis-assoziierte Arthritis bei Patienten ab 6 Jahren zu behandeln. Es werden Ihnen möglicherweise zunächst andere Arzneimittel (Basistherapeutika wie Methotrexat) verabreicht. Wenn Sie nicht ausreichend auf diese Arzneimittel ansprechen, erhalten Sie AMGEVITA, um Ihre polyartikuläre juvenile idiopathische Arthritis oder Enthesitis-assoziierte Arthritis zu behandeln.</w:t>
      </w:r>
    </w:p>
    <w:p w14:paraId="407DC560" w14:textId="77777777" w:rsidR="00FE291A" w:rsidRDefault="00FE291A">
      <w:pPr>
        <w:widowControl/>
        <w:kinsoku w:val="0"/>
        <w:overflowPunct w:val="0"/>
        <w:rPr>
          <w:sz w:val="22"/>
          <w:szCs w:val="22"/>
          <w:lang w:val="de-DE"/>
        </w:rPr>
      </w:pPr>
    </w:p>
    <w:p w14:paraId="3409CFE3" w14:textId="77777777" w:rsidR="00FE291A" w:rsidRDefault="00C8738F">
      <w:pPr>
        <w:pStyle w:val="BodyText"/>
        <w:keepNext/>
        <w:widowControl/>
        <w:kinsoku w:val="0"/>
        <w:overflowPunct w:val="0"/>
        <w:ind w:left="0"/>
        <w:rPr>
          <w:lang w:val="de-DE"/>
        </w:rPr>
      </w:pPr>
      <w:r>
        <w:rPr>
          <w:u w:val="single"/>
          <w:lang w:val="de-DE"/>
        </w:rPr>
        <w:t>Ankylosierende Spondylitis und axiale Spondyloarthritis, bei der im Röntgenbild noch keine</w:t>
      </w:r>
      <w:r>
        <w:rPr>
          <w:lang w:val="de-DE"/>
        </w:rPr>
        <w:t xml:space="preserve"> </w:t>
      </w:r>
      <w:r>
        <w:rPr>
          <w:u w:val="single"/>
          <w:lang w:val="de-DE"/>
        </w:rPr>
        <w:t>Verknöcherung nachweisbar ist</w:t>
      </w:r>
    </w:p>
    <w:p w14:paraId="77791366" w14:textId="77777777" w:rsidR="00FE291A" w:rsidRDefault="00FE291A">
      <w:pPr>
        <w:keepNext/>
        <w:widowControl/>
        <w:kinsoku w:val="0"/>
        <w:overflowPunct w:val="0"/>
        <w:rPr>
          <w:sz w:val="22"/>
          <w:szCs w:val="22"/>
          <w:lang w:val="de-DE"/>
        </w:rPr>
      </w:pPr>
    </w:p>
    <w:p w14:paraId="7AEA2B62" w14:textId="77777777" w:rsidR="00FE291A" w:rsidRDefault="00C8738F">
      <w:pPr>
        <w:pStyle w:val="BodyText"/>
        <w:widowControl/>
        <w:kinsoku w:val="0"/>
        <w:overflowPunct w:val="0"/>
        <w:ind w:left="0"/>
        <w:rPr>
          <w:lang w:val="de-DE"/>
        </w:rPr>
      </w:pPr>
      <w:r>
        <w:rPr>
          <w:lang w:val="de-DE"/>
        </w:rPr>
        <w:t>Die ankylosierende Spondylitis und axiale Spondyloarthritis, bei der im Röntgenbild noch keine Verknöcherung nachweisbar ist, sind entzündliche Erkrankungen der Wirbelsäule.</w:t>
      </w:r>
    </w:p>
    <w:p w14:paraId="048F4E35" w14:textId="77777777" w:rsidR="00FE291A" w:rsidRDefault="00FE291A">
      <w:pPr>
        <w:widowControl/>
        <w:kinsoku w:val="0"/>
        <w:overflowPunct w:val="0"/>
        <w:rPr>
          <w:sz w:val="22"/>
          <w:szCs w:val="22"/>
          <w:lang w:val="de-DE"/>
        </w:rPr>
      </w:pPr>
    </w:p>
    <w:p w14:paraId="08B8079F" w14:textId="77777777" w:rsidR="00FE291A" w:rsidRDefault="00C8738F">
      <w:pPr>
        <w:pStyle w:val="BodyText"/>
        <w:widowControl/>
        <w:kinsoku w:val="0"/>
        <w:overflowPunct w:val="0"/>
        <w:ind w:left="0"/>
        <w:rPr>
          <w:lang w:val="de-DE"/>
        </w:rPr>
      </w:pPr>
      <w:r>
        <w:rPr>
          <w:lang w:val="de-DE"/>
        </w:rPr>
        <w:t>AMGEVITA wird angewendet, um die ankylosierende Spondylitis und axiale Spondyloarthritis, bei der im Röntgenbild noch keine Verknöcherung nachweisbar ist, bei Erwachsenen zu behandeln. Wenn Sie eine ankylosierende Spondylitis oder axiale Spondyloarthritis, bei der im Röntgenbild noch keine Verknöcherung nachweisbar ist, haben, werden Sie zunächst mit anderen Arzneimitteln behandelt. Wenn Sie nicht ausreichend auf diese Arzneimittel ansprechen, erhalten Sie AMGEVITA, um die Anzeichen und Beschwerden Ihrer Erkrankung zu vermindern.</w:t>
      </w:r>
    </w:p>
    <w:p w14:paraId="1709135D" w14:textId="77777777" w:rsidR="00FE291A" w:rsidRDefault="00FE291A">
      <w:pPr>
        <w:widowControl/>
        <w:kinsoku w:val="0"/>
        <w:overflowPunct w:val="0"/>
        <w:rPr>
          <w:sz w:val="22"/>
          <w:szCs w:val="22"/>
          <w:lang w:val="de-DE"/>
        </w:rPr>
      </w:pPr>
    </w:p>
    <w:p w14:paraId="52389DE4" w14:textId="77777777" w:rsidR="00FE291A" w:rsidRDefault="00C8738F">
      <w:pPr>
        <w:pStyle w:val="BodyText"/>
        <w:keepNext/>
        <w:widowControl/>
        <w:kinsoku w:val="0"/>
        <w:overflowPunct w:val="0"/>
        <w:ind w:left="0"/>
        <w:rPr>
          <w:lang w:val="de-DE"/>
        </w:rPr>
      </w:pPr>
      <w:r>
        <w:rPr>
          <w:u w:val="single"/>
          <w:lang w:val="de-DE"/>
        </w:rPr>
        <w:t>Psoriasis-Arthritis</w:t>
      </w:r>
    </w:p>
    <w:p w14:paraId="610E1C20" w14:textId="77777777" w:rsidR="00FE291A" w:rsidRDefault="00FE291A">
      <w:pPr>
        <w:keepNext/>
        <w:widowControl/>
        <w:kinsoku w:val="0"/>
        <w:overflowPunct w:val="0"/>
        <w:rPr>
          <w:sz w:val="22"/>
          <w:szCs w:val="22"/>
          <w:lang w:val="de-DE"/>
        </w:rPr>
      </w:pPr>
    </w:p>
    <w:p w14:paraId="7559F1D5" w14:textId="77777777" w:rsidR="00FE291A" w:rsidRDefault="00C8738F">
      <w:pPr>
        <w:pStyle w:val="BodyText"/>
        <w:widowControl/>
        <w:kinsoku w:val="0"/>
        <w:overflowPunct w:val="0"/>
        <w:ind w:left="0"/>
        <w:rPr>
          <w:lang w:val="de-DE"/>
        </w:rPr>
      </w:pPr>
      <w:r>
        <w:rPr>
          <w:lang w:val="de-DE"/>
        </w:rPr>
        <w:t>Die Psoriasis-Arthritis ist eine Entzündung der Gelenke, die in Verbindung mit Schuppenflechte (Psoriasis) auftritt.</w:t>
      </w:r>
    </w:p>
    <w:p w14:paraId="169F5C09" w14:textId="77777777" w:rsidR="00FE291A" w:rsidRDefault="00FE291A">
      <w:pPr>
        <w:widowControl/>
        <w:kinsoku w:val="0"/>
        <w:overflowPunct w:val="0"/>
        <w:rPr>
          <w:sz w:val="22"/>
          <w:szCs w:val="22"/>
          <w:lang w:val="de-DE"/>
        </w:rPr>
      </w:pPr>
    </w:p>
    <w:p w14:paraId="7A9A8F38" w14:textId="77777777" w:rsidR="00FE291A" w:rsidRDefault="00C8738F">
      <w:pPr>
        <w:pStyle w:val="BodyText"/>
        <w:widowControl/>
        <w:kinsoku w:val="0"/>
        <w:overflowPunct w:val="0"/>
        <w:ind w:left="0"/>
        <w:rPr>
          <w:lang w:val="de-DE"/>
        </w:rPr>
      </w:pPr>
      <w:r>
        <w:rPr>
          <w:lang w:val="de-DE"/>
        </w:rPr>
        <w:t>AMGEVITA wird angewendet, um die Psoriasis-Arthritis bei Erwachsenen zu behandeln. AMGEVITA verlangsamt das Fortschreiten der durch die Erkrankung verursachten Knorpel- und Knochenschädigungen der Gelenke. AMGEVITA verbessert die körperliche Funktionsfähigkeit.</w:t>
      </w:r>
    </w:p>
    <w:p w14:paraId="16756244" w14:textId="77777777" w:rsidR="00FE291A" w:rsidRDefault="00FE291A">
      <w:pPr>
        <w:widowControl/>
        <w:kinsoku w:val="0"/>
        <w:overflowPunct w:val="0"/>
        <w:rPr>
          <w:sz w:val="22"/>
          <w:szCs w:val="22"/>
          <w:lang w:val="de-DE"/>
        </w:rPr>
      </w:pPr>
    </w:p>
    <w:p w14:paraId="30477530" w14:textId="77777777" w:rsidR="00FE291A" w:rsidRDefault="00C8738F">
      <w:pPr>
        <w:pStyle w:val="BodyText"/>
        <w:keepNext/>
        <w:widowControl/>
        <w:kinsoku w:val="0"/>
        <w:overflowPunct w:val="0"/>
        <w:ind w:left="0"/>
        <w:rPr>
          <w:lang w:val="de-DE"/>
        </w:rPr>
      </w:pPr>
      <w:r>
        <w:rPr>
          <w:u w:val="single"/>
          <w:lang w:val="de-DE"/>
        </w:rPr>
        <w:t>Plaque-Psoriasis bei Erwachsenen, Kindern und Jugendlichen</w:t>
      </w:r>
    </w:p>
    <w:p w14:paraId="40678BE7" w14:textId="77777777" w:rsidR="00FE291A" w:rsidRDefault="00FE291A">
      <w:pPr>
        <w:keepNext/>
        <w:widowControl/>
        <w:kinsoku w:val="0"/>
        <w:overflowPunct w:val="0"/>
        <w:rPr>
          <w:sz w:val="22"/>
          <w:szCs w:val="22"/>
          <w:lang w:val="de-DE"/>
        </w:rPr>
      </w:pPr>
    </w:p>
    <w:p w14:paraId="5F6EF21C" w14:textId="77777777" w:rsidR="00FE291A" w:rsidRDefault="00C8738F">
      <w:pPr>
        <w:pStyle w:val="BodyText"/>
        <w:widowControl/>
        <w:kinsoku w:val="0"/>
        <w:overflowPunct w:val="0"/>
        <w:ind w:left="0"/>
        <w:rPr>
          <w:lang w:val="de-DE"/>
        </w:rPr>
      </w:pPr>
      <w:r>
        <w:rPr>
          <w:lang w:val="de-DE"/>
        </w:rPr>
        <w:t>Plaque-Psoriasis (Schuppenflechte mit klar abgegrenzten Hautstellen) ist ein Hautzustand, der rote, schuppige, verkrustete Stellen auf der Haut verursacht, die mit silbrigen Schuppen bedeckt sind. Plaque</w:t>
      </w:r>
      <w:r>
        <w:rPr>
          <w:lang w:val="de-DE"/>
        </w:rPr>
        <w:noBreakHyphen/>
        <w:t>Psoriasis kann auch die Nägel befallen, sodass diese spröde werden, sich verdicken und sich vom Nagelbett abheben, was schmerzhaft sein kann. Es wird angenommen, dass die Schuppenflechte durch ein Problem mit dem körpereigenen Abwehrsystem verursacht wird. Dadurch kommt es zu einer vermehrten Produktion von Hautzellen.</w:t>
      </w:r>
    </w:p>
    <w:p w14:paraId="3E4B0A2B" w14:textId="77777777" w:rsidR="00FE291A" w:rsidRDefault="00FE291A">
      <w:pPr>
        <w:widowControl/>
        <w:kinsoku w:val="0"/>
        <w:overflowPunct w:val="0"/>
        <w:rPr>
          <w:sz w:val="22"/>
          <w:szCs w:val="22"/>
          <w:lang w:val="de-DE"/>
        </w:rPr>
      </w:pPr>
    </w:p>
    <w:p w14:paraId="5FD1DFF9" w14:textId="77777777" w:rsidR="00FE291A" w:rsidRDefault="00C8738F">
      <w:pPr>
        <w:pStyle w:val="BodyText"/>
        <w:widowControl/>
        <w:kinsoku w:val="0"/>
        <w:overflowPunct w:val="0"/>
        <w:ind w:left="0"/>
        <w:rPr>
          <w:lang w:val="de-DE"/>
        </w:rPr>
      </w:pPr>
      <w:r>
        <w:rPr>
          <w:lang w:val="de-DE"/>
        </w:rPr>
        <w:t>AMGEVITA wird angewendet, um die mittelschwere bis schwere Plaque-Psoriasis bei Erwachsenen zu behandeln. AMGEVITA wird auch angewendet, um schwere Plaque-Psoriasis bei Kindern und Jugendlichen zwischen 4 und 17 Jahren zu behandeln, bei denen eine äußerliche, örtliche Behandlung und Behandlungen mit Licht (Phototherapien) nicht sehr gut gewirkt haben oder nicht geeignet sind.</w:t>
      </w:r>
    </w:p>
    <w:p w14:paraId="118A30D2" w14:textId="77777777" w:rsidR="00FE291A" w:rsidRDefault="00FE291A">
      <w:pPr>
        <w:pStyle w:val="BodyText"/>
        <w:widowControl/>
        <w:kinsoku w:val="0"/>
        <w:overflowPunct w:val="0"/>
        <w:ind w:left="0"/>
        <w:rPr>
          <w:lang w:val="de-DE"/>
        </w:rPr>
      </w:pPr>
    </w:p>
    <w:p w14:paraId="7D7FA833" w14:textId="77777777" w:rsidR="00FE291A" w:rsidRDefault="00C8738F">
      <w:pPr>
        <w:pStyle w:val="BodyText"/>
        <w:widowControl/>
        <w:kinsoku w:val="0"/>
        <w:overflowPunct w:val="0"/>
        <w:ind w:left="0"/>
        <w:rPr>
          <w:lang w:val="de-DE"/>
        </w:rPr>
      </w:pPr>
      <w:r>
        <w:rPr>
          <w:u w:val="single"/>
          <w:lang w:val="de-DE"/>
        </w:rPr>
        <w:t>Hidradenitis suppurativa (Acne inversa) bei Erwachsenen und Jugendlichen</w:t>
      </w:r>
    </w:p>
    <w:p w14:paraId="2564AA69" w14:textId="77777777" w:rsidR="00FE291A" w:rsidRDefault="00FE291A">
      <w:pPr>
        <w:widowControl/>
        <w:kinsoku w:val="0"/>
        <w:overflowPunct w:val="0"/>
        <w:rPr>
          <w:sz w:val="22"/>
          <w:szCs w:val="22"/>
          <w:lang w:val="de-DE"/>
        </w:rPr>
      </w:pPr>
    </w:p>
    <w:p w14:paraId="21EA379E" w14:textId="77777777" w:rsidR="00FE291A" w:rsidRDefault="00C8738F">
      <w:pPr>
        <w:pStyle w:val="BodyText"/>
        <w:widowControl/>
        <w:kinsoku w:val="0"/>
        <w:overflowPunct w:val="0"/>
        <w:ind w:left="0"/>
        <w:rPr>
          <w:lang w:val="de-DE"/>
        </w:rPr>
      </w:pPr>
      <w:r>
        <w:rPr>
          <w:lang w:val="de-DE"/>
        </w:rPr>
        <w:t>Hidradenitis suppurativa (auch Acne inversa genannt) ist eine chronische und oft schmerzhafte entzündliche Hauterkrankung. Zu den Beschwerden gehören unter anderem druckempfindliche Knötchen und Eiteransammlungen (Abszesse), aus denen Eiter austreten kann. Am häufigsten sind bestimmte Bereiche der Haut betroffen, wie z. B. unter den Brüsten, unter den Achseln, an den Innenseiten der Oberschenkel, in der Leistengegend und am Gesäß. An den betroffenen Stellen kann es auch zu Vernarbungen kommen.</w:t>
      </w:r>
    </w:p>
    <w:p w14:paraId="31646817" w14:textId="77777777" w:rsidR="00FE291A" w:rsidRDefault="00FE291A">
      <w:pPr>
        <w:widowControl/>
        <w:kinsoku w:val="0"/>
        <w:overflowPunct w:val="0"/>
        <w:rPr>
          <w:sz w:val="22"/>
          <w:szCs w:val="22"/>
          <w:lang w:val="de-DE"/>
        </w:rPr>
      </w:pPr>
    </w:p>
    <w:p w14:paraId="73F9FCF7" w14:textId="77777777" w:rsidR="00FE291A" w:rsidRDefault="00C8738F">
      <w:pPr>
        <w:pStyle w:val="BodyText"/>
        <w:widowControl/>
        <w:kinsoku w:val="0"/>
        <w:overflowPunct w:val="0"/>
        <w:ind w:left="0"/>
        <w:rPr>
          <w:lang w:val="de-DE"/>
        </w:rPr>
      </w:pPr>
      <w:r>
        <w:rPr>
          <w:lang w:val="de-DE"/>
        </w:rPr>
        <w:t>AMGEVITA wird zur Behandlung der Hidradenitis suppurativa bei Erwachsenen und Jugendlichen ab einem Alter von 12 Jahren angewendet. AMGEVITA kann die Anzahl Ihrer Knötchen und Eiteransammlungen verringern und kann die Schmerzen, die oft mit dieser Erkrankung einhergehen, lindern. Möglicherweise bekommen Sie zunächst andere Arzneimittel.</w:t>
      </w:r>
      <w:r>
        <w:rPr>
          <w:lang w:val="de-DE" w:eastAsia="de-DE"/>
        </w:rPr>
        <w:t xml:space="preserve"> Wenn Sie nicht ausreichend auf diese Arzneimittel ansprechen, erhalten Sie AMGEVITA.</w:t>
      </w:r>
    </w:p>
    <w:p w14:paraId="586A7BED" w14:textId="77777777" w:rsidR="00FE291A" w:rsidRDefault="00FE291A">
      <w:pPr>
        <w:widowControl/>
        <w:kinsoku w:val="0"/>
        <w:overflowPunct w:val="0"/>
        <w:rPr>
          <w:sz w:val="22"/>
          <w:szCs w:val="22"/>
          <w:lang w:val="de-DE"/>
        </w:rPr>
      </w:pPr>
    </w:p>
    <w:p w14:paraId="08211808" w14:textId="77777777" w:rsidR="00FE291A" w:rsidRDefault="00C8738F">
      <w:pPr>
        <w:pStyle w:val="BodyText"/>
        <w:widowControl/>
        <w:kinsoku w:val="0"/>
        <w:overflowPunct w:val="0"/>
        <w:ind w:left="0"/>
        <w:rPr>
          <w:lang w:val="de-DE"/>
        </w:rPr>
      </w:pPr>
      <w:r>
        <w:rPr>
          <w:u w:val="single"/>
          <w:lang w:val="de-DE"/>
        </w:rPr>
        <w:t>Morbus Crohn bei Erwachsenen, Kindern und Jugendlichen</w:t>
      </w:r>
    </w:p>
    <w:p w14:paraId="78A391B7" w14:textId="77777777" w:rsidR="00FE291A" w:rsidRDefault="00FE291A">
      <w:pPr>
        <w:widowControl/>
        <w:kinsoku w:val="0"/>
        <w:overflowPunct w:val="0"/>
        <w:rPr>
          <w:sz w:val="22"/>
          <w:szCs w:val="22"/>
          <w:lang w:val="de-DE"/>
        </w:rPr>
      </w:pPr>
    </w:p>
    <w:p w14:paraId="361A1D21" w14:textId="77777777" w:rsidR="00FE291A" w:rsidRDefault="00C8738F">
      <w:pPr>
        <w:pStyle w:val="BodyText"/>
        <w:widowControl/>
        <w:kinsoku w:val="0"/>
        <w:overflowPunct w:val="0"/>
        <w:ind w:left="0"/>
        <w:rPr>
          <w:lang w:val="de-DE"/>
        </w:rPr>
      </w:pPr>
      <w:r>
        <w:rPr>
          <w:lang w:val="de-DE"/>
        </w:rPr>
        <w:t>Morbus Crohn ist eine entzündliche Erkrankung des Verdauungstraktes.</w:t>
      </w:r>
    </w:p>
    <w:p w14:paraId="22DC5A60" w14:textId="77777777" w:rsidR="00FE291A" w:rsidRDefault="00FE291A">
      <w:pPr>
        <w:widowControl/>
        <w:kinsoku w:val="0"/>
        <w:overflowPunct w:val="0"/>
        <w:rPr>
          <w:sz w:val="22"/>
          <w:szCs w:val="22"/>
          <w:lang w:val="de-DE"/>
        </w:rPr>
      </w:pPr>
    </w:p>
    <w:p w14:paraId="7A83D11D" w14:textId="77777777" w:rsidR="00FE291A" w:rsidRDefault="00C8738F">
      <w:pPr>
        <w:pStyle w:val="BodyText"/>
        <w:widowControl/>
        <w:kinsoku w:val="0"/>
        <w:overflowPunct w:val="0"/>
        <w:ind w:left="0"/>
        <w:rPr>
          <w:lang w:val="de-DE"/>
        </w:rPr>
      </w:pPr>
      <w:r>
        <w:rPr>
          <w:lang w:val="de-DE"/>
        </w:rPr>
        <w:t>AMGEVITA wird angewendet zur Behandlung von Morbus Crohn bei Erwachsenen, Kindern und Jugendlichen zwischen 6 und 17 Jahren. Wenn Sie an Morbus Crohn erkrankt sind, werden Sie zunächst mit anderen Arzneimitteln behandelt. Wenn Sie nicht ausreichend auf diese Arzneimittel ansprechen, erhalten Sie AMGEVITA, um die Anzeichen und Beschwerden von Morbus Crohn zu vermindern.</w:t>
      </w:r>
    </w:p>
    <w:p w14:paraId="2DFA473D" w14:textId="77777777" w:rsidR="00FE291A" w:rsidRDefault="00FE291A">
      <w:pPr>
        <w:widowControl/>
        <w:kinsoku w:val="0"/>
        <w:overflowPunct w:val="0"/>
        <w:rPr>
          <w:sz w:val="22"/>
          <w:szCs w:val="22"/>
          <w:lang w:val="de-DE"/>
        </w:rPr>
      </w:pPr>
    </w:p>
    <w:p w14:paraId="758BB2D1" w14:textId="77777777" w:rsidR="00FE291A" w:rsidRDefault="00C8738F">
      <w:pPr>
        <w:pStyle w:val="BodyText"/>
        <w:keepNext/>
        <w:widowControl/>
        <w:kinsoku w:val="0"/>
        <w:overflowPunct w:val="0"/>
        <w:ind w:left="0"/>
        <w:rPr>
          <w:lang w:val="de-DE"/>
        </w:rPr>
      </w:pPr>
      <w:r>
        <w:rPr>
          <w:u w:val="single"/>
          <w:lang w:val="de-DE"/>
        </w:rPr>
        <w:t>Colitis ulcerosa bei Erwachsenen, Kindern und Jugendlichen</w:t>
      </w:r>
    </w:p>
    <w:p w14:paraId="0B57FCF5" w14:textId="77777777" w:rsidR="00FE291A" w:rsidRDefault="00FE291A">
      <w:pPr>
        <w:widowControl/>
        <w:kinsoku w:val="0"/>
        <w:overflowPunct w:val="0"/>
        <w:rPr>
          <w:sz w:val="22"/>
          <w:szCs w:val="22"/>
          <w:lang w:val="de-DE"/>
        </w:rPr>
      </w:pPr>
    </w:p>
    <w:p w14:paraId="498FEE63" w14:textId="77777777" w:rsidR="00FE291A" w:rsidRDefault="00C8738F">
      <w:pPr>
        <w:pStyle w:val="BodyText"/>
        <w:widowControl/>
        <w:kinsoku w:val="0"/>
        <w:overflowPunct w:val="0"/>
        <w:ind w:left="0"/>
        <w:rPr>
          <w:lang w:val="de-DE"/>
        </w:rPr>
      </w:pPr>
      <w:r>
        <w:rPr>
          <w:lang w:val="de-DE"/>
        </w:rPr>
        <w:t>Colitis ulcerosa ist eine entzündliche Erkrankung des Dickdarms.</w:t>
      </w:r>
    </w:p>
    <w:p w14:paraId="31B92C53" w14:textId="77777777" w:rsidR="00FE291A" w:rsidRDefault="00FE291A">
      <w:pPr>
        <w:widowControl/>
        <w:kinsoku w:val="0"/>
        <w:overflowPunct w:val="0"/>
        <w:rPr>
          <w:sz w:val="22"/>
          <w:lang w:val="de-DE"/>
        </w:rPr>
      </w:pPr>
    </w:p>
    <w:p w14:paraId="27E63642" w14:textId="77777777" w:rsidR="00FE291A" w:rsidRDefault="00C8738F">
      <w:pPr>
        <w:pStyle w:val="BodyText"/>
        <w:widowControl/>
        <w:kinsoku w:val="0"/>
        <w:overflowPunct w:val="0"/>
        <w:ind w:left="0"/>
        <w:rPr>
          <w:lang w:val="de-DE"/>
        </w:rPr>
      </w:pPr>
      <w:r>
        <w:rPr>
          <w:lang w:val="de-DE"/>
        </w:rPr>
        <w:t>AMGEVITA wird angewendet, um mittelschwere bis schwere Colitis ulcerosa bei Erwachsenen und bei Kindern und Jugendlichen zwischen 6 und 17 Jahren zu behandeln. Wenn Sie an Colitis ulcerosa erkrankt sind, erhalten Sie möglicherweise zuerst andere Arzneimittel. Wenn Sie nicht ausreichend auf diese Arzneimittel ansprechen, erhalten Sie AMGEVITA, um die Anzeichen und Beschwerden Ihrer Erkrankung zu vermindern.</w:t>
      </w:r>
    </w:p>
    <w:p w14:paraId="45BC4E1B" w14:textId="77777777" w:rsidR="00FE291A" w:rsidRDefault="00FE291A">
      <w:pPr>
        <w:widowControl/>
        <w:kinsoku w:val="0"/>
        <w:overflowPunct w:val="0"/>
        <w:rPr>
          <w:sz w:val="22"/>
          <w:szCs w:val="22"/>
          <w:lang w:val="de-DE"/>
        </w:rPr>
      </w:pPr>
    </w:p>
    <w:p w14:paraId="640D2A43" w14:textId="77777777" w:rsidR="00FE291A" w:rsidRDefault="00C8738F">
      <w:pPr>
        <w:pStyle w:val="BodyText"/>
        <w:widowControl/>
        <w:kinsoku w:val="0"/>
        <w:overflowPunct w:val="0"/>
        <w:ind w:left="0"/>
        <w:rPr>
          <w:lang w:val="de-DE"/>
        </w:rPr>
      </w:pPr>
      <w:r>
        <w:rPr>
          <w:u w:val="single"/>
          <w:lang w:val="de-DE"/>
        </w:rPr>
        <w:t>Nicht infektiöse Uveitis bei Erwachsenen, Kindern und Jugendlichen</w:t>
      </w:r>
    </w:p>
    <w:p w14:paraId="681B3EFA" w14:textId="77777777" w:rsidR="00FE291A" w:rsidRDefault="00FE291A">
      <w:pPr>
        <w:widowControl/>
        <w:kinsoku w:val="0"/>
        <w:overflowPunct w:val="0"/>
        <w:rPr>
          <w:sz w:val="22"/>
          <w:szCs w:val="22"/>
          <w:lang w:val="de-DE"/>
        </w:rPr>
      </w:pPr>
    </w:p>
    <w:p w14:paraId="784BF993" w14:textId="77777777" w:rsidR="00FE291A" w:rsidRDefault="00C8738F">
      <w:pPr>
        <w:pStyle w:val="BodyText"/>
        <w:widowControl/>
        <w:kinsoku w:val="0"/>
        <w:overflowPunct w:val="0"/>
        <w:ind w:left="0"/>
        <w:rPr>
          <w:lang w:val="de-DE"/>
        </w:rPr>
      </w:pPr>
      <w:r>
        <w:rPr>
          <w:lang w:val="de-DE"/>
        </w:rPr>
        <w:t xml:space="preserve">Die nicht infektiöse Uveitis ist eine entzündliche Erkrankung, die bestimmte Teile des Auges betrifft. </w:t>
      </w:r>
    </w:p>
    <w:p w14:paraId="15B266CE" w14:textId="77777777" w:rsidR="00FE291A" w:rsidRDefault="00FE291A">
      <w:pPr>
        <w:pStyle w:val="BodyText"/>
        <w:widowControl/>
        <w:kinsoku w:val="0"/>
        <w:overflowPunct w:val="0"/>
        <w:ind w:left="0"/>
        <w:rPr>
          <w:lang w:val="de-DE"/>
        </w:rPr>
      </w:pPr>
    </w:p>
    <w:p w14:paraId="781E9D9C" w14:textId="77777777" w:rsidR="00FE291A" w:rsidRDefault="00C8738F">
      <w:pPr>
        <w:pStyle w:val="BodyText"/>
        <w:widowControl/>
        <w:kinsoku w:val="0"/>
        <w:overflowPunct w:val="0"/>
        <w:ind w:left="0"/>
        <w:rPr>
          <w:lang w:val="de-DE"/>
        </w:rPr>
      </w:pPr>
      <w:r>
        <w:rPr>
          <w:lang w:val="de-DE"/>
        </w:rPr>
        <w:t>AMGEVITA wird angewendet zur Behandlung von</w:t>
      </w:r>
    </w:p>
    <w:p w14:paraId="49917364" w14:textId="77777777" w:rsidR="00FE291A" w:rsidRDefault="00C8738F">
      <w:pPr>
        <w:widowControl/>
        <w:numPr>
          <w:ilvl w:val="0"/>
          <w:numId w:val="51"/>
        </w:numPr>
        <w:tabs>
          <w:tab w:val="left" w:pos="567"/>
        </w:tabs>
        <w:autoSpaceDE/>
        <w:autoSpaceDN/>
        <w:adjustRightInd/>
        <w:ind w:left="567" w:hanging="567"/>
        <w:rPr>
          <w:sz w:val="22"/>
          <w:szCs w:val="22"/>
          <w:lang w:val="de-DE"/>
        </w:rPr>
      </w:pPr>
      <w:r>
        <w:rPr>
          <w:sz w:val="22"/>
          <w:szCs w:val="22"/>
          <w:lang w:val="de-DE"/>
        </w:rPr>
        <w:t xml:space="preserve">Erwachsenen mit nicht infektiöser Uveitis mit einer Entzündung im hinteren Bereich des Auges </w:t>
      </w:r>
    </w:p>
    <w:p w14:paraId="6C0497C5" w14:textId="77777777" w:rsidR="00FE291A" w:rsidRDefault="00C8738F">
      <w:pPr>
        <w:widowControl/>
        <w:numPr>
          <w:ilvl w:val="0"/>
          <w:numId w:val="50"/>
        </w:numPr>
        <w:tabs>
          <w:tab w:val="clear" w:pos="720"/>
          <w:tab w:val="left" w:pos="567"/>
        </w:tabs>
        <w:autoSpaceDE/>
        <w:autoSpaceDN/>
        <w:adjustRightInd/>
        <w:ind w:left="567" w:hanging="567"/>
        <w:rPr>
          <w:sz w:val="22"/>
          <w:szCs w:val="22"/>
          <w:lang w:val="de-DE"/>
        </w:rPr>
      </w:pPr>
      <w:r>
        <w:rPr>
          <w:sz w:val="22"/>
          <w:szCs w:val="22"/>
          <w:lang w:val="de-DE"/>
        </w:rPr>
        <w:t>Kindern</w:t>
      </w:r>
      <w:r>
        <w:rPr>
          <w:rFonts w:cs="Calibri"/>
          <w:sz w:val="22"/>
          <w:szCs w:val="22"/>
          <w:lang w:val="de-DE"/>
        </w:rPr>
        <w:t xml:space="preserve"> mit chronischer nicht infektiöser Uveitis ab 2 Jahren mit einer Entzündung im vorderen Bereich des Auges.</w:t>
      </w:r>
      <w:r>
        <w:rPr>
          <w:sz w:val="22"/>
          <w:szCs w:val="22"/>
          <w:lang w:val="de-DE"/>
        </w:rPr>
        <w:t xml:space="preserve"> </w:t>
      </w:r>
    </w:p>
    <w:p w14:paraId="073F559C" w14:textId="77777777" w:rsidR="00FE291A" w:rsidRDefault="00FE291A">
      <w:pPr>
        <w:pStyle w:val="BodyText"/>
        <w:widowControl/>
        <w:kinsoku w:val="0"/>
        <w:overflowPunct w:val="0"/>
        <w:ind w:left="567" w:hanging="567"/>
        <w:rPr>
          <w:lang w:val="de-DE"/>
        </w:rPr>
      </w:pPr>
    </w:p>
    <w:p w14:paraId="23C3EAA9" w14:textId="77777777" w:rsidR="00FE291A" w:rsidRDefault="00C8738F">
      <w:pPr>
        <w:pStyle w:val="BodyText"/>
        <w:widowControl/>
        <w:kinsoku w:val="0"/>
        <w:overflowPunct w:val="0"/>
        <w:ind w:left="0"/>
        <w:rPr>
          <w:lang w:val="de-DE"/>
        </w:rPr>
      </w:pPr>
      <w:r>
        <w:rPr>
          <w:lang w:val="de-DE"/>
        </w:rPr>
        <w:t>Diese Entzündung kann dazu führen, dass man schlechter sieht und/oder dass man Schwebeteile sieht (schwarze Punkte oder Schlieren, die sich durch das Blickfeld bewegen). AMGEVITA wirkt, indem es die Entzündung verringert.</w:t>
      </w:r>
    </w:p>
    <w:p w14:paraId="2E0E1695" w14:textId="77777777" w:rsidR="00FE291A" w:rsidRDefault="00FE291A">
      <w:pPr>
        <w:widowControl/>
        <w:kinsoku w:val="0"/>
        <w:overflowPunct w:val="0"/>
        <w:rPr>
          <w:sz w:val="22"/>
          <w:szCs w:val="22"/>
          <w:lang w:val="de-DE"/>
        </w:rPr>
      </w:pPr>
    </w:p>
    <w:p w14:paraId="6D852D04" w14:textId="77777777" w:rsidR="00FE291A" w:rsidRDefault="00FE291A">
      <w:pPr>
        <w:widowControl/>
        <w:kinsoku w:val="0"/>
        <w:overflowPunct w:val="0"/>
        <w:rPr>
          <w:sz w:val="22"/>
          <w:szCs w:val="22"/>
          <w:lang w:val="de-DE"/>
        </w:rPr>
      </w:pPr>
    </w:p>
    <w:p w14:paraId="291CD8F5" w14:textId="77777777" w:rsidR="00FE291A" w:rsidRDefault="00C8738F">
      <w:pPr>
        <w:pStyle w:val="Heading1"/>
        <w:keepNext/>
        <w:widowControl/>
        <w:tabs>
          <w:tab w:val="left" w:pos="567"/>
        </w:tabs>
        <w:kinsoku w:val="0"/>
        <w:overflowPunct w:val="0"/>
        <w:ind w:left="567" w:hanging="567"/>
        <w:rPr>
          <w:b w:val="0"/>
          <w:bCs w:val="0"/>
          <w:lang w:val="de-DE"/>
        </w:rPr>
      </w:pPr>
      <w:r>
        <w:rPr>
          <w:lang w:val="de-DE"/>
        </w:rPr>
        <w:t>2.</w:t>
      </w:r>
      <w:r>
        <w:rPr>
          <w:lang w:val="de-DE"/>
        </w:rPr>
        <w:tab/>
        <w:t>Was sollten Sie vor der Anwendung von AMGEVITA beachten?</w:t>
      </w:r>
    </w:p>
    <w:p w14:paraId="52BBF510" w14:textId="77777777" w:rsidR="00FE291A" w:rsidRDefault="00FE291A">
      <w:pPr>
        <w:pStyle w:val="BodyText"/>
        <w:keepNext/>
        <w:widowControl/>
        <w:kinsoku w:val="0"/>
        <w:overflowPunct w:val="0"/>
        <w:ind w:left="0"/>
        <w:rPr>
          <w:lang w:val="de-DE"/>
        </w:rPr>
      </w:pPr>
    </w:p>
    <w:p w14:paraId="0FB53A49" w14:textId="77777777" w:rsidR="00FE291A" w:rsidRDefault="00C8738F">
      <w:pPr>
        <w:pStyle w:val="Heading1"/>
        <w:keepNext/>
        <w:widowControl/>
        <w:tabs>
          <w:tab w:val="left" w:pos="567"/>
        </w:tabs>
        <w:kinsoku w:val="0"/>
        <w:overflowPunct w:val="0"/>
        <w:ind w:left="0"/>
        <w:rPr>
          <w:lang w:val="de-DE"/>
        </w:rPr>
      </w:pPr>
      <w:r>
        <w:rPr>
          <w:lang w:val="de-DE"/>
        </w:rPr>
        <w:t>AMGEVITA darf nicht angewendet werden:</w:t>
      </w:r>
    </w:p>
    <w:p w14:paraId="3689C355" w14:textId="77777777" w:rsidR="00FE291A" w:rsidRDefault="00FE291A">
      <w:pPr>
        <w:keepNext/>
        <w:widowControl/>
        <w:rPr>
          <w:sz w:val="22"/>
          <w:lang w:val="de-DE"/>
        </w:rPr>
      </w:pPr>
    </w:p>
    <w:p w14:paraId="5E177249" w14:textId="77777777" w:rsidR="00FE291A" w:rsidRDefault="00C8738F">
      <w:pPr>
        <w:pStyle w:val="BodyText"/>
        <w:widowControl/>
        <w:numPr>
          <w:ilvl w:val="0"/>
          <w:numId w:val="52"/>
        </w:numPr>
        <w:tabs>
          <w:tab w:val="left" w:pos="567"/>
        </w:tabs>
        <w:kinsoku w:val="0"/>
        <w:overflowPunct w:val="0"/>
        <w:ind w:left="567"/>
        <w:rPr>
          <w:lang w:val="de-DE"/>
        </w:rPr>
      </w:pPr>
      <w:r>
        <w:rPr>
          <w:lang w:val="de-DE"/>
        </w:rPr>
        <w:t>Wenn Sie allergisch gegenüber dem Wirkstoff Adalimumab oder einem der sonstigen Bestandteile dieses Arzneimittels sind (aufgelistet in Abschnitt 6).</w:t>
      </w:r>
    </w:p>
    <w:p w14:paraId="448855A0" w14:textId="77777777" w:rsidR="00FE291A" w:rsidRDefault="00C8738F">
      <w:pPr>
        <w:pStyle w:val="BodyText"/>
        <w:widowControl/>
        <w:numPr>
          <w:ilvl w:val="0"/>
          <w:numId w:val="52"/>
        </w:numPr>
        <w:tabs>
          <w:tab w:val="left" w:pos="567"/>
        </w:tabs>
        <w:kinsoku w:val="0"/>
        <w:overflowPunct w:val="0"/>
        <w:ind w:left="567"/>
        <w:rPr>
          <w:lang w:val="de-DE"/>
        </w:rPr>
      </w:pPr>
      <w:r>
        <w:rPr>
          <w:lang w:val="de-DE"/>
        </w:rPr>
        <w:t>Wenn Sie an einer schweren Infektion, einschließlich aktiver Tuberkulose, einer Sepsis (Blutvergiftung) oder an anderen opportunistischen Infektionen (ungewöhnlichen Infektionen, die auf ein geschwächtes Immunsystem zurückzuführen sind) erkrankt sind (siehe „Warnhinweise und Vorsichtsmaßnahmen“). Es ist wichtig, dass Sie Ihren Arzt informieren, wenn bei Ihnen Anzeichen von Infektionen, z. B. Fieber, Wunden, Abgeschlagenheit, Zahnprobleme, vorliegen.</w:t>
      </w:r>
    </w:p>
    <w:p w14:paraId="3D49C5AC" w14:textId="77777777" w:rsidR="00FE291A" w:rsidRDefault="00C8738F">
      <w:pPr>
        <w:pStyle w:val="BodyText"/>
        <w:widowControl/>
        <w:numPr>
          <w:ilvl w:val="0"/>
          <w:numId w:val="52"/>
        </w:numPr>
        <w:tabs>
          <w:tab w:val="left" w:pos="567"/>
        </w:tabs>
        <w:kinsoku w:val="0"/>
        <w:overflowPunct w:val="0"/>
        <w:ind w:left="567"/>
        <w:rPr>
          <w:lang w:val="de-DE"/>
        </w:rPr>
      </w:pPr>
      <w:r>
        <w:rPr>
          <w:lang w:val="de-DE"/>
        </w:rPr>
        <w:t>Wenn Sie an mäßiger bis schwerer Herzschwäche (Herzinsuffizienz) erkrankt sind. Es ist wichtig, dass Sie Ihrem Arzt über zurückliegende oder bestehende ernsthafte Herzbeschwerden berichten (siehe „Warnhinweise und Vorsichtsmaßnahmen“).</w:t>
      </w:r>
    </w:p>
    <w:p w14:paraId="52313C90" w14:textId="77777777" w:rsidR="00FE291A" w:rsidRDefault="00FE291A">
      <w:pPr>
        <w:widowControl/>
        <w:kinsoku w:val="0"/>
        <w:overflowPunct w:val="0"/>
        <w:rPr>
          <w:sz w:val="22"/>
          <w:szCs w:val="26"/>
          <w:lang w:val="de-DE"/>
        </w:rPr>
      </w:pPr>
    </w:p>
    <w:p w14:paraId="45ED3B6D" w14:textId="77777777" w:rsidR="00FE291A" w:rsidRDefault="00C8738F">
      <w:pPr>
        <w:pStyle w:val="Heading1"/>
        <w:keepNext/>
        <w:keepLines/>
        <w:widowControl/>
        <w:kinsoku w:val="0"/>
        <w:overflowPunct w:val="0"/>
        <w:ind w:left="0"/>
        <w:rPr>
          <w:b w:val="0"/>
          <w:bCs w:val="0"/>
          <w:lang w:val="de-DE"/>
        </w:rPr>
      </w:pPr>
      <w:r>
        <w:rPr>
          <w:lang w:val="de-DE"/>
        </w:rPr>
        <w:t>Warnhinweise und Vorsichtsmaßnahmen</w:t>
      </w:r>
    </w:p>
    <w:p w14:paraId="390D99A4" w14:textId="77777777" w:rsidR="00FE291A" w:rsidRDefault="00FE291A">
      <w:pPr>
        <w:keepNext/>
        <w:keepLines/>
        <w:widowControl/>
        <w:kinsoku w:val="0"/>
        <w:overflowPunct w:val="0"/>
        <w:rPr>
          <w:sz w:val="22"/>
          <w:szCs w:val="22"/>
          <w:lang w:val="de-DE"/>
        </w:rPr>
      </w:pPr>
    </w:p>
    <w:p w14:paraId="59CC08A3" w14:textId="77777777" w:rsidR="00FE291A" w:rsidRDefault="00C8738F">
      <w:pPr>
        <w:pStyle w:val="BodyText"/>
        <w:keepNext/>
        <w:keepLines/>
        <w:widowControl/>
        <w:tabs>
          <w:tab w:val="left" w:pos="567"/>
        </w:tabs>
        <w:kinsoku w:val="0"/>
        <w:overflowPunct w:val="0"/>
        <w:ind w:left="0"/>
        <w:rPr>
          <w:lang w:val="de-DE"/>
        </w:rPr>
      </w:pPr>
      <w:r>
        <w:rPr>
          <w:lang w:val="de-DE"/>
        </w:rPr>
        <w:t>Bitte sprechen Sie mit Ihrem Arzt oder Apotheker, bevor Sie AMGEVITA anwenden:</w:t>
      </w:r>
    </w:p>
    <w:p w14:paraId="037429D0" w14:textId="77777777" w:rsidR="00FE291A" w:rsidRDefault="00FE291A">
      <w:pPr>
        <w:widowControl/>
        <w:tabs>
          <w:tab w:val="left" w:pos="567"/>
        </w:tabs>
        <w:kinsoku w:val="0"/>
        <w:overflowPunct w:val="0"/>
        <w:ind w:left="567" w:hanging="567"/>
        <w:rPr>
          <w:sz w:val="22"/>
          <w:szCs w:val="22"/>
          <w:lang w:val="de-DE"/>
        </w:rPr>
      </w:pPr>
    </w:p>
    <w:p w14:paraId="1A74C6D0" w14:textId="77777777" w:rsidR="00FE291A" w:rsidRDefault="00C8738F">
      <w:pPr>
        <w:widowControl/>
        <w:tabs>
          <w:tab w:val="left" w:pos="567"/>
        </w:tabs>
        <w:kinsoku w:val="0"/>
        <w:overflowPunct w:val="0"/>
        <w:ind w:left="567" w:hanging="567"/>
        <w:rPr>
          <w:sz w:val="22"/>
          <w:szCs w:val="22"/>
          <w:lang w:val="de-DE"/>
        </w:rPr>
      </w:pPr>
      <w:r>
        <w:rPr>
          <w:sz w:val="22"/>
          <w:szCs w:val="22"/>
          <w:lang w:val="de-DE"/>
        </w:rPr>
        <w:t>Allergische Reaktionen</w:t>
      </w:r>
    </w:p>
    <w:p w14:paraId="0CFBE086" w14:textId="77777777" w:rsidR="00FE291A" w:rsidRDefault="00FE291A">
      <w:pPr>
        <w:widowControl/>
        <w:tabs>
          <w:tab w:val="left" w:pos="567"/>
        </w:tabs>
        <w:kinsoku w:val="0"/>
        <w:overflowPunct w:val="0"/>
        <w:ind w:left="567" w:hanging="567"/>
        <w:rPr>
          <w:sz w:val="22"/>
          <w:szCs w:val="22"/>
          <w:lang w:val="de-DE"/>
        </w:rPr>
      </w:pPr>
    </w:p>
    <w:p w14:paraId="35E128AE"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Sollten bei Ihnen allergische Reaktionen auftreten mit Anzeichen wie Engegefühl in der Brust, pfeifende Atemgeräusche, Benommenheit/Schwindel, Schwellungen oder Hautausschlag, spritzen Sie sich kein weiteres AMGEVITA mehr und setzen Sie sich unverzüglich mit Ihrem Arzt in Verbindung, da diese Reaktionen in seltenen Fällen lebensbedrohlich sein können.</w:t>
      </w:r>
    </w:p>
    <w:p w14:paraId="19E2774D" w14:textId="77777777" w:rsidR="00FE291A" w:rsidRDefault="00FE291A">
      <w:pPr>
        <w:widowControl/>
        <w:tabs>
          <w:tab w:val="left" w:pos="567"/>
        </w:tabs>
        <w:kinsoku w:val="0"/>
        <w:overflowPunct w:val="0"/>
        <w:ind w:left="567" w:hanging="567"/>
        <w:rPr>
          <w:sz w:val="22"/>
          <w:szCs w:val="22"/>
          <w:lang w:val="de-DE"/>
        </w:rPr>
      </w:pPr>
    </w:p>
    <w:p w14:paraId="20078184" w14:textId="77777777" w:rsidR="00FE291A" w:rsidRDefault="00C8738F">
      <w:pPr>
        <w:widowControl/>
        <w:tabs>
          <w:tab w:val="left" w:pos="567"/>
        </w:tabs>
        <w:kinsoku w:val="0"/>
        <w:overflowPunct w:val="0"/>
        <w:ind w:left="567" w:hanging="567"/>
        <w:rPr>
          <w:sz w:val="22"/>
          <w:szCs w:val="22"/>
          <w:lang w:val="de-DE"/>
        </w:rPr>
      </w:pPr>
      <w:r>
        <w:rPr>
          <w:sz w:val="22"/>
          <w:szCs w:val="22"/>
          <w:lang w:val="de-DE"/>
        </w:rPr>
        <w:t>Infektionen</w:t>
      </w:r>
    </w:p>
    <w:p w14:paraId="5B0075CD" w14:textId="77777777" w:rsidR="00FE291A" w:rsidRDefault="00FE291A">
      <w:pPr>
        <w:widowControl/>
        <w:tabs>
          <w:tab w:val="left" w:pos="567"/>
        </w:tabs>
        <w:kinsoku w:val="0"/>
        <w:overflowPunct w:val="0"/>
        <w:ind w:left="567" w:hanging="567"/>
        <w:rPr>
          <w:sz w:val="22"/>
          <w:szCs w:val="22"/>
          <w:lang w:val="de-DE"/>
        </w:rPr>
      </w:pPr>
    </w:p>
    <w:p w14:paraId="3BB412F0"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Wenn Sie an einer Infektion erkrankt sind, sprechen Sie mit Ihrem Arzt, bevor Sie mit der AMGEVITA-Behandlung beginnen. Auch dann, wenn Sie die Infektion schon länger haben, oder die Infektion örtlich begrenzt ist (z. B. ein Unterschenkelgeschwür). Wenn Sie unsicher sind, fragen Sie Ihren Arzt.</w:t>
      </w:r>
    </w:p>
    <w:p w14:paraId="06475663"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Während der Behandlung mit AMGEVITA können Sie leichter an Infektionen erkranken. Das Risiko kann sich zusätzlich erhöhen, wenn Ihre Lungenfunktion beeinträchtigt ist. Diese Infektionen können schwer sein und umfassen Tuberkulose, Infektionen, die durch Viren, Pilze, Parasiten oder Bakterien verursacht werden, oder andere Infektionen, die auftreten, wenn die Widerstandskraft gegenüber Krankheiten vermindert ist (opportunistische Infektionen), sowie Blutvergiftung. Schwere Infektionen können in seltenen Fällen lebensbedrohlich sein. Es ist wichtig, dass Sie Ihren Arzt informieren, wenn bei Ihnen Anzeichen wie Fieber, Wunden, Abgeschlagenheit oder Zahnprobleme auftreten. Ihr Arzt kann eine kurzzeitige Unterbrechung der AMGEVITA-Behandlung empfehlen.</w:t>
      </w:r>
    </w:p>
    <w:p w14:paraId="79C9B53B" w14:textId="77777777" w:rsidR="00FE291A" w:rsidRDefault="00FE291A">
      <w:pPr>
        <w:widowControl/>
        <w:tabs>
          <w:tab w:val="left" w:pos="567"/>
        </w:tabs>
        <w:kinsoku w:val="0"/>
        <w:overflowPunct w:val="0"/>
        <w:ind w:left="567" w:hanging="567"/>
        <w:rPr>
          <w:sz w:val="22"/>
          <w:szCs w:val="22"/>
          <w:lang w:val="de-DE"/>
        </w:rPr>
      </w:pPr>
    </w:p>
    <w:p w14:paraId="4A3A8B26" w14:textId="77777777" w:rsidR="00FE291A" w:rsidRDefault="00C8738F">
      <w:pPr>
        <w:widowControl/>
        <w:tabs>
          <w:tab w:val="left" w:pos="567"/>
        </w:tabs>
        <w:kinsoku w:val="0"/>
        <w:overflowPunct w:val="0"/>
        <w:ind w:left="567" w:hanging="567"/>
        <w:rPr>
          <w:sz w:val="22"/>
          <w:szCs w:val="22"/>
          <w:lang w:val="de-DE"/>
        </w:rPr>
      </w:pPr>
      <w:r>
        <w:rPr>
          <w:sz w:val="22"/>
          <w:szCs w:val="22"/>
          <w:lang w:val="de-DE"/>
        </w:rPr>
        <w:t>Tuberkulose</w:t>
      </w:r>
    </w:p>
    <w:p w14:paraId="42F90E3E" w14:textId="77777777" w:rsidR="00FE291A" w:rsidRDefault="00FE291A">
      <w:pPr>
        <w:widowControl/>
        <w:tabs>
          <w:tab w:val="left" w:pos="567"/>
        </w:tabs>
        <w:kinsoku w:val="0"/>
        <w:overflowPunct w:val="0"/>
        <w:ind w:left="567" w:hanging="567"/>
        <w:rPr>
          <w:sz w:val="22"/>
          <w:szCs w:val="22"/>
          <w:lang w:val="de-DE"/>
        </w:rPr>
      </w:pPr>
    </w:p>
    <w:p w14:paraId="67A42767"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 xml:space="preserve">Ihr Arzt wird Sie vor Beginn der Behandlung mit AMGEVITA auf Anzeichen und Krankheitserscheinungen einer Tuberkulose untersuchen, da bei mit Adalimumab behandelten Patienten von Tuberkulosefällen berichtet wurde. Zu dieser gründlichen Untersuchung gehören die Aufnahme einer umfassenden medizinischen Vorgeschichte und geeignete Tests (z. B. eine Röntgen-Aufnahme des Brustkorbs und ein Tuberkulintest). Die Durchführung und Ergebnisse dieser Tests sollten in Ihrem </w:t>
      </w:r>
      <w:r>
        <w:rPr>
          <w:b/>
          <w:lang w:val="de-DE"/>
        </w:rPr>
        <w:t>Patientenpass</w:t>
      </w:r>
      <w:r>
        <w:rPr>
          <w:lang w:val="de-DE"/>
        </w:rPr>
        <w:t xml:space="preserve"> dokumentiert werden. Es ist sehr wichtig, dass Sie Ihrem Arzt mitteilen, wenn Sie jemals Tuberkulose hatten oder wenn Sie in engem Kontakt zu jemandem standen, der Tuberkulose hatte.</w:t>
      </w:r>
    </w:p>
    <w:p w14:paraId="1F88942E"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Tuberkulose kann sich während der Behandlung entwickeln, sogar dann, wenn Sie eine vorbeugende Behandlung gegen Tuberkulose bekommen haben.</w:t>
      </w:r>
    </w:p>
    <w:p w14:paraId="55A9628E"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Sollten Anzeichen einer Tuberkulose (anhaltender Husten, Gewichtsverlust, Teilnahmslosigkeit, leichtes Fieber) oder einer anderen Infektion während oder nach der Behandlung auftreten, benachrichtigen Sie unverzüglich Ihren Arzt.</w:t>
      </w:r>
    </w:p>
    <w:p w14:paraId="5E36C41D" w14:textId="77777777" w:rsidR="00FE291A" w:rsidRDefault="00FE291A">
      <w:pPr>
        <w:widowControl/>
        <w:tabs>
          <w:tab w:val="left" w:pos="567"/>
        </w:tabs>
        <w:kinsoku w:val="0"/>
        <w:overflowPunct w:val="0"/>
        <w:ind w:left="567" w:hanging="567"/>
        <w:rPr>
          <w:sz w:val="22"/>
          <w:szCs w:val="22"/>
          <w:lang w:val="de-DE"/>
        </w:rPr>
      </w:pPr>
    </w:p>
    <w:p w14:paraId="760E8744" w14:textId="77777777" w:rsidR="00FE291A" w:rsidRDefault="00C8738F">
      <w:pPr>
        <w:widowControl/>
        <w:tabs>
          <w:tab w:val="left" w:pos="567"/>
        </w:tabs>
        <w:kinsoku w:val="0"/>
        <w:overflowPunct w:val="0"/>
        <w:ind w:left="567" w:hanging="567"/>
        <w:rPr>
          <w:sz w:val="22"/>
          <w:szCs w:val="22"/>
          <w:lang w:val="de-DE"/>
        </w:rPr>
      </w:pPr>
      <w:r>
        <w:rPr>
          <w:sz w:val="22"/>
          <w:szCs w:val="22"/>
          <w:lang w:val="de-DE"/>
        </w:rPr>
        <w:t>Reisen/wiederkehrende Infektionen</w:t>
      </w:r>
    </w:p>
    <w:p w14:paraId="266829C6" w14:textId="77777777" w:rsidR="00FE291A" w:rsidRDefault="00FE291A">
      <w:pPr>
        <w:widowControl/>
        <w:tabs>
          <w:tab w:val="left" w:pos="567"/>
        </w:tabs>
        <w:kinsoku w:val="0"/>
        <w:overflowPunct w:val="0"/>
        <w:ind w:left="567" w:hanging="567"/>
        <w:rPr>
          <w:sz w:val="22"/>
          <w:szCs w:val="22"/>
          <w:lang w:val="de-DE"/>
        </w:rPr>
      </w:pPr>
    </w:p>
    <w:p w14:paraId="05176454"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Fragen Sie Ihren Arzt um Rat, wenn Sie sich in Regionen aufhalten oder in Regionen reisen, in denen Pilzinfektionen häufig vorkommen (z. B. Histoplasmose, Kokzidioidomykose oder Blastomykose).</w:t>
      </w:r>
    </w:p>
    <w:p w14:paraId="6D70A45C"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Informieren Sie Ihren Arzt, wenn Sie in der Vergangenheit unter wiederkehrenden Infektionen oder anderen Krankheiten litten, die das Risiko einer Infektion erhöhen.</w:t>
      </w:r>
    </w:p>
    <w:p w14:paraId="155E3FF5" w14:textId="77777777" w:rsidR="00FE291A" w:rsidRDefault="00FE291A">
      <w:pPr>
        <w:widowControl/>
        <w:tabs>
          <w:tab w:val="left" w:pos="567"/>
        </w:tabs>
        <w:kinsoku w:val="0"/>
        <w:overflowPunct w:val="0"/>
        <w:ind w:left="567" w:hanging="567"/>
        <w:rPr>
          <w:sz w:val="22"/>
          <w:szCs w:val="22"/>
          <w:lang w:val="de-DE"/>
        </w:rPr>
      </w:pPr>
    </w:p>
    <w:p w14:paraId="5BC84815" w14:textId="77777777" w:rsidR="00FE291A" w:rsidRDefault="00C8738F">
      <w:pPr>
        <w:widowControl/>
        <w:tabs>
          <w:tab w:val="left" w:pos="567"/>
        </w:tabs>
        <w:kinsoku w:val="0"/>
        <w:overflowPunct w:val="0"/>
        <w:ind w:left="567" w:hanging="567"/>
        <w:rPr>
          <w:sz w:val="22"/>
          <w:szCs w:val="22"/>
          <w:lang w:val="de-DE"/>
        </w:rPr>
      </w:pPr>
      <w:r>
        <w:rPr>
          <w:sz w:val="22"/>
          <w:szCs w:val="22"/>
          <w:lang w:val="de-DE"/>
        </w:rPr>
        <w:t>Hepatitis-B-Virus</w:t>
      </w:r>
    </w:p>
    <w:p w14:paraId="2D8242AB" w14:textId="77777777" w:rsidR="00FE291A" w:rsidRDefault="00FE291A">
      <w:pPr>
        <w:widowControl/>
        <w:tabs>
          <w:tab w:val="left" w:pos="567"/>
        </w:tabs>
        <w:kinsoku w:val="0"/>
        <w:overflowPunct w:val="0"/>
        <w:ind w:left="567" w:hanging="567"/>
        <w:rPr>
          <w:sz w:val="22"/>
          <w:szCs w:val="22"/>
          <w:lang w:val="de-DE"/>
        </w:rPr>
      </w:pPr>
    </w:p>
    <w:p w14:paraId="79446951" w14:textId="77777777" w:rsidR="00FE291A" w:rsidRDefault="00C8738F">
      <w:pPr>
        <w:pStyle w:val="BodyText"/>
        <w:widowControl/>
        <w:numPr>
          <w:ilvl w:val="0"/>
          <w:numId w:val="53"/>
        </w:numPr>
        <w:tabs>
          <w:tab w:val="left" w:pos="567"/>
          <w:tab w:val="left" w:pos="686"/>
        </w:tabs>
        <w:kinsoku w:val="0"/>
        <w:overflowPunct w:val="0"/>
        <w:ind w:left="567"/>
        <w:rPr>
          <w:lang w:val="de-DE"/>
        </w:rPr>
      </w:pPr>
      <w:r>
        <w:rPr>
          <w:lang w:val="de-DE"/>
        </w:rPr>
        <w:t>Informieren Sie Ihren Arzt, wenn Sie Träger des Hepatitis-B-Virus (HBV) sind, wenn Sie eine aktive HBV-Infektion haben oder wenn Sie ein erhöhtes Risiko für eine HBV-Infektion aufweisen. Ihr Arzt sollte Sie auf HBV untersuchen. AMGEVITA kann zu einem erneuten Ausbruch einer HBV-Infektion bei Personen führen, die dieses Virus tragen. In einigen seltenen Fällen, besonders bei der zusätzlichen Anwendung von weiteren Arzneimitteln, die das körpereigene Abwehrsystem unterdrücken, kann der erneute Ausbruch einer HBV-Infektion lebensbedrohend sein.</w:t>
      </w:r>
    </w:p>
    <w:p w14:paraId="50894867" w14:textId="77777777" w:rsidR="00FE291A" w:rsidRDefault="00FE291A">
      <w:pPr>
        <w:pStyle w:val="BodyText"/>
        <w:widowControl/>
        <w:tabs>
          <w:tab w:val="left" w:pos="567"/>
          <w:tab w:val="left" w:pos="686"/>
        </w:tabs>
        <w:kinsoku w:val="0"/>
        <w:overflowPunct w:val="0"/>
        <w:ind w:left="0"/>
        <w:rPr>
          <w:lang w:val="de-DE"/>
        </w:rPr>
      </w:pPr>
    </w:p>
    <w:p w14:paraId="3DAB7A8C" w14:textId="77777777" w:rsidR="00FE291A" w:rsidRDefault="00C8738F">
      <w:pPr>
        <w:pStyle w:val="BodyText"/>
        <w:widowControl/>
        <w:tabs>
          <w:tab w:val="left" w:pos="567"/>
          <w:tab w:val="left" w:pos="686"/>
        </w:tabs>
        <w:kinsoku w:val="0"/>
        <w:overflowPunct w:val="0"/>
        <w:ind w:left="0"/>
        <w:rPr>
          <w:lang w:val="de-DE"/>
        </w:rPr>
      </w:pPr>
      <w:r>
        <w:rPr>
          <w:lang w:val="de-DE"/>
        </w:rPr>
        <w:t>Alter über 65 Jahre</w:t>
      </w:r>
    </w:p>
    <w:p w14:paraId="7689329C" w14:textId="77777777" w:rsidR="00FE291A" w:rsidRDefault="00FE291A">
      <w:pPr>
        <w:pStyle w:val="BodyText"/>
        <w:widowControl/>
        <w:tabs>
          <w:tab w:val="left" w:pos="567"/>
          <w:tab w:val="left" w:pos="686"/>
        </w:tabs>
        <w:kinsoku w:val="0"/>
        <w:overflowPunct w:val="0"/>
        <w:ind w:left="0"/>
        <w:rPr>
          <w:lang w:val="de-DE"/>
        </w:rPr>
      </w:pPr>
    </w:p>
    <w:p w14:paraId="08677E24"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Wenn Sie über 65 Jahre alt sind, können Sie für Infektionen anfälliger sein, während Sie AMGEVITA nehmen. Sie und Ihr Arzt sollten besonders auf Anzeichen einer Infektion achten, während Sie mit AMGEVITA behandelt werden. Es ist wichtig, dass Sie Ihren Arzt informieren, wenn Sie Anzeichen von Infektionen wie Fieber, Wunden, Gefühl der Müdigkeit oder Zahnprobleme bekommen.</w:t>
      </w:r>
    </w:p>
    <w:p w14:paraId="055EDB1C" w14:textId="77777777" w:rsidR="00FE291A" w:rsidRDefault="00FE291A">
      <w:pPr>
        <w:widowControl/>
        <w:tabs>
          <w:tab w:val="left" w:pos="567"/>
        </w:tabs>
        <w:kinsoku w:val="0"/>
        <w:overflowPunct w:val="0"/>
        <w:ind w:left="567" w:hanging="567"/>
        <w:rPr>
          <w:sz w:val="22"/>
          <w:szCs w:val="22"/>
          <w:lang w:val="de-DE"/>
        </w:rPr>
      </w:pPr>
    </w:p>
    <w:p w14:paraId="23088535" w14:textId="77777777" w:rsidR="00FE291A" w:rsidRDefault="00C8738F">
      <w:pPr>
        <w:widowControl/>
        <w:tabs>
          <w:tab w:val="left" w:pos="567"/>
        </w:tabs>
        <w:kinsoku w:val="0"/>
        <w:overflowPunct w:val="0"/>
        <w:ind w:left="567" w:hanging="567"/>
        <w:rPr>
          <w:sz w:val="22"/>
          <w:szCs w:val="22"/>
          <w:lang w:val="de-DE"/>
        </w:rPr>
      </w:pPr>
      <w:r>
        <w:rPr>
          <w:sz w:val="22"/>
          <w:szCs w:val="22"/>
          <w:lang w:val="de-DE"/>
        </w:rPr>
        <w:t>Operationen oder Zahnbehandlungen</w:t>
      </w:r>
    </w:p>
    <w:p w14:paraId="18EB1966" w14:textId="77777777" w:rsidR="00FE291A" w:rsidRDefault="00FE291A">
      <w:pPr>
        <w:widowControl/>
        <w:tabs>
          <w:tab w:val="left" w:pos="567"/>
        </w:tabs>
        <w:kinsoku w:val="0"/>
        <w:overflowPunct w:val="0"/>
        <w:ind w:left="567" w:hanging="567"/>
        <w:rPr>
          <w:sz w:val="22"/>
          <w:szCs w:val="22"/>
          <w:lang w:val="de-DE"/>
        </w:rPr>
      </w:pPr>
    </w:p>
    <w:p w14:paraId="0E3A1B0D"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Informieren Sie bitte Ihren Arzt vor einer Operation oder einer Zahnbehandlung über Ihre Behandlung mit AMGEVITA. Ihr Arzt kann eine kurzzeitige Unterbrechung der AMGEVITA-Behandlung empfehlen.</w:t>
      </w:r>
    </w:p>
    <w:p w14:paraId="662C6FA7" w14:textId="77777777" w:rsidR="00FE291A" w:rsidRDefault="00FE291A">
      <w:pPr>
        <w:widowControl/>
        <w:kinsoku w:val="0"/>
        <w:overflowPunct w:val="0"/>
        <w:rPr>
          <w:sz w:val="22"/>
          <w:szCs w:val="22"/>
          <w:lang w:val="de-DE"/>
        </w:rPr>
      </w:pPr>
    </w:p>
    <w:p w14:paraId="51C440C5" w14:textId="77777777" w:rsidR="00FE291A" w:rsidRDefault="00C8738F">
      <w:pPr>
        <w:widowControl/>
        <w:kinsoku w:val="0"/>
        <w:overflowPunct w:val="0"/>
        <w:rPr>
          <w:sz w:val="22"/>
          <w:szCs w:val="22"/>
          <w:lang w:val="de-DE"/>
        </w:rPr>
      </w:pPr>
      <w:r>
        <w:rPr>
          <w:sz w:val="22"/>
          <w:szCs w:val="22"/>
          <w:lang w:val="de-DE"/>
        </w:rPr>
        <w:t>Demyelinisierende Erkrankung</w:t>
      </w:r>
    </w:p>
    <w:p w14:paraId="70F59D01" w14:textId="77777777" w:rsidR="00FE291A" w:rsidRDefault="00FE291A">
      <w:pPr>
        <w:widowControl/>
        <w:kinsoku w:val="0"/>
        <w:overflowPunct w:val="0"/>
        <w:rPr>
          <w:sz w:val="22"/>
          <w:szCs w:val="22"/>
          <w:lang w:val="de-DE"/>
        </w:rPr>
      </w:pPr>
    </w:p>
    <w:p w14:paraId="19952E98"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Wenn Sie eine demyelinisierende Erkrankung wie z. B. multiple Sklerose haben oder entwickeln, wird Ihr Arzt entscheiden, ob Sie AMGEVITA erhalten bzw. weiter anwenden sollten. Informieren Sie bitte umgehend Ihren Arzt, wenn es bei Ihnen zu Anzeichen wie verändertem Sehvermögen oder Kraftlosigkeit in den Armen oder Beinen kommt oder wenn sich Körperteile taub oder kribbelig anfühlen.</w:t>
      </w:r>
    </w:p>
    <w:p w14:paraId="0B29412F" w14:textId="77777777" w:rsidR="00FE291A" w:rsidRDefault="00FE291A">
      <w:pPr>
        <w:widowControl/>
        <w:tabs>
          <w:tab w:val="left" w:pos="567"/>
        </w:tabs>
        <w:kinsoku w:val="0"/>
        <w:overflowPunct w:val="0"/>
        <w:ind w:left="567" w:hanging="567"/>
        <w:rPr>
          <w:sz w:val="22"/>
          <w:szCs w:val="22"/>
          <w:lang w:val="de-DE"/>
        </w:rPr>
      </w:pPr>
    </w:p>
    <w:p w14:paraId="48B651E2" w14:textId="77777777" w:rsidR="00FE291A" w:rsidRDefault="00C8738F">
      <w:pPr>
        <w:widowControl/>
        <w:tabs>
          <w:tab w:val="left" w:pos="567"/>
        </w:tabs>
        <w:kinsoku w:val="0"/>
        <w:overflowPunct w:val="0"/>
        <w:ind w:left="567" w:hanging="567"/>
        <w:rPr>
          <w:sz w:val="22"/>
          <w:szCs w:val="22"/>
          <w:lang w:val="de-DE"/>
        </w:rPr>
      </w:pPr>
      <w:r>
        <w:rPr>
          <w:sz w:val="22"/>
          <w:szCs w:val="22"/>
          <w:lang w:val="de-DE"/>
        </w:rPr>
        <w:t>Impfungen</w:t>
      </w:r>
    </w:p>
    <w:p w14:paraId="15703295" w14:textId="77777777" w:rsidR="00FE291A" w:rsidRDefault="00FE291A">
      <w:pPr>
        <w:widowControl/>
        <w:tabs>
          <w:tab w:val="left" w:pos="567"/>
        </w:tabs>
        <w:kinsoku w:val="0"/>
        <w:overflowPunct w:val="0"/>
        <w:ind w:left="567" w:hanging="567"/>
        <w:rPr>
          <w:sz w:val="22"/>
          <w:szCs w:val="22"/>
          <w:lang w:val="de-DE"/>
        </w:rPr>
      </w:pPr>
    </w:p>
    <w:p w14:paraId="0C512BB0"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 xml:space="preserve">Gewisse Impfstoffe enthalten lebende, aber abgeschwächte Formen von krankheitserregenden Bakterien oder Viren, die Infektionen verursachen können und während der Behandlung mit AMGEVITA nicht verwendet werden sollen. Bitte besprechen Sie jede Impfung vorher mit Ihrem Arzt. Bei Kindern und Jugendlichen wird empfohlen, nach Möglichkeit vor Behandlungsbeginn mit AMGEVITA alle Impfungen in Übereinstimmung mit den gegenwärtigen Richtlinien auf den aktuellen Stand zu bringen. </w:t>
      </w:r>
    </w:p>
    <w:p w14:paraId="2105C333"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Wenn Sie AMGEVITA während der Schwangerschaft erhalten haben, hat Ihr Säugling eventuell ein erhöhtes Risiko während der ersten 5 Monate nach der letzten AMGEVITA-Dosis, die Sie während der Schwangerschaft erhalten hatten, eine Infektion zu bekommen. Es ist wichtig, dass Sie den Ärzten des Kindes und anderem Fachpersonal im Gesundheitswesen mitteilen, dass Sie AMGEVITA während der Schwangerschaft angewendet haben, sodass diese darüber entscheiden können, ob Ihr Säugling eine Impfung erhalten sollte.</w:t>
      </w:r>
    </w:p>
    <w:p w14:paraId="751E4135" w14:textId="77777777" w:rsidR="00FE291A" w:rsidRDefault="00FE291A">
      <w:pPr>
        <w:widowControl/>
        <w:tabs>
          <w:tab w:val="left" w:pos="567"/>
        </w:tabs>
        <w:kinsoku w:val="0"/>
        <w:overflowPunct w:val="0"/>
        <w:ind w:left="567" w:hanging="567"/>
        <w:rPr>
          <w:sz w:val="22"/>
          <w:szCs w:val="22"/>
          <w:lang w:val="de-DE"/>
        </w:rPr>
      </w:pPr>
    </w:p>
    <w:p w14:paraId="24B88B9C" w14:textId="77777777" w:rsidR="00FE291A" w:rsidRDefault="00C8738F">
      <w:pPr>
        <w:keepNext/>
        <w:keepLines/>
        <w:widowControl/>
        <w:tabs>
          <w:tab w:val="left" w:pos="567"/>
        </w:tabs>
        <w:kinsoku w:val="0"/>
        <w:overflowPunct w:val="0"/>
        <w:ind w:left="567" w:hanging="567"/>
        <w:rPr>
          <w:sz w:val="22"/>
          <w:szCs w:val="22"/>
          <w:lang w:val="de-DE"/>
        </w:rPr>
      </w:pPr>
      <w:r>
        <w:rPr>
          <w:sz w:val="22"/>
          <w:szCs w:val="22"/>
          <w:lang w:val="de-DE"/>
        </w:rPr>
        <w:t>Herzschwäche</w:t>
      </w:r>
    </w:p>
    <w:p w14:paraId="56D0B52A" w14:textId="77777777" w:rsidR="00FE291A" w:rsidRDefault="00FE291A">
      <w:pPr>
        <w:widowControl/>
        <w:tabs>
          <w:tab w:val="left" w:pos="567"/>
        </w:tabs>
        <w:kinsoku w:val="0"/>
        <w:overflowPunct w:val="0"/>
        <w:ind w:left="567" w:hanging="567"/>
        <w:rPr>
          <w:sz w:val="22"/>
          <w:szCs w:val="22"/>
          <w:lang w:val="de-DE"/>
        </w:rPr>
      </w:pPr>
    </w:p>
    <w:p w14:paraId="1FC2EFC4"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Wenn Sie eine leichte Herzschwäche (Herzinsuffizienz) haben und mit AMGEVITA behandelt werden, muss Ihre Herzschwäche sorgfältig durch Ihren Arzt überwacht werden. Es ist wichtig, dass Sie Ihren Arzt darüber informieren, wenn Sie schwerwiegende Herzprobleme haben oder gehabt haben. Entwickeln Sie neue oder sich verschlechternde Symptome einer Herzschwäche (z. B. Kurzatmigkeit oder Anschwellen der Füße), müssen Sie sofort mit Ihrem Arzt sprechen. Ihr Arzt wird dann entscheiden, ob Sie AMGEVITA weiterhin erhalten sollen.</w:t>
      </w:r>
    </w:p>
    <w:p w14:paraId="1474EE13" w14:textId="77777777" w:rsidR="00FE291A" w:rsidRDefault="00FE291A">
      <w:pPr>
        <w:widowControl/>
        <w:tabs>
          <w:tab w:val="left" w:pos="567"/>
        </w:tabs>
        <w:kinsoku w:val="0"/>
        <w:overflowPunct w:val="0"/>
        <w:ind w:left="567" w:hanging="567"/>
        <w:rPr>
          <w:sz w:val="22"/>
          <w:szCs w:val="22"/>
          <w:lang w:val="de-DE"/>
        </w:rPr>
      </w:pPr>
    </w:p>
    <w:p w14:paraId="64DE0765" w14:textId="77777777" w:rsidR="00FE291A" w:rsidRDefault="00C8738F">
      <w:pPr>
        <w:widowControl/>
        <w:tabs>
          <w:tab w:val="left" w:pos="567"/>
        </w:tabs>
        <w:kinsoku w:val="0"/>
        <w:overflowPunct w:val="0"/>
        <w:ind w:left="567" w:hanging="567"/>
        <w:rPr>
          <w:sz w:val="22"/>
          <w:szCs w:val="22"/>
          <w:lang w:val="de-DE"/>
        </w:rPr>
      </w:pPr>
      <w:r>
        <w:rPr>
          <w:sz w:val="22"/>
          <w:szCs w:val="22"/>
          <w:lang w:val="de-DE"/>
        </w:rPr>
        <w:t>Fieber, blaue Flecke, Blutungen oder blasses Aussehen</w:t>
      </w:r>
    </w:p>
    <w:p w14:paraId="34CEAC3F" w14:textId="77777777" w:rsidR="00FE291A" w:rsidRDefault="00FE291A">
      <w:pPr>
        <w:widowControl/>
        <w:tabs>
          <w:tab w:val="left" w:pos="567"/>
        </w:tabs>
        <w:kinsoku w:val="0"/>
        <w:overflowPunct w:val="0"/>
        <w:ind w:left="567" w:hanging="567"/>
        <w:rPr>
          <w:sz w:val="22"/>
          <w:szCs w:val="22"/>
          <w:lang w:val="de-DE"/>
        </w:rPr>
      </w:pPr>
    </w:p>
    <w:p w14:paraId="77B2BEB5"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Die körpereigene Produktion von Blutzellen, die Ihrem Körper bei der Bekämpfung von Infektionen oder beim Stoppen von Blutungen helfen, kann bei einigen Patienten vermindert sein. Wenn Sie anhaltendes Fieber bekommen, sehr leicht blaue Flecken entwickeln oder bluten oder sehr blass aussehen, benachrichtigen Sie umgehend Ihren Arzt. Ihr Arzt wird möglicherweise entscheiden, die Behandlung zu beenden.</w:t>
      </w:r>
    </w:p>
    <w:p w14:paraId="1F4B0D15" w14:textId="77777777" w:rsidR="00FE291A" w:rsidRDefault="00FE291A">
      <w:pPr>
        <w:widowControl/>
        <w:tabs>
          <w:tab w:val="left" w:pos="567"/>
        </w:tabs>
        <w:kinsoku w:val="0"/>
        <w:overflowPunct w:val="0"/>
        <w:ind w:left="567" w:hanging="567"/>
        <w:rPr>
          <w:sz w:val="22"/>
          <w:szCs w:val="22"/>
          <w:lang w:val="de-DE"/>
        </w:rPr>
      </w:pPr>
    </w:p>
    <w:p w14:paraId="1D41A4B0" w14:textId="77777777" w:rsidR="00FE291A" w:rsidRDefault="00C8738F">
      <w:pPr>
        <w:widowControl/>
        <w:tabs>
          <w:tab w:val="left" w:pos="567"/>
        </w:tabs>
        <w:kinsoku w:val="0"/>
        <w:overflowPunct w:val="0"/>
        <w:ind w:left="567" w:hanging="567"/>
        <w:rPr>
          <w:sz w:val="22"/>
          <w:szCs w:val="22"/>
          <w:lang w:val="de-DE"/>
        </w:rPr>
      </w:pPr>
      <w:r>
        <w:rPr>
          <w:sz w:val="22"/>
          <w:szCs w:val="22"/>
          <w:lang w:val="de-DE"/>
        </w:rPr>
        <w:t>Krebs</w:t>
      </w:r>
    </w:p>
    <w:p w14:paraId="7A57C768" w14:textId="77777777" w:rsidR="00FE291A" w:rsidRDefault="00FE291A">
      <w:pPr>
        <w:widowControl/>
        <w:tabs>
          <w:tab w:val="left" w:pos="567"/>
        </w:tabs>
        <w:kinsoku w:val="0"/>
        <w:overflowPunct w:val="0"/>
        <w:ind w:left="567" w:hanging="567"/>
        <w:rPr>
          <w:sz w:val="22"/>
          <w:szCs w:val="22"/>
          <w:lang w:val="de-DE"/>
        </w:rPr>
      </w:pPr>
    </w:p>
    <w:p w14:paraId="1489C7F6" w14:textId="77777777" w:rsidR="00FE291A" w:rsidRDefault="00C8738F">
      <w:pPr>
        <w:pStyle w:val="BodyText"/>
        <w:keepLines/>
        <w:widowControl/>
        <w:numPr>
          <w:ilvl w:val="0"/>
          <w:numId w:val="53"/>
        </w:numPr>
        <w:tabs>
          <w:tab w:val="left" w:pos="567"/>
        </w:tabs>
        <w:kinsoku w:val="0"/>
        <w:overflowPunct w:val="0"/>
        <w:ind w:left="567"/>
        <w:rPr>
          <w:lang w:val="de-DE"/>
        </w:rPr>
      </w:pPr>
      <w:r>
        <w:rPr>
          <w:lang w:val="de-DE"/>
        </w:rPr>
        <w:t xml:space="preserve">Es gab sehr selten Fälle bestimmter Krebsarten bei Patienten (Kindern und Erwachsenen), die Adalimumab oder andere TNF-Blocker erhielten. Patienten mit schwereren Verlaufsformen der rheumatoiden Arthritis und langjährig bestehender Erkrankung können ein im Vergleich zum Durchschnitt erhöhtes Risiko aufweisen für die Entwicklung eines Lymphoms (Krebs, der das Lymphsystem betrifft) und von Leukämie (Krebs, der das Blut und das Knochenmark betrifft). </w:t>
      </w:r>
    </w:p>
    <w:p w14:paraId="04C8E07E" w14:textId="77777777" w:rsidR="00FE291A" w:rsidRDefault="00C8738F">
      <w:pPr>
        <w:pStyle w:val="BodyText"/>
        <w:keepLines/>
        <w:widowControl/>
        <w:numPr>
          <w:ilvl w:val="0"/>
          <w:numId w:val="53"/>
        </w:numPr>
        <w:tabs>
          <w:tab w:val="left" w:pos="567"/>
        </w:tabs>
        <w:kinsoku w:val="0"/>
        <w:overflowPunct w:val="0"/>
        <w:ind w:left="567"/>
        <w:rPr>
          <w:lang w:val="de-DE"/>
        </w:rPr>
      </w:pPr>
      <w:r>
        <w:rPr>
          <w:lang w:val="de-DE"/>
        </w:rPr>
        <w:t>Wenn Sie AMGEVITA anwenden, kann sich Ihr Risiko, Lymphome, Leukämie oder andere Krebsformen zu entwickeln, möglicherweise erhöhen. In seltenen Fällen wurde bei Patienten, die mit Adalimumab behandelt wurden, eine besondere und schwere Form des Lymphoms beobachtet. Einige dieser Patienten wurden gleichzeitig mit dem Wirkstoff Azathioprin oder 6</w:t>
      </w:r>
      <w:r>
        <w:rPr>
          <w:lang w:val="de-DE"/>
        </w:rPr>
        <w:noBreakHyphen/>
        <w:t>Mercaptopurin behandelt. Teilen Sie Ihrem Arzt mit, wenn Sie Azathioprin oder 6</w:t>
      </w:r>
      <w:r>
        <w:rPr>
          <w:lang w:val="de-DE"/>
        </w:rPr>
        <w:noBreakHyphen/>
        <w:t xml:space="preserve">Mercaptopurin zusammen mit AMGEVITA einnehmen. </w:t>
      </w:r>
    </w:p>
    <w:p w14:paraId="2958F720" w14:textId="77777777" w:rsidR="00FE291A" w:rsidRDefault="00C8738F">
      <w:pPr>
        <w:pStyle w:val="BodyText"/>
        <w:keepLines/>
        <w:widowControl/>
        <w:numPr>
          <w:ilvl w:val="0"/>
          <w:numId w:val="53"/>
        </w:numPr>
        <w:tabs>
          <w:tab w:val="left" w:pos="567"/>
        </w:tabs>
        <w:kinsoku w:val="0"/>
        <w:overflowPunct w:val="0"/>
        <w:ind w:left="567"/>
        <w:rPr>
          <w:lang w:val="de-DE"/>
        </w:rPr>
      </w:pPr>
      <w:r>
        <w:rPr>
          <w:lang w:val="de-DE"/>
        </w:rPr>
        <w:t>Darüber hinaus wurden bei Patienten unter Adalimumab-Therapie Fälle mit Hauttumoren, die keine Melanome waren, beobachtet. Falls während oder nach der Behandlung neue Hautveränderungen auftreten oder sich das Aussehen bereits bestehender Hautverletzungen verändert, informieren Sie bitte Ihren Arzt.</w:t>
      </w:r>
    </w:p>
    <w:p w14:paraId="550D46B0"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Bei Patienten mit einer besonderen Art von Lungenerkrankung, der chronischen obstruktiven Lungenerkrankung (COPD), sind unter Behandlung mit einem anderen TNF-Blocker Krebsarten aufgetreten. Unter diesen Krebsarten waren keine Lymphome. Wenn Sie COPD haben oder wenn Sie stark rauchen, sollten Sie mit Ihrem Arzt besprechen, ob die Behandlung mit einem TNF-Blocker für Sie geeignet ist.</w:t>
      </w:r>
    </w:p>
    <w:p w14:paraId="795DB363" w14:textId="77777777" w:rsidR="00FE291A" w:rsidRDefault="00FE291A">
      <w:pPr>
        <w:pStyle w:val="BodyText"/>
        <w:widowControl/>
        <w:tabs>
          <w:tab w:val="left" w:pos="567"/>
        </w:tabs>
        <w:kinsoku w:val="0"/>
        <w:overflowPunct w:val="0"/>
        <w:ind w:left="0"/>
        <w:rPr>
          <w:lang w:val="de-DE"/>
        </w:rPr>
      </w:pPr>
    </w:p>
    <w:p w14:paraId="1AB7DAEC" w14:textId="77777777" w:rsidR="00FE291A" w:rsidRDefault="00C8738F">
      <w:pPr>
        <w:pStyle w:val="ListParagraph"/>
        <w:rPr>
          <w:sz w:val="22"/>
          <w:lang w:val="de-DE"/>
        </w:rPr>
      </w:pPr>
      <w:r>
        <w:rPr>
          <w:sz w:val="22"/>
          <w:lang w:val="de-DE"/>
        </w:rPr>
        <w:t>Autoimmunerkrankung</w:t>
      </w:r>
      <w:del w:id="142" w:author="Author">
        <w:r>
          <w:rPr>
            <w:sz w:val="22"/>
            <w:lang w:val="de-DE"/>
          </w:rPr>
          <w:delText>en</w:delText>
        </w:r>
      </w:del>
    </w:p>
    <w:p w14:paraId="1A565040" w14:textId="77777777" w:rsidR="00FE291A" w:rsidRDefault="00FE291A">
      <w:pPr>
        <w:pStyle w:val="ListParagraph"/>
        <w:rPr>
          <w:sz w:val="22"/>
          <w:lang w:val="de-DE"/>
        </w:rPr>
      </w:pPr>
    </w:p>
    <w:p w14:paraId="7C5169C8"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In seltenen Fällen kann die Behandlung mit AMGEVITA ein lupusähnliches Syndrom auslösen. Kontaktieren Sie Ihren Arzt, falls Symptome wie ein anhaltender, nicht erklärbarer Hautausschlag, Fieber, Gelenkschmerzen oder Müdigkeit auftreten.</w:t>
      </w:r>
    </w:p>
    <w:p w14:paraId="5A54293F" w14:textId="77777777" w:rsidR="00FE291A" w:rsidRDefault="00FE291A">
      <w:pPr>
        <w:widowControl/>
        <w:kinsoku w:val="0"/>
        <w:overflowPunct w:val="0"/>
        <w:rPr>
          <w:sz w:val="22"/>
          <w:szCs w:val="22"/>
          <w:lang w:val="de-DE"/>
        </w:rPr>
      </w:pPr>
    </w:p>
    <w:p w14:paraId="69BF3F02" w14:textId="77777777" w:rsidR="00FE291A" w:rsidRDefault="00C8738F">
      <w:pPr>
        <w:pStyle w:val="BodyText"/>
        <w:widowControl/>
        <w:kinsoku w:val="0"/>
        <w:overflowPunct w:val="0"/>
        <w:ind w:left="0"/>
        <w:rPr>
          <w:lang w:val="de-DE"/>
        </w:rPr>
      </w:pPr>
      <w:r>
        <w:rPr>
          <w:lang w:val="de-DE"/>
        </w:rPr>
        <w:t>Um die Nachverfolgbarkeit dieses Arzneimittels zu verbessern, sollte Ihr Arzt oder Apotheker den Namen und die Chargenbezeichnung des bei Ihnen angewendeten Arzneimittels in Ihrer Krankenakte dokumentieren. Möglicherweise möchten Sie sich diese Informationen ebenfalls für den Fall notieren, dass Sie später danach gefragt werden.</w:t>
      </w:r>
    </w:p>
    <w:p w14:paraId="68E129DC" w14:textId="77777777" w:rsidR="00FE291A" w:rsidRDefault="00FE291A">
      <w:pPr>
        <w:widowControl/>
        <w:kinsoku w:val="0"/>
        <w:overflowPunct w:val="0"/>
        <w:rPr>
          <w:sz w:val="22"/>
          <w:szCs w:val="22"/>
          <w:lang w:val="de-DE"/>
        </w:rPr>
      </w:pPr>
    </w:p>
    <w:p w14:paraId="210FB99C" w14:textId="77777777" w:rsidR="00FE291A" w:rsidRDefault="00C8738F">
      <w:pPr>
        <w:pStyle w:val="Heading1"/>
        <w:keepNext/>
        <w:keepLines/>
        <w:widowControl/>
        <w:kinsoku w:val="0"/>
        <w:overflowPunct w:val="0"/>
        <w:ind w:left="0"/>
        <w:rPr>
          <w:b w:val="0"/>
          <w:bCs w:val="0"/>
          <w:lang w:val="de-DE"/>
        </w:rPr>
      </w:pPr>
      <w:r>
        <w:rPr>
          <w:lang w:val="de-DE"/>
        </w:rPr>
        <w:t>Kinder und Jugendliche</w:t>
      </w:r>
    </w:p>
    <w:p w14:paraId="73506398" w14:textId="77777777" w:rsidR="00FE291A" w:rsidRDefault="00FE291A">
      <w:pPr>
        <w:keepNext/>
        <w:widowControl/>
        <w:kinsoku w:val="0"/>
        <w:overflowPunct w:val="0"/>
        <w:rPr>
          <w:sz w:val="22"/>
          <w:szCs w:val="22"/>
          <w:lang w:val="de-DE"/>
        </w:rPr>
      </w:pPr>
    </w:p>
    <w:p w14:paraId="6E09BAD2" w14:textId="77777777" w:rsidR="00FE291A" w:rsidRDefault="00C8738F">
      <w:pPr>
        <w:pStyle w:val="BodyText"/>
        <w:widowControl/>
        <w:numPr>
          <w:ilvl w:val="0"/>
          <w:numId w:val="54"/>
        </w:numPr>
        <w:tabs>
          <w:tab w:val="left" w:pos="567"/>
        </w:tabs>
        <w:kinsoku w:val="0"/>
        <w:overflowPunct w:val="0"/>
        <w:ind w:left="567"/>
        <w:rPr>
          <w:lang w:val="de-DE"/>
        </w:rPr>
      </w:pPr>
      <w:r>
        <w:rPr>
          <w:lang w:val="de-DE"/>
        </w:rPr>
        <w:t>Impfungen: Wenn möglich, sollten Kinder und Jugendliche vor Anwendung von AMGEVITA auf dem neuesten Stand mit allen Impfungen sein.</w:t>
      </w:r>
    </w:p>
    <w:p w14:paraId="06510D31" w14:textId="77777777" w:rsidR="00FE291A" w:rsidRDefault="00FE291A">
      <w:pPr>
        <w:widowControl/>
        <w:tabs>
          <w:tab w:val="left" w:pos="567"/>
        </w:tabs>
        <w:kinsoku w:val="0"/>
        <w:overflowPunct w:val="0"/>
        <w:ind w:left="567" w:hanging="567"/>
        <w:rPr>
          <w:sz w:val="22"/>
          <w:szCs w:val="22"/>
          <w:lang w:val="de-DE"/>
        </w:rPr>
      </w:pPr>
    </w:p>
    <w:p w14:paraId="6E73D0DD" w14:textId="77777777" w:rsidR="00FE291A" w:rsidRDefault="00C8738F">
      <w:pPr>
        <w:pStyle w:val="BodyText"/>
        <w:widowControl/>
        <w:numPr>
          <w:ilvl w:val="0"/>
          <w:numId w:val="54"/>
        </w:numPr>
        <w:tabs>
          <w:tab w:val="left" w:pos="567"/>
        </w:tabs>
        <w:kinsoku w:val="0"/>
        <w:overflowPunct w:val="0"/>
        <w:ind w:left="567"/>
        <w:rPr>
          <w:lang w:val="de-DE"/>
        </w:rPr>
      </w:pPr>
      <w:r>
        <w:rPr>
          <w:lang w:val="de-DE"/>
        </w:rPr>
        <w:t>Wenden Sie AMGEVITA nicht bei Kleinkindern mit polyartikulärer juveniler idiopathischer Arthritis an, die jünger als 2 Jahre sind.</w:t>
      </w:r>
    </w:p>
    <w:p w14:paraId="6C2093BC" w14:textId="77777777" w:rsidR="00FE291A" w:rsidRDefault="00FE291A">
      <w:pPr>
        <w:pStyle w:val="ListParagraph"/>
        <w:rPr>
          <w:lang w:val="de-DE"/>
        </w:rPr>
      </w:pPr>
    </w:p>
    <w:p w14:paraId="38D09167" w14:textId="77777777" w:rsidR="00FE291A" w:rsidRDefault="00C8738F">
      <w:pPr>
        <w:pStyle w:val="BodyText"/>
        <w:widowControl/>
        <w:numPr>
          <w:ilvl w:val="0"/>
          <w:numId w:val="54"/>
        </w:numPr>
        <w:tabs>
          <w:tab w:val="left" w:pos="567"/>
        </w:tabs>
        <w:kinsoku w:val="0"/>
        <w:overflowPunct w:val="0"/>
        <w:ind w:left="567"/>
        <w:rPr>
          <w:lang w:val="de-DE"/>
        </w:rPr>
      </w:pPr>
      <w:r>
        <w:rPr>
          <w:lang w:val="de-DE"/>
        </w:rPr>
        <w:t>Wenden Sie AMGEVITA nicht bei Kindern mit Plaque-Psoriasis an, die jünger als 4 Jahre sind.</w:t>
      </w:r>
    </w:p>
    <w:p w14:paraId="3466EADE" w14:textId="77777777" w:rsidR="00FE291A" w:rsidRDefault="00FE291A">
      <w:pPr>
        <w:pStyle w:val="ListParagraph"/>
        <w:rPr>
          <w:lang w:val="de-DE"/>
        </w:rPr>
      </w:pPr>
    </w:p>
    <w:p w14:paraId="6B4D274E" w14:textId="77777777" w:rsidR="00FE291A" w:rsidRDefault="00C8738F">
      <w:pPr>
        <w:pStyle w:val="BodyText"/>
        <w:widowControl/>
        <w:numPr>
          <w:ilvl w:val="0"/>
          <w:numId w:val="54"/>
        </w:numPr>
        <w:tabs>
          <w:tab w:val="left" w:pos="567"/>
        </w:tabs>
        <w:kinsoku w:val="0"/>
        <w:overflowPunct w:val="0"/>
        <w:ind w:left="567"/>
        <w:rPr>
          <w:lang w:val="de-DE"/>
        </w:rPr>
      </w:pPr>
      <w:r>
        <w:rPr>
          <w:lang w:val="de-DE"/>
        </w:rPr>
        <w:t>Wenden Sie AMGEVITA nicht bei Kindern mit Morbus Crohn oder Colitis ulcerosa an, die jünger als 6 Jahre sind.</w:t>
      </w:r>
    </w:p>
    <w:p w14:paraId="09E9C151" w14:textId="77777777" w:rsidR="00FE291A" w:rsidRDefault="00FE291A">
      <w:pPr>
        <w:pStyle w:val="ListParagraph"/>
        <w:widowControl/>
        <w:rPr>
          <w:sz w:val="22"/>
          <w:lang w:val="de-DE"/>
        </w:rPr>
      </w:pPr>
    </w:p>
    <w:p w14:paraId="67A9FC24" w14:textId="77777777" w:rsidR="00FE291A" w:rsidRDefault="00C8738F">
      <w:pPr>
        <w:pStyle w:val="Heading1"/>
        <w:widowControl/>
        <w:kinsoku w:val="0"/>
        <w:overflowPunct w:val="0"/>
        <w:ind w:left="0"/>
        <w:rPr>
          <w:b w:val="0"/>
          <w:bCs w:val="0"/>
          <w:lang w:val="de-DE"/>
        </w:rPr>
      </w:pPr>
      <w:r>
        <w:rPr>
          <w:lang w:val="de-DE"/>
        </w:rPr>
        <w:t>Anwendung von AMGEVITA zusammen mit anderen Arzneimitteln</w:t>
      </w:r>
    </w:p>
    <w:p w14:paraId="7F3AE85C" w14:textId="77777777" w:rsidR="00FE291A" w:rsidRDefault="00FE291A">
      <w:pPr>
        <w:widowControl/>
        <w:kinsoku w:val="0"/>
        <w:overflowPunct w:val="0"/>
        <w:rPr>
          <w:sz w:val="22"/>
          <w:szCs w:val="22"/>
          <w:lang w:val="de-DE"/>
        </w:rPr>
      </w:pPr>
    </w:p>
    <w:p w14:paraId="11F11839" w14:textId="77777777" w:rsidR="00FE291A" w:rsidRDefault="00C8738F">
      <w:pPr>
        <w:pStyle w:val="BodyText"/>
        <w:widowControl/>
        <w:kinsoku w:val="0"/>
        <w:overflowPunct w:val="0"/>
        <w:ind w:left="0"/>
        <w:rPr>
          <w:lang w:val="de-DE"/>
        </w:rPr>
      </w:pPr>
      <w:r>
        <w:rPr>
          <w:lang w:val="de-DE"/>
        </w:rPr>
        <w:t>Informieren Sie Ihren Arzt oder Apotheker, wenn Sie andere Arzneimittel einnehmen, kürzlich andere Arzneimittel eingenommen haben oder Sie beabsichtigen, andere Arzneimittel einzunehmen.</w:t>
      </w:r>
    </w:p>
    <w:p w14:paraId="693AED7D" w14:textId="77777777" w:rsidR="00FE291A" w:rsidRDefault="00FE291A">
      <w:pPr>
        <w:widowControl/>
        <w:kinsoku w:val="0"/>
        <w:overflowPunct w:val="0"/>
        <w:rPr>
          <w:sz w:val="22"/>
          <w:szCs w:val="22"/>
          <w:lang w:val="de-DE"/>
        </w:rPr>
      </w:pPr>
    </w:p>
    <w:p w14:paraId="14B5C9C0" w14:textId="77777777" w:rsidR="00FE291A" w:rsidRDefault="00C8738F">
      <w:pPr>
        <w:pStyle w:val="BodyText"/>
        <w:widowControl/>
        <w:kinsoku w:val="0"/>
        <w:overflowPunct w:val="0"/>
        <w:ind w:left="0"/>
        <w:rPr>
          <w:lang w:val="de-DE"/>
        </w:rPr>
      </w:pPr>
      <w:r>
        <w:rPr>
          <w:lang w:val="de-DE"/>
        </w:rPr>
        <w:t>AMGEVITA kann zusammen mit Basistherapeutika (wie Methotrexat, Sulfasalazin, Hydroxychloroquin, Leflunomid und injizierbaren Goldzubereitungen) und mit Kortikosteroiden oder Schmerzmitteln, einschließlich nicht steroidhaltiger entzündungshemmender Antirheumatika (NSAR), verwendet werden.</w:t>
      </w:r>
    </w:p>
    <w:p w14:paraId="1D098F76" w14:textId="77777777" w:rsidR="00FE291A" w:rsidRDefault="00FE291A">
      <w:pPr>
        <w:widowControl/>
        <w:kinsoku w:val="0"/>
        <w:overflowPunct w:val="0"/>
        <w:rPr>
          <w:sz w:val="22"/>
          <w:szCs w:val="22"/>
          <w:lang w:val="de-DE"/>
        </w:rPr>
      </w:pPr>
    </w:p>
    <w:p w14:paraId="12D16B00" w14:textId="77777777" w:rsidR="00FE291A" w:rsidRDefault="00C8738F">
      <w:pPr>
        <w:pStyle w:val="BodyText"/>
        <w:widowControl/>
        <w:kinsoku w:val="0"/>
        <w:overflowPunct w:val="0"/>
        <w:ind w:left="0"/>
        <w:rPr>
          <w:lang w:val="de-DE"/>
        </w:rPr>
      </w:pPr>
      <w:r>
        <w:rPr>
          <w:lang w:val="de-DE"/>
        </w:rPr>
        <w:t>Sie dürfen AMGEVITA nicht zusammen mit Arzneimitteln verwenden, die als Wirkstoff Anakinra oder Abatacept enthalten, da ein erhöhtes Risiko einer schwerwiegenden Infektion besteht. Sollten Sie Fragen haben, wenden Sie sich bitte an Ihren Arzt.</w:t>
      </w:r>
    </w:p>
    <w:p w14:paraId="07029D45" w14:textId="77777777" w:rsidR="00FE291A" w:rsidRDefault="00FE291A">
      <w:pPr>
        <w:widowControl/>
        <w:kinsoku w:val="0"/>
        <w:overflowPunct w:val="0"/>
        <w:rPr>
          <w:sz w:val="22"/>
          <w:szCs w:val="22"/>
          <w:lang w:val="de-DE"/>
        </w:rPr>
      </w:pPr>
    </w:p>
    <w:p w14:paraId="0A58115F" w14:textId="77777777" w:rsidR="00FE291A" w:rsidRDefault="00C8738F">
      <w:pPr>
        <w:pStyle w:val="Heading1"/>
        <w:keepNext/>
        <w:widowControl/>
        <w:kinsoku w:val="0"/>
        <w:overflowPunct w:val="0"/>
        <w:ind w:left="0"/>
        <w:rPr>
          <w:b w:val="0"/>
          <w:bCs w:val="0"/>
          <w:lang w:val="de-DE"/>
        </w:rPr>
      </w:pPr>
      <w:r>
        <w:rPr>
          <w:lang w:val="de-DE"/>
        </w:rPr>
        <w:t>Schwangerschaft und Stillzeit</w:t>
      </w:r>
    </w:p>
    <w:p w14:paraId="6F9F30EA" w14:textId="77777777" w:rsidR="00FE291A" w:rsidRDefault="00FE291A">
      <w:pPr>
        <w:pStyle w:val="BodyText"/>
        <w:keepNext/>
        <w:widowControl/>
        <w:kinsoku w:val="0"/>
        <w:overflowPunct w:val="0"/>
        <w:ind w:left="0"/>
        <w:rPr>
          <w:lang w:val="de-DE"/>
        </w:rPr>
      </w:pPr>
    </w:p>
    <w:p w14:paraId="4924852E" w14:textId="77777777" w:rsidR="00FE291A" w:rsidRDefault="00C8738F">
      <w:pPr>
        <w:widowControl/>
        <w:numPr>
          <w:ilvl w:val="0"/>
          <w:numId w:val="55"/>
        </w:numPr>
        <w:autoSpaceDE/>
        <w:autoSpaceDN/>
        <w:adjustRightInd/>
        <w:ind w:left="567" w:hanging="567"/>
        <w:rPr>
          <w:sz w:val="22"/>
          <w:szCs w:val="22"/>
          <w:lang w:val="de-DE"/>
        </w:rPr>
      </w:pPr>
      <w:r>
        <w:rPr>
          <w:sz w:val="22"/>
          <w:szCs w:val="22"/>
          <w:lang w:val="de-DE"/>
        </w:rPr>
        <w:t>Sie sollten eine geeignete Verhütungsmethode in Erwägung ziehen, um nicht schwanger zu werden, und bis mindestens 5 Monate nach der letzten Dosis von AMGEVITA verhüten.</w:t>
      </w:r>
    </w:p>
    <w:p w14:paraId="19161F70" w14:textId="77777777" w:rsidR="00FE291A" w:rsidRDefault="00C8738F">
      <w:pPr>
        <w:widowControl/>
        <w:numPr>
          <w:ilvl w:val="0"/>
          <w:numId w:val="55"/>
        </w:numPr>
        <w:autoSpaceDE/>
        <w:autoSpaceDN/>
        <w:adjustRightInd/>
        <w:ind w:left="567" w:hanging="567"/>
        <w:rPr>
          <w:sz w:val="22"/>
          <w:szCs w:val="22"/>
          <w:lang w:val="de-DE"/>
        </w:rPr>
      </w:pPr>
      <w:r>
        <w:rPr>
          <w:sz w:val="22"/>
          <w:szCs w:val="22"/>
          <w:lang w:val="de-DE"/>
        </w:rPr>
        <w:t>Wenn Sie schwanger sind, vermuten, schwanger zu sein, oder beabsichtigen, schwanger zu werden, fragen Sie Ihren Arzt zur Anwendung dieses Arzneimittels um Rat.</w:t>
      </w:r>
    </w:p>
    <w:p w14:paraId="00C0CA7B" w14:textId="77777777" w:rsidR="00FE291A" w:rsidRDefault="00C8738F">
      <w:pPr>
        <w:widowControl/>
        <w:numPr>
          <w:ilvl w:val="0"/>
          <w:numId w:val="55"/>
        </w:numPr>
        <w:autoSpaceDE/>
        <w:autoSpaceDN/>
        <w:adjustRightInd/>
        <w:ind w:left="567" w:hanging="567"/>
        <w:rPr>
          <w:sz w:val="22"/>
          <w:szCs w:val="22"/>
          <w:lang w:val="de-DE"/>
        </w:rPr>
      </w:pPr>
      <w:r>
        <w:rPr>
          <w:sz w:val="22"/>
          <w:szCs w:val="22"/>
          <w:lang w:val="de-DE"/>
        </w:rPr>
        <w:t>AMGEVITA sollte während einer Schwangerschaft nur angewendet werden, wenn dies erforderlich ist.</w:t>
      </w:r>
    </w:p>
    <w:p w14:paraId="7F248C66" w14:textId="77777777" w:rsidR="00FE291A" w:rsidRDefault="00C8738F">
      <w:pPr>
        <w:widowControl/>
        <w:numPr>
          <w:ilvl w:val="0"/>
          <w:numId w:val="55"/>
        </w:numPr>
        <w:autoSpaceDE/>
        <w:autoSpaceDN/>
        <w:adjustRightInd/>
        <w:ind w:left="567" w:hanging="567"/>
        <w:rPr>
          <w:sz w:val="22"/>
          <w:szCs w:val="22"/>
          <w:lang w:val="de-DE"/>
        </w:rPr>
      </w:pPr>
      <w:r>
        <w:rPr>
          <w:sz w:val="22"/>
          <w:szCs w:val="22"/>
          <w:lang w:val="de-DE"/>
        </w:rPr>
        <w:t>Laut einer Studie mit Schwangeren bestand bei Kindern von Müttern, die während der Schwangerschaft mit AMGEVITA behandelt wurden, kein höheres Risiko für Geburtsfehler als bei Kindern von Müttern mit der gleichen Erkrankung, die nicht mit AMGEVITA behandelt wurden.</w:t>
      </w:r>
    </w:p>
    <w:p w14:paraId="382B1C58" w14:textId="77777777" w:rsidR="00FE291A" w:rsidRDefault="00C8738F">
      <w:pPr>
        <w:widowControl/>
        <w:numPr>
          <w:ilvl w:val="0"/>
          <w:numId w:val="55"/>
        </w:numPr>
        <w:autoSpaceDE/>
        <w:autoSpaceDN/>
        <w:adjustRightInd/>
        <w:ind w:left="567" w:hanging="567"/>
        <w:rPr>
          <w:sz w:val="22"/>
          <w:szCs w:val="22"/>
          <w:lang w:val="de-DE"/>
        </w:rPr>
      </w:pPr>
      <w:r>
        <w:rPr>
          <w:sz w:val="22"/>
          <w:szCs w:val="22"/>
          <w:lang w:val="de-DE"/>
        </w:rPr>
        <w:t>AMGEVITA kann während der Stillzeit angewendet werden.</w:t>
      </w:r>
    </w:p>
    <w:p w14:paraId="68EB2193" w14:textId="77777777" w:rsidR="00FE291A" w:rsidRDefault="00C8738F">
      <w:pPr>
        <w:widowControl/>
        <w:numPr>
          <w:ilvl w:val="0"/>
          <w:numId w:val="55"/>
        </w:numPr>
        <w:autoSpaceDE/>
        <w:autoSpaceDN/>
        <w:adjustRightInd/>
        <w:ind w:left="567" w:hanging="567"/>
        <w:rPr>
          <w:sz w:val="22"/>
          <w:szCs w:val="22"/>
          <w:lang w:val="de-DE"/>
        </w:rPr>
      </w:pPr>
      <w:r>
        <w:rPr>
          <w:sz w:val="22"/>
          <w:szCs w:val="22"/>
          <w:lang w:val="de-DE"/>
        </w:rPr>
        <w:t>Wenn Sie AMGEVITA während Ihrer Schwangerschaft erhalten haben, hat Ihr Säugling eventuell ein erhöhtes Risiko, eine Infektion zu bekommen.</w:t>
      </w:r>
    </w:p>
    <w:p w14:paraId="1F73FACB" w14:textId="77777777" w:rsidR="00FE291A" w:rsidRDefault="00C8738F">
      <w:pPr>
        <w:pStyle w:val="BodyText"/>
        <w:widowControl/>
        <w:numPr>
          <w:ilvl w:val="0"/>
          <w:numId w:val="55"/>
        </w:numPr>
        <w:kinsoku w:val="0"/>
        <w:overflowPunct w:val="0"/>
        <w:ind w:left="567" w:hanging="567"/>
        <w:rPr>
          <w:lang w:val="de-DE"/>
        </w:rPr>
      </w:pPr>
      <w:r>
        <w:rPr>
          <w:lang w:val="de-DE"/>
        </w:rPr>
        <w:t>Es ist wichtig, dass Sie den Ärzten des Kindes und anderem Fachpersonal im Gesundheitswesen mitteilen, dass Sie AMGEVITA während der Schwangerschaft angewendet haben, bevor Ihr Säugling eine Impfung bekommt. Weitere Information siehe im Abschnitt zu Impfungen unter „Warnhinweise und Vorsichtsmaßnahmen“.</w:t>
      </w:r>
    </w:p>
    <w:p w14:paraId="3F68F0EC" w14:textId="77777777" w:rsidR="00FE291A" w:rsidRDefault="00FE291A">
      <w:pPr>
        <w:pStyle w:val="Heading1"/>
        <w:widowControl/>
        <w:kinsoku w:val="0"/>
        <w:overflowPunct w:val="0"/>
        <w:ind w:left="0"/>
        <w:rPr>
          <w:b w:val="0"/>
          <w:lang w:val="de-DE"/>
        </w:rPr>
      </w:pPr>
    </w:p>
    <w:p w14:paraId="37EF69E6" w14:textId="77777777" w:rsidR="00FE291A" w:rsidRDefault="00C8738F">
      <w:pPr>
        <w:pStyle w:val="Heading1"/>
        <w:keepNext/>
        <w:widowControl/>
        <w:kinsoku w:val="0"/>
        <w:overflowPunct w:val="0"/>
        <w:ind w:left="0"/>
        <w:rPr>
          <w:b w:val="0"/>
          <w:bCs w:val="0"/>
          <w:lang w:val="de-DE"/>
        </w:rPr>
      </w:pPr>
      <w:r>
        <w:rPr>
          <w:lang w:val="de-DE"/>
        </w:rPr>
        <w:t>Verkehrstüchtigkeit und Fähigkeit zum Bedienen von Maschinen</w:t>
      </w:r>
    </w:p>
    <w:p w14:paraId="76BE6010" w14:textId="77777777" w:rsidR="00FE291A" w:rsidRDefault="00FE291A">
      <w:pPr>
        <w:widowControl/>
        <w:kinsoku w:val="0"/>
        <w:overflowPunct w:val="0"/>
        <w:rPr>
          <w:sz w:val="22"/>
          <w:szCs w:val="22"/>
          <w:lang w:val="de-DE"/>
        </w:rPr>
      </w:pPr>
    </w:p>
    <w:p w14:paraId="007838E8" w14:textId="77777777" w:rsidR="00FE291A" w:rsidRDefault="00C8738F">
      <w:pPr>
        <w:pStyle w:val="BodyText"/>
        <w:widowControl/>
        <w:kinsoku w:val="0"/>
        <w:overflowPunct w:val="0"/>
        <w:ind w:left="0"/>
        <w:rPr>
          <w:lang w:val="de-DE"/>
        </w:rPr>
      </w:pPr>
      <w:r>
        <w:rPr>
          <w:lang w:val="de-DE"/>
        </w:rPr>
        <w:t>AMGEVITA kann einen geringen Einfluss auf Ihre Verkehrstüchtigkeit und das Bedienen von Maschinen haben. Bei der Anwendung von AMGEVITA kann das Sehvermögen beeinträchtigt sein und es kann das Gefühl auftreten, dass sich der Raum dreht (Schwindel).</w:t>
      </w:r>
    </w:p>
    <w:p w14:paraId="1F2BCFC2" w14:textId="77777777" w:rsidR="00FE291A" w:rsidRDefault="00FE291A">
      <w:pPr>
        <w:widowControl/>
        <w:kinsoku w:val="0"/>
        <w:overflowPunct w:val="0"/>
        <w:rPr>
          <w:sz w:val="22"/>
          <w:szCs w:val="22"/>
          <w:lang w:val="de-DE"/>
        </w:rPr>
      </w:pPr>
    </w:p>
    <w:p w14:paraId="6ECE1726" w14:textId="77777777" w:rsidR="00FE291A" w:rsidRDefault="00C8738F">
      <w:pPr>
        <w:pStyle w:val="Heading1"/>
        <w:keepNext/>
        <w:widowControl/>
        <w:kinsoku w:val="0"/>
        <w:overflowPunct w:val="0"/>
        <w:ind w:left="0"/>
        <w:rPr>
          <w:lang w:val="de-DE"/>
        </w:rPr>
      </w:pPr>
      <w:r>
        <w:rPr>
          <w:lang w:val="de-DE"/>
        </w:rPr>
        <w:t>AMGEVITA enthält Natrium</w:t>
      </w:r>
    </w:p>
    <w:p w14:paraId="735AF1B1" w14:textId="77777777" w:rsidR="00FE291A" w:rsidRDefault="00FE291A">
      <w:pPr>
        <w:keepNext/>
        <w:widowControl/>
        <w:kinsoku w:val="0"/>
        <w:overflowPunct w:val="0"/>
        <w:rPr>
          <w:sz w:val="22"/>
          <w:szCs w:val="22"/>
          <w:lang w:val="de-DE"/>
        </w:rPr>
      </w:pPr>
    </w:p>
    <w:p w14:paraId="02F716A7" w14:textId="77777777" w:rsidR="00FE291A" w:rsidRDefault="00C8738F">
      <w:pPr>
        <w:pStyle w:val="BodyText"/>
        <w:keepNext/>
        <w:widowControl/>
        <w:kinsoku w:val="0"/>
        <w:overflowPunct w:val="0"/>
        <w:ind w:left="0"/>
        <w:rPr>
          <w:lang w:val="de-DE"/>
        </w:rPr>
      </w:pPr>
      <w:r>
        <w:rPr>
          <w:lang w:val="de-DE"/>
        </w:rPr>
        <w:t>Dieses Arzneimittel enthält weniger als 1 mmol Natrium (23 mg) pro 0,8 ml Dosis, d. h., es ist nahezu „natriumfrei“.</w:t>
      </w:r>
    </w:p>
    <w:p w14:paraId="5C2CC82D" w14:textId="77777777" w:rsidR="00FE291A" w:rsidRDefault="00FE291A">
      <w:pPr>
        <w:widowControl/>
        <w:kinsoku w:val="0"/>
        <w:overflowPunct w:val="0"/>
        <w:rPr>
          <w:sz w:val="22"/>
          <w:szCs w:val="22"/>
          <w:lang w:val="de-DE"/>
        </w:rPr>
      </w:pPr>
    </w:p>
    <w:p w14:paraId="3D085971" w14:textId="77777777" w:rsidR="00FE291A" w:rsidRDefault="00FE291A">
      <w:pPr>
        <w:widowControl/>
        <w:kinsoku w:val="0"/>
        <w:overflowPunct w:val="0"/>
        <w:rPr>
          <w:sz w:val="22"/>
          <w:szCs w:val="22"/>
          <w:lang w:val="de-DE"/>
        </w:rPr>
      </w:pPr>
    </w:p>
    <w:p w14:paraId="045C0E89" w14:textId="77777777" w:rsidR="00FE291A" w:rsidRDefault="00C8738F">
      <w:pPr>
        <w:pStyle w:val="Heading1"/>
        <w:keepNext/>
        <w:widowControl/>
        <w:tabs>
          <w:tab w:val="left" w:pos="567"/>
        </w:tabs>
        <w:kinsoku w:val="0"/>
        <w:overflowPunct w:val="0"/>
        <w:ind w:left="567" w:hanging="567"/>
        <w:rPr>
          <w:b w:val="0"/>
          <w:bCs w:val="0"/>
          <w:lang w:val="de-DE"/>
        </w:rPr>
      </w:pPr>
      <w:r>
        <w:rPr>
          <w:lang w:val="de-DE"/>
        </w:rPr>
        <w:t>3.</w:t>
      </w:r>
      <w:r>
        <w:rPr>
          <w:lang w:val="de-DE"/>
        </w:rPr>
        <w:tab/>
        <w:t>Wie ist AMGEVITA anzuwenden?</w:t>
      </w:r>
    </w:p>
    <w:p w14:paraId="5AA64003" w14:textId="77777777" w:rsidR="00FE291A" w:rsidRDefault="00FE291A">
      <w:pPr>
        <w:keepNext/>
        <w:widowControl/>
        <w:kinsoku w:val="0"/>
        <w:overflowPunct w:val="0"/>
        <w:rPr>
          <w:sz w:val="22"/>
          <w:szCs w:val="22"/>
          <w:lang w:val="de-DE"/>
        </w:rPr>
      </w:pPr>
    </w:p>
    <w:p w14:paraId="36F28D4E" w14:textId="77777777" w:rsidR="00FE291A" w:rsidRDefault="00C8738F">
      <w:pPr>
        <w:pStyle w:val="BodyText"/>
        <w:widowControl/>
        <w:kinsoku w:val="0"/>
        <w:overflowPunct w:val="0"/>
        <w:ind w:left="0"/>
        <w:rPr>
          <w:lang w:val="de-DE"/>
        </w:rPr>
      </w:pPr>
      <w:r>
        <w:rPr>
          <w:lang w:val="de-DE"/>
        </w:rPr>
        <w:t>Wenden Sie dieses Arzneimittel immer genau nach Absprache mit Ihrem Arzt oder Apotheker an. Fragen Sie bei Ihrem Arzt oder Apotheker nach, wenn Sie sich nicht sicher sind.</w:t>
      </w:r>
    </w:p>
    <w:p w14:paraId="1223B77D" w14:textId="77777777" w:rsidR="00FE291A" w:rsidRDefault="00FE291A">
      <w:pPr>
        <w:widowControl/>
        <w:kinsoku w:val="0"/>
        <w:overflowPunct w:val="0"/>
        <w:rPr>
          <w:sz w:val="22"/>
          <w:szCs w:val="22"/>
          <w:lang w:val="de-DE"/>
        </w:rPr>
      </w:pPr>
    </w:p>
    <w:p w14:paraId="7F42FB31" w14:textId="77777777" w:rsidR="00FE291A" w:rsidRDefault="00C8738F">
      <w:pPr>
        <w:pStyle w:val="BodyText"/>
        <w:keepNext/>
        <w:widowControl/>
        <w:kinsoku w:val="0"/>
        <w:overflowPunct w:val="0"/>
        <w:ind w:left="0"/>
        <w:rPr>
          <w:lang w:val="de-DE"/>
        </w:rPr>
      </w:pPr>
      <w:r>
        <w:rPr>
          <w:u w:val="single"/>
          <w:lang w:val="de-DE"/>
        </w:rPr>
        <w:t>Erwachsene mit rheumatoider Arthritis, Psoriasis-Arthritis, ankylosierender Spondylitis oder axialer</w:t>
      </w:r>
      <w:r>
        <w:rPr>
          <w:lang w:val="de-DE"/>
        </w:rPr>
        <w:t xml:space="preserve"> </w:t>
      </w:r>
      <w:r>
        <w:rPr>
          <w:u w:val="single"/>
          <w:lang w:val="de-DE"/>
        </w:rPr>
        <w:t>Spondyloarthritis, bei der im Röntgenbild noch keine Verknöcherung nachweisbar ist</w:t>
      </w:r>
    </w:p>
    <w:p w14:paraId="47AB7D43" w14:textId="77777777" w:rsidR="00FE291A" w:rsidRDefault="00FE291A">
      <w:pPr>
        <w:keepNext/>
        <w:widowControl/>
        <w:kinsoku w:val="0"/>
        <w:overflowPunct w:val="0"/>
        <w:rPr>
          <w:sz w:val="22"/>
          <w:szCs w:val="22"/>
          <w:lang w:val="de-DE"/>
        </w:rPr>
      </w:pPr>
    </w:p>
    <w:p w14:paraId="18F153ED" w14:textId="77777777" w:rsidR="00FE291A" w:rsidRDefault="00C8738F">
      <w:pPr>
        <w:pStyle w:val="BodyText"/>
        <w:widowControl/>
        <w:kinsoku w:val="0"/>
        <w:overflowPunct w:val="0"/>
        <w:ind w:left="0"/>
        <w:rPr>
          <w:lang w:val="de-DE"/>
        </w:rPr>
      </w:pPr>
      <w:r>
        <w:rPr>
          <w:lang w:val="de-DE"/>
        </w:rPr>
        <w:t>AMGEVITA wird unter die Haut gespritzt (subkutane Anwendung). Die übliche Dosis für Erwachsene mit rheumatoider Arthritis, ankylosierender Spondylitis, axialer Spondyloarthritis, bei der im Röntgenbild noch keine Verknöcherung nachweisbar ist, und für Patienten mit Psoriasis-Arthritis beträgt 40 mg, die alle zwei Wochen als Einzeldosis verabreicht wird.</w:t>
      </w:r>
    </w:p>
    <w:p w14:paraId="7D2D63BD" w14:textId="77777777" w:rsidR="00FE291A" w:rsidRDefault="00FE291A">
      <w:pPr>
        <w:widowControl/>
        <w:kinsoku w:val="0"/>
        <w:overflowPunct w:val="0"/>
        <w:rPr>
          <w:sz w:val="22"/>
          <w:szCs w:val="22"/>
          <w:lang w:val="de-DE"/>
        </w:rPr>
      </w:pPr>
    </w:p>
    <w:p w14:paraId="51585626" w14:textId="77777777" w:rsidR="00FE291A" w:rsidRDefault="00C8738F">
      <w:pPr>
        <w:pStyle w:val="BodyText"/>
        <w:widowControl/>
        <w:kinsoku w:val="0"/>
        <w:overflowPunct w:val="0"/>
        <w:ind w:left="0"/>
        <w:rPr>
          <w:lang w:val="de-DE"/>
        </w:rPr>
      </w:pPr>
      <w:r>
        <w:rPr>
          <w:lang w:val="de-DE"/>
        </w:rPr>
        <w:t>Während Sie AMGEVITA bei rheumatoider Arthritis anwenden, wird die Gabe von Methotrexat fortgesetzt. Sollte Ihr Arzt die Gabe von Methotrexat als nicht geeignet erachten, kann AMGEVITA auch alleine angewendet werden.</w:t>
      </w:r>
    </w:p>
    <w:p w14:paraId="44EDDFD3" w14:textId="77777777" w:rsidR="00FE291A" w:rsidRDefault="00FE291A">
      <w:pPr>
        <w:widowControl/>
        <w:kinsoku w:val="0"/>
        <w:overflowPunct w:val="0"/>
        <w:rPr>
          <w:sz w:val="22"/>
          <w:szCs w:val="22"/>
          <w:lang w:val="de-DE"/>
        </w:rPr>
      </w:pPr>
    </w:p>
    <w:p w14:paraId="74B06A54" w14:textId="77777777" w:rsidR="00FE291A" w:rsidRDefault="00C8738F">
      <w:pPr>
        <w:pStyle w:val="BodyText"/>
        <w:widowControl/>
        <w:kinsoku w:val="0"/>
        <w:overflowPunct w:val="0"/>
        <w:ind w:left="0"/>
        <w:rPr>
          <w:lang w:val="de-DE"/>
        </w:rPr>
      </w:pPr>
      <w:r>
        <w:rPr>
          <w:lang w:val="de-DE"/>
        </w:rPr>
        <w:t>Falls Sie an rheumatoider Arthritis erkrankt sind und kein Methotrexat begleitend zu Ihrer Behandlung mit AMGEVITA erhalten, kann Ihr Arzt sich für eine Gabe von 40 mg jede Woche oder 80 mg jede zweite Woche entscheiden.</w:t>
      </w:r>
    </w:p>
    <w:p w14:paraId="2EEC2010" w14:textId="77777777" w:rsidR="00FE291A" w:rsidRDefault="00FE291A">
      <w:pPr>
        <w:widowControl/>
        <w:kinsoku w:val="0"/>
        <w:overflowPunct w:val="0"/>
        <w:rPr>
          <w:sz w:val="22"/>
          <w:szCs w:val="22"/>
          <w:lang w:val="de-DE"/>
        </w:rPr>
      </w:pPr>
    </w:p>
    <w:p w14:paraId="3396CFEB" w14:textId="77777777" w:rsidR="00FE291A" w:rsidRDefault="00C8738F">
      <w:pPr>
        <w:pStyle w:val="BodyText"/>
        <w:keepNext/>
        <w:widowControl/>
        <w:kinsoku w:val="0"/>
        <w:overflowPunct w:val="0"/>
        <w:ind w:left="0"/>
        <w:rPr>
          <w:lang w:val="de-DE"/>
        </w:rPr>
      </w:pPr>
      <w:r>
        <w:rPr>
          <w:u w:val="single"/>
          <w:lang w:val="de-DE"/>
        </w:rPr>
        <w:t>Kinder, Jugendliche und Erwachsene mit polyartikulärer juveniler idiopathischer Arthritis</w:t>
      </w:r>
    </w:p>
    <w:p w14:paraId="3BB33680" w14:textId="77777777" w:rsidR="00FE291A" w:rsidRDefault="00FE291A">
      <w:pPr>
        <w:keepNext/>
        <w:widowControl/>
        <w:kinsoku w:val="0"/>
        <w:overflowPunct w:val="0"/>
        <w:rPr>
          <w:sz w:val="22"/>
          <w:szCs w:val="22"/>
          <w:lang w:val="de-DE"/>
        </w:rPr>
      </w:pPr>
    </w:p>
    <w:p w14:paraId="653E94F4" w14:textId="77777777" w:rsidR="00FE291A" w:rsidRDefault="00C8738F">
      <w:pPr>
        <w:keepNext/>
        <w:rPr>
          <w:i/>
          <w:sz w:val="22"/>
          <w:szCs w:val="22"/>
          <w:lang w:val="de-DE"/>
        </w:rPr>
      </w:pPr>
      <w:r>
        <w:rPr>
          <w:i/>
          <w:sz w:val="22"/>
          <w:szCs w:val="22"/>
          <w:lang w:val="de-DE"/>
        </w:rPr>
        <w:t>Kinder ab 2 Jahren und Jugendliche mit einem Körpergewicht zwischen 10 kg und unter 30 kg</w:t>
      </w:r>
    </w:p>
    <w:p w14:paraId="2CE54748" w14:textId="77777777" w:rsidR="00FE291A" w:rsidRDefault="00FE291A">
      <w:pPr>
        <w:keepNext/>
        <w:widowControl/>
        <w:kinsoku w:val="0"/>
        <w:overflowPunct w:val="0"/>
        <w:rPr>
          <w:sz w:val="22"/>
          <w:szCs w:val="22"/>
          <w:lang w:val="de-DE"/>
        </w:rPr>
      </w:pPr>
    </w:p>
    <w:p w14:paraId="72EC6B8C" w14:textId="77777777" w:rsidR="00FE291A" w:rsidRDefault="00C8738F">
      <w:pPr>
        <w:pStyle w:val="BodyText"/>
        <w:widowControl/>
        <w:kinsoku w:val="0"/>
        <w:overflowPunct w:val="0"/>
        <w:ind w:left="0"/>
        <w:rPr>
          <w:lang w:val="de-DE"/>
        </w:rPr>
      </w:pPr>
      <w:r>
        <w:rPr>
          <w:lang w:val="de-DE"/>
        </w:rPr>
        <w:t>Die empfohlene Dosierung von AMGEVITA beträgt 20 mg jede zweite Woche.</w:t>
      </w:r>
    </w:p>
    <w:p w14:paraId="72E6C441" w14:textId="77777777" w:rsidR="00FE291A" w:rsidRDefault="00FE291A">
      <w:pPr>
        <w:widowControl/>
        <w:kinsoku w:val="0"/>
        <w:overflowPunct w:val="0"/>
        <w:rPr>
          <w:sz w:val="22"/>
          <w:szCs w:val="22"/>
          <w:lang w:val="de-DE"/>
        </w:rPr>
      </w:pPr>
    </w:p>
    <w:p w14:paraId="1A03EF1F" w14:textId="77777777" w:rsidR="00FE291A" w:rsidRDefault="00C8738F">
      <w:pPr>
        <w:keepNext/>
        <w:rPr>
          <w:i/>
          <w:sz w:val="22"/>
          <w:szCs w:val="22"/>
          <w:lang w:val="de-DE"/>
        </w:rPr>
      </w:pPr>
      <w:r>
        <w:rPr>
          <w:i/>
          <w:sz w:val="22"/>
          <w:szCs w:val="22"/>
          <w:lang w:val="de-DE"/>
        </w:rPr>
        <w:t>Kinder ab 2 Jahren, Jugendliche und Erwachsene mit einem Körpergewicht von 30 kg oder mehr</w:t>
      </w:r>
    </w:p>
    <w:p w14:paraId="23F93555" w14:textId="77777777" w:rsidR="00FE291A" w:rsidRDefault="00FE291A">
      <w:pPr>
        <w:keepNext/>
        <w:widowControl/>
        <w:kinsoku w:val="0"/>
        <w:overflowPunct w:val="0"/>
        <w:rPr>
          <w:sz w:val="22"/>
          <w:szCs w:val="22"/>
          <w:lang w:val="de-DE"/>
        </w:rPr>
      </w:pPr>
    </w:p>
    <w:p w14:paraId="2A7FB2C8" w14:textId="77777777" w:rsidR="00FE291A" w:rsidRDefault="00C8738F">
      <w:pPr>
        <w:pStyle w:val="BodyText"/>
        <w:keepNext/>
        <w:widowControl/>
        <w:kinsoku w:val="0"/>
        <w:overflowPunct w:val="0"/>
        <w:ind w:left="0"/>
        <w:rPr>
          <w:lang w:val="de-DE"/>
        </w:rPr>
      </w:pPr>
      <w:r>
        <w:rPr>
          <w:lang w:val="de-DE"/>
        </w:rPr>
        <w:t>Die empfohlene Dosierung von AMGEVITA beträgt 40 mg jede zweite Woche.</w:t>
      </w:r>
    </w:p>
    <w:p w14:paraId="7FFA5F45" w14:textId="77777777" w:rsidR="00FE291A" w:rsidRDefault="00FE291A">
      <w:pPr>
        <w:widowControl/>
        <w:kinsoku w:val="0"/>
        <w:overflowPunct w:val="0"/>
        <w:rPr>
          <w:sz w:val="22"/>
          <w:szCs w:val="22"/>
          <w:lang w:val="de-DE"/>
        </w:rPr>
      </w:pPr>
    </w:p>
    <w:p w14:paraId="4325D83F" w14:textId="77777777" w:rsidR="00FE291A" w:rsidRDefault="00C8738F">
      <w:pPr>
        <w:pStyle w:val="BodyText"/>
        <w:keepNext/>
        <w:widowControl/>
        <w:kinsoku w:val="0"/>
        <w:overflowPunct w:val="0"/>
        <w:ind w:left="0"/>
        <w:rPr>
          <w:lang w:val="de-DE"/>
        </w:rPr>
      </w:pPr>
      <w:r>
        <w:rPr>
          <w:u w:val="single"/>
          <w:lang w:val="de-DE"/>
        </w:rPr>
        <w:t>Kinder, Jugendliche und Erwachsene mit Enthesitis-assoziierter Arthritis</w:t>
      </w:r>
    </w:p>
    <w:p w14:paraId="1DE5BE3C" w14:textId="77777777" w:rsidR="00FE291A" w:rsidRDefault="00FE291A">
      <w:pPr>
        <w:keepNext/>
        <w:widowControl/>
        <w:kinsoku w:val="0"/>
        <w:overflowPunct w:val="0"/>
        <w:rPr>
          <w:sz w:val="22"/>
          <w:szCs w:val="22"/>
          <w:lang w:val="de-DE"/>
        </w:rPr>
      </w:pPr>
    </w:p>
    <w:p w14:paraId="11BFB301" w14:textId="77777777" w:rsidR="00FE291A" w:rsidRDefault="00C8738F">
      <w:pPr>
        <w:keepNext/>
        <w:rPr>
          <w:i/>
          <w:sz w:val="22"/>
          <w:szCs w:val="22"/>
          <w:lang w:val="de-DE"/>
        </w:rPr>
      </w:pPr>
      <w:r>
        <w:rPr>
          <w:i/>
          <w:sz w:val="22"/>
          <w:szCs w:val="22"/>
          <w:lang w:val="de-DE"/>
        </w:rPr>
        <w:t>Kinder ab 6 Jahren und Jugendliche mit einem Körpergewicht zwischen 15 kg und unter 30 kg</w:t>
      </w:r>
    </w:p>
    <w:p w14:paraId="0242F17A" w14:textId="77777777" w:rsidR="00FE291A" w:rsidRDefault="00FE291A">
      <w:pPr>
        <w:keepNext/>
        <w:rPr>
          <w:sz w:val="22"/>
          <w:szCs w:val="22"/>
          <w:lang w:val="de-DE"/>
        </w:rPr>
      </w:pPr>
    </w:p>
    <w:p w14:paraId="5D368D11" w14:textId="77777777" w:rsidR="00FE291A" w:rsidRDefault="00C8738F">
      <w:pPr>
        <w:keepNext/>
        <w:rPr>
          <w:sz w:val="22"/>
          <w:szCs w:val="22"/>
          <w:lang w:val="de-DE"/>
        </w:rPr>
      </w:pPr>
      <w:r>
        <w:rPr>
          <w:sz w:val="22"/>
          <w:szCs w:val="22"/>
          <w:lang w:val="de-DE"/>
        </w:rPr>
        <w:t>Die empfohlene Dosierung von AMGEVITA beträgt 20 mg jede zweite Woche.</w:t>
      </w:r>
    </w:p>
    <w:p w14:paraId="10CEA46A" w14:textId="77777777" w:rsidR="00FE291A" w:rsidRDefault="00FE291A">
      <w:pPr>
        <w:rPr>
          <w:sz w:val="22"/>
          <w:szCs w:val="22"/>
          <w:lang w:val="de-DE"/>
        </w:rPr>
      </w:pPr>
    </w:p>
    <w:p w14:paraId="62863BD1" w14:textId="77777777" w:rsidR="00FE291A" w:rsidRDefault="00C8738F">
      <w:pPr>
        <w:keepNext/>
        <w:rPr>
          <w:i/>
          <w:sz w:val="22"/>
          <w:szCs w:val="22"/>
          <w:lang w:val="de-DE"/>
        </w:rPr>
      </w:pPr>
      <w:r>
        <w:rPr>
          <w:i/>
          <w:sz w:val="22"/>
          <w:szCs w:val="22"/>
          <w:lang w:val="de-DE"/>
        </w:rPr>
        <w:t>Kinder ab 6 Jahren, Jugendliche und Erwachsene mit einem Körpergewicht von 30 kg oder mehr</w:t>
      </w:r>
    </w:p>
    <w:p w14:paraId="52B19B70" w14:textId="77777777" w:rsidR="00FE291A" w:rsidRDefault="00FE291A">
      <w:pPr>
        <w:keepNext/>
        <w:rPr>
          <w:i/>
          <w:sz w:val="22"/>
          <w:szCs w:val="22"/>
          <w:lang w:val="de-DE"/>
        </w:rPr>
      </w:pPr>
    </w:p>
    <w:p w14:paraId="02A501B7" w14:textId="77777777" w:rsidR="00FE291A" w:rsidRDefault="00C8738F">
      <w:pPr>
        <w:keepNext/>
        <w:rPr>
          <w:sz w:val="22"/>
          <w:szCs w:val="22"/>
          <w:lang w:val="de-DE"/>
        </w:rPr>
      </w:pPr>
      <w:r>
        <w:rPr>
          <w:sz w:val="22"/>
          <w:szCs w:val="22"/>
          <w:lang w:val="de-DE"/>
        </w:rPr>
        <w:t>Die empfohlene Dosierung von AMGEVITA beträgt 40 mg jede zweite Woche.</w:t>
      </w:r>
    </w:p>
    <w:p w14:paraId="0F3F7DC9" w14:textId="77777777" w:rsidR="00FE291A" w:rsidRDefault="00FE291A">
      <w:pPr>
        <w:rPr>
          <w:sz w:val="22"/>
          <w:szCs w:val="22"/>
          <w:lang w:val="de-DE"/>
        </w:rPr>
      </w:pPr>
    </w:p>
    <w:p w14:paraId="11C93342" w14:textId="77777777" w:rsidR="00FE291A" w:rsidRDefault="00C8738F">
      <w:pPr>
        <w:pStyle w:val="BodyText"/>
        <w:keepNext/>
        <w:widowControl/>
        <w:kinsoku w:val="0"/>
        <w:overflowPunct w:val="0"/>
        <w:ind w:left="0"/>
        <w:rPr>
          <w:lang w:val="de-DE"/>
        </w:rPr>
      </w:pPr>
      <w:r>
        <w:rPr>
          <w:u w:val="single"/>
          <w:lang w:val="de-DE"/>
        </w:rPr>
        <w:t>Erwachsene mit Plaque-Psoriasis</w:t>
      </w:r>
    </w:p>
    <w:p w14:paraId="6EC02E09" w14:textId="77777777" w:rsidR="00FE291A" w:rsidRDefault="00FE291A">
      <w:pPr>
        <w:keepNext/>
        <w:widowControl/>
        <w:kinsoku w:val="0"/>
        <w:overflowPunct w:val="0"/>
        <w:rPr>
          <w:sz w:val="22"/>
          <w:szCs w:val="22"/>
          <w:lang w:val="de-DE"/>
        </w:rPr>
      </w:pPr>
    </w:p>
    <w:p w14:paraId="5DB2FEE9" w14:textId="77777777" w:rsidR="00FE291A" w:rsidRDefault="00C8738F">
      <w:pPr>
        <w:pStyle w:val="BodyText"/>
        <w:widowControl/>
        <w:kinsoku w:val="0"/>
        <w:overflowPunct w:val="0"/>
        <w:ind w:left="0"/>
        <w:rPr>
          <w:lang w:val="de-DE"/>
        </w:rPr>
      </w:pPr>
      <w:r>
        <w:rPr>
          <w:lang w:val="de-DE"/>
        </w:rPr>
        <w:t>Die übliche Dosierung für erwachsene Plaque-Psoriasispatienten beträgt 80 mg als Anfangsdosis, gefolgt von 40 mg jede zweite Woche, beginnend eine Woche nach der Anfangsdosis. Sie sollten AMGEVITA so lange spritzen, wie Sie dies mit Ihrem Arzt besprochen haben. Je nachdem, wie Sie auf die Behandlung ansprechen, kann Ihr Arzt die Dosis auf 40 mg jede Woche oder 80 mg jede zweite Woche erhöhen.</w:t>
      </w:r>
    </w:p>
    <w:p w14:paraId="36EA235C" w14:textId="77777777" w:rsidR="00FE291A" w:rsidRDefault="00FE291A">
      <w:pPr>
        <w:widowControl/>
        <w:kinsoku w:val="0"/>
        <w:overflowPunct w:val="0"/>
        <w:rPr>
          <w:sz w:val="22"/>
          <w:szCs w:val="22"/>
          <w:lang w:val="de-DE"/>
        </w:rPr>
      </w:pPr>
    </w:p>
    <w:p w14:paraId="4F5B5DC8" w14:textId="77777777" w:rsidR="00FE291A" w:rsidRDefault="00C8738F">
      <w:pPr>
        <w:pStyle w:val="BodyText"/>
        <w:keepNext/>
        <w:widowControl/>
        <w:kinsoku w:val="0"/>
        <w:overflowPunct w:val="0"/>
        <w:ind w:left="0"/>
        <w:rPr>
          <w:lang w:val="de-DE"/>
        </w:rPr>
      </w:pPr>
      <w:r>
        <w:rPr>
          <w:u w:val="single"/>
          <w:lang w:val="de-DE"/>
        </w:rPr>
        <w:t>Kinder und Jugendliche mit Plaque-Psoriasis</w:t>
      </w:r>
    </w:p>
    <w:p w14:paraId="7F29A7EE" w14:textId="77777777" w:rsidR="00FE291A" w:rsidRDefault="00FE291A">
      <w:pPr>
        <w:keepNext/>
        <w:widowControl/>
        <w:kinsoku w:val="0"/>
        <w:overflowPunct w:val="0"/>
        <w:rPr>
          <w:sz w:val="22"/>
          <w:szCs w:val="22"/>
          <w:lang w:val="de-DE"/>
        </w:rPr>
      </w:pPr>
    </w:p>
    <w:p w14:paraId="7C1C5356" w14:textId="77777777" w:rsidR="00FE291A" w:rsidRDefault="00C8738F">
      <w:pPr>
        <w:keepNext/>
        <w:widowControl/>
        <w:kinsoku w:val="0"/>
        <w:overflowPunct w:val="0"/>
        <w:rPr>
          <w:sz w:val="22"/>
          <w:szCs w:val="22"/>
          <w:lang w:val="de-DE"/>
        </w:rPr>
      </w:pPr>
      <w:r>
        <w:rPr>
          <w:i/>
          <w:sz w:val="22"/>
          <w:szCs w:val="22"/>
          <w:lang w:val="de-DE"/>
        </w:rPr>
        <w:t>Kinder und Jugendliche zwischen 4 und 17 Jahren und einem Körpergewicht zwischen 15 kg und unter 30 kg</w:t>
      </w:r>
    </w:p>
    <w:p w14:paraId="65B61070" w14:textId="77777777" w:rsidR="00FE291A" w:rsidRDefault="00FE291A">
      <w:pPr>
        <w:pStyle w:val="BodyText"/>
        <w:widowControl/>
        <w:kinsoku w:val="0"/>
        <w:overflowPunct w:val="0"/>
        <w:ind w:left="0"/>
        <w:rPr>
          <w:lang w:val="de-DE"/>
        </w:rPr>
      </w:pPr>
    </w:p>
    <w:p w14:paraId="14A17ED1" w14:textId="77777777" w:rsidR="00FE291A" w:rsidRDefault="00C8738F">
      <w:pPr>
        <w:pStyle w:val="BodyText"/>
        <w:widowControl/>
        <w:kinsoku w:val="0"/>
        <w:overflowPunct w:val="0"/>
        <w:ind w:left="0"/>
        <w:rPr>
          <w:lang w:val="de-DE"/>
        </w:rPr>
      </w:pPr>
      <w:r>
        <w:rPr>
          <w:lang w:val="de-DE"/>
        </w:rPr>
        <w:t>Die empfohlene Anfangsdosis von AMGEVITA beträgt 20 mg, gefolgt von 20 mg eine Woche später. Danach werden üblicherweise 20 mg jede zweite Woche verabreicht.</w:t>
      </w:r>
    </w:p>
    <w:p w14:paraId="128AE182" w14:textId="77777777" w:rsidR="00FE291A" w:rsidRDefault="00FE291A">
      <w:pPr>
        <w:pStyle w:val="BodyText"/>
        <w:widowControl/>
        <w:kinsoku w:val="0"/>
        <w:overflowPunct w:val="0"/>
        <w:ind w:left="0"/>
        <w:rPr>
          <w:lang w:val="de-DE"/>
        </w:rPr>
      </w:pPr>
    </w:p>
    <w:p w14:paraId="74F9F9F0" w14:textId="77777777" w:rsidR="00FE291A" w:rsidRDefault="00C8738F">
      <w:pPr>
        <w:rPr>
          <w:i/>
          <w:sz w:val="22"/>
          <w:szCs w:val="22"/>
          <w:lang w:val="de-DE"/>
        </w:rPr>
      </w:pPr>
      <w:r>
        <w:rPr>
          <w:i/>
          <w:sz w:val="22"/>
          <w:szCs w:val="22"/>
          <w:lang w:val="de-DE"/>
        </w:rPr>
        <w:t>Kinder und Jugendliche zwischen 4 und 17 Jahren und einem Körpergewicht von 30 kg oder mehr</w:t>
      </w:r>
    </w:p>
    <w:p w14:paraId="34F6517E" w14:textId="77777777" w:rsidR="00FE291A" w:rsidRDefault="00FE291A">
      <w:pPr>
        <w:rPr>
          <w:sz w:val="22"/>
          <w:szCs w:val="22"/>
          <w:lang w:val="de-DE"/>
        </w:rPr>
      </w:pPr>
    </w:p>
    <w:p w14:paraId="68A1186D" w14:textId="77777777" w:rsidR="00FE291A" w:rsidRDefault="00C8738F">
      <w:pPr>
        <w:rPr>
          <w:sz w:val="22"/>
          <w:szCs w:val="22"/>
          <w:lang w:val="de-DE"/>
        </w:rPr>
      </w:pPr>
      <w:r>
        <w:rPr>
          <w:sz w:val="22"/>
          <w:szCs w:val="22"/>
          <w:lang w:val="de-DE"/>
        </w:rPr>
        <w:t>Die empfohlene Anfangsdosis von AMGEVITA beträgt 40 mg, gefolgt von 40 mg eine Woche später. Danach werden üblicherweise 40 mg jede zweite Woche verabreicht.</w:t>
      </w:r>
    </w:p>
    <w:p w14:paraId="0732FCA5" w14:textId="77777777" w:rsidR="00FE291A" w:rsidRDefault="00FE291A">
      <w:pPr>
        <w:pStyle w:val="BodyText"/>
        <w:widowControl/>
        <w:kinsoku w:val="0"/>
        <w:overflowPunct w:val="0"/>
        <w:ind w:left="0"/>
        <w:rPr>
          <w:lang w:val="de-DE"/>
        </w:rPr>
      </w:pPr>
    </w:p>
    <w:p w14:paraId="4A1300C3" w14:textId="77777777" w:rsidR="00FE291A" w:rsidRDefault="00C8738F">
      <w:pPr>
        <w:pStyle w:val="BodyText"/>
        <w:keepNext/>
        <w:widowControl/>
        <w:kinsoku w:val="0"/>
        <w:overflowPunct w:val="0"/>
        <w:ind w:left="0"/>
        <w:rPr>
          <w:lang w:val="de-DE"/>
        </w:rPr>
      </w:pPr>
      <w:r>
        <w:rPr>
          <w:u w:val="single"/>
          <w:lang w:val="de-DE"/>
        </w:rPr>
        <w:t>Erwachsene mit Hidradenitis suppurativa (Acne inversa)</w:t>
      </w:r>
    </w:p>
    <w:p w14:paraId="561102DE" w14:textId="77777777" w:rsidR="00FE291A" w:rsidRDefault="00FE291A">
      <w:pPr>
        <w:keepNext/>
        <w:widowControl/>
        <w:kinsoku w:val="0"/>
        <w:overflowPunct w:val="0"/>
        <w:rPr>
          <w:sz w:val="22"/>
          <w:szCs w:val="22"/>
          <w:lang w:val="de-DE"/>
        </w:rPr>
      </w:pPr>
    </w:p>
    <w:p w14:paraId="65A7EA2B" w14:textId="77777777" w:rsidR="00FE291A" w:rsidRDefault="00C8738F">
      <w:pPr>
        <w:pStyle w:val="BodyText"/>
        <w:widowControl/>
        <w:kinsoku w:val="0"/>
        <w:overflowPunct w:val="0"/>
        <w:ind w:left="0"/>
        <w:rPr>
          <w:lang w:val="de-DE"/>
        </w:rPr>
      </w:pPr>
      <w:r>
        <w:rPr>
          <w:lang w:val="de-DE"/>
        </w:rPr>
        <w:t>Die übliche Dosierung für Hidradenitis suppurativa ist eine Anfangsdosis von 160 mg (zwei 80 mg-Injektionen innerhalb eines Tages oder eine 80 mg-Injektion pro Tag an zwei aufeinanderfolgenden Tagen), gefolgt von einer Dosis von 80 mg zwei Wochen später. Nach zwei weiteren Wochen wird die Behandlung mit einer Dosis von 40 mg jede Woche oder 80 mg jede zweite Woche nach Anweisung Ihres Arztes fortgesetzt. Es wird empfohlen, dass Sie an den betroffenen Stellen täglich eine antiseptische Waschlösung anwenden.</w:t>
      </w:r>
    </w:p>
    <w:p w14:paraId="75CF668F" w14:textId="77777777" w:rsidR="00FE291A" w:rsidRDefault="00FE291A">
      <w:pPr>
        <w:pStyle w:val="BodyText"/>
        <w:widowControl/>
        <w:kinsoku w:val="0"/>
        <w:overflowPunct w:val="0"/>
        <w:ind w:left="0"/>
        <w:rPr>
          <w:lang w:val="de-DE"/>
        </w:rPr>
      </w:pPr>
    </w:p>
    <w:p w14:paraId="309E6E37" w14:textId="77777777" w:rsidR="00FE291A" w:rsidRDefault="00C8738F">
      <w:pPr>
        <w:keepNext/>
        <w:numPr>
          <w:ilvl w:val="12"/>
          <w:numId w:val="0"/>
        </w:numPr>
        <w:rPr>
          <w:sz w:val="22"/>
          <w:szCs w:val="22"/>
          <w:u w:val="single"/>
          <w:lang w:val="de-DE" w:eastAsia="de-DE"/>
        </w:rPr>
      </w:pPr>
      <w:r>
        <w:rPr>
          <w:sz w:val="22"/>
          <w:szCs w:val="22"/>
          <w:u w:val="single"/>
          <w:lang w:val="de-DE" w:eastAsia="de-DE"/>
        </w:rPr>
        <w:t>Jugendliche mit Hidradenitis suppurativa (Acne inversa) zwischen 12 und 17 Jahren und einem Körpergewicht von 30 kg oder mehr</w:t>
      </w:r>
    </w:p>
    <w:p w14:paraId="48F70DF8" w14:textId="77777777" w:rsidR="00FE291A" w:rsidRDefault="00FE291A">
      <w:pPr>
        <w:keepNext/>
        <w:numPr>
          <w:ilvl w:val="12"/>
          <w:numId w:val="0"/>
        </w:numPr>
        <w:rPr>
          <w:sz w:val="22"/>
          <w:szCs w:val="22"/>
          <w:lang w:val="de-DE"/>
        </w:rPr>
      </w:pPr>
    </w:p>
    <w:p w14:paraId="48DFC2B4" w14:textId="77777777" w:rsidR="00FE291A" w:rsidRDefault="00C8738F">
      <w:pPr>
        <w:keepNext/>
        <w:numPr>
          <w:ilvl w:val="12"/>
          <w:numId w:val="0"/>
        </w:numPr>
        <w:rPr>
          <w:sz w:val="22"/>
          <w:szCs w:val="22"/>
          <w:lang w:val="de-DE"/>
        </w:rPr>
      </w:pPr>
      <w:r>
        <w:rPr>
          <w:sz w:val="22"/>
          <w:szCs w:val="22"/>
          <w:lang w:val="de-DE" w:eastAsia="de-DE"/>
        </w:rPr>
        <w:t>Die empfohlene Anfangsdosis von AMGEVITA beträgt 80 mg. Nach einer Woche werden 40 mg jede zweite Woche verabreicht. W</w:t>
      </w:r>
      <w:r>
        <w:rPr>
          <w:sz w:val="22"/>
          <w:szCs w:val="22"/>
          <w:lang w:val="de-DE"/>
        </w:rPr>
        <w:t>enn der Patient unzureichend auf die Behandlung mit AMGEVITA 40 mg jede zweite Woche anspricht, kann der Arzt die Dosis auf 40 mg jede Woche oder 80 mg jede zweite Woche erhöhen.</w:t>
      </w:r>
    </w:p>
    <w:p w14:paraId="4B3D448A" w14:textId="77777777" w:rsidR="00FE291A" w:rsidRDefault="00FE291A">
      <w:pPr>
        <w:numPr>
          <w:ilvl w:val="12"/>
          <w:numId w:val="0"/>
        </w:numPr>
        <w:ind w:right="-2"/>
        <w:rPr>
          <w:sz w:val="22"/>
          <w:szCs w:val="22"/>
          <w:lang w:val="de-DE"/>
        </w:rPr>
      </w:pPr>
    </w:p>
    <w:p w14:paraId="087B311C" w14:textId="77777777" w:rsidR="00FE291A" w:rsidRDefault="00C8738F">
      <w:pPr>
        <w:pStyle w:val="BodyText"/>
        <w:widowControl/>
        <w:kinsoku w:val="0"/>
        <w:overflowPunct w:val="0"/>
        <w:ind w:left="0"/>
        <w:rPr>
          <w:lang w:val="de-DE"/>
        </w:rPr>
      </w:pPr>
      <w:r>
        <w:rPr>
          <w:lang w:val="de-DE" w:eastAsia="de-DE"/>
        </w:rPr>
        <w:t>Es wird empfohlen, dass der Patient an den betroffenen Stellen täglich eine antiseptische Waschlösung anwendet.</w:t>
      </w:r>
    </w:p>
    <w:p w14:paraId="7917C3E1" w14:textId="77777777" w:rsidR="00FE291A" w:rsidRDefault="00FE291A">
      <w:pPr>
        <w:widowControl/>
        <w:kinsoku w:val="0"/>
        <w:overflowPunct w:val="0"/>
        <w:rPr>
          <w:sz w:val="22"/>
          <w:szCs w:val="22"/>
          <w:lang w:val="de-DE"/>
        </w:rPr>
      </w:pPr>
    </w:p>
    <w:p w14:paraId="1FC27E3C" w14:textId="77777777" w:rsidR="00FE291A" w:rsidRDefault="00C8738F">
      <w:pPr>
        <w:pStyle w:val="BodyText"/>
        <w:keepNext/>
        <w:keepLines/>
        <w:widowControl/>
        <w:kinsoku w:val="0"/>
        <w:overflowPunct w:val="0"/>
        <w:ind w:left="0"/>
        <w:rPr>
          <w:lang w:val="de-DE"/>
        </w:rPr>
      </w:pPr>
      <w:r>
        <w:rPr>
          <w:u w:val="single"/>
          <w:lang w:val="de-DE"/>
        </w:rPr>
        <w:t>Erwachsene mit Morbus Crohn</w:t>
      </w:r>
    </w:p>
    <w:p w14:paraId="03718211" w14:textId="77777777" w:rsidR="00FE291A" w:rsidRDefault="00FE291A">
      <w:pPr>
        <w:keepNext/>
        <w:keepLines/>
        <w:widowControl/>
        <w:kinsoku w:val="0"/>
        <w:overflowPunct w:val="0"/>
        <w:rPr>
          <w:sz w:val="22"/>
          <w:szCs w:val="22"/>
          <w:lang w:val="de-DE"/>
        </w:rPr>
      </w:pPr>
    </w:p>
    <w:p w14:paraId="3497777B" w14:textId="77777777" w:rsidR="00FE291A" w:rsidRDefault="00C8738F">
      <w:pPr>
        <w:pStyle w:val="BodyText"/>
        <w:widowControl/>
        <w:kinsoku w:val="0"/>
        <w:overflowPunct w:val="0"/>
        <w:ind w:left="0"/>
        <w:rPr>
          <w:lang w:val="de-DE"/>
        </w:rPr>
      </w:pPr>
      <w:r>
        <w:rPr>
          <w:lang w:val="de-DE"/>
        </w:rPr>
        <w:t>Die übliche Dosierung für Morbus Crohn ist zu Beginn 80 mg, zwei Wochen später 40 mg und danach 40 mg alle zwei Wochen. Wenn ein schnelleres Eintreten der Wirkung erforderlich ist, kann Ihnen Ihr Arzt eine Anfangsdosis von 160 mg (zwei 80 mg-Injektionen an einem Tag oder eine 80 mg-Injektion pro Tag an zwei aufeinanderfolgenden Tagen) verschreiben, gefolgt von 80 mg zwei Wochen später und danach 40 mg jede zweite Woche. Abhängig davon, wie Sie auf die Behandlung ansprechen, kann Ihr Arzt die Dosis auf 40 mg jede Woche oder 80 mg jede zweite Woche erhöhen.</w:t>
      </w:r>
    </w:p>
    <w:p w14:paraId="31CF7117" w14:textId="77777777" w:rsidR="00FE291A" w:rsidRDefault="00FE291A">
      <w:pPr>
        <w:widowControl/>
        <w:kinsoku w:val="0"/>
        <w:overflowPunct w:val="0"/>
        <w:rPr>
          <w:sz w:val="22"/>
          <w:szCs w:val="22"/>
          <w:lang w:val="de-DE"/>
        </w:rPr>
      </w:pPr>
    </w:p>
    <w:p w14:paraId="7E325D2A" w14:textId="77777777" w:rsidR="00FE291A" w:rsidRDefault="00C8738F">
      <w:pPr>
        <w:pStyle w:val="BodyText"/>
        <w:keepNext/>
        <w:widowControl/>
        <w:kinsoku w:val="0"/>
        <w:overflowPunct w:val="0"/>
        <w:ind w:left="0"/>
        <w:rPr>
          <w:lang w:val="de-DE"/>
        </w:rPr>
      </w:pPr>
      <w:r>
        <w:rPr>
          <w:u w:val="single"/>
          <w:lang w:val="de-DE"/>
        </w:rPr>
        <w:t>Kinder und Jugendliche mit Morbus Crohn</w:t>
      </w:r>
    </w:p>
    <w:p w14:paraId="6D2CFDFB" w14:textId="77777777" w:rsidR="00FE291A" w:rsidRDefault="00FE291A">
      <w:pPr>
        <w:keepNext/>
        <w:widowControl/>
        <w:kinsoku w:val="0"/>
        <w:overflowPunct w:val="0"/>
        <w:rPr>
          <w:sz w:val="22"/>
          <w:szCs w:val="22"/>
          <w:lang w:val="de-DE"/>
        </w:rPr>
      </w:pPr>
    </w:p>
    <w:p w14:paraId="72186B69" w14:textId="77777777" w:rsidR="00FE291A" w:rsidRDefault="00C8738F">
      <w:pPr>
        <w:pStyle w:val="BodyText"/>
        <w:keepNext/>
        <w:widowControl/>
        <w:kinsoku w:val="0"/>
        <w:overflowPunct w:val="0"/>
        <w:ind w:left="0"/>
        <w:rPr>
          <w:i/>
          <w:lang w:val="de-DE"/>
        </w:rPr>
      </w:pPr>
      <w:r>
        <w:rPr>
          <w:i/>
          <w:lang w:val="de-DE"/>
        </w:rPr>
        <w:t xml:space="preserve">Kinder und Jugendliche </w:t>
      </w:r>
      <w:r>
        <w:rPr>
          <w:bCs/>
          <w:i/>
          <w:lang w:val="de-DE"/>
        </w:rPr>
        <w:t xml:space="preserve">zwischen 6 und 17 Jahren und </w:t>
      </w:r>
      <w:r>
        <w:rPr>
          <w:i/>
          <w:lang w:val="de-DE"/>
        </w:rPr>
        <w:t>einem Körpergewicht unter 40 kg</w:t>
      </w:r>
    </w:p>
    <w:p w14:paraId="2DDD8445" w14:textId="77777777" w:rsidR="00FE291A" w:rsidRDefault="00FE291A">
      <w:pPr>
        <w:keepNext/>
        <w:widowControl/>
        <w:kinsoku w:val="0"/>
        <w:overflowPunct w:val="0"/>
        <w:rPr>
          <w:sz w:val="22"/>
          <w:szCs w:val="22"/>
          <w:lang w:val="de-DE"/>
        </w:rPr>
      </w:pPr>
    </w:p>
    <w:p w14:paraId="26281EEA" w14:textId="77777777" w:rsidR="00FE291A" w:rsidRDefault="00C8738F">
      <w:pPr>
        <w:pStyle w:val="BodyText"/>
        <w:widowControl/>
        <w:kinsoku w:val="0"/>
        <w:overflowPunct w:val="0"/>
        <w:ind w:left="0"/>
        <w:rPr>
          <w:lang w:val="de-DE"/>
        </w:rPr>
      </w:pPr>
      <w:r>
        <w:rPr>
          <w:lang w:val="de-DE"/>
        </w:rPr>
        <w:t>Die übliche Dosierung beträgt zu Beginn 40 mg, gefolgt von 20 mg zwei Wochen später. Wenn ein schnelleres Eintreten der Wirkung erforderlich ist, kann der Arzt des Kindes eine Anfangsdosis von 80 mg verschreiben, gefolgt von 40 mg zwei Wochen später.</w:t>
      </w:r>
    </w:p>
    <w:p w14:paraId="6C36B44C" w14:textId="77777777" w:rsidR="00FE291A" w:rsidRDefault="00FE291A">
      <w:pPr>
        <w:widowControl/>
        <w:kinsoku w:val="0"/>
        <w:overflowPunct w:val="0"/>
        <w:rPr>
          <w:sz w:val="22"/>
          <w:szCs w:val="22"/>
          <w:lang w:val="de-DE"/>
        </w:rPr>
      </w:pPr>
    </w:p>
    <w:p w14:paraId="09AFB7C8" w14:textId="77777777" w:rsidR="00FE291A" w:rsidRDefault="00C8738F">
      <w:pPr>
        <w:pStyle w:val="BodyText"/>
        <w:widowControl/>
        <w:kinsoku w:val="0"/>
        <w:overflowPunct w:val="0"/>
        <w:ind w:left="0"/>
        <w:rPr>
          <w:lang w:val="de-DE"/>
        </w:rPr>
      </w:pPr>
      <w:r>
        <w:rPr>
          <w:lang w:val="de-DE"/>
        </w:rPr>
        <w:t>Danach beträgt die übliche Dosierung 20 mg jede zweite Woche. Je nachdem, wie das Kind anspricht, kann der Arzt die Dosishäufigkeit auf 20 mg jede Woche erhöhen.</w:t>
      </w:r>
    </w:p>
    <w:p w14:paraId="352A23FC" w14:textId="77777777" w:rsidR="00FE291A" w:rsidRDefault="00FE291A">
      <w:pPr>
        <w:widowControl/>
        <w:kinsoku w:val="0"/>
        <w:overflowPunct w:val="0"/>
        <w:rPr>
          <w:sz w:val="22"/>
          <w:szCs w:val="22"/>
          <w:lang w:val="de-DE"/>
        </w:rPr>
      </w:pPr>
    </w:p>
    <w:p w14:paraId="2CB35A75" w14:textId="77777777" w:rsidR="00FE291A" w:rsidRDefault="00C8738F">
      <w:pPr>
        <w:pStyle w:val="BodyText"/>
        <w:keepNext/>
        <w:widowControl/>
        <w:kinsoku w:val="0"/>
        <w:overflowPunct w:val="0"/>
        <w:ind w:left="0"/>
        <w:rPr>
          <w:i/>
          <w:lang w:val="de-DE"/>
        </w:rPr>
      </w:pPr>
      <w:r>
        <w:rPr>
          <w:i/>
          <w:lang w:val="de-DE"/>
        </w:rPr>
        <w:t xml:space="preserve">Kinder und Jugendliche </w:t>
      </w:r>
      <w:r>
        <w:rPr>
          <w:bCs/>
          <w:i/>
          <w:lang w:val="de-DE"/>
        </w:rPr>
        <w:t xml:space="preserve">zwischen 6 und 17 Jahren und </w:t>
      </w:r>
      <w:r>
        <w:rPr>
          <w:i/>
          <w:lang w:val="de-DE"/>
        </w:rPr>
        <w:t>einem Körpergewicht von 40 kg oder mehr</w:t>
      </w:r>
    </w:p>
    <w:p w14:paraId="77A20129" w14:textId="77777777" w:rsidR="00FE291A" w:rsidRDefault="00FE291A">
      <w:pPr>
        <w:keepNext/>
        <w:widowControl/>
        <w:kinsoku w:val="0"/>
        <w:overflowPunct w:val="0"/>
        <w:rPr>
          <w:sz w:val="22"/>
          <w:szCs w:val="22"/>
          <w:lang w:val="de-DE"/>
        </w:rPr>
      </w:pPr>
    </w:p>
    <w:p w14:paraId="1D1366C0" w14:textId="77777777" w:rsidR="00FE291A" w:rsidRDefault="00C8738F">
      <w:pPr>
        <w:pStyle w:val="BodyText"/>
        <w:keepNext/>
        <w:widowControl/>
        <w:kinsoku w:val="0"/>
        <w:overflowPunct w:val="0"/>
        <w:ind w:left="0"/>
        <w:rPr>
          <w:lang w:val="de-DE"/>
        </w:rPr>
      </w:pPr>
      <w:r>
        <w:rPr>
          <w:lang w:val="de-DE"/>
        </w:rPr>
        <w:t>Die übliche Dosierung beträgt zu Beginn 80 mg, gefolgt von 40 mg zwei Wochen später. Wenn ein schnelleres Eintreten der Wirkung erforderlich ist, kann der Arzt des Kindes eine Anfangsdosis von 160 mg (zwei 80 mg-Injektionen an einem Tag oder eine 80 mg-Injektion pro Tag an zwei aufeinanderfolgenden Tagen) verschreiben, gefolgt von 80 mg zwei Wochen später.</w:t>
      </w:r>
    </w:p>
    <w:p w14:paraId="0C599A1C" w14:textId="77777777" w:rsidR="00FE291A" w:rsidRDefault="00FE291A">
      <w:pPr>
        <w:widowControl/>
        <w:kinsoku w:val="0"/>
        <w:overflowPunct w:val="0"/>
        <w:rPr>
          <w:sz w:val="22"/>
          <w:szCs w:val="22"/>
          <w:lang w:val="de-DE"/>
        </w:rPr>
      </w:pPr>
    </w:p>
    <w:p w14:paraId="6479ED26" w14:textId="77777777" w:rsidR="00FE291A" w:rsidRDefault="00C8738F">
      <w:pPr>
        <w:pStyle w:val="BodyText"/>
        <w:widowControl/>
        <w:kinsoku w:val="0"/>
        <w:overflowPunct w:val="0"/>
        <w:ind w:left="0"/>
        <w:rPr>
          <w:lang w:val="de-DE"/>
        </w:rPr>
      </w:pPr>
      <w:r>
        <w:rPr>
          <w:lang w:val="de-DE"/>
        </w:rPr>
        <w:t xml:space="preserve">Danach beträgt die übliche Dosis 40 mg jede zweite Woche. Je nachdem, wie das Kind anspricht, kann der Arzt die Dosis auf 40 mg jede Woche </w:t>
      </w:r>
      <w:r>
        <w:rPr>
          <w:bCs/>
          <w:lang w:val="de-DE"/>
        </w:rPr>
        <w:t>oder 80 mg jede zweite Woche</w:t>
      </w:r>
      <w:r>
        <w:rPr>
          <w:lang w:val="de-DE"/>
        </w:rPr>
        <w:t xml:space="preserve"> erhöhen.</w:t>
      </w:r>
    </w:p>
    <w:p w14:paraId="348BC7DC" w14:textId="77777777" w:rsidR="00FE291A" w:rsidRDefault="00FE291A">
      <w:pPr>
        <w:widowControl/>
        <w:kinsoku w:val="0"/>
        <w:overflowPunct w:val="0"/>
        <w:rPr>
          <w:sz w:val="22"/>
          <w:szCs w:val="22"/>
          <w:lang w:val="de-DE"/>
        </w:rPr>
      </w:pPr>
    </w:p>
    <w:p w14:paraId="717F22D4" w14:textId="77777777" w:rsidR="00FE291A" w:rsidRDefault="00C8738F">
      <w:pPr>
        <w:pStyle w:val="BodyText"/>
        <w:keepNext/>
        <w:widowControl/>
        <w:kinsoku w:val="0"/>
        <w:overflowPunct w:val="0"/>
        <w:ind w:left="0"/>
        <w:rPr>
          <w:lang w:val="de-DE"/>
        </w:rPr>
      </w:pPr>
      <w:r>
        <w:rPr>
          <w:u w:val="single"/>
          <w:lang w:val="de-DE"/>
        </w:rPr>
        <w:t>Erwachsene mit Colitis ulcerosa</w:t>
      </w:r>
    </w:p>
    <w:p w14:paraId="35680C0A" w14:textId="77777777" w:rsidR="00FE291A" w:rsidRDefault="00FE291A">
      <w:pPr>
        <w:keepNext/>
        <w:widowControl/>
        <w:kinsoku w:val="0"/>
        <w:overflowPunct w:val="0"/>
        <w:rPr>
          <w:sz w:val="22"/>
          <w:szCs w:val="22"/>
          <w:lang w:val="de-DE"/>
        </w:rPr>
      </w:pPr>
    </w:p>
    <w:p w14:paraId="73A29A32" w14:textId="77777777" w:rsidR="00FE291A" w:rsidRDefault="00C8738F">
      <w:pPr>
        <w:pStyle w:val="BodyText"/>
        <w:widowControl/>
        <w:kinsoku w:val="0"/>
        <w:overflowPunct w:val="0"/>
        <w:ind w:left="0"/>
        <w:rPr>
          <w:lang w:val="de-DE"/>
        </w:rPr>
      </w:pPr>
      <w:r>
        <w:rPr>
          <w:lang w:val="de-DE"/>
        </w:rPr>
        <w:t>Die übliche Dosis von AMGEVITA beträgt für Erwachsene mit Colitis ulcerosa zu Beginn 160 mg (zwei 80 mg-Injektionen an einem Tag oder eine 80 mg-Injektion pro Tag an zwei aufeinanderfolgenden Tagen), gefolgt von 80 mg zwei Wochen später und danach 40 mg jede zweite Woche. Je nachdem, wie Sie ansprechen, kann Ihr Arzt die Dosis auf 40 mg jede Woche oder 80 mg jede zweite Woche erhöhen.</w:t>
      </w:r>
    </w:p>
    <w:p w14:paraId="400263B4" w14:textId="77777777" w:rsidR="00FE291A" w:rsidRDefault="00FE291A">
      <w:pPr>
        <w:pStyle w:val="BodyText"/>
        <w:widowControl/>
        <w:kinsoku w:val="0"/>
        <w:overflowPunct w:val="0"/>
        <w:ind w:left="0"/>
        <w:rPr>
          <w:lang w:val="de-DE"/>
        </w:rPr>
      </w:pPr>
    </w:p>
    <w:p w14:paraId="36B7CDD4" w14:textId="77777777" w:rsidR="00FE291A" w:rsidRDefault="00C8738F">
      <w:pPr>
        <w:keepNext/>
        <w:widowControl/>
        <w:rPr>
          <w:color w:val="000000"/>
          <w:sz w:val="22"/>
          <w:szCs w:val="22"/>
          <w:u w:val="single"/>
          <w:lang w:val="de-DE"/>
        </w:rPr>
      </w:pPr>
      <w:r>
        <w:rPr>
          <w:color w:val="000000"/>
          <w:sz w:val="22"/>
          <w:szCs w:val="22"/>
          <w:u w:val="single"/>
          <w:lang w:val="de-DE"/>
        </w:rPr>
        <w:t xml:space="preserve">Kinder und Jugendliche mit Colitis ulcerosa </w:t>
      </w:r>
    </w:p>
    <w:p w14:paraId="446004E6" w14:textId="77777777" w:rsidR="00FE291A" w:rsidRDefault="00FE291A">
      <w:pPr>
        <w:keepNext/>
        <w:widowControl/>
        <w:rPr>
          <w:color w:val="000000"/>
          <w:sz w:val="22"/>
          <w:szCs w:val="22"/>
          <w:lang w:val="de-DE"/>
        </w:rPr>
      </w:pPr>
    </w:p>
    <w:p w14:paraId="32A8BEF3" w14:textId="77777777" w:rsidR="00FE291A" w:rsidRDefault="00C8738F">
      <w:pPr>
        <w:keepNext/>
        <w:widowControl/>
        <w:rPr>
          <w:i/>
          <w:iCs/>
          <w:color w:val="000000"/>
          <w:sz w:val="22"/>
          <w:szCs w:val="22"/>
          <w:lang w:val="de-DE"/>
        </w:rPr>
      </w:pPr>
      <w:r>
        <w:rPr>
          <w:i/>
          <w:iCs/>
          <w:color w:val="000000"/>
          <w:sz w:val="22"/>
          <w:szCs w:val="22"/>
          <w:lang w:val="de-DE"/>
        </w:rPr>
        <w:t>Kinder und Jugendliche ab 6 Jahren mit einem Körpergewicht unter 40 kg</w:t>
      </w:r>
    </w:p>
    <w:p w14:paraId="0EB2507D" w14:textId="77777777" w:rsidR="00FE291A" w:rsidRDefault="00FE291A">
      <w:pPr>
        <w:keepNext/>
        <w:widowControl/>
        <w:rPr>
          <w:color w:val="000000"/>
          <w:sz w:val="22"/>
          <w:szCs w:val="22"/>
          <w:lang w:val="de-DE"/>
        </w:rPr>
      </w:pPr>
    </w:p>
    <w:p w14:paraId="69C68793" w14:textId="77777777" w:rsidR="00FE291A" w:rsidRDefault="00C8738F">
      <w:pPr>
        <w:pStyle w:val="BodyText"/>
        <w:widowControl/>
        <w:kinsoku w:val="0"/>
        <w:overflowPunct w:val="0"/>
        <w:ind w:left="0"/>
        <w:rPr>
          <w:color w:val="000000"/>
          <w:lang w:val="de-DE"/>
        </w:rPr>
      </w:pPr>
      <w:r>
        <w:rPr>
          <w:color w:val="000000"/>
          <w:lang w:val="de-DE"/>
        </w:rPr>
        <w:t>Die übliche Dosierung von AMGEVITA beträgt zu Beginn 80 mg, gefolgt von 40 mg (als eine Injektion von 40 mg) zwei Wochen später. Danach beträgt die übliche Dosierung 40 mg jede zweite Woche.</w:t>
      </w:r>
    </w:p>
    <w:p w14:paraId="004C0D24" w14:textId="77777777" w:rsidR="00FE291A" w:rsidRDefault="00FE291A">
      <w:pPr>
        <w:pStyle w:val="BodyText"/>
        <w:widowControl/>
        <w:kinsoku w:val="0"/>
        <w:overflowPunct w:val="0"/>
        <w:ind w:left="0"/>
        <w:rPr>
          <w:color w:val="000000"/>
          <w:lang w:val="de-DE"/>
        </w:rPr>
      </w:pPr>
    </w:p>
    <w:p w14:paraId="00A0BF6D" w14:textId="77777777" w:rsidR="00FE291A" w:rsidRDefault="00C8738F">
      <w:pPr>
        <w:widowControl/>
        <w:rPr>
          <w:color w:val="000000"/>
          <w:sz w:val="22"/>
          <w:szCs w:val="22"/>
          <w:lang w:val="de-DE"/>
        </w:rPr>
      </w:pPr>
      <w:r>
        <w:rPr>
          <w:color w:val="000000"/>
          <w:sz w:val="22"/>
          <w:szCs w:val="22"/>
          <w:lang w:val="de-DE"/>
        </w:rPr>
        <w:t xml:space="preserve">Patienten, die 18 Jahre alt werden, während sie jede zweite Woche 40 mg erhalten, sollten die verschriebene Dosis weiterhin spritzen. </w:t>
      </w:r>
    </w:p>
    <w:p w14:paraId="31DC658F" w14:textId="77777777" w:rsidR="00FE291A" w:rsidRDefault="00FE291A">
      <w:pPr>
        <w:widowControl/>
        <w:rPr>
          <w:color w:val="000000"/>
          <w:sz w:val="22"/>
          <w:szCs w:val="22"/>
          <w:lang w:val="de-DE"/>
        </w:rPr>
      </w:pPr>
    </w:p>
    <w:p w14:paraId="6F30E032" w14:textId="77777777" w:rsidR="00FE291A" w:rsidRDefault="00C8738F">
      <w:pPr>
        <w:keepNext/>
        <w:widowControl/>
        <w:rPr>
          <w:i/>
          <w:iCs/>
          <w:color w:val="000000"/>
          <w:sz w:val="22"/>
          <w:szCs w:val="22"/>
          <w:lang w:val="de-DE"/>
        </w:rPr>
      </w:pPr>
      <w:r>
        <w:rPr>
          <w:i/>
          <w:iCs/>
          <w:color w:val="000000"/>
          <w:sz w:val="22"/>
          <w:szCs w:val="22"/>
          <w:lang w:val="de-DE"/>
        </w:rPr>
        <w:t>Kinder und Jugendliche ab 6 Jahren mit einem Körpergewicht von 40 kg oder mehr</w:t>
      </w:r>
    </w:p>
    <w:p w14:paraId="4115DAFF" w14:textId="77777777" w:rsidR="00FE291A" w:rsidRDefault="00FE291A">
      <w:pPr>
        <w:keepNext/>
        <w:widowControl/>
        <w:rPr>
          <w:color w:val="000000"/>
          <w:sz w:val="22"/>
          <w:szCs w:val="22"/>
          <w:lang w:val="de-DE"/>
        </w:rPr>
      </w:pPr>
    </w:p>
    <w:p w14:paraId="7E7F33C9" w14:textId="77777777" w:rsidR="00FE291A" w:rsidRDefault="00C8738F">
      <w:pPr>
        <w:widowControl/>
        <w:rPr>
          <w:color w:val="000000"/>
          <w:sz w:val="22"/>
          <w:szCs w:val="22"/>
          <w:lang w:val="de-DE"/>
        </w:rPr>
      </w:pPr>
      <w:r>
        <w:rPr>
          <w:color w:val="000000"/>
          <w:sz w:val="22"/>
          <w:szCs w:val="22"/>
          <w:lang w:val="de-DE"/>
        </w:rPr>
        <w:t xml:space="preserve">Die übliche Dosierung von AMGEVITA beträgt zu Beginn 160 mg (zwei Injektionen von 80 mg an einem Tag oder eine Injektion von 80 mg pro Tag an zwei aufeinanderfolgenden Tagen), gefolgt von 80 mg zwei Wochen später. Danach beträgt die übliche Dosierung 80 mg jede zweite Woche. </w:t>
      </w:r>
    </w:p>
    <w:p w14:paraId="70F2AD56" w14:textId="77777777" w:rsidR="00FE291A" w:rsidRDefault="00FE291A">
      <w:pPr>
        <w:widowControl/>
        <w:rPr>
          <w:color w:val="000000"/>
          <w:sz w:val="22"/>
          <w:szCs w:val="22"/>
          <w:lang w:val="de-DE"/>
        </w:rPr>
      </w:pPr>
    </w:p>
    <w:p w14:paraId="28F0BE3F" w14:textId="77777777" w:rsidR="00FE291A" w:rsidRDefault="00C8738F">
      <w:pPr>
        <w:pStyle w:val="BodyText"/>
        <w:widowControl/>
        <w:kinsoku w:val="0"/>
        <w:overflowPunct w:val="0"/>
        <w:ind w:left="0"/>
        <w:rPr>
          <w:color w:val="000000"/>
          <w:lang w:val="de-DE"/>
        </w:rPr>
      </w:pPr>
      <w:r>
        <w:rPr>
          <w:color w:val="000000"/>
          <w:lang w:val="de-DE"/>
        </w:rPr>
        <w:t>Patienten, die 18 Jahre alt werden, während sie jede zweite Woche 80 mg erhalten, sollten die verschriebene Dosis weiterhin spritzen.</w:t>
      </w:r>
    </w:p>
    <w:p w14:paraId="36BF300F" w14:textId="77777777" w:rsidR="00FE291A" w:rsidRDefault="00FE291A">
      <w:pPr>
        <w:pStyle w:val="BodyText"/>
        <w:widowControl/>
        <w:kinsoku w:val="0"/>
        <w:overflowPunct w:val="0"/>
        <w:ind w:left="0"/>
        <w:rPr>
          <w:lang w:val="de-DE"/>
        </w:rPr>
      </w:pPr>
    </w:p>
    <w:p w14:paraId="5FA379A0" w14:textId="77777777" w:rsidR="00FE291A" w:rsidRDefault="00C8738F">
      <w:pPr>
        <w:pStyle w:val="BodyText"/>
        <w:keepNext/>
        <w:widowControl/>
        <w:kinsoku w:val="0"/>
        <w:overflowPunct w:val="0"/>
        <w:ind w:left="0"/>
        <w:rPr>
          <w:lang w:val="de-DE"/>
        </w:rPr>
      </w:pPr>
      <w:r>
        <w:rPr>
          <w:u w:val="single"/>
          <w:lang w:val="de-DE"/>
        </w:rPr>
        <w:t>Erwachsene mit nicht infektiöser Uveitis</w:t>
      </w:r>
    </w:p>
    <w:p w14:paraId="1D7DE896" w14:textId="77777777" w:rsidR="00FE291A" w:rsidRDefault="00FE291A">
      <w:pPr>
        <w:keepNext/>
        <w:widowControl/>
        <w:kinsoku w:val="0"/>
        <w:overflowPunct w:val="0"/>
        <w:rPr>
          <w:sz w:val="22"/>
          <w:szCs w:val="22"/>
          <w:lang w:val="de-DE"/>
        </w:rPr>
      </w:pPr>
    </w:p>
    <w:p w14:paraId="025086D5" w14:textId="77777777" w:rsidR="00FE291A" w:rsidRDefault="00C8738F">
      <w:pPr>
        <w:pStyle w:val="BodyText"/>
        <w:widowControl/>
        <w:kinsoku w:val="0"/>
        <w:overflowPunct w:val="0"/>
        <w:ind w:left="0"/>
        <w:rPr>
          <w:lang w:val="de-DE"/>
        </w:rPr>
      </w:pPr>
      <w:r>
        <w:rPr>
          <w:lang w:val="de-DE"/>
        </w:rPr>
        <w:t>Die übliche Dosierung für Erwachsene mit nicht infektiöser Uveitis beträgt 80 mg als Anfangsdosis, gefolgt von 40 mg eine Woche später und danach 40 mg alle zwei Wochen. Sie sollten AMGEVITA so lange anwenden, wie Ihr Arzt es Ihnen gesagt hat.</w:t>
      </w:r>
    </w:p>
    <w:p w14:paraId="66513FAA" w14:textId="77777777" w:rsidR="00FE291A" w:rsidRDefault="00FE291A">
      <w:pPr>
        <w:widowControl/>
        <w:kinsoku w:val="0"/>
        <w:overflowPunct w:val="0"/>
        <w:rPr>
          <w:sz w:val="22"/>
          <w:szCs w:val="22"/>
          <w:lang w:val="de-DE"/>
        </w:rPr>
      </w:pPr>
    </w:p>
    <w:p w14:paraId="560455FE" w14:textId="77777777" w:rsidR="00FE291A" w:rsidRDefault="00C8738F">
      <w:pPr>
        <w:pStyle w:val="BodyText"/>
        <w:widowControl/>
        <w:kinsoku w:val="0"/>
        <w:overflowPunct w:val="0"/>
        <w:ind w:left="0"/>
        <w:rPr>
          <w:lang w:val="de-DE"/>
        </w:rPr>
      </w:pPr>
      <w:r>
        <w:rPr>
          <w:lang w:val="de-DE"/>
        </w:rPr>
        <w:t>Bei nicht infektiöser Uveitis können Kortikosteroide oder andere Arzneimittel, die das körpereigene Abwehrsystem beeinflussen, während der Behandlung mit AMGEVITA weiter genommen werden. AMGEVITA kann auch alleine angewendet werden.</w:t>
      </w:r>
    </w:p>
    <w:p w14:paraId="7F63DE11" w14:textId="77777777" w:rsidR="00FE291A" w:rsidRDefault="00FE291A">
      <w:pPr>
        <w:pStyle w:val="BodyText"/>
        <w:widowControl/>
        <w:kinsoku w:val="0"/>
        <w:overflowPunct w:val="0"/>
        <w:ind w:left="0"/>
        <w:rPr>
          <w:lang w:val="de-DE"/>
        </w:rPr>
      </w:pPr>
    </w:p>
    <w:p w14:paraId="354B287D" w14:textId="77777777" w:rsidR="00FE291A" w:rsidRDefault="00C8738F">
      <w:pPr>
        <w:rPr>
          <w:rFonts w:cs="Calibri"/>
          <w:sz w:val="22"/>
          <w:szCs w:val="22"/>
          <w:u w:val="single"/>
          <w:lang w:val="de-DE"/>
        </w:rPr>
      </w:pPr>
      <w:r>
        <w:rPr>
          <w:rFonts w:cs="Calibri"/>
          <w:sz w:val="22"/>
          <w:szCs w:val="22"/>
          <w:u w:val="single"/>
          <w:lang w:val="de-DE"/>
        </w:rPr>
        <w:t xml:space="preserve">Kinder ab 2 Jahren und Jugendliche mit chronischer nicht infektiöser Uveitis </w:t>
      </w:r>
    </w:p>
    <w:p w14:paraId="1F5D160F" w14:textId="77777777" w:rsidR="00FE291A" w:rsidRDefault="00FE291A">
      <w:pPr>
        <w:rPr>
          <w:rFonts w:cs="Calibri"/>
          <w:sz w:val="22"/>
          <w:szCs w:val="22"/>
          <w:u w:val="single"/>
          <w:lang w:val="de-DE"/>
        </w:rPr>
      </w:pPr>
    </w:p>
    <w:p w14:paraId="5123FE56" w14:textId="77777777" w:rsidR="00FE291A" w:rsidRDefault="00C8738F">
      <w:pPr>
        <w:rPr>
          <w:rFonts w:cs="Calibri"/>
          <w:sz w:val="22"/>
          <w:szCs w:val="22"/>
          <w:lang w:val="de-DE"/>
        </w:rPr>
      </w:pPr>
      <w:r>
        <w:rPr>
          <w:rFonts w:cs="Calibri"/>
          <w:i/>
          <w:sz w:val="22"/>
          <w:szCs w:val="22"/>
          <w:lang w:val="de-DE"/>
        </w:rPr>
        <w:t>Kinder ab 2 Jahren und Jugendliche mit einem Körpergewicht unter 30 kg</w:t>
      </w:r>
    </w:p>
    <w:p w14:paraId="6CE10E9E" w14:textId="77777777" w:rsidR="00FE291A" w:rsidRDefault="00FE291A">
      <w:pPr>
        <w:rPr>
          <w:rFonts w:cs="Calibri"/>
          <w:sz w:val="22"/>
          <w:szCs w:val="22"/>
          <w:lang w:val="de-DE"/>
        </w:rPr>
      </w:pPr>
    </w:p>
    <w:p w14:paraId="10FABA63" w14:textId="77777777" w:rsidR="00FE291A" w:rsidRDefault="00C8738F">
      <w:pPr>
        <w:rPr>
          <w:rFonts w:cs="Calibri"/>
          <w:sz w:val="22"/>
          <w:szCs w:val="22"/>
          <w:lang w:val="de-DE"/>
        </w:rPr>
      </w:pPr>
      <w:r>
        <w:rPr>
          <w:rFonts w:cs="Calibri"/>
          <w:sz w:val="22"/>
          <w:szCs w:val="22"/>
          <w:lang w:val="de-DE"/>
        </w:rPr>
        <w:t>Die übliche Dosierung von AMGEVITA beträgt 20 mg alle 2 Wochen gemeinsam mit Methotrexat.</w:t>
      </w:r>
    </w:p>
    <w:p w14:paraId="7DCD2C85" w14:textId="77777777" w:rsidR="00FE291A" w:rsidRDefault="00FE291A">
      <w:pPr>
        <w:rPr>
          <w:rFonts w:cs="Calibri"/>
          <w:sz w:val="22"/>
          <w:szCs w:val="22"/>
          <w:lang w:val="de-DE"/>
        </w:rPr>
      </w:pPr>
    </w:p>
    <w:p w14:paraId="4331F23D" w14:textId="77777777" w:rsidR="00FE291A" w:rsidRDefault="00C8738F">
      <w:pPr>
        <w:rPr>
          <w:rFonts w:cs="Calibri"/>
          <w:sz w:val="22"/>
          <w:szCs w:val="22"/>
          <w:lang w:val="de-DE"/>
        </w:rPr>
      </w:pPr>
      <w:r>
        <w:rPr>
          <w:rFonts w:cs="Calibri"/>
          <w:sz w:val="22"/>
          <w:szCs w:val="22"/>
          <w:lang w:val="de-DE"/>
        </w:rPr>
        <w:t>Ihr Arzt kann auch eine Anfangsdosis von 40 mg verschreiben, die eine Woche vor Beginn der üblichen Dosis verabreicht werden kann.</w:t>
      </w:r>
    </w:p>
    <w:p w14:paraId="6E26D4D1" w14:textId="77777777" w:rsidR="00FE291A" w:rsidRDefault="00FE291A">
      <w:pPr>
        <w:rPr>
          <w:rFonts w:cs="Calibri"/>
          <w:sz w:val="22"/>
          <w:szCs w:val="22"/>
          <w:lang w:val="de-DE"/>
        </w:rPr>
      </w:pPr>
    </w:p>
    <w:p w14:paraId="62BF3AC7" w14:textId="77777777" w:rsidR="00FE291A" w:rsidRDefault="00C8738F">
      <w:pPr>
        <w:rPr>
          <w:rFonts w:cs="Calibri"/>
          <w:sz w:val="22"/>
          <w:szCs w:val="22"/>
          <w:u w:val="single"/>
          <w:lang w:val="de-DE"/>
        </w:rPr>
      </w:pPr>
      <w:r>
        <w:rPr>
          <w:rFonts w:cs="Calibri"/>
          <w:i/>
          <w:sz w:val="22"/>
          <w:szCs w:val="22"/>
          <w:lang w:val="de-DE"/>
        </w:rPr>
        <w:t>Kinder ab 2 Jahren und Jugendliche mit einem Körpergewicht von 30 kg oder mehr</w:t>
      </w:r>
    </w:p>
    <w:p w14:paraId="5D3ED103" w14:textId="77777777" w:rsidR="00FE291A" w:rsidRDefault="00FE291A">
      <w:pPr>
        <w:rPr>
          <w:rFonts w:cs="Calibri"/>
          <w:sz w:val="22"/>
          <w:szCs w:val="22"/>
          <w:lang w:val="de-DE"/>
        </w:rPr>
      </w:pPr>
    </w:p>
    <w:p w14:paraId="4DE54F6F" w14:textId="77777777" w:rsidR="00FE291A" w:rsidRDefault="00C8738F">
      <w:pPr>
        <w:rPr>
          <w:rFonts w:cs="Calibri"/>
          <w:sz w:val="22"/>
          <w:szCs w:val="22"/>
          <w:lang w:val="de-DE"/>
        </w:rPr>
      </w:pPr>
      <w:r>
        <w:rPr>
          <w:rFonts w:cs="Calibri"/>
          <w:sz w:val="22"/>
          <w:szCs w:val="22"/>
          <w:lang w:val="de-DE"/>
        </w:rPr>
        <w:t>Die übliche Dosierung von AMGEVITA beträgt 40 mg alle 2 Wochen gemeinsam mit Methotrexat.</w:t>
      </w:r>
    </w:p>
    <w:p w14:paraId="71252C03" w14:textId="77777777" w:rsidR="00FE291A" w:rsidRDefault="00FE291A">
      <w:pPr>
        <w:rPr>
          <w:rFonts w:cs="Calibri"/>
          <w:sz w:val="22"/>
          <w:szCs w:val="22"/>
          <w:lang w:val="de-DE"/>
        </w:rPr>
      </w:pPr>
    </w:p>
    <w:p w14:paraId="3A16755D" w14:textId="77777777" w:rsidR="00FE291A" w:rsidRDefault="00C8738F">
      <w:pPr>
        <w:pStyle w:val="BodyText"/>
        <w:widowControl/>
        <w:kinsoku w:val="0"/>
        <w:overflowPunct w:val="0"/>
        <w:ind w:left="0"/>
        <w:rPr>
          <w:lang w:val="de-DE"/>
        </w:rPr>
      </w:pPr>
      <w:r>
        <w:rPr>
          <w:rFonts w:cs="Calibri"/>
          <w:lang w:val="de-DE"/>
        </w:rPr>
        <w:t>Ihr Arzt kann auch eine Anfangsdosis von 80 mg verschreiben, die eine Woche vor Beginn der üblichen Dosis verabreicht werden kann.</w:t>
      </w:r>
    </w:p>
    <w:p w14:paraId="0AA13772" w14:textId="77777777" w:rsidR="00FE291A" w:rsidRDefault="00FE291A">
      <w:pPr>
        <w:widowControl/>
        <w:kinsoku w:val="0"/>
        <w:overflowPunct w:val="0"/>
        <w:rPr>
          <w:sz w:val="22"/>
          <w:szCs w:val="22"/>
          <w:lang w:val="de-DE"/>
        </w:rPr>
      </w:pPr>
    </w:p>
    <w:p w14:paraId="65D8CEE7" w14:textId="77777777" w:rsidR="00FE291A" w:rsidRDefault="00C8738F">
      <w:pPr>
        <w:pStyle w:val="Heading1"/>
        <w:keepNext/>
        <w:keepLines/>
        <w:widowControl/>
        <w:kinsoku w:val="0"/>
        <w:overflowPunct w:val="0"/>
        <w:ind w:left="0"/>
        <w:rPr>
          <w:b w:val="0"/>
          <w:bCs w:val="0"/>
          <w:lang w:val="de-DE"/>
        </w:rPr>
      </w:pPr>
      <w:r>
        <w:rPr>
          <w:lang w:val="de-DE"/>
        </w:rPr>
        <w:t>Art der Anwendung</w:t>
      </w:r>
    </w:p>
    <w:p w14:paraId="4986607D" w14:textId="77777777" w:rsidR="00FE291A" w:rsidRDefault="00FE291A">
      <w:pPr>
        <w:widowControl/>
        <w:kinsoku w:val="0"/>
        <w:overflowPunct w:val="0"/>
        <w:rPr>
          <w:sz w:val="22"/>
          <w:szCs w:val="22"/>
          <w:lang w:val="de-DE"/>
        </w:rPr>
      </w:pPr>
    </w:p>
    <w:p w14:paraId="43307CD1" w14:textId="77777777" w:rsidR="00FE291A" w:rsidRDefault="00C8738F">
      <w:pPr>
        <w:pStyle w:val="BodyText"/>
        <w:widowControl/>
        <w:kinsoku w:val="0"/>
        <w:overflowPunct w:val="0"/>
        <w:ind w:left="0"/>
        <w:rPr>
          <w:lang w:val="de-DE"/>
        </w:rPr>
      </w:pPr>
      <w:r>
        <w:rPr>
          <w:lang w:val="de-DE"/>
        </w:rPr>
        <w:t>AMGEVITA wird unter die Haut gespritzt (subkutane Injektion).</w:t>
      </w:r>
    </w:p>
    <w:p w14:paraId="36313CDC" w14:textId="77777777" w:rsidR="00FE291A" w:rsidRDefault="00FE291A">
      <w:pPr>
        <w:pStyle w:val="BodyText"/>
        <w:widowControl/>
        <w:kinsoku w:val="0"/>
        <w:overflowPunct w:val="0"/>
        <w:ind w:left="0"/>
        <w:rPr>
          <w:lang w:val="de-DE"/>
        </w:rPr>
      </w:pPr>
    </w:p>
    <w:p w14:paraId="19F8A315" w14:textId="77777777" w:rsidR="00FE291A" w:rsidRDefault="00C8738F">
      <w:pPr>
        <w:pStyle w:val="BodyText"/>
        <w:widowControl/>
        <w:kinsoku w:val="0"/>
        <w:overflowPunct w:val="0"/>
        <w:ind w:left="0"/>
        <w:rPr>
          <w:lang w:val="de-DE"/>
        </w:rPr>
      </w:pPr>
      <w:r>
        <w:rPr>
          <w:lang w:val="de-DE"/>
        </w:rPr>
        <w:t>Eine genaue Anleitung wie AMGEVITA gespritzt wird, finden Sie im Abschnitt „Gebrauchsanleitung“.</w:t>
      </w:r>
    </w:p>
    <w:p w14:paraId="72952A54" w14:textId="77777777" w:rsidR="00FE291A" w:rsidRDefault="00FE291A">
      <w:pPr>
        <w:widowControl/>
        <w:kinsoku w:val="0"/>
        <w:overflowPunct w:val="0"/>
        <w:rPr>
          <w:sz w:val="22"/>
          <w:szCs w:val="22"/>
          <w:lang w:val="de-DE"/>
        </w:rPr>
      </w:pPr>
    </w:p>
    <w:p w14:paraId="5F85C037" w14:textId="77777777" w:rsidR="00FE291A" w:rsidRDefault="00C8738F">
      <w:pPr>
        <w:pStyle w:val="Heading1"/>
        <w:widowControl/>
        <w:kinsoku w:val="0"/>
        <w:overflowPunct w:val="0"/>
        <w:ind w:left="0"/>
        <w:rPr>
          <w:b w:val="0"/>
          <w:bCs w:val="0"/>
          <w:lang w:val="de-DE"/>
        </w:rPr>
      </w:pPr>
      <w:r>
        <w:rPr>
          <w:lang w:val="de-DE"/>
        </w:rPr>
        <w:t>Wenn Sie eine größere Menge von AMGEVITA gespritzt haben, als Sie sollten</w:t>
      </w:r>
    </w:p>
    <w:p w14:paraId="292BE6CF" w14:textId="77777777" w:rsidR="00FE291A" w:rsidRDefault="00FE291A">
      <w:pPr>
        <w:widowControl/>
        <w:kinsoku w:val="0"/>
        <w:overflowPunct w:val="0"/>
        <w:rPr>
          <w:sz w:val="22"/>
          <w:szCs w:val="22"/>
          <w:lang w:val="de-DE"/>
        </w:rPr>
      </w:pPr>
    </w:p>
    <w:p w14:paraId="14424B19" w14:textId="77777777" w:rsidR="00FE291A" w:rsidRDefault="00C8738F">
      <w:pPr>
        <w:pStyle w:val="BodyText"/>
        <w:widowControl/>
        <w:kinsoku w:val="0"/>
        <w:overflowPunct w:val="0"/>
        <w:ind w:left="0"/>
        <w:rPr>
          <w:lang w:val="de-DE"/>
        </w:rPr>
      </w:pPr>
      <w:r>
        <w:rPr>
          <w:lang w:val="de-DE"/>
        </w:rPr>
        <w:t>Falls Sie AMGEVITA versehentlich häufiger gespritzt haben, als der Arzt Ihnen verordnet hat, informieren Sie Ihren Arzt oder Apotheker darüber. Nehmen Sie immer die Faltschachtel des Arzneimittels mit, auch wenn sie leer ist.</w:t>
      </w:r>
    </w:p>
    <w:p w14:paraId="4E47C4E4" w14:textId="77777777" w:rsidR="00FE291A" w:rsidRDefault="00FE291A">
      <w:pPr>
        <w:widowControl/>
        <w:kinsoku w:val="0"/>
        <w:overflowPunct w:val="0"/>
        <w:rPr>
          <w:sz w:val="22"/>
          <w:szCs w:val="22"/>
          <w:lang w:val="de-DE"/>
        </w:rPr>
      </w:pPr>
    </w:p>
    <w:p w14:paraId="32592B42" w14:textId="77777777" w:rsidR="00FE291A" w:rsidRDefault="00C8738F">
      <w:pPr>
        <w:pStyle w:val="Heading1"/>
        <w:widowControl/>
        <w:kinsoku w:val="0"/>
        <w:overflowPunct w:val="0"/>
        <w:ind w:left="0"/>
        <w:rPr>
          <w:b w:val="0"/>
          <w:bCs w:val="0"/>
          <w:lang w:val="de-DE"/>
        </w:rPr>
      </w:pPr>
      <w:r>
        <w:rPr>
          <w:lang w:val="de-DE"/>
        </w:rPr>
        <w:t>Wenn Sie die Injektion von AMGEVITA vergessen haben</w:t>
      </w:r>
    </w:p>
    <w:p w14:paraId="21DD40F2" w14:textId="77777777" w:rsidR="00FE291A" w:rsidRDefault="00FE291A">
      <w:pPr>
        <w:widowControl/>
        <w:kinsoku w:val="0"/>
        <w:overflowPunct w:val="0"/>
        <w:rPr>
          <w:sz w:val="22"/>
          <w:szCs w:val="22"/>
          <w:lang w:val="de-DE"/>
        </w:rPr>
      </w:pPr>
    </w:p>
    <w:p w14:paraId="40113FB5" w14:textId="77777777" w:rsidR="00FE291A" w:rsidRDefault="00C8738F">
      <w:pPr>
        <w:pStyle w:val="BodyText"/>
        <w:widowControl/>
        <w:kinsoku w:val="0"/>
        <w:overflowPunct w:val="0"/>
        <w:ind w:left="0"/>
        <w:rPr>
          <w:lang w:val="de-DE"/>
        </w:rPr>
      </w:pPr>
      <w:r>
        <w:rPr>
          <w:lang w:val="de-DE"/>
        </w:rPr>
        <w:t>Wenn Sie einmal eine Injektion vergessen haben, sollten Sie die nächste AMGEVITA-Dosis spritzen, sobald Ihnen dies auffällt. Spritzen Sie Ihre darauffolgende Dosis an dem ursprünglich vorgesehenen Tag, wie Sie es getan hätten, wenn Sie die Injektion nicht vergessen hätten.</w:t>
      </w:r>
    </w:p>
    <w:p w14:paraId="70C5DAA4" w14:textId="77777777" w:rsidR="00FE291A" w:rsidRDefault="00FE291A">
      <w:pPr>
        <w:widowControl/>
        <w:kinsoku w:val="0"/>
        <w:overflowPunct w:val="0"/>
        <w:rPr>
          <w:sz w:val="22"/>
          <w:szCs w:val="22"/>
          <w:lang w:val="de-DE"/>
        </w:rPr>
      </w:pPr>
    </w:p>
    <w:p w14:paraId="7161C840" w14:textId="77777777" w:rsidR="00FE291A" w:rsidRDefault="00C8738F">
      <w:pPr>
        <w:pStyle w:val="Heading1"/>
        <w:keepNext/>
        <w:keepLines/>
        <w:widowControl/>
        <w:kinsoku w:val="0"/>
        <w:overflowPunct w:val="0"/>
        <w:ind w:left="0"/>
        <w:rPr>
          <w:b w:val="0"/>
          <w:bCs w:val="0"/>
          <w:lang w:val="de-DE"/>
        </w:rPr>
      </w:pPr>
      <w:r>
        <w:rPr>
          <w:lang w:val="de-DE"/>
        </w:rPr>
        <w:t>Wenn Sie die Anwendung von AMGEVITA abbrechen</w:t>
      </w:r>
    </w:p>
    <w:p w14:paraId="4F4C370F" w14:textId="77777777" w:rsidR="00FE291A" w:rsidRDefault="00FE291A">
      <w:pPr>
        <w:widowControl/>
        <w:kinsoku w:val="0"/>
        <w:overflowPunct w:val="0"/>
        <w:rPr>
          <w:sz w:val="22"/>
          <w:szCs w:val="22"/>
          <w:lang w:val="de-DE"/>
        </w:rPr>
      </w:pPr>
    </w:p>
    <w:p w14:paraId="39E9255F" w14:textId="77777777" w:rsidR="00FE291A" w:rsidRDefault="00C8738F">
      <w:pPr>
        <w:pStyle w:val="BodyText"/>
        <w:widowControl/>
        <w:kinsoku w:val="0"/>
        <w:overflowPunct w:val="0"/>
        <w:ind w:left="0"/>
        <w:rPr>
          <w:lang w:val="de-DE"/>
        </w:rPr>
      </w:pPr>
      <w:r>
        <w:rPr>
          <w:lang w:val="de-DE"/>
        </w:rPr>
        <w:t>Die Entscheidung, die Anwendung von AMGEVITA abzubrechen, müssen Sie mit Ihrem Arzt besprechen. Die Anzeichen Ihrer Erkrankung können nach Abbruch der Behandlung zurückkehren.</w:t>
      </w:r>
    </w:p>
    <w:p w14:paraId="404B8F12" w14:textId="77777777" w:rsidR="00FE291A" w:rsidRDefault="00FE291A">
      <w:pPr>
        <w:widowControl/>
        <w:kinsoku w:val="0"/>
        <w:overflowPunct w:val="0"/>
        <w:rPr>
          <w:sz w:val="22"/>
          <w:szCs w:val="22"/>
          <w:lang w:val="de-DE"/>
        </w:rPr>
      </w:pPr>
    </w:p>
    <w:p w14:paraId="2DBC6C0C" w14:textId="77777777" w:rsidR="00FE291A" w:rsidRDefault="00C8738F">
      <w:pPr>
        <w:pStyle w:val="BodyText"/>
        <w:widowControl/>
        <w:kinsoku w:val="0"/>
        <w:overflowPunct w:val="0"/>
        <w:ind w:left="0"/>
        <w:rPr>
          <w:lang w:val="de-DE"/>
        </w:rPr>
      </w:pPr>
      <w:r>
        <w:rPr>
          <w:lang w:val="de-DE"/>
        </w:rPr>
        <w:t>Sollten Sie weitere Fragen zur Anwendung dieses Arzneimittels haben, fragen Sie Ihren Arzt oder Apotheker.</w:t>
      </w:r>
    </w:p>
    <w:p w14:paraId="3089DF47" w14:textId="77777777" w:rsidR="00FE291A" w:rsidRDefault="00FE291A">
      <w:pPr>
        <w:widowControl/>
        <w:kinsoku w:val="0"/>
        <w:overflowPunct w:val="0"/>
        <w:rPr>
          <w:sz w:val="22"/>
          <w:szCs w:val="22"/>
          <w:lang w:val="de-DE"/>
        </w:rPr>
      </w:pPr>
    </w:p>
    <w:p w14:paraId="3447753E" w14:textId="77777777" w:rsidR="00FE291A" w:rsidRDefault="00FE291A">
      <w:pPr>
        <w:widowControl/>
        <w:kinsoku w:val="0"/>
        <w:overflowPunct w:val="0"/>
        <w:rPr>
          <w:sz w:val="22"/>
          <w:szCs w:val="22"/>
          <w:lang w:val="de-DE"/>
        </w:rPr>
      </w:pPr>
    </w:p>
    <w:p w14:paraId="3469AC2F" w14:textId="77777777" w:rsidR="00FE291A" w:rsidRDefault="00C8738F">
      <w:pPr>
        <w:pStyle w:val="Heading1"/>
        <w:keepNext/>
        <w:widowControl/>
        <w:tabs>
          <w:tab w:val="left" w:pos="567"/>
        </w:tabs>
        <w:kinsoku w:val="0"/>
        <w:overflowPunct w:val="0"/>
        <w:ind w:left="567" w:hanging="567"/>
        <w:rPr>
          <w:b w:val="0"/>
          <w:bCs w:val="0"/>
          <w:lang w:val="de-DE"/>
        </w:rPr>
      </w:pPr>
      <w:r>
        <w:rPr>
          <w:lang w:val="de-DE"/>
        </w:rPr>
        <w:t>4.</w:t>
      </w:r>
      <w:r>
        <w:rPr>
          <w:lang w:val="de-DE"/>
        </w:rPr>
        <w:tab/>
        <w:t>Welche Nebenwirkungen sind möglich?</w:t>
      </w:r>
    </w:p>
    <w:p w14:paraId="54FF46B0" w14:textId="77777777" w:rsidR="00FE291A" w:rsidRDefault="00FE291A">
      <w:pPr>
        <w:widowControl/>
        <w:kinsoku w:val="0"/>
        <w:overflowPunct w:val="0"/>
        <w:rPr>
          <w:sz w:val="22"/>
          <w:szCs w:val="26"/>
          <w:lang w:val="de-DE"/>
        </w:rPr>
      </w:pPr>
    </w:p>
    <w:p w14:paraId="6047AFF1" w14:textId="77777777" w:rsidR="00FE291A" w:rsidRDefault="00C8738F">
      <w:pPr>
        <w:pStyle w:val="BodyText"/>
        <w:widowControl/>
        <w:kinsoku w:val="0"/>
        <w:overflowPunct w:val="0"/>
        <w:ind w:left="0"/>
        <w:rPr>
          <w:lang w:val="de-DE"/>
        </w:rPr>
      </w:pPr>
      <w:r>
        <w:rPr>
          <w:lang w:val="de-DE"/>
        </w:rPr>
        <w:t>Wie alle Arzneimittel kann dieses Arzneimittel Nebenwirkungen haben, die aber nicht bei jedem auftreten müssen. Die meisten Nebenwirkungen sind leicht bis mäßig ausgeprägt. Einige können jedoch auch schwerwiegend sein und müssen behandelt werden. Nebenwirkungen können mindestens bis vier Monate nach der letzten Injektion von AMGEVITA auftreten.</w:t>
      </w:r>
    </w:p>
    <w:p w14:paraId="3935A0DE" w14:textId="77777777" w:rsidR="00FE291A" w:rsidRDefault="00FE291A">
      <w:pPr>
        <w:widowControl/>
        <w:kinsoku w:val="0"/>
        <w:overflowPunct w:val="0"/>
        <w:rPr>
          <w:sz w:val="22"/>
          <w:lang w:val="de-DE"/>
        </w:rPr>
      </w:pPr>
    </w:p>
    <w:p w14:paraId="59694933" w14:textId="77777777" w:rsidR="00FE291A" w:rsidRDefault="00C8738F">
      <w:pPr>
        <w:pStyle w:val="BodyText"/>
        <w:keepNext/>
        <w:widowControl/>
        <w:kinsoku w:val="0"/>
        <w:overflowPunct w:val="0"/>
        <w:ind w:left="0"/>
        <w:rPr>
          <w:lang w:val="de-DE"/>
        </w:rPr>
      </w:pPr>
      <w:r>
        <w:rPr>
          <w:lang w:val="de-DE"/>
        </w:rPr>
        <w:t>Benachrichtigen Sie unverzüglich Ihren Arzt, wenn Sie eines der folgenden Anzeichen einer allergischen Reaktion oder einer Herzschwäche bemerken:</w:t>
      </w:r>
    </w:p>
    <w:p w14:paraId="372A2097" w14:textId="77777777" w:rsidR="00FE291A" w:rsidRDefault="00C8738F">
      <w:pPr>
        <w:pStyle w:val="BodyText"/>
        <w:widowControl/>
        <w:numPr>
          <w:ilvl w:val="0"/>
          <w:numId w:val="56"/>
        </w:numPr>
        <w:kinsoku w:val="0"/>
        <w:overflowPunct w:val="0"/>
        <w:ind w:left="567"/>
        <w:rPr>
          <w:lang w:val="de-DE"/>
        </w:rPr>
      </w:pPr>
      <w:r>
        <w:rPr>
          <w:lang w:val="de-DE"/>
        </w:rPr>
        <w:t>Starker Hautausschlag, Nesselsucht oder andere Anzeichen einer allergischen Reaktion;</w:t>
      </w:r>
    </w:p>
    <w:p w14:paraId="66310C62" w14:textId="77777777" w:rsidR="00FE291A" w:rsidRDefault="00C8738F">
      <w:pPr>
        <w:pStyle w:val="BodyText"/>
        <w:widowControl/>
        <w:numPr>
          <w:ilvl w:val="0"/>
          <w:numId w:val="56"/>
        </w:numPr>
        <w:kinsoku w:val="0"/>
        <w:overflowPunct w:val="0"/>
        <w:ind w:left="567"/>
        <w:rPr>
          <w:lang w:val="de-DE"/>
        </w:rPr>
      </w:pPr>
      <w:r>
        <w:rPr>
          <w:lang w:val="de-DE"/>
        </w:rPr>
        <w:t>Schwellung im Gesicht, an Händen oder Füßen;</w:t>
      </w:r>
    </w:p>
    <w:p w14:paraId="02B4E90B" w14:textId="77777777" w:rsidR="00FE291A" w:rsidRDefault="00C8738F">
      <w:pPr>
        <w:pStyle w:val="BodyText"/>
        <w:widowControl/>
        <w:numPr>
          <w:ilvl w:val="0"/>
          <w:numId w:val="56"/>
        </w:numPr>
        <w:kinsoku w:val="0"/>
        <w:overflowPunct w:val="0"/>
        <w:ind w:left="567"/>
        <w:rPr>
          <w:lang w:val="de-DE"/>
        </w:rPr>
      </w:pPr>
      <w:r>
        <w:rPr>
          <w:lang w:val="de-DE"/>
        </w:rPr>
        <w:t>Schwierigkeiten beim Atmen oder Schlucken;</w:t>
      </w:r>
    </w:p>
    <w:p w14:paraId="715CEB83" w14:textId="77777777" w:rsidR="00FE291A" w:rsidRDefault="00C8738F">
      <w:pPr>
        <w:pStyle w:val="BodyText"/>
        <w:widowControl/>
        <w:numPr>
          <w:ilvl w:val="0"/>
          <w:numId w:val="56"/>
        </w:numPr>
        <w:kinsoku w:val="0"/>
        <w:overflowPunct w:val="0"/>
        <w:ind w:left="567"/>
        <w:rPr>
          <w:lang w:val="de-DE"/>
        </w:rPr>
      </w:pPr>
      <w:r>
        <w:rPr>
          <w:lang w:val="de-DE"/>
        </w:rPr>
        <w:t>Kurzatmigkeit bei Belastung oder im Liegen oder Schwellung der Füße.</w:t>
      </w:r>
    </w:p>
    <w:p w14:paraId="14C3FA5B" w14:textId="77777777" w:rsidR="00FE291A" w:rsidRDefault="00FE291A">
      <w:pPr>
        <w:widowControl/>
        <w:kinsoku w:val="0"/>
        <w:overflowPunct w:val="0"/>
        <w:rPr>
          <w:sz w:val="22"/>
          <w:szCs w:val="26"/>
          <w:lang w:val="de-DE"/>
        </w:rPr>
      </w:pPr>
    </w:p>
    <w:p w14:paraId="3D681F8B" w14:textId="77777777" w:rsidR="00FE291A" w:rsidRDefault="00C8738F">
      <w:pPr>
        <w:pStyle w:val="BodyText"/>
        <w:widowControl/>
        <w:kinsoku w:val="0"/>
        <w:overflowPunct w:val="0"/>
        <w:ind w:left="0"/>
        <w:rPr>
          <w:lang w:val="de-DE"/>
        </w:rPr>
      </w:pPr>
      <w:r>
        <w:rPr>
          <w:lang w:val="de-DE"/>
        </w:rPr>
        <w:t>Benachrichtigen Sie so bald wie möglich Ihren Arzt, wenn Sie eines der folgenden Anzeichen bemerken:</w:t>
      </w:r>
    </w:p>
    <w:p w14:paraId="5E8EF0F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Anzeichen einer Infektion wie Fieber, Krankheitsgefühl, Wunden, Zahnprobleme, Brennen beim Wasserlassen;</w:t>
      </w:r>
    </w:p>
    <w:p w14:paraId="2CBEE29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Gefühl der Schwäche oder Müdigkeit;</w:t>
      </w:r>
    </w:p>
    <w:p w14:paraId="320675F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Husten;</w:t>
      </w:r>
    </w:p>
    <w:p w14:paraId="3CE7914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Kribbeln;</w:t>
      </w:r>
    </w:p>
    <w:p w14:paraId="1ABCBB1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Taubheit;</w:t>
      </w:r>
    </w:p>
    <w:p w14:paraId="55613B1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Doppeltsehen;</w:t>
      </w:r>
    </w:p>
    <w:p w14:paraId="0E24B8E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Schwäche in Armen oder Beinen;</w:t>
      </w:r>
    </w:p>
    <w:p w14:paraId="31D522D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Anzeichen für eine Hautkrebserkrankung wie eine Beule oder offene Stellen, die nicht abheilen;</w:t>
      </w:r>
    </w:p>
    <w:p w14:paraId="58A69E8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Anzeichen und Krankheitserscheinungen, die auf eine mögliche Erkrankung des blutbildenden Systems hinweisen, wie anhaltendes Fieber, Blutergüsse, Blutungen, Blässe.</w:t>
      </w:r>
    </w:p>
    <w:p w14:paraId="0B1C3D4B" w14:textId="77777777" w:rsidR="00FE291A" w:rsidRDefault="00FE291A">
      <w:pPr>
        <w:pStyle w:val="BodyText"/>
        <w:widowControl/>
        <w:kinsoku w:val="0"/>
        <w:overflowPunct w:val="0"/>
        <w:ind w:left="0"/>
        <w:rPr>
          <w:lang w:val="de-DE"/>
        </w:rPr>
      </w:pPr>
    </w:p>
    <w:p w14:paraId="55682C14" w14:textId="77777777" w:rsidR="00FE291A" w:rsidRDefault="00C8738F">
      <w:pPr>
        <w:pStyle w:val="BodyText"/>
        <w:widowControl/>
        <w:kinsoku w:val="0"/>
        <w:overflowPunct w:val="0"/>
        <w:ind w:left="0"/>
        <w:rPr>
          <w:lang w:val="de-DE"/>
        </w:rPr>
      </w:pPr>
      <w:r>
        <w:rPr>
          <w:lang w:val="de-DE"/>
        </w:rPr>
        <w:t>Die oben beschriebenen Anzeichen können ein Hinweis sein auf die nachfolgend aufgelisteten Nebenwirkungen, die mit Adalimumab beobachtet wurden:</w:t>
      </w:r>
    </w:p>
    <w:p w14:paraId="186FE032" w14:textId="77777777" w:rsidR="00FE291A" w:rsidRDefault="00FE291A">
      <w:pPr>
        <w:widowControl/>
        <w:kinsoku w:val="0"/>
        <w:overflowPunct w:val="0"/>
        <w:rPr>
          <w:sz w:val="22"/>
          <w:szCs w:val="22"/>
          <w:lang w:val="de-DE"/>
        </w:rPr>
      </w:pPr>
    </w:p>
    <w:p w14:paraId="16F8AB58" w14:textId="77777777" w:rsidR="00FE291A" w:rsidRDefault="00C8738F">
      <w:pPr>
        <w:pStyle w:val="BodyText"/>
        <w:widowControl/>
        <w:kinsoku w:val="0"/>
        <w:overflowPunct w:val="0"/>
        <w:ind w:left="0"/>
        <w:rPr>
          <w:lang w:val="de-DE"/>
        </w:rPr>
      </w:pPr>
      <w:r>
        <w:rPr>
          <w:lang w:val="de-DE"/>
        </w:rPr>
        <w:t>Sehr häufig (kann mehr als 1 von 10 Behandelten betreffen):</w:t>
      </w:r>
    </w:p>
    <w:p w14:paraId="5CD205E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Reaktionen an der Injektionsstelle (einschließlich Schmerz, Schwellung, Rötung oder Juckreiz);</w:t>
      </w:r>
    </w:p>
    <w:p w14:paraId="0038DB2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der Atemwege (einschließlich Erkältung, Fließschnupfen, Infektion der Nasennebenhöhlen, Lungenentzündung);</w:t>
      </w:r>
    </w:p>
    <w:p w14:paraId="203BA95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Kopfschmerzen;</w:t>
      </w:r>
    </w:p>
    <w:p w14:paraId="2BDCC12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Bauchschmerzen;</w:t>
      </w:r>
    </w:p>
    <w:p w14:paraId="4EEAED2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Übelkeit und Erbrechen;</w:t>
      </w:r>
    </w:p>
    <w:p w14:paraId="2597DD6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Hautausschlag;</w:t>
      </w:r>
    </w:p>
    <w:p w14:paraId="4E15D77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Schmerzen in Muskeln und Knochen.</w:t>
      </w:r>
    </w:p>
    <w:p w14:paraId="36F8C827" w14:textId="77777777" w:rsidR="00FE291A" w:rsidRDefault="00FE291A">
      <w:pPr>
        <w:widowControl/>
        <w:kinsoku w:val="0"/>
        <w:overflowPunct w:val="0"/>
        <w:rPr>
          <w:sz w:val="22"/>
          <w:szCs w:val="26"/>
          <w:lang w:val="de-DE"/>
        </w:rPr>
      </w:pPr>
    </w:p>
    <w:p w14:paraId="01234FAC" w14:textId="77777777" w:rsidR="00FE291A" w:rsidRDefault="00C8738F">
      <w:pPr>
        <w:pStyle w:val="BodyText"/>
        <w:widowControl/>
        <w:kinsoku w:val="0"/>
        <w:overflowPunct w:val="0"/>
        <w:ind w:left="0"/>
        <w:rPr>
          <w:lang w:val="de-DE"/>
        </w:rPr>
      </w:pPr>
      <w:r>
        <w:rPr>
          <w:lang w:val="de-DE"/>
        </w:rPr>
        <w:t>Häufig (kann bis zu 1 von 10 Behandelten betreffen):</w:t>
      </w:r>
    </w:p>
    <w:p w14:paraId="42B4223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Schwere Infektionen (einschließlich Blutvergiftung und Virusgrippe);</w:t>
      </w:r>
    </w:p>
    <w:p w14:paraId="13929D8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Darminfektionen (einschließlich Magen-Darm-Grippe);</w:t>
      </w:r>
    </w:p>
    <w:p w14:paraId="7AB25D1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der Haut (einschließlich Entzündung des Unterhautzellgewebes und Gürtelrose);</w:t>
      </w:r>
    </w:p>
    <w:p w14:paraId="27AB4BA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des Ohres;</w:t>
      </w:r>
    </w:p>
    <w:p w14:paraId="7180F93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des Mundes (einschließlich Zahninfektionen und Fieberbläschen);</w:t>
      </w:r>
    </w:p>
    <w:p w14:paraId="7BE48BE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der Fortpflanzungsorgane;</w:t>
      </w:r>
    </w:p>
    <w:p w14:paraId="09D7819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Harnwegsinfektion;</w:t>
      </w:r>
    </w:p>
    <w:p w14:paraId="2B928C7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Pilzinfektionen;</w:t>
      </w:r>
    </w:p>
    <w:p w14:paraId="3024781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Gelenkinfektionen;</w:t>
      </w:r>
    </w:p>
    <w:p w14:paraId="021F0A2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Gutartige Tumoren;</w:t>
      </w:r>
    </w:p>
    <w:p w14:paraId="7BD55C2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Hautkrebs;</w:t>
      </w:r>
    </w:p>
    <w:p w14:paraId="433DF44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Allergische Reaktionen (einschließlich durch Jahreszeiten bedingte Allergie);</w:t>
      </w:r>
    </w:p>
    <w:p w14:paraId="3AD2298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Flüssigkeitsverlust (Dehydratation);</w:t>
      </w:r>
    </w:p>
    <w:p w14:paraId="2B900E0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Stimmungsschwankungen (einschließlich Depression);</w:t>
      </w:r>
    </w:p>
    <w:p w14:paraId="507761F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Angstgefühl;</w:t>
      </w:r>
    </w:p>
    <w:p w14:paraId="0EF6DDE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Schlafstörungen;</w:t>
      </w:r>
    </w:p>
    <w:p w14:paraId="2FABF38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Empfindungsstörungen (einschließlich Kribbeln, Prickeln oder Taubheitsgefühl);</w:t>
      </w:r>
    </w:p>
    <w:p w14:paraId="72AB8C7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Migräne;</w:t>
      </w:r>
    </w:p>
    <w:p w14:paraId="3A38911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Nervenwurzelkompression (Hexenschuss, einschließlich Rückenschmerzen und Beinschmerzen);</w:t>
      </w:r>
    </w:p>
    <w:p w14:paraId="2721F8F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Sehstörungen;</w:t>
      </w:r>
    </w:p>
    <w:p w14:paraId="5D57FF2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Augenentzündung;</w:t>
      </w:r>
    </w:p>
    <w:p w14:paraId="13E37D1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des Augenlides und Anschwellen des Auges;</w:t>
      </w:r>
    </w:p>
    <w:p w14:paraId="1941B41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Schwindel (Schwindelgefühl oder Gefühl, dass sich der Raum dreht);</w:t>
      </w:r>
    </w:p>
    <w:p w14:paraId="08A7AC8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Herzrasen;</w:t>
      </w:r>
    </w:p>
    <w:p w14:paraId="23938C4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Hoher Blutdruck;</w:t>
      </w:r>
    </w:p>
    <w:p w14:paraId="6E78EDE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Hitzegefühl;</w:t>
      </w:r>
    </w:p>
    <w:p w14:paraId="304AE77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Blutergüsse;</w:t>
      </w:r>
    </w:p>
    <w:p w14:paraId="449FB84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Husten;</w:t>
      </w:r>
    </w:p>
    <w:p w14:paraId="3E6E083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Asthma;</w:t>
      </w:r>
    </w:p>
    <w:p w14:paraId="1E3CE55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Kurzatmigkeit;</w:t>
      </w:r>
    </w:p>
    <w:p w14:paraId="2137148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Magen-Darm-Blutungen;</w:t>
      </w:r>
    </w:p>
    <w:p w14:paraId="591B0AF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Verdauungsstörung (Magenverstimmung, Blähungen, Sodbrennen);</w:t>
      </w:r>
    </w:p>
    <w:p w14:paraId="7D802E4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Saures Aufstoßen;</w:t>
      </w:r>
    </w:p>
    <w:p w14:paraId="397C020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Sicca-Syndrom (einschließlich trockener Augen und trockenem Mund);</w:t>
      </w:r>
    </w:p>
    <w:p w14:paraId="6566B53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Juckreiz;</w:t>
      </w:r>
    </w:p>
    <w:p w14:paraId="3042BD5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Juckender Hautausschlag;</w:t>
      </w:r>
    </w:p>
    <w:p w14:paraId="0B65D16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Blaue Flecken;</w:t>
      </w:r>
    </w:p>
    <w:p w14:paraId="5C2005E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der Haut (wie z. B. Ekzeme);</w:t>
      </w:r>
    </w:p>
    <w:p w14:paraId="538E8D4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Brüchige Finger- und Fußnägel;</w:t>
      </w:r>
    </w:p>
    <w:p w14:paraId="1ECF0FB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Vermehrtes Schwitzen;</w:t>
      </w:r>
    </w:p>
    <w:p w14:paraId="089AFCC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Haarausfall;</w:t>
      </w:r>
    </w:p>
    <w:p w14:paraId="3CDF5C1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Neuer Ausbruch oder Verschlechterung von Schuppenflechte (Psoriasis);</w:t>
      </w:r>
    </w:p>
    <w:p w14:paraId="5FDBDDD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Muskelkrämpfe;</w:t>
      </w:r>
    </w:p>
    <w:p w14:paraId="10DAE0B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Blut im Urin;</w:t>
      </w:r>
    </w:p>
    <w:p w14:paraId="37EAC0B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Nierenprobleme;</w:t>
      </w:r>
    </w:p>
    <w:p w14:paraId="43F0F5B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Schmerzen im Brustraum;</w:t>
      </w:r>
    </w:p>
    <w:p w14:paraId="0E0F4C4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Wasseransammlungen (Ödeme);</w:t>
      </w:r>
    </w:p>
    <w:p w14:paraId="7BED9DE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Fieber;</w:t>
      </w:r>
    </w:p>
    <w:p w14:paraId="65D0630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Verringerung der Blutplättchen, dadurch erhöhtes Risiko für Blutungen oder blaue Flecken;</w:t>
      </w:r>
    </w:p>
    <w:p w14:paraId="06745DA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Verzögerte Wundheilung.</w:t>
      </w:r>
    </w:p>
    <w:p w14:paraId="3939ECDE" w14:textId="77777777" w:rsidR="00FE291A" w:rsidRDefault="00FE291A">
      <w:pPr>
        <w:widowControl/>
        <w:kinsoku w:val="0"/>
        <w:overflowPunct w:val="0"/>
        <w:rPr>
          <w:sz w:val="22"/>
          <w:szCs w:val="26"/>
          <w:lang w:val="de-DE"/>
        </w:rPr>
      </w:pPr>
    </w:p>
    <w:p w14:paraId="7E40DDA2" w14:textId="77777777" w:rsidR="00FE291A" w:rsidRDefault="00C8738F">
      <w:pPr>
        <w:pStyle w:val="BodyText"/>
        <w:widowControl/>
        <w:kinsoku w:val="0"/>
        <w:overflowPunct w:val="0"/>
        <w:ind w:left="0"/>
        <w:rPr>
          <w:lang w:val="de-DE"/>
        </w:rPr>
      </w:pPr>
      <w:r>
        <w:rPr>
          <w:lang w:val="de-DE"/>
        </w:rPr>
        <w:t>Gelegentlich (kann bis zu 1 von 100 Behandelten betreffen):</w:t>
      </w:r>
    </w:p>
    <w:p w14:paraId="198379A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Tuberkulose und andere Infektionen, die auftreten, wenn die Widerstandskraft gegenüber Krankheiten vermindert ist (opportunistische Infektionen);</w:t>
      </w:r>
    </w:p>
    <w:p w14:paraId="63DEC16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Neurologische Infekte (einschließlich viraler Hirnhautentzündung);</w:t>
      </w:r>
    </w:p>
    <w:p w14:paraId="73AF508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Augeninfektionen;</w:t>
      </w:r>
    </w:p>
    <w:p w14:paraId="27B24F4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Bakterielle Infektionen;</w:t>
      </w:r>
    </w:p>
    <w:p w14:paraId="7E9700D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und Infektion des Dickdarms (Divertikulitis);</w:t>
      </w:r>
    </w:p>
    <w:p w14:paraId="020954D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Krebs, einschließlich Krebs, der das Lymphsystem betrifft (Lymphom), und Melanom (Hautkrebs);</w:t>
      </w:r>
    </w:p>
    <w:p w14:paraId="3B07755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Immunstörungen, welche die Lunge, Haut und Lymphknoten betreffen können (kommen am häufigsten als Sarkoidose vor);</w:t>
      </w:r>
    </w:p>
    <w:p w14:paraId="282CA8C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Vaskulitis (Entzündung der Blutgefäße);</w:t>
      </w:r>
    </w:p>
    <w:p w14:paraId="5452B60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Zittern (Tremor);</w:t>
      </w:r>
    </w:p>
    <w:p w14:paraId="041EE49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Nervenerkrankungen (Neuropathie);</w:t>
      </w:r>
    </w:p>
    <w:p w14:paraId="3033725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Schlaganfall;</w:t>
      </w:r>
    </w:p>
    <w:p w14:paraId="40B5F0A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Hörverlust, Ohrensausen;</w:t>
      </w:r>
    </w:p>
    <w:p w14:paraId="1EDF403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Unregelmäßiger Herzschlag, wie z. B. übersprungene Schläge;</w:t>
      </w:r>
    </w:p>
    <w:p w14:paraId="75AE70B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Herzprobleme, die zu Kurzatmigkeit und Anschwellen der Fußknöchel führen können;</w:t>
      </w:r>
    </w:p>
    <w:p w14:paraId="4027F3C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Herzinfarkt;</w:t>
      </w:r>
    </w:p>
    <w:p w14:paraId="57C0E41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Eine Ausbuchtung in der Wand einer Hauptarterie, Entzündung und Blutgerinnsel in einer Vene, Verstopfung eines Blutgefäßes;</w:t>
      </w:r>
    </w:p>
    <w:p w14:paraId="1DFB911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Lungenerkrankungen, die sich in Kurzatmigkeit äußern (einschließlich Entzündung);</w:t>
      </w:r>
    </w:p>
    <w:p w14:paraId="56FACCF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Lungenembolie (Verschluss in einer Lungenarterie);</w:t>
      </w:r>
    </w:p>
    <w:p w14:paraId="6E95175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Nicht normale Ansammlung von Flüssigkeit in der Umgebung der Lunge (Pleuraerguss);</w:t>
      </w:r>
    </w:p>
    <w:p w14:paraId="68AE0E2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der Bauchspeicheldrüse, die starke Schmerzen im Bauchraum und Rücken verursacht;</w:t>
      </w:r>
    </w:p>
    <w:p w14:paraId="786186A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Schluckstörungen;</w:t>
      </w:r>
    </w:p>
    <w:p w14:paraId="5078372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Gesichtsschwellung;</w:t>
      </w:r>
    </w:p>
    <w:p w14:paraId="2EE95FF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Gallenblasenentzündung, Gallensteine;</w:t>
      </w:r>
    </w:p>
    <w:p w14:paraId="4A12429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Fettleber;</w:t>
      </w:r>
    </w:p>
    <w:p w14:paraId="3990A05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Nächtliches Schwitzen;</w:t>
      </w:r>
    </w:p>
    <w:p w14:paraId="7C6450D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Narbenbildung;</w:t>
      </w:r>
    </w:p>
    <w:p w14:paraId="2F7E587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Abnormaler Muskelabbau;</w:t>
      </w:r>
    </w:p>
    <w:p w14:paraId="1D15B48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Systemischer Lupus erythematodes (einschließlich Entzündung von Haut, Herz, Lunge, Gelenken und anderen Organsystemen);</w:t>
      </w:r>
    </w:p>
    <w:p w14:paraId="64BADE2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Schlafstörungen;</w:t>
      </w:r>
    </w:p>
    <w:p w14:paraId="6FE972D4" w14:textId="77777777" w:rsidR="00FE291A" w:rsidRDefault="00C8738F">
      <w:pPr>
        <w:pStyle w:val="BodyText"/>
        <w:keepNext/>
        <w:widowControl/>
        <w:numPr>
          <w:ilvl w:val="0"/>
          <w:numId w:val="56"/>
        </w:numPr>
        <w:tabs>
          <w:tab w:val="left" w:pos="567"/>
        </w:tabs>
        <w:kinsoku w:val="0"/>
        <w:overflowPunct w:val="0"/>
        <w:ind w:left="567"/>
        <w:rPr>
          <w:lang w:val="de-DE"/>
        </w:rPr>
      </w:pPr>
      <w:r>
        <w:rPr>
          <w:lang w:val="de-DE"/>
        </w:rPr>
        <w:t>Impotenz;</w:t>
      </w:r>
    </w:p>
    <w:p w14:paraId="69E7281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Entzündungen.</w:t>
      </w:r>
    </w:p>
    <w:p w14:paraId="63FA354D" w14:textId="77777777" w:rsidR="00FE291A" w:rsidRDefault="00FE291A">
      <w:pPr>
        <w:pStyle w:val="BodyText"/>
        <w:widowControl/>
        <w:kinsoku w:val="0"/>
        <w:overflowPunct w:val="0"/>
        <w:ind w:left="0"/>
        <w:rPr>
          <w:lang w:val="de-DE"/>
        </w:rPr>
      </w:pPr>
    </w:p>
    <w:p w14:paraId="10DBAC3C" w14:textId="77777777" w:rsidR="00FE291A" w:rsidRDefault="00C8738F">
      <w:pPr>
        <w:pStyle w:val="BodyText"/>
        <w:keepNext/>
        <w:widowControl/>
        <w:kinsoku w:val="0"/>
        <w:overflowPunct w:val="0"/>
        <w:ind w:left="0"/>
        <w:rPr>
          <w:lang w:val="de-DE"/>
        </w:rPr>
      </w:pPr>
      <w:r>
        <w:rPr>
          <w:lang w:val="de-DE"/>
        </w:rPr>
        <w:t>Selten (kann bis zu 1 von 1 000 Behandelten betreffen):</w:t>
      </w:r>
    </w:p>
    <w:p w14:paraId="566B246E" w14:textId="77777777" w:rsidR="00FE291A" w:rsidRDefault="00C8738F">
      <w:pPr>
        <w:pStyle w:val="BodyText"/>
        <w:keepNext/>
        <w:widowControl/>
        <w:numPr>
          <w:ilvl w:val="0"/>
          <w:numId w:val="56"/>
        </w:numPr>
        <w:tabs>
          <w:tab w:val="left" w:pos="567"/>
        </w:tabs>
        <w:kinsoku w:val="0"/>
        <w:overflowPunct w:val="0"/>
        <w:ind w:left="567"/>
        <w:rPr>
          <w:lang w:val="de-DE"/>
        </w:rPr>
      </w:pPr>
      <w:r>
        <w:rPr>
          <w:lang w:val="de-DE"/>
        </w:rPr>
        <w:t>Leukämie (Krebs, der das Blut und das Knochenmark betrifft);</w:t>
      </w:r>
    </w:p>
    <w:p w14:paraId="6761775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Schwere allergische Reaktionen mit Schock;</w:t>
      </w:r>
    </w:p>
    <w:p w14:paraId="212CF7B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Multiple Sklerose;</w:t>
      </w:r>
    </w:p>
    <w:p w14:paraId="5528D60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Nervenerkrankungen (z. B. Entzündung des Augennervs und Guillain-Barré-Syndrom, das zu Muskelschwäche, gestörten Sinnesempfindungen, Kribbeln in Armen und Oberkörper führen kann);</w:t>
      </w:r>
    </w:p>
    <w:p w14:paraId="1AA8294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Herzstillstand;</w:t>
      </w:r>
    </w:p>
    <w:p w14:paraId="40456FD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Lungenfibrose (Narbenbildung in der Lunge);</w:t>
      </w:r>
    </w:p>
    <w:p w14:paraId="42E0C1D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Darmwanddurchbruch (Loch in der Darmwand);</w:t>
      </w:r>
    </w:p>
    <w:p w14:paraId="4379C93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Hepatitis (Leberentzündung);</w:t>
      </w:r>
    </w:p>
    <w:p w14:paraId="3229614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Erneuter Ausbruch von Hepatitis B;</w:t>
      </w:r>
    </w:p>
    <w:p w14:paraId="7886BFC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der Leber, die durch das körpereigene Abwehrsystem ausgelöst wird (Autoimmunhepatitis);</w:t>
      </w:r>
    </w:p>
    <w:p w14:paraId="647747D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der Blutgefäße der Haut (kutane Vaskulitis);</w:t>
      </w:r>
    </w:p>
    <w:p w14:paraId="4F0B351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Stevens-Johnson-Syndrom (lebensbedrohliche Reaktion mit grippeähnlichen Symptomen und blasenbildendem Ausschlag);</w:t>
      </w:r>
    </w:p>
    <w:p w14:paraId="7C01234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Gesichtsschwellung (Ödem) in Verbindung mit allergischen Reaktionen;</w:t>
      </w:r>
    </w:p>
    <w:p w14:paraId="52B325C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Entzündlicher Hautausschlag (Erythema multiforme);</w:t>
      </w:r>
    </w:p>
    <w:p w14:paraId="3DBDD63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Lupusähnliches Syndrom;</w:t>
      </w:r>
    </w:p>
    <w:p w14:paraId="36CF7397" w14:textId="77777777" w:rsidR="00FE291A" w:rsidRDefault="00C8738F">
      <w:pPr>
        <w:widowControl/>
        <w:numPr>
          <w:ilvl w:val="0"/>
          <w:numId w:val="56"/>
        </w:numPr>
        <w:autoSpaceDE/>
        <w:autoSpaceDN/>
        <w:adjustRightInd/>
        <w:ind w:left="567"/>
        <w:rPr>
          <w:sz w:val="22"/>
          <w:szCs w:val="22"/>
          <w:lang w:val="de-DE"/>
        </w:rPr>
      </w:pPr>
      <w:r>
        <w:rPr>
          <w:sz w:val="22"/>
          <w:szCs w:val="22"/>
          <w:lang w:val="de-DE"/>
        </w:rPr>
        <w:t>Angioödem (lokalisierte Schwellung der Haut);</w:t>
      </w:r>
    </w:p>
    <w:p w14:paraId="4F923482" w14:textId="77777777" w:rsidR="00FE291A" w:rsidRDefault="00C8738F">
      <w:pPr>
        <w:widowControl/>
        <w:numPr>
          <w:ilvl w:val="0"/>
          <w:numId w:val="56"/>
        </w:numPr>
        <w:autoSpaceDE/>
        <w:autoSpaceDN/>
        <w:adjustRightInd/>
        <w:ind w:left="567"/>
        <w:rPr>
          <w:sz w:val="22"/>
          <w:szCs w:val="22"/>
          <w:lang w:val="de-DE"/>
        </w:rPr>
      </w:pPr>
      <w:r>
        <w:rPr>
          <w:sz w:val="22"/>
          <w:szCs w:val="22"/>
          <w:lang w:val="de-DE"/>
        </w:rPr>
        <w:t>Lichenoide Hautreaktion (juckender, rötlicher bis violetter Hautausschlag).</w:t>
      </w:r>
    </w:p>
    <w:p w14:paraId="36F53219" w14:textId="77777777" w:rsidR="00FE291A" w:rsidRDefault="00FE291A">
      <w:pPr>
        <w:widowControl/>
        <w:kinsoku w:val="0"/>
        <w:overflowPunct w:val="0"/>
        <w:rPr>
          <w:sz w:val="22"/>
          <w:szCs w:val="26"/>
          <w:lang w:val="de-DE"/>
        </w:rPr>
      </w:pPr>
    </w:p>
    <w:p w14:paraId="778FBEDF" w14:textId="77777777" w:rsidR="00FE291A" w:rsidRDefault="00C8738F">
      <w:pPr>
        <w:pStyle w:val="BodyText"/>
        <w:keepNext/>
        <w:keepLines/>
        <w:widowControl/>
        <w:kinsoku w:val="0"/>
        <w:overflowPunct w:val="0"/>
        <w:ind w:left="0"/>
        <w:rPr>
          <w:lang w:val="de-DE"/>
        </w:rPr>
      </w:pPr>
      <w:r>
        <w:rPr>
          <w:lang w:val="de-DE"/>
        </w:rPr>
        <w:t>Nicht bekannt (Häufigkeit auf Grundlage der verfügbaren Daten nicht abschätzbar):</w:t>
      </w:r>
    </w:p>
    <w:p w14:paraId="609A7063" w14:textId="77777777" w:rsidR="00FE291A" w:rsidRDefault="00C8738F">
      <w:pPr>
        <w:pStyle w:val="BodyText"/>
        <w:widowControl/>
        <w:numPr>
          <w:ilvl w:val="0"/>
          <w:numId w:val="56"/>
        </w:numPr>
        <w:kinsoku w:val="0"/>
        <w:overflowPunct w:val="0"/>
        <w:ind w:left="567"/>
        <w:rPr>
          <w:lang w:val="de-DE"/>
        </w:rPr>
      </w:pPr>
      <w:r>
        <w:rPr>
          <w:lang w:val="de-DE"/>
        </w:rPr>
        <w:t>Hepatosplenales T-Zell-Lymphom (ein selten auftretender Blutkrebs, der oft tödlich ist);</w:t>
      </w:r>
    </w:p>
    <w:p w14:paraId="1FD67E14" w14:textId="77777777" w:rsidR="00FE291A" w:rsidRDefault="00C8738F">
      <w:pPr>
        <w:pStyle w:val="BodyText"/>
        <w:widowControl/>
        <w:numPr>
          <w:ilvl w:val="0"/>
          <w:numId w:val="56"/>
        </w:numPr>
        <w:kinsoku w:val="0"/>
        <w:overflowPunct w:val="0"/>
        <w:ind w:left="567"/>
        <w:rPr>
          <w:lang w:val="de-DE"/>
        </w:rPr>
      </w:pPr>
      <w:r>
        <w:rPr>
          <w:lang w:val="de-DE"/>
        </w:rPr>
        <w:t>Merkelzellkarzinom (eine Art von Hautkrebs);</w:t>
      </w:r>
    </w:p>
    <w:p w14:paraId="02AF7F44" w14:textId="77777777" w:rsidR="00FE291A" w:rsidRDefault="00C8738F">
      <w:pPr>
        <w:pStyle w:val="BodyText"/>
        <w:widowControl/>
        <w:numPr>
          <w:ilvl w:val="0"/>
          <w:numId w:val="56"/>
        </w:numPr>
        <w:kinsoku w:val="0"/>
        <w:overflowPunct w:val="0"/>
        <w:ind w:left="567"/>
        <w:rPr>
          <w:lang w:val="de-DE"/>
        </w:rPr>
      </w:pPr>
      <w:r>
        <w:rPr>
          <w:lang w:val="de-DE"/>
        </w:rPr>
        <w:t>Kaposi-Sarkom, eine seltene Krebserkrankung, die mit einer Infektion mit dem humanen Herpesvirus 8 assoziiert ist. Das Kaposi-Sarkom tritt am häufigsten in Form von violetten Hautläsionen auf.</w:t>
      </w:r>
    </w:p>
    <w:p w14:paraId="21B1F772" w14:textId="77777777" w:rsidR="00FE291A" w:rsidRDefault="00C8738F">
      <w:pPr>
        <w:pStyle w:val="BodyText"/>
        <w:widowControl/>
        <w:numPr>
          <w:ilvl w:val="0"/>
          <w:numId w:val="56"/>
        </w:numPr>
        <w:kinsoku w:val="0"/>
        <w:overflowPunct w:val="0"/>
        <w:ind w:left="567"/>
        <w:rPr>
          <w:lang w:val="de-DE"/>
        </w:rPr>
      </w:pPr>
      <w:r>
        <w:rPr>
          <w:lang w:val="de-DE"/>
        </w:rPr>
        <w:t>Leberversagen;</w:t>
      </w:r>
    </w:p>
    <w:p w14:paraId="436E9C8B" w14:textId="77777777" w:rsidR="00FE291A" w:rsidRDefault="00C8738F">
      <w:pPr>
        <w:pStyle w:val="BodyText"/>
        <w:widowControl/>
        <w:numPr>
          <w:ilvl w:val="0"/>
          <w:numId w:val="56"/>
        </w:numPr>
        <w:kinsoku w:val="0"/>
        <w:overflowPunct w:val="0"/>
        <w:ind w:left="567"/>
        <w:rPr>
          <w:lang w:val="de-DE"/>
        </w:rPr>
      </w:pPr>
      <w:r>
        <w:rPr>
          <w:lang w:val="de-DE"/>
        </w:rPr>
        <w:t>Verschlechterung einer sogenannten Dermatomyositis (tritt als Hautausschlag in Verbindung mit Muskelschwäche in Erscheinung);</w:t>
      </w:r>
    </w:p>
    <w:p w14:paraId="05785FF5" w14:textId="77777777" w:rsidR="00FE291A" w:rsidRDefault="00C8738F">
      <w:pPr>
        <w:pStyle w:val="BodyText"/>
        <w:widowControl/>
        <w:numPr>
          <w:ilvl w:val="0"/>
          <w:numId w:val="56"/>
        </w:numPr>
        <w:kinsoku w:val="0"/>
        <w:overflowPunct w:val="0"/>
        <w:ind w:left="567"/>
        <w:rPr>
          <w:lang w:val="de-DE"/>
        </w:rPr>
      </w:pPr>
      <w:r>
        <w:rPr>
          <w:lang w:val="de-DE"/>
        </w:rPr>
        <w:t>Gewichtszunahme (bei den meisten Patienten war die Gewichtszunahme gering).</w:t>
      </w:r>
    </w:p>
    <w:p w14:paraId="7605FD36" w14:textId="77777777" w:rsidR="00FE291A" w:rsidRDefault="00FE291A">
      <w:pPr>
        <w:widowControl/>
        <w:kinsoku w:val="0"/>
        <w:overflowPunct w:val="0"/>
        <w:rPr>
          <w:sz w:val="22"/>
          <w:lang w:val="de-DE"/>
        </w:rPr>
      </w:pPr>
    </w:p>
    <w:p w14:paraId="5ECFFE32" w14:textId="77777777" w:rsidR="00FE291A" w:rsidRDefault="00C8738F">
      <w:pPr>
        <w:pStyle w:val="BodyText"/>
        <w:keepNext/>
        <w:widowControl/>
        <w:kinsoku w:val="0"/>
        <w:overflowPunct w:val="0"/>
        <w:ind w:left="0"/>
        <w:rPr>
          <w:lang w:val="de-DE"/>
        </w:rPr>
      </w:pPr>
      <w:r>
        <w:rPr>
          <w:lang w:val="de-DE"/>
        </w:rPr>
        <w:t>Mit Adalimumab wurden einige Nebenwirkungen beobachtet, die keine Anzeichen haben und nur durch Bluttests erkannt werden können. Dazu gehören:</w:t>
      </w:r>
    </w:p>
    <w:p w14:paraId="6C57AE7C" w14:textId="77777777" w:rsidR="00FE291A" w:rsidRDefault="00FE291A">
      <w:pPr>
        <w:widowControl/>
        <w:kinsoku w:val="0"/>
        <w:overflowPunct w:val="0"/>
        <w:rPr>
          <w:sz w:val="22"/>
          <w:szCs w:val="26"/>
          <w:lang w:val="de-DE"/>
        </w:rPr>
      </w:pPr>
    </w:p>
    <w:p w14:paraId="7ACDC195" w14:textId="77777777" w:rsidR="00FE291A" w:rsidRDefault="00C8738F">
      <w:pPr>
        <w:pStyle w:val="BodyText"/>
        <w:widowControl/>
        <w:kinsoku w:val="0"/>
        <w:overflowPunct w:val="0"/>
        <w:ind w:left="0"/>
        <w:rPr>
          <w:lang w:val="de-DE"/>
        </w:rPr>
      </w:pPr>
      <w:r>
        <w:rPr>
          <w:lang w:val="de-DE"/>
        </w:rPr>
        <w:t>Sehr häufig (kann mehr als 1 von 10 Behandelten betreffen):</w:t>
      </w:r>
    </w:p>
    <w:p w14:paraId="428858C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Verringerte Anzahl weißer Blutkörperchen;</w:t>
      </w:r>
    </w:p>
    <w:p w14:paraId="03C1C60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Verringerte Anzahl roter Blutkörperchen;</w:t>
      </w:r>
    </w:p>
    <w:p w14:paraId="3BD77D5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Erhöhte Blutfettwerte;</w:t>
      </w:r>
    </w:p>
    <w:p w14:paraId="54F081A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Erhöhte Werte für Leberenzyme.</w:t>
      </w:r>
    </w:p>
    <w:p w14:paraId="29AA6744" w14:textId="77777777" w:rsidR="00FE291A" w:rsidRDefault="00FE291A">
      <w:pPr>
        <w:widowControl/>
        <w:kinsoku w:val="0"/>
        <w:overflowPunct w:val="0"/>
        <w:rPr>
          <w:sz w:val="22"/>
          <w:szCs w:val="26"/>
          <w:lang w:val="de-DE"/>
        </w:rPr>
      </w:pPr>
    </w:p>
    <w:p w14:paraId="09486AC2" w14:textId="77777777" w:rsidR="00FE291A" w:rsidRDefault="00C8738F">
      <w:pPr>
        <w:pStyle w:val="BodyText"/>
        <w:keepNext/>
        <w:widowControl/>
        <w:kinsoku w:val="0"/>
        <w:overflowPunct w:val="0"/>
        <w:ind w:left="0"/>
        <w:rPr>
          <w:lang w:val="de-DE"/>
        </w:rPr>
      </w:pPr>
      <w:r>
        <w:rPr>
          <w:lang w:val="de-DE"/>
        </w:rPr>
        <w:t>Häufig (kann bis zu 1 von 10 Behandelten betreffen):</w:t>
      </w:r>
    </w:p>
    <w:p w14:paraId="3A3439C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Erhöhte Anzahl weißer Blutkörperchen;</w:t>
      </w:r>
    </w:p>
    <w:p w14:paraId="0099E5C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Verringerte Anzahl von Blutplättchen;</w:t>
      </w:r>
    </w:p>
    <w:p w14:paraId="2B10021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Erhöhte Harnsäurewerte;</w:t>
      </w:r>
    </w:p>
    <w:p w14:paraId="202E0D0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Abnormale Blutwerte für Natrium;</w:t>
      </w:r>
    </w:p>
    <w:p w14:paraId="21B743A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Niedrige Blutwerte für Kalzium;</w:t>
      </w:r>
    </w:p>
    <w:p w14:paraId="0EAB98B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Niedrige Blutwerte für Phosphat;</w:t>
      </w:r>
    </w:p>
    <w:p w14:paraId="680EF01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Hohe Blutzuckerwerte;</w:t>
      </w:r>
    </w:p>
    <w:p w14:paraId="201DCD1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Hohe Blutwerte für Lactatdehydrogenase;</w:t>
      </w:r>
    </w:p>
    <w:p w14:paraId="32516044" w14:textId="77777777" w:rsidR="00FE291A" w:rsidRDefault="00C8738F">
      <w:pPr>
        <w:pStyle w:val="BodyText"/>
        <w:keepNext/>
        <w:widowControl/>
        <w:numPr>
          <w:ilvl w:val="0"/>
          <w:numId w:val="56"/>
        </w:numPr>
        <w:tabs>
          <w:tab w:val="left" w:pos="567"/>
        </w:tabs>
        <w:kinsoku w:val="0"/>
        <w:overflowPunct w:val="0"/>
        <w:ind w:left="567"/>
        <w:rPr>
          <w:lang w:val="de-DE"/>
        </w:rPr>
      </w:pPr>
      <w:r>
        <w:rPr>
          <w:lang w:val="de-DE"/>
        </w:rPr>
        <w:t>Nachweis von Autoantikörpern im Blut;</w:t>
      </w:r>
    </w:p>
    <w:p w14:paraId="76E6EF0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Hypokaliämie (Kaliummangel im Blut).</w:t>
      </w:r>
    </w:p>
    <w:p w14:paraId="146D2069" w14:textId="77777777" w:rsidR="00FE291A" w:rsidRDefault="00FE291A">
      <w:pPr>
        <w:widowControl/>
        <w:kinsoku w:val="0"/>
        <w:overflowPunct w:val="0"/>
        <w:rPr>
          <w:sz w:val="22"/>
          <w:szCs w:val="26"/>
          <w:lang w:val="de-DE"/>
        </w:rPr>
      </w:pPr>
    </w:p>
    <w:p w14:paraId="3981249A" w14:textId="77777777" w:rsidR="00FE291A" w:rsidRDefault="00C8738F">
      <w:pPr>
        <w:pStyle w:val="BodyText"/>
        <w:widowControl/>
        <w:kinsoku w:val="0"/>
        <w:overflowPunct w:val="0"/>
        <w:ind w:left="0"/>
        <w:rPr>
          <w:lang w:val="de-DE"/>
        </w:rPr>
      </w:pPr>
      <w:r>
        <w:rPr>
          <w:lang w:val="de-DE"/>
        </w:rPr>
        <w:t>Gelegentlich (kann bis zu 1 von 100 Behandelten betreffen):</w:t>
      </w:r>
    </w:p>
    <w:p w14:paraId="2A65F439" w14:textId="77777777" w:rsidR="00FE291A" w:rsidRDefault="00C8738F">
      <w:pPr>
        <w:pStyle w:val="BodyText"/>
        <w:numPr>
          <w:ilvl w:val="0"/>
          <w:numId w:val="57"/>
        </w:numPr>
        <w:tabs>
          <w:tab w:val="clear" w:pos="720"/>
          <w:tab w:val="left" w:pos="567"/>
        </w:tabs>
        <w:kinsoku w:val="0"/>
        <w:overflowPunct w:val="0"/>
        <w:ind w:left="567" w:hanging="567"/>
        <w:rPr>
          <w:lang w:val="de-DE"/>
        </w:rPr>
      </w:pPr>
      <w:r>
        <w:rPr>
          <w:lang w:val="de-DE"/>
        </w:rPr>
        <w:t>Erhöhte Bilirubin-Konzentration im Blut (Leberwerte).</w:t>
      </w:r>
    </w:p>
    <w:p w14:paraId="2457051A" w14:textId="77777777" w:rsidR="00FE291A" w:rsidRDefault="00FE291A">
      <w:pPr>
        <w:widowControl/>
        <w:kinsoku w:val="0"/>
        <w:overflowPunct w:val="0"/>
        <w:rPr>
          <w:sz w:val="22"/>
          <w:szCs w:val="26"/>
          <w:lang w:val="de-DE"/>
        </w:rPr>
      </w:pPr>
    </w:p>
    <w:p w14:paraId="396B7A7B" w14:textId="77777777" w:rsidR="00FE291A" w:rsidRDefault="00C8738F">
      <w:pPr>
        <w:pStyle w:val="BodyText"/>
        <w:keepNext/>
        <w:keepLines/>
        <w:widowControl/>
        <w:kinsoku w:val="0"/>
        <w:overflowPunct w:val="0"/>
        <w:ind w:left="0"/>
        <w:rPr>
          <w:lang w:val="de-DE"/>
        </w:rPr>
      </w:pPr>
      <w:r>
        <w:rPr>
          <w:lang w:val="de-DE"/>
        </w:rPr>
        <w:t>Selten (kann bis zu 1 von 1 000 Behandelten betreffen):</w:t>
      </w:r>
    </w:p>
    <w:p w14:paraId="6B4697D3" w14:textId="77777777" w:rsidR="00FE291A" w:rsidRDefault="00C8738F">
      <w:pPr>
        <w:pStyle w:val="BodyText"/>
        <w:widowControl/>
        <w:numPr>
          <w:ilvl w:val="0"/>
          <w:numId w:val="56"/>
        </w:numPr>
        <w:tabs>
          <w:tab w:val="left" w:pos="567"/>
        </w:tabs>
        <w:kinsoku w:val="0"/>
        <w:overflowPunct w:val="0"/>
        <w:ind w:left="0" w:firstLine="0"/>
        <w:rPr>
          <w:lang w:val="de-DE"/>
        </w:rPr>
      </w:pPr>
      <w:r>
        <w:rPr>
          <w:lang w:val="de-DE"/>
        </w:rPr>
        <w:t xml:space="preserve">Verringerte Anzahl von weißen und roten Blutkörperchen sowie von Blutplättchen. </w:t>
      </w:r>
    </w:p>
    <w:p w14:paraId="0E3B5D03" w14:textId="77777777" w:rsidR="00FE291A" w:rsidRDefault="00FE291A">
      <w:pPr>
        <w:pStyle w:val="BodyText"/>
        <w:keepNext/>
        <w:widowControl/>
        <w:tabs>
          <w:tab w:val="left" w:pos="690"/>
        </w:tabs>
        <w:kinsoku w:val="0"/>
        <w:overflowPunct w:val="0"/>
        <w:ind w:left="0"/>
        <w:rPr>
          <w:lang w:val="de-DE"/>
        </w:rPr>
      </w:pPr>
    </w:p>
    <w:p w14:paraId="166BEA2C" w14:textId="77777777" w:rsidR="00FE291A" w:rsidRDefault="00C8738F">
      <w:pPr>
        <w:pStyle w:val="Heading1"/>
        <w:keepNext/>
        <w:widowControl/>
        <w:kinsoku w:val="0"/>
        <w:overflowPunct w:val="0"/>
        <w:ind w:left="0"/>
        <w:rPr>
          <w:b w:val="0"/>
          <w:bCs w:val="0"/>
          <w:lang w:val="de-DE"/>
        </w:rPr>
      </w:pPr>
      <w:r>
        <w:rPr>
          <w:lang w:val="de-DE"/>
        </w:rPr>
        <w:t>Meldung von Nebenwirkungen</w:t>
      </w:r>
    </w:p>
    <w:p w14:paraId="450368A9" w14:textId="77777777" w:rsidR="00FE291A" w:rsidRDefault="00FE291A">
      <w:pPr>
        <w:keepNext/>
        <w:widowControl/>
        <w:kinsoku w:val="0"/>
        <w:overflowPunct w:val="0"/>
        <w:rPr>
          <w:sz w:val="22"/>
          <w:szCs w:val="22"/>
          <w:lang w:val="de-DE"/>
        </w:rPr>
      </w:pPr>
    </w:p>
    <w:p w14:paraId="2ED2EA98" w14:textId="77777777" w:rsidR="00FE291A" w:rsidRDefault="00C8738F">
      <w:pPr>
        <w:pStyle w:val="BodyText"/>
        <w:widowControl/>
        <w:kinsoku w:val="0"/>
        <w:overflowPunct w:val="0"/>
        <w:ind w:left="0"/>
        <w:rPr>
          <w:color w:val="000000"/>
          <w:lang w:val="de-DE"/>
        </w:rPr>
      </w:pPr>
      <w:r>
        <w:rPr>
          <w:lang w:val="de-DE"/>
        </w:rPr>
        <w:t xml:space="preserve">Wenn Sie Nebenwirkungen bemerken, wenden Sie sich an Ihren Arzt oder Apotheker. Dies gilt auch für Nebenwirkungen, die nicht in dieser Packungsbeilage angegeben sind. Sie können Nebenwirkungen auch direkt über </w:t>
      </w:r>
      <w:r>
        <w:rPr>
          <w:highlight w:val="lightGray"/>
          <w:lang w:val="de-DE"/>
        </w:rPr>
        <w:t xml:space="preserve">das in </w:t>
      </w:r>
      <w:r>
        <w:fldChar w:fldCharType="begin"/>
      </w:r>
      <w:r w:rsidRPr="00F076DE">
        <w:rPr>
          <w:lang w:val="de-DE"/>
          <w:rPrChange w:id="143" w:author="Author">
            <w:rPr/>
          </w:rPrChange>
        </w:rPr>
        <w:instrText>HYPERLINK "https://www.ema.europa.eu/en/documents/template-form/qrd-appendix-v-adverse-drug-reaction-reporting-details_en.docx" \h</w:instrText>
      </w:r>
      <w:r>
        <w:fldChar w:fldCharType="separate"/>
      </w:r>
      <w:r>
        <w:rPr>
          <w:rStyle w:val="Hyperlink"/>
          <w:rFonts w:eastAsia="Times New Roman"/>
          <w:color w:val="0000FF"/>
          <w:szCs w:val="20"/>
          <w:highlight w:val="lightGray"/>
          <w:lang w:val="de-DE" w:eastAsia="de-DE" w:bidi="de-DE"/>
        </w:rPr>
        <w:t>Anhang V</w:t>
      </w:r>
      <w:r>
        <w:fldChar w:fldCharType="end"/>
      </w:r>
      <w:r>
        <w:rPr>
          <w:rStyle w:val="Hyperlink"/>
          <w:color w:val="auto"/>
          <w:highlight w:val="lightGray"/>
          <w:u w:val="none"/>
          <w:lang w:val="de-DE"/>
        </w:rPr>
        <w:t xml:space="preserve"> </w:t>
      </w:r>
      <w:r>
        <w:rPr>
          <w:color w:val="000000"/>
          <w:highlight w:val="lightGray"/>
          <w:lang w:val="de-DE"/>
        </w:rPr>
        <w:t>aufgeführte nationale Meldesystem</w:t>
      </w:r>
      <w:r>
        <w:rPr>
          <w:color w:val="000000"/>
          <w:lang w:val="de-DE"/>
        </w:rPr>
        <w:t xml:space="preserve"> anzeigen. Indem Sie Nebenwirkungen melden, können Sie dazu beitragen, dass mehr Informationen über die Sicherheit dieses Arzneimittels zur Verfügung gestellt werden.</w:t>
      </w:r>
    </w:p>
    <w:p w14:paraId="6C7EA2D5" w14:textId="77777777" w:rsidR="00FE291A" w:rsidRDefault="00FE291A">
      <w:pPr>
        <w:widowControl/>
        <w:kinsoku w:val="0"/>
        <w:overflowPunct w:val="0"/>
        <w:rPr>
          <w:sz w:val="22"/>
          <w:szCs w:val="22"/>
          <w:lang w:val="de-DE"/>
        </w:rPr>
      </w:pPr>
    </w:p>
    <w:p w14:paraId="5139A882" w14:textId="77777777" w:rsidR="00FE291A" w:rsidRDefault="00FE291A">
      <w:pPr>
        <w:widowControl/>
        <w:kinsoku w:val="0"/>
        <w:overflowPunct w:val="0"/>
        <w:rPr>
          <w:sz w:val="22"/>
          <w:szCs w:val="22"/>
          <w:lang w:val="de-DE"/>
        </w:rPr>
      </w:pPr>
    </w:p>
    <w:p w14:paraId="2C02690E" w14:textId="77777777" w:rsidR="00FE291A" w:rsidRDefault="00C8738F">
      <w:pPr>
        <w:pStyle w:val="Heading1"/>
        <w:keepNext/>
        <w:widowControl/>
        <w:tabs>
          <w:tab w:val="left" w:pos="567"/>
        </w:tabs>
        <w:kinsoku w:val="0"/>
        <w:overflowPunct w:val="0"/>
        <w:ind w:left="567" w:hanging="567"/>
        <w:rPr>
          <w:b w:val="0"/>
          <w:bCs w:val="0"/>
          <w:lang w:val="de-DE"/>
        </w:rPr>
      </w:pPr>
      <w:r>
        <w:rPr>
          <w:lang w:val="de-DE"/>
        </w:rPr>
        <w:t>5.</w:t>
      </w:r>
      <w:r>
        <w:rPr>
          <w:lang w:val="de-DE"/>
        </w:rPr>
        <w:tab/>
        <w:t>Wie ist AMGEVITA aufzubewahren?</w:t>
      </w:r>
    </w:p>
    <w:p w14:paraId="73851227" w14:textId="77777777" w:rsidR="00FE291A" w:rsidRDefault="00FE291A">
      <w:pPr>
        <w:keepNext/>
        <w:widowControl/>
        <w:kinsoku w:val="0"/>
        <w:overflowPunct w:val="0"/>
        <w:rPr>
          <w:sz w:val="22"/>
          <w:szCs w:val="22"/>
          <w:lang w:val="de-DE"/>
        </w:rPr>
      </w:pPr>
    </w:p>
    <w:p w14:paraId="53165ABA" w14:textId="77777777" w:rsidR="00FE291A" w:rsidRDefault="00C8738F">
      <w:pPr>
        <w:pStyle w:val="BodyText"/>
        <w:widowControl/>
        <w:kinsoku w:val="0"/>
        <w:overflowPunct w:val="0"/>
        <w:ind w:left="0"/>
        <w:rPr>
          <w:lang w:val="de-DE"/>
        </w:rPr>
      </w:pPr>
      <w:r>
        <w:rPr>
          <w:lang w:val="de-DE"/>
        </w:rPr>
        <w:t>Für Kinder unzugänglich aufbewahren.</w:t>
      </w:r>
    </w:p>
    <w:p w14:paraId="1BA37574" w14:textId="77777777" w:rsidR="00FE291A" w:rsidRDefault="00FE291A">
      <w:pPr>
        <w:widowControl/>
        <w:kinsoku w:val="0"/>
        <w:overflowPunct w:val="0"/>
        <w:rPr>
          <w:sz w:val="22"/>
          <w:szCs w:val="22"/>
          <w:lang w:val="de-DE"/>
        </w:rPr>
      </w:pPr>
    </w:p>
    <w:p w14:paraId="68DD9B7C" w14:textId="77777777" w:rsidR="00FE291A" w:rsidRDefault="00C8738F">
      <w:pPr>
        <w:pStyle w:val="BodyText"/>
        <w:widowControl/>
        <w:kinsoku w:val="0"/>
        <w:overflowPunct w:val="0"/>
        <w:ind w:left="0"/>
        <w:rPr>
          <w:lang w:val="de-DE"/>
        </w:rPr>
      </w:pPr>
      <w:r>
        <w:rPr>
          <w:lang w:val="de-DE"/>
        </w:rPr>
        <w:t>Sie dürfen dieses Arzneimittel nach dem auf dem Etikett/Blister und Umkarton nach „EXP“ bzw. „verwendbar bis“ angegebenen Verfalldatum nicht mehr verwenden. Das Verfalldatum bezieht sich auf den letzten Tag des angegebenen Monats.</w:t>
      </w:r>
    </w:p>
    <w:p w14:paraId="18A2D4AB" w14:textId="77777777" w:rsidR="00FE291A" w:rsidRDefault="00FE291A">
      <w:pPr>
        <w:widowControl/>
        <w:kinsoku w:val="0"/>
        <w:overflowPunct w:val="0"/>
        <w:rPr>
          <w:sz w:val="22"/>
          <w:szCs w:val="22"/>
          <w:lang w:val="de-DE"/>
        </w:rPr>
      </w:pPr>
    </w:p>
    <w:p w14:paraId="39C557D3" w14:textId="77777777" w:rsidR="00FE291A" w:rsidRDefault="00C8738F">
      <w:pPr>
        <w:pStyle w:val="BodyText"/>
        <w:widowControl/>
        <w:kinsoku w:val="0"/>
        <w:overflowPunct w:val="0"/>
        <w:ind w:left="0"/>
        <w:rPr>
          <w:lang w:val="de-DE"/>
        </w:rPr>
      </w:pPr>
      <w:r>
        <w:rPr>
          <w:lang w:val="de-DE"/>
        </w:rPr>
        <w:t>Im Kühlschrank lagern (2 °C – 8 °C). Nicht einfrieren.</w:t>
      </w:r>
    </w:p>
    <w:p w14:paraId="62C6F9DD" w14:textId="77777777" w:rsidR="00FE291A" w:rsidRDefault="00FE291A">
      <w:pPr>
        <w:pStyle w:val="BodyText"/>
        <w:widowControl/>
        <w:kinsoku w:val="0"/>
        <w:overflowPunct w:val="0"/>
        <w:ind w:left="0"/>
        <w:rPr>
          <w:lang w:val="de-DE"/>
        </w:rPr>
      </w:pPr>
    </w:p>
    <w:p w14:paraId="066C86AE" w14:textId="77777777" w:rsidR="00FE291A" w:rsidRDefault="00C8738F">
      <w:pPr>
        <w:pStyle w:val="BodyText"/>
        <w:widowControl/>
        <w:kinsoku w:val="0"/>
        <w:overflowPunct w:val="0"/>
        <w:ind w:left="0"/>
        <w:rPr>
          <w:lang w:val="de-DE"/>
        </w:rPr>
      </w:pPr>
      <w:r>
        <w:rPr>
          <w:lang w:val="de-DE"/>
        </w:rPr>
        <w:t xml:space="preserve">In der Originalverpackung aufbewahren, um den Inhalt vor Licht zu schützen. </w:t>
      </w:r>
    </w:p>
    <w:p w14:paraId="0C776A33" w14:textId="77777777" w:rsidR="00FE291A" w:rsidRDefault="00FE291A">
      <w:pPr>
        <w:pStyle w:val="BodyText"/>
        <w:widowControl/>
        <w:kinsoku w:val="0"/>
        <w:overflowPunct w:val="0"/>
        <w:ind w:left="0"/>
        <w:rPr>
          <w:lang w:val="de-DE"/>
        </w:rPr>
      </w:pPr>
    </w:p>
    <w:p w14:paraId="5C31E7B7" w14:textId="77777777" w:rsidR="00FE291A" w:rsidRDefault="00C8738F">
      <w:pPr>
        <w:pStyle w:val="BodyText"/>
        <w:widowControl/>
        <w:kinsoku w:val="0"/>
        <w:overflowPunct w:val="0"/>
        <w:ind w:left="0"/>
        <w:rPr>
          <w:lang w:val="de-DE"/>
        </w:rPr>
      </w:pPr>
      <w:r>
        <w:rPr>
          <w:lang w:val="de-DE"/>
        </w:rPr>
        <w:t>Eine einzelne AMGEVITA-Fertigspritze kann für einen Zeitraum von bis zu 14 Tagen bei Temperaturen bis zu 25 °C aufbewahrt werden. Die Fertigspritze muss vor Licht geschützt aufbewahrt und weggeworfen werden, wenn sie nicht innerhalb des Zeitraums von 14 Tagen verbraucht wurde.</w:t>
      </w:r>
    </w:p>
    <w:p w14:paraId="0193325F" w14:textId="77777777" w:rsidR="00FE291A" w:rsidRDefault="00FE291A">
      <w:pPr>
        <w:pStyle w:val="BodyText"/>
        <w:widowControl/>
        <w:kinsoku w:val="0"/>
        <w:overflowPunct w:val="0"/>
        <w:ind w:left="0"/>
        <w:rPr>
          <w:lang w:val="de-DE"/>
        </w:rPr>
      </w:pPr>
    </w:p>
    <w:p w14:paraId="070026A7" w14:textId="77777777" w:rsidR="00FE291A" w:rsidRDefault="00C8738F">
      <w:pPr>
        <w:pStyle w:val="BodyText"/>
        <w:widowControl/>
        <w:kinsoku w:val="0"/>
        <w:overflowPunct w:val="0"/>
        <w:ind w:left="0"/>
        <w:rPr>
          <w:lang w:val="de-DE"/>
        </w:rPr>
      </w:pPr>
      <w:r>
        <w:rPr>
          <w:lang w:val="de-DE"/>
        </w:rPr>
        <w:t>Entsorgen Sie Arzneimittel nicht im Abwasser oder Haushaltsabfall. Fragen Sie Ihren Apotheker, wie das Arzneimittel zu entsorgen ist, wenn Sie es nicht mehr verwenden. Sie tragen damit zum Schutz der Umwelt bei.</w:t>
      </w:r>
    </w:p>
    <w:p w14:paraId="2BD79ABB" w14:textId="77777777" w:rsidR="00FE291A" w:rsidRDefault="00FE291A">
      <w:pPr>
        <w:widowControl/>
        <w:kinsoku w:val="0"/>
        <w:overflowPunct w:val="0"/>
        <w:rPr>
          <w:sz w:val="22"/>
          <w:szCs w:val="22"/>
          <w:lang w:val="de-DE"/>
        </w:rPr>
      </w:pPr>
    </w:p>
    <w:p w14:paraId="0957B08C" w14:textId="77777777" w:rsidR="00FE291A" w:rsidRDefault="00FE291A">
      <w:pPr>
        <w:widowControl/>
        <w:kinsoku w:val="0"/>
        <w:overflowPunct w:val="0"/>
        <w:rPr>
          <w:sz w:val="22"/>
          <w:szCs w:val="22"/>
          <w:lang w:val="de-DE"/>
        </w:rPr>
      </w:pPr>
    </w:p>
    <w:p w14:paraId="041C93F6" w14:textId="77777777" w:rsidR="00FE291A" w:rsidRDefault="00C8738F">
      <w:pPr>
        <w:pStyle w:val="Heading1"/>
        <w:keepNext/>
        <w:widowControl/>
        <w:tabs>
          <w:tab w:val="left" w:pos="567"/>
        </w:tabs>
        <w:kinsoku w:val="0"/>
        <w:overflowPunct w:val="0"/>
        <w:ind w:left="0"/>
        <w:rPr>
          <w:b w:val="0"/>
          <w:bCs w:val="0"/>
          <w:lang w:val="de-DE"/>
        </w:rPr>
      </w:pPr>
      <w:r>
        <w:rPr>
          <w:lang w:val="de-DE"/>
        </w:rPr>
        <w:t>6.</w:t>
      </w:r>
      <w:r>
        <w:rPr>
          <w:lang w:val="de-DE"/>
        </w:rPr>
        <w:tab/>
        <w:t xml:space="preserve">Inhalt der Packung und weitere Informationen </w:t>
      </w:r>
    </w:p>
    <w:p w14:paraId="5764FCD3" w14:textId="77777777" w:rsidR="00FE291A" w:rsidRDefault="00FE291A">
      <w:pPr>
        <w:pStyle w:val="Heading1"/>
        <w:keepNext/>
        <w:widowControl/>
        <w:tabs>
          <w:tab w:val="left" w:pos="684"/>
        </w:tabs>
        <w:kinsoku w:val="0"/>
        <w:overflowPunct w:val="0"/>
        <w:ind w:left="0"/>
        <w:rPr>
          <w:b w:val="0"/>
          <w:bCs w:val="0"/>
          <w:lang w:val="de-DE"/>
        </w:rPr>
      </w:pPr>
    </w:p>
    <w:p w14:paraId="5844128A" w14:textId="77777777" w:rsidR="00FE291A" w:rsidRDefault="00C8738F">
      <w:pPr>
        <w:pStyle w:val="Heading1"/>
        <w:keepNext/>
        <w:widowControl/>
        <w:tabs>
          <w:tab w:val="left" w:pos="684"/>
        </w:tabs>
        <w:kinsoku w:val="0"/>
        <w:overflowPunct w:val="0"/>
        <w:ind w:left="0"/>
        <w:rPr>
          <w:b w:val="0"/>
          <w:bCs w:val="0"/>
          <w:lang w:val="de-DE"/>
        </w:rPr>
      </w:pPr>
      <w:r>
        <w:rPr>
          <w:lang w:val="de-DE"/>
        </w:rPr>
        <w:t>Was AMGEVITA enthält</w:t>
      </w:r>
    </w:p>
    <w:p w14:paraId="46881F3C" w14:textId="77777777" w:rsidR="00FE291A" w:rsidRDefault="00C8738F">
      <w:pPr>
        <w:pStyle w:val="BodyText"/>
        <w:widowControl/>
        <w:numPr>
          <w:ilvl w:val="0"/>
          <w:numId w:val="58"/>
        </w:numPr>
        <w:kinsoku w:val="0"/>
        <w:overflowPunct w:val="0"/>
        <w:ind w:left="567"/>
        <w:rPr>
          <w:lang w:val="de-DE"/>
        </w:rPr>
      </w:pPr>
      <w:r>
        <w:rPr>
          <w:lang w:val="de-DE"/>
        </w:rPr>
        <w:t>Der Wirkstoff ist: Adalimumab. Jede Fertigspritze enthält 20 mg Adalimumab in 0,2 ml Lösung, 40 mg Adalimumab in 0,4 ml Lösung oder 80 mg Adalimumab in 0,8 ml Lösung.</w:t>
      </w:r>
    </w:p>
    <w:p w14:paraId="6F23183C" w14:textId="77777777" w:rsidR="00FE291A" w:rsidRDefault="00C8738F">
      <w:pPr>
        <w:pStyle w:val="BodyText"/>
        <w:widowControl/>
        <w:numPr>
          <w:ilvl w:val="0"/>
          <w:numId w:val="58"/>
        </w:numPr>
        <w:kinsoku w:val="0"/>
        <w:overflowPunct w:val="0"/>
        <w:ind w:left="567"/>
        <w:rPr>
          <w:lang w:val="de-DE"/>
        </w:rPr>
      </w:pPr>
      <w:r>
        <w:rPr>
          <w:lang w:val="de-DE"/>
        </w:rPr>
        <w:t>Die sonstigen Bestandteile sind: (S)-Milchsäure, Saccharose, Polysorbat 80, Natriumhydroxid und Wasser für Injektionszwecke.</w:t>
      </w:r>
    </w:p>
    <w:p w14:paraId="3065B507" w14:textId="77777777" w:rsidR="00FE291A" w:rsidRDefault="00FE291A">
      <w:pPr>
        <w:widowControl/>
        <w:kinsoku w:val="0"/>
        <w:overflowPunct w:val="0"/>
        <w:rPr>
          <w:sz w:val="22"/>
          <w:szCs w:val="22"/>
          <w:lang w:val="de-DE"/>
        </w:rPr>
      </w:pPr>
    </w:p>
    <w:p w14:paraId="48DE9181" w14:textId="77777777" w:rsidR="00FE291A" w:rsidRDefault="00C8738F">
      <w:pPr>
        <w:pStyle w:val="Heading1"/>
        <w:widowControl/>
        <w:kinsoku w:val="0"/>
        <w:overflowPunct w:val="0"/>
        <w:ind w:left="0"/>
        <w:rPr>
          <w:b w:val="0"/>
          <w:bCs w:val="0"/>
          <w:lang w:val="de-DE"/>
        </w:rPr>
      </w:pPr>
      <w:r>
        <w:rPr>
          <w:lang w:val="de-DE"/>
        </w:rPr>
        <w:t>Wie AMGEVITA aussieht und Inhalt der Packung</w:t>
      </w:r>
    </w:p>
    <w:p w14:paraId="1D80D20A" w14:textId="77777777" w:rsidR="00FE291A" w:rsidRDefault="00FE291A">
      <w:pPr>
        <w:widowControl/>
        <w:kinsoku w:val="0"/>
        <w:overflowPunct w:val="0"/>
        <w:rPr>
          <w:sz w:val="22"/>
          <w:szCs w:val="22"/>
          <w:lang w:val="de-DE"/>
        </w:rPr>
      </w:pPr>
    </w:p>
    <w:p w14:paraId="72068ABE" w14:textId="77777777" w:rsidR="00FE291A" w:rsidRDefault="00C8738F">
      <w:pPr>
        <w:pStyle w:val="BodyText"/>
        <w:widowControl/>
        <w:kinsoku w:val="0"/>
        <w:overflowPunct w:val="0"/>
        <w:ind w:left="0"/>
        <w:rPr>
          <w:lang w:val="de-DE"/>
        </w:rPr>
      </w:pPr>
      <w:r>
        <w:rPr>
          <w:lang w:val="de-DE"/>
        </w:rPr>
        <w:t>AMGEVITA ist eine klare und farblose bis leicht gelbliche Lösung.</w:t>
      </w:r>
    </w:p>
    <w:p w14:paraId="00059550" w14:textId="77777777" w:rsidR="00FE291A" w:rsidRDefault="00FE291A">
      <w:pPr>
        <w:pStyle w:val="BodyText"/>
        <w:widowControl/>
        <w:kinsoku w:val="0"/>
        <w:overflowPunct w:val="0"/>
        <w:ind w:left="0"/>
        <w:rPr>
          <w:lang w:val="de-DE"/>
        </w:rPr>
      </w:pPr>
    </w:p>
    <w:p w14:paraId="713DBBF5" w14:textId="77777777" w:rsidR="00FE291A" w:rsidRDefault="00C8738F">
      <w:pPr>
        <w:pStyle w:val="BodyText"/>
        <w:widowControl/>
        <w:kinsoku w:val="0"/>
        <w:overflowPunct w:val="0"/>
        <w:ind w:left="0"/>
        <w:rPr>
          <w:lang w:val="de-DE"/>
        </w:rPr>
      </w:pPr>
      <w:r>
        <w:rPr>
          <w:lang w:val="de-DE"/>
        </w:rPr>
        <w:t>Jede Packung enthält eine 20 mg Fertigspritze zum Einmalgebrauch (mit gelber Kolbenstange).</w:t>
      </w:r>
    </w:p>
    <w:p w14:paraId="6860920D" w14:textId="77777777" w:rsidR="00FE291A" w:rsidRDefault="00C8738F">
      <w:pPr>
        <w:pStyle w:val="BodyText"/>
        <w:widowControl/>
        <w:kinsoku w:val="0"/>
        <w:overflowPunct w:val="0"/>
        <w:ind w:left="0"/>
        <w:rPr>
          <w:lang w:val="de-DE"/>
        </w:rPr>
      </w:pPr>
      <w:r>
        <w:rPr>
          <w:lang w:val="de-DE"/>
        </w:rPr>
        <w:t>Jede Packung enthält eine, zwei oder sechs 40 mg Fertigspritze(n) zum Einmalgebrauch (mit blauer Kolbenstange).</w:t>
      </w:r>
    </w:p>
    <w:p w14:paraId="5BCFE1A6" w14:textId="77777777" w:rsidR="00FE291A" w:rsidRDefault="00C8738F">
      <w:pPr>
        <w:pStyle w:val="BodyText"/>
        <w:widowControl/>
        <w:kinsoku w:val="0"/>
        <w:overflowPunct w:val="0"/>
        <w:ind w:left="0"/>
        <w:rPr>
          <w:lang w:val="de-DE"/>
        </w:rPr>
      </w:pPr>
      <w:r>
        <w:rPr>
          <w:lang w:val="de-DE"/>
        </w:rPr>
        <w:t>Jede Packung enthält eine, zwei oder drei 80 mg Fertigspritze(n) zum Einmalgebrauch (mit orangefarbener Kolbenstange).</w:t>
      </w:r>
    </w:p>
    <w:p w14:paraId="511090D8" w14:textId="77777777" w:rsidR="00FE291A" w:rsidRDefault="00FE291A">
      <w:pPr>
        <w:pStyle w:val="BodyText"/>
        <w:widowControl/>
        <w:kinsoku w:val="0"/>
        <w:overflowPunct w:val="0"/>
        <w:ind w:left="0"/>
        <w:rPr>
          <w:lang w:val="de-DE"/>
        </w:rPr>
      </w:pPr>
    </w:p>
    <w:p w14:paraId="03918BC2" w14:textId="77777777" w:rsidR="00FE291A" w:rsidRDefault="00C8738F">
      <w:pPr>
        <w:pStyle w:val="BodyText"/>
        <w:keepNext/>
        <w:widowControl/>
        <w:kinsoku w:val="0"/>
        <w:overflowPunct w:val="0"/>
        <w:ind w:left="0"/>
        <w:rPr>
          <w:lang w:val="de-DE"/>
        </w:rPr>
      </w:pPr>
      <w:r>
        <w:rPr>
          <w:b/>
          <w:bCs/>
          <w:lang w:val="de-DE"/>
        </w:rPr>
        <w:t>Pharmazeutischer Unternehmer und Hersteller</w:t>
      </w:r>
    </w:p>
    <w:p w14:paraId="01AB4A6D" w14:textId="77777777" w:rsidR="00FE291A" w:rsidRDefault="00C8738F">
      <w:pPr>
        <w:pStyle w:val="lbltxt"/>
        <w:keepNext/>
        <w:rPr>
          <w:lang w:val="de-DE"/>
        </w:rPr>
      </w:pPr>
      <w:r>
        <w:rPr>
          <w:lang w:val="de-DE"/>
        </w:rPr>
        <w:t xml:space="preserve">Amgen Europe B.V. </w:t>
      </w:r>
      <w:r>
        <w:rPr>
          <w:lang w:val="de-DE"/>
        </w:rPr>
        <w:br/>
        <w:t xml:space="preserve">Minervum 7061 </w:t>
      </w:r>
      <w:r>
        <w:rPr>
          <w:lang w:val="de-DE"/>
        </w:rPr>
        <w:br/>
        <w:t xml:space="preserve">4817 ZK Breda </w:t>
      </w:r>
      <w:r>
        <w:rPr>
          <w:lang w:val="de-DE"/>
        </w:rPr>
        <w:br/>
        <w:t>Niederlande</w:t>
      </w:r>
    </w:p>
    <w:p w14:paraId="2352ECE0" w14:textId="77777777" w:rsidR="00FE291A" w:rsidRDefault="00FE291A">
      <w:pPr>
        <w:widowControl/>
        <w:kinsoku w:val="0"/>
        <w:overflowPunct w:val="0"/>
        <w:rPr>
          <w:sz w:val="22"/>
          <w:lang w:val="de-DE"/>
        </w:rPr>
      </w:pPr>
    </w:p>
    <w:p w14:paraId="3F560679" w14:textId="77777777" w:rsidR="00FE291A" w:rsidRDefault="00C8738F">
      <w:pPr>
        <w:pStyle w:val="BodyText"/>
        <w:keepNext/>
        <w:keepLines/>
        <w:widowControl/>
        <w:kinsoku w:val="0"/>
        <w:overflowPunct w:val="0"/>
        <w:ind w:left="0"/>
        <w:rPr>
          <w:b/>
          <w:bCs/>
          <w:highlight w:val="lightGray"/>
          <w:lang w:val="de-DE"/>
        </w:rPr>
      </w:pPr>
      <w:r>
        <w:rPr>
          <w:b/>
          <w:bCs/>
          <w:highlight w:val="lightGray"/>
          <w:lang w:val="de-DE"/>
        </w:rPr>
        <w:t>Pharmazeutischer Unternehmer</w:t>
      </w:r>
    </w:p>
    <w:p w14:paraId="62432A2B" w14:textId="77777777" w:rsidR="00FE291A" w:rsidRDefault="00C8738F">
      <w:pPr>
        <w:pStyle w:val="lbltxt"/>
        <w:keepNext/>
        <w:keepLines/>
        <w:rPr>
          <w:highlight w:val="lightGray"/>
          <w:lang w:val="de-DE"/>
        </w:rPr>
      </w:pPr>
      <w:r>
        <w:rPr>
          <w:highlight w:val="lightGray"/>
          <w:lang w:val="de-DE"/>
        </w:rPr>
        <w:t xml:space="preserve">Amgen Europe B.V. </w:t>
      </w:r>
      <w:r>
        <w:rPr>
          <w:highlight w:val="lightGray"/>
          <w:lang w:val="de-DE"/>
        </w:rPr>
        <w:br/>
        <w:t xml:space="preserve">Minervum 7061 </w:t>
      </w:r>
      <w:r>
        <w:rPr>
          <w:highlight w:val="lightGray"/>
          <w:lang w:val="de-DE"/>
        </w:rPr>
        <w:br/>
        <w:t xml:space="preserve">4817 ZK Breda </w:t>
      </w:r>
      <w:r>
        <w:rPr>
          <w:highlight w:val="lightGray"/>
          <w:lang w:val="de-DE"/>
        </w:rPr>
        <w:br/>
        <w:t>Niederlande</w:t>
      </w:r>
    </w:p>
    <w:p w14:paraId="45B5A822" w14:textId="77777777" w:rsidR="00FE291A" w:rsidRDefault="00FE291A">
      <w:pPr>
        <w:pStyle w:val="BodyText"/>
        <w:widowControl/>
        <w:kinsoku w:val="0"/>
        <w:overflowPunct w:val="0"/>
        <w:ind w:left="0"/>
        <w:rPr>
          <w:bCs/>
          <w:highlight w:val="lightGray"/>
          <w:lang w:val="de-DE"/>
        </w:rPr>
      </w:pPr>
    </w:p>
    <w:p w14:paraId="65000B7F" w14:textId="77777777" w:rsidR="00FE291A" w:rsidRDefault="00C8738F">
      <w:pPr>
        <w:pStyle w:val="BodyText"/>
        <w:widowControl/>
        <w:kinsoku w:val="0"/>
        <w:overflowPunct w:val="0"/>
        <w:ind w:left="0"/>
        <w:rPr>
          <w:highlight w:val="lightGray"/>
          <w:lang w:val="en-US"/>
        </w:rPr>
      </w:pPr>
      <w:r>
        <w:rPr>
          <w:b/>
          <w:bCs/>
          <w:highlight w:val="lightGray"/>
          <w:lang w:val="en-US"/>
        </w:rPr>
        <w:t>Hersteller</w:t>
      </w:r>
    </w:p>
    <w:p w14:paraId="4DC5FD99" w14:textId="77777777" w:rsidR="00FE291A" w:rsidRDefault="00C8738F">
      <w:pPr>
        <w:pStyle w:val="lbltxt"/>
        <w:rPr>
          <w:highlight w:val="lightGray"/>
          <w:lang w:val="en-US"/>
        </w:rPr>
      </w:pPr>
      <w:r>
        <w:rPr>
          <w:highlight w:val="lightGray"/>
          <w:lang w:val="en-US"/>
        </w:rPr>
        <w:t xml:space="preserve">Amgen Technology Ireland UC </w:t>
      </w:r>
    </w:p>
    <w:p w14:paraId="3F9EB717" w14:textId="77777777" w:rsidR="00FE291A" w:rsidRDefault="00C8738F">
      <w:pPr>
        <w:pStyle w:val="lbltxt"/>
        <w:rPr>
          <w:highlight w:val="lightGray"/>
          <w:lang w:val="en-US"/>
        </w:rPr>
      </w:pPr>
      <w:r>
        <w:rPr>
          <w:highlight w:val="lightGray"/>
          <w:lang w:val="en-US"/>
        </w:rPr>
        <w:t>Pottery Road</w:t>
      </w:r>
    </w:p>
    <w:p w14:paraId="46E2C565" w14:textId="77777777" w:rsidR="00FE291A" w:rsidRDefault="00C8738F">
      <w:pPr>
        <w:pStyle w:val="lbltxt"/>
        <w:rPr>
          <w:highlight w:val="lightGray"/>
          <w:lang w:val="en-US"/>
        </w:rPr>
      </w:pPr>
      <w:r>
        <w:rPr>
          <w:highlight w:val="lightGray"/>
          <w:lang w:val="en-US"/>
        </w:rPr>
        <w:t>Dun Laoghaire</w:t>
      </w:r>
    </w:p>
    <w:p w14:paraId="04BB9DF2" w14:textId="77777777" w:rsidR="00FE291A" w:rsidRDefault="00C8738F">
      <w:pPr>
        <w:pStyle w:val="lbltxt"/>
        <w:rPr>
          <w:highlight w:val="lightGray"/>
          <w:lang w:val="en-US"/>
        </w:rPr>
      </w:pPr>
      <w:r>
        <w:rPr>
          <w:highlight w:val="lightGray"/>
          <w:lang w:val="en-US"/>
        </w:rPr>
        <w:t>Co Dublin</w:t>
      </w:r>
    </w:p>
    <w:p w14:paraId="2CA6EFC2" w14:textId="77777777" w:rsidR="00FE291A" w:rsidRDefault="00C8738F">
      <w:pPr>
        <w:pStyle w:val="lbltxt"/>
        <w:rPr>
          <w:lang w:val="de-DE"/>
        </w:rPr>
      </w:pPr>
      <w:r>
        <w:rPr>
          <w:highlight w:val="lightGray"/>
          <w:lang w:val="de-DE"/>
        </w:rPr>
        <w:t>Irland</w:t>
      </w:r>
    </w:p>
    <w:p w14:paraId="1B48AAB6" w14:textId="77777777" w:rsidR="00FE291A" w:rsidRDefault="00FE291A">
      <w:pPr>
        <w:widowControl/>
        <w:kinsoku w:val="0"/>
        <w:overflowPunct w:val="0"/>
        <w:rPr>
          <w:sz w:val="22"/>
          <w:szCs w:val="22"/>
          <w:lang w:val="de-DE"/>
        </w:rPr>
      </w:pPr>
    </w:p>
    <w:p w14:paraId="4DC9DBA9" w14:textId="77777777" w:rsidR="00FE291A" w:rsidRDefault="00C8738F">
      <w:pPr>
        <w:pStyle w:val="BodyText"/>
        <w:widowControl/>
        <w:kinsoku w:val="0"/>
        <w:overflowPunct w:val="0"/>
        <w:ind w:left="0"/>
        <w:rPr>
          <w:highlight w:val="lightGray"/>
          <w:lang w:val="de-DE"/>
        </w:rPr>
      </w:pPr>
      <w:r>
        <w:rPr>
          <w:b/>
          <w:bCs/>
          <w:highlight w:val="lightGray"/>
          <w:lang w:val="de-DE"/>
        </w:rPr>
        <w:t>Hersteller</w:t>
      </w:r>
    </w:p>
    <w:p w14:paraId="53FCD08A" w14:textId="77777777" w:rsidR="00FE291A" w:rsidRDefault="00C8738F">
      <w:pPr>
        <w:rPr>
          <w:sz w:val="22"/>
          <w:szCs w:val="22"/>
          <w:highlight w:val="lightGray"/>
          <w:lang w:val="de-DE" w:eastAsia="ja-JP"/>
        </w:rPr>
      </w:pPr>
      <w:r>
        <w:rPr>
          <w:sz w:val="22"/>
          <w:szCs w:val="22"/>
          <w:highlight w:val="lightGray"/>
          <w:lang w:val="de-DE" w:eastAsia="ja-JP"/>
        </w:rPr>
        <w:t>Amgen NV</w:t>
      </w:r>
    </w:p>
    <w:p w14:paraId="24D9186C" w14:textId="77777777" w:rsidR="00FE291A" w:rsidRDefault="00C8738F">
      <w:pPr>
        <w:rPr>
          <w:sz w:val="22"/>
          <w:szCs w:val="22"/>
          <w:highlight w:val="lightGray"/>
          <w:lang w:val="de-DE" w:eastAsia="ja-JP"/>
        </w:rPr>
      </w:pPr>
      <w:r>
        <w:rPr>
          <w:sz w:val="22"/>
          <w:szCs w:val="22"/>
          <w:highlight w:val="lightGray"/>
          <w:lang w:val="de-DE" w:eastAsia="ja-JP"/>
        </w:rPr>
        <w:t>Telecomlaan 5-7</w:t>
      </w:r>
    </w:p>
    <w:p w14:paraId="378ABC5B" w14:textId="77777777" w:rsidR="00FE291A" w:rsidRDefault="00C8738F">
      <w:pPr>
        <w:rPr>
          <w:sz w:val="22"/>
          <w:szCs w:val="22"/>
          <w:highlight w:val="lightGray"/>
          <w:lang w:val="de-DE" w:eastAsia="ja-JP"/>
        </w:rPr>
      </w:pPr>
      <w:r>
        <w:rPr>
          <w:sz w:val="22"/>
          <w:szCs w:val="22"/>
          <w:highlight w:val="lightGray"/>
          <w:lang w:val="de-DE" w:eastAsia="ja-JP"/>
        </w:rPr>
        <w:t>1831 Diegem</w:t>
      </w:r>
    </w:p>
    <w:p w14:paraId="6068AFB8" w14:textId="77777777" w:rsidR="00FE291A" w:rsidRDefault="00C8738F">
      <w:pPr>
        <w:pStyle w:val="BodyText"/>
        <w:widowControl/>
        <w:kinsoku w:val="0"/>
        <w:overflowPunct w:val="0"/>
        <w:ind w:left="0"/>
        <w:rPr>
          <w:lang w:val="de-DE"/>
        </w:rPr>
      </w:pPr>
      <w:r>
        <w:rPr>
          <w:highlight w:val="lightGray"/>
          <w:lang w:val="de-DE"/>
        </w:rPr>
        <w:t>Belgien</w:t>
      </w:r>
      <w:r>
        <w:rPr>
          <w:lang w:val="de-DE"/>
        </w:rPr>
        <w:t xml:space="preserve"> </w:t>
      </w:r>
    </w:p>
    <w:p w14:paraId="2B2A1CAE" w14:textId="77777777" w:rsidR="00FE291A" w:rsidRDefault="00FE291A">
      <w:pPr>
        <w:pStyle w:val="BodyText"/>
        <w:widowControl/>
        <w:kinsoku w:val="0"/>
        <w:overflowPunct w:val="0"/>
        <w:ind w:left="0"/>
        <w:rPr>
          <w:lang w:val="de-DE"/>
        </w:rPr>
      </w:pPr>
    </w:p>
    <w:p w14:paraId="099B1C33" w14:textId="77777777" w:rsidR="00FE291A" w:rsidRDefault="00C8738F">
      <w:pPr>
        <w:pStyle w:val="BodyText"/>
        <w:keepNext/>
        <w:keepLines/>
        <w:widowControl/>
        <w:kinsoku w:val="0"/>
        <w:overflowPunct w:val="0"/>
        <w:ind w:left="0"/>
        <w:rPr>
          <w:lang w:val="de-DE"/>
        </w:rPr>
      </w:pPr>
      <w:r>
        <w:rPr>
          <w:lang w:val="de-DE"/>
        </w:rPr>
        <w:t>Falls Sie weitere Informationen über dieses Arzneimittel wünschen, setzen Sie sich bitte mit dem örtlichen Vertreter des pharmazeutischen Unternehmers in Verbindung:</w:t>
      </w:r>
    </w:p>
    <w:p w14:paraId="1E9593F7" w14:textId="77777777" w:rsidR="00FE291A" w:rsidRDefault="00FE291A">
      <w:pPr>
        <w:widowControl/>
        <w:tabs>
          <w:tab w:val="left" w:pos="0"/>
        </w:tabs>
        <w:rPr>
          <w:sz w:val="22"/>
          <w:szCs w:val="22"/>
          <w:highlight w:val="lightGray"/>
          <w:lang w:val="de-DE"/>
        </w:rPr>
      </w:pPr>
    </w:p>
    <w:tbl>
      <w:tblPr>
        <w:tblW w:w="9035" w:type="dxa"/>
        <w:tblInd w:w="108" w:type="dxa"/>
        <w:tblLook w:val="04A0" w:firstRow="1" w:lastRow="0" w:firstColumn="1" w:lastColumn="0" w:noHBand="0" w:noVBand="1"/>
      </w:tblPr>
      <w:tblGrid>
        <w:gridCol w:w="4463"/>
        <w:gridCol w:w="4572"/>
      </w:tblGrid>
      <w:tr w:rsidR="00FE291A" w14:paraId="5DBC45A4" w14:textId="77777777">
        <w:trPr>
          <w:cantSplit/>
        </w:trPr>
        <w:tc>
          <w:tcPr>
            <w:tcW w:w="4463" w:type="dxa"/>
          </w:tcPr>
          <w:p w14:paraId="6B5A307D" w14:textId="77777777" w:rsidR="00FE291A" w:rsidRDefault="00C8738F">
            <w:pPr>
              <w:pStyle w:val="lbltxt"/>
              <w:keepNext/>
              <w:keepLines/>
              <w:rPr>
                <w:szCs w:val="22"/>
                <w:lang w:val="de-DE"/>
              </w:rPr>
            </w:pPr>
            <w:r>
              <w:rPr>
                <w:b/>
                <w:szCs w:val="22"/>
                <w:lang w:val="de-DE"/>
              </w:rPr>
              <w:t>België/Belgique/Belgien</w:t>
            </w:r>
          </w:p>
          <w:p w14:paraId="7E03095E" w14:textId="77777777" w:rsidR="00FE291A" w:rsidRDefault="00C8738F">
            <w:pPr>
              <w:pStyle w:val="lbltxt"/>
              <w:keepNext/>
              <w:keepLines/>
              <w:rPr>
                <w:szCs w:val="22"/>
                <w:lang w:val="de-DE"/>
              </w:rPr>
            </w:pPr>
            <w:r>
              <w:rPr>
                <w:szCs w:val="22"/>
                <w:lang w:val="de-DE"/>
              </w:rPr>
              <w:t>s.a. Amgen n.v.</w:t>
            </w:r>
          </w:p>
          <w:p w14:paraId="558B52F5" w14:textId="77777777" w:rsidR="00FE291A" w:rsidRDefault="00C8738F">
            <w:pPr>
              <w:keepNext/>
              <w:keepLines/>
              <w:widowControl/>
              <w:rPr>
                <w:sz w:val="22"/>
                <w:szCs w:val="22"/>
                <w:lang w:val="de-DE"/>
              </w:rPr>
            </w:pPr>
            <w:r>
              <w:rPr>
                <w:sz w:val="22"/>
                <w:szCs w:val="22"/>
                <w:lang w:val="de-DE"/>
              </w:rPr>
              <w:t>Tél/Tel: +32 (0)2 7752711</w:t>
            </w:r>
          </w:p>
          <w:p w14:paraId="5CFA6BED" w14:textId="77777777" w:rsidR="00FE291A" w:rsidRDefault="00FE291A">
            <w:pPr>
              <w:keepNext/>
              <w:keepLines/>
              <w:widowControl/>
              <w:kinsoku w:val="0"/>
              <w:overflowPunct w:val="0"/>
              <w:rPr>
                <w:sz w:val="22"/>
                <w:szCs w:val="22"/>
                <w:lang w:val="de-DE"/>
              </w:rPr>
            </w:pPr>
          </w:p>
        </w:tc>
        <w:tc>
          <w:tcPr>
            <w:tcW w:w="4572" w:type="dxa"/>
          </w:tcPr>
          <w:p w14:paraId="0E0B44A8" w14:textId="77777777" w:rsidR="00FE291A" w:rsidRDefault="00C8738F">
            <w:pPr>
              <w:pStyle w:val="lbltxt"/>
              <w:keepNext/>
              <w:keepLines/>
              <w:rPr>
                <w:b/>
                <w:szCs w:val="22"/>
                <w:lang w:val="de-DE"/>
              </w:rPr>
            </w:pPr>
            <w:r>
              <w:rPr>
                <w:b/>
                <w:szCs w:val="22"/>
                <w:lang w:val="de-DE"/>
              </w:rPr>
              <w:t>Lietuva</w:t>
            </w:r>
          </w:p>
          <w:p w14:paraId="6155A789" w14:textId="77777777" w:rsidR="00FE291A" w:rsidRDefault="00C8738F">
            <w:pPr>
              <w:pStyle w:val="lbltxt"/>
              <w:keepNext/>
              <w:keepLines/>
              <w:rPr>
                <w:bCs/>
                <w:szCs w:val="22"/>
                <w:lang w:val="de-DE"/>
              </w:rPr>
            </w:pPr>
            <w:r>
              <w:rPr>
                <w:szCs w:val="22"/>
                <w:lang w:val="de-DE"/>
              </w:rPr>
              <w:t>Amgen Switzerland AG Vilniaus filialas</w:t>
            </w:r>
          </w:p>
          <w:p w14:paraId="2E09300D" w14:textId="77777777" w:rsidR="00FE291A" w:rsidRDefault="00C8738F">
            <w:pPr>
              <w:pStyle w:val="lbltxt"/>
              <w:keepNext/>
              <w:keepLines/>
              <w:rPr>
                <w:bCs/>
                <w:szCs w:val="22"/>
                <w:lang w:val="de-DE"/>
              </w:rPr>
            </w:pPr>
            <w:r>
              <w:rPr>
                <w:bCs/>
                <w:szCs w:val="22"/>
                <w:lang w:val="de-DE"/>
              </w:rPr>
              <w:t>Tel</w:t>
            </w:r>
            <w:ins w:id="144" w:author="Author">
              <w:r>
                <w:rPr>
                  <w:bCs/>
                  <w:szCs w:val="22"/>
                  <w:lang w:val="de-DE"/>
                </w:rPr>
                <w:t>.</w:t>
              </w:r>
            </w:ins>
            <w:del w:id="145" w:author="Author">
              <w:r>
                <w:rPr>
                  <w:bCs/>
                  <w:szCs w:val="22"/>
                  <w:lang w:val="de-DE"/>
                </w:rPr>
                <w:delText>:</w:delText>
              </w:r>
            </w:del>
            <w:r>
              <w:rPr>
                <w:bCs/>
                <w:szCs w:val="22"/>
                <w:lang w:val="de-DE"/>
              </w:rPr>
              <w:t xml:space="preserve"> +370 5 219 7474</w:t>
            </w:r>
          </w:p>
          <w:p w14:paraId="3185312C" w14:textId="77777777" w:rsidR="00FE291A" w:rsidRDefault="00FE291A">
            <w:pPr>
              <w:keepNext/>
              <w:keepLines/>
              <w:widowControl/>
              <w:kinsoku w:val="0"/>
              <w:overflowPunct w:val="0"/>
              <w:rPr>
                <w:sz w:val="22"/>
                <w:szCs w:val="22"/>
                <w:lang w:val="de-DE"/>
              </w:rPr>
            </w:pPr>
          </w:p>
        </w:tc>
      </w:tr>
      <w:tr w:rsidR="00FE291A" w:rsidRPr="002E6CD3" w14:paraId="43C8F8F7" w14:textId="77777777">
        <w:trPr>
          <w:cantSplit/>
        </w:trPr>
        <w:tc>
          <w:tcPr>
            <w:tcW w:w="4463" w:type="dxa"/>
          </w:tcPr>
          <w:p w14:paraId="1AC88A8F" w14:textId="77777777" w:rsidR="00FE291A" w:rsidRDefault="00C8738F">
            <w:pPr>
              <w:keepNext/>
              <w:keepLines/>
              <w:widowControl/>
              <w:rPr>
                <w:rFonts w:eastAsia="Arial Unicode MS"/>
                <w:b/>
                <w:bCs/>
                <w:sz w:val="22"/>
                <w:szCs w:val="22"/>
                <w:lang w:val="ru-RU"/>
              </w:rPr>
            </w:pPr>
            <w:r>
              <w:rPr>
                <w:rFonts w:eastAsia="Arial Unicode MS"/>
                <w:b/>
                <w:bCs/>
                <w:sz w:val="22"/>
                <w:szCs w:val="22"/>
                <w:lang w:val="ru-RU"/>
              </w:rPr>
              <w:t>България</w:t>
            </w:r>
          </w:p>
          <w:p w14:paraId="1A784B98" w14:textId="77777777" w:rsidR="00FE291A" w:rsidRDefault="00C8738F">
            <w:pPr>
              <w:pStyle w:val="lbltxt"/>
              <w:keepNext/>
              <w:keepLines/>
              <w:rPr>
                <w:rFonts w:eastAsia="Arial Unicode MS"/>
                <w:szCs w:val="22"/>
                <w:lang w:val="ru-RU" w:eastAsia="en-GB"/>
              </w:rPr>
            </w:pPr>
            <w:r>
              <w:rPr>
                <w:rFonts w:eastAsia="Arial Unicode MS"/>
                <w:szCs w:val="22"/>
                <w:lang w:val="ru-RU" w:eastAsia="en-GB"/>
              </w:rPr>
              <w:t>Амджен България ЕООД</w:t>
            </w:r>
          </w:p>
          <w:p w14:paraId="13F8D02D" w14:textId="77777777" w:rsidR="00FE291A" w:rsidRDefault="00C8738F">
            <w:pPr>
              <w:pStyle w:val="lbltxt"/>
              <w:keepNext/>
              <w:keepLines/>
              <w:rPr>
                <w:szCs w:val="22"/>
                <w:lang w:val="ru-RU"/>
              </w:rPr>
            </w:pPr>
            <w:r>
              <w:rPr>
                <w:rFonts w:eastAsia="Arial Unicode MS"/>
                <w:szCs w:val="22"/>
                <w:lang w:val="ru-RU" w:eastAsia="en-GB"/>
              </w:rPr>
              <w:t xml:space="preserve">Тел.: +359 </w:t>
            </w:r>
            <w:r>
              <w:rPr>
                <w:rFonts w:eastAsia="Arial Unicode MS"/>
                <w:bCs/>
                <w:szCs w:val="22"/>
                <w:lang w:val="ru-RU"/>
              </w:rPr>
              <w:t>(0)2</w:t>
            </w:r>
            <w:r>
              <w:rPr>
                <w:rFonts w:eastAsia="Arial Unicode MS"/>
                <w:bCs/>
                <w:szCs w:val="22"/>
                <w:lang w:val="en-IN"/>
              </w:rPr>
              <w:t> </w:t>
            </w:r>
            <w:r>
              <w:rPr>
                <w:rFonts w:eastAsia="Arial Unicode MS"/>
                <w:bCs/>
                <w:szCs w:val="22"/>
                <w:lang w:val="ru-RU"/>
              </w:rPr>
              <w:t>424 7440</w:t>
            </w:r>
          </w:p>
        </w:tc>
        <w:tc>
          <w:tcPr>
            <w:tcW w:w="4572" w:type="dxa"/>
          </w:tcPr>
          <w:p w14:paraId="4B570C8A" w14:textId="77777777" w:rsidR="00FE291A" w:rsidRDefault="00C8738F">
            <w:pPr>
              <w:pStyle w:val="lbltxt"/>
              <w:keepNext/>
              <w:keepLines/>
              <w:rPr>
                <w:szCs w:val="22"/>
                <w:lang w:val="de-DE"/>
              </w:rPr>
            </w:pPr>
            <w:r>
              <w:rPr>
                <w:b/>
                <w:szCs w:val="22"/>
                <w:lang w:val="de-DE"/>
              </w:rPr>
              <w:t>Luxembourg/Luxemburg</w:t>
            </w:r>
          </w:p>
          <w:p w14:paraId="6588DAD4" w14:textId="77777777" w:rsidR="00FE291A" w:rsidRDefault="00C8738F">
            <w:pPr>
              <w:pStyle w:val="lbltxt"/>
              <w:keepNext/>
              <w:keepLines/>
              <w:rPr>
                <w:szCs w:val="22"/>
                <w:lang w:val="de-DE"/>
              </w:rPr>
            </w:pPr>
            <w:r>
              <w:rPr>
                <w:szCs w:val="22"/>
                <w:lang w:val="de-DE"/>
              </w:rPr>
              <w:t xml:space="preserve">s.a. Amgen </w:t>
            </w:r>
          </w:p>
          <w:p w14:paraId="4E3FE8E8" w14:textId="77777777" w:rsidR="00FE291A" w:rsidRDefault="00C8738F">
            <w:pPr>
              <w:pStyle w:val="lbltxt"/>
              <w:keepNext/>
              <w:keepLines/>
              <w:rPr>
                <w:szCs w:val="22"/>
                <w:lang w:val="de-DE"/>
              </w:rPr>
            </w:pPr>
            <w:r>
              <w:rPr>
                <w:szCs w:val="22"/>
                <w:lang w:val="de-DE"/>
              </w:rPr>
              <w:t>Belgique/Belgien</w:t>
            </w:r>
          </w:p>
          <w:p w14:paraId="04D6E9B9" w14:textId="77777777" w:rsidR="00FE291A" w:rsidRDefault="00C8738F">
            <w:pPr>
              <w:pStyle w:val="lbltxt"/>
              <w:keepNext/>
              <w:keepLines/>
              <w:rPr>
                <w:szCs w:val="22"/>
                <w:lang w:val="de-DE"/>
              </w:rPr>
            </w:pPr>
            <w:r>
              <w:rPr>
                <w:szCs w:val="22"/>
                <w:lang w:val="de-DE"/>
              </w:rPr>
              <w:t>Tél/Tel: +32 (0)2 7752711</w:t>
            </w:r>
          </w:p>
          <w:p w14:paraId="43D0FEBA" w14:textId="77777777" w:rsidR="00FE291A" w:rsidRDefault="00FE291A">
            <w:pPr>
              <w:keepNext/>
              <w:keepLines/>
              <w:widowControl/>
              <w:kinsoku w:val="0"/>
              <w:overflowPunct w:val="0"/>
              <w:rPr>
                <w:sz w:val="22"/>
                <w:szCs w:val="22"/>
                <w:lang w:val="de-DE"/>
              </w:rPr>
            </w:pPr>
          </w:p>
        </w:tc>
      </w:tr>
      <w:tr w:rsidR="00FE291A" w14:paraId="7C55B20F" w14:textId="77777777">
        <w:trPr>
          <w:cantSplit/>
        </w:trPr>
        <w:tc>
          <w:tcPr>
            <w:tcW w:w="4463" w:type="dxa"/>
          </w:tcPr>
          <w:p w14:paraId="1003FBF1" w14:textId="77777777" w:rsidR="00FE291A" w:rsidRDefault="00C8738F">
            <w:pPr>
              <w:pStyle w:val="lbltxt"/>
              <w:keepNext/>
              <w:rPr>
                <w:b/>
                <w:szCs w:val="22"/>
                <w:lang w:val="sv-SE"/>
              </w:rPr>
            </w:pPr>
            <w:r>
              <w:rPr>
                <w:b/>
                <w:szCs w:val="22"/>
                <w:lang w:val="sv-SE"/>
              </w:rPr>
              <w:t>Česká republika</w:t>
            </w:r>
          </w:p>
          <w:p w14:paraId="03E508B9" w14:textId="77777777" w:rsidR="00FE291A" w:rsidRDefault="00C8738F">
            <w:pPr>
              <w:pStyle w:val="lbltxt"/>
              <w:keepNext/>
              <w:rPr>
                <w:bCs/>
                <w:szCs w:val="22"/>
                <w:lang w:val="sv-SE"/>
              </w:rPr>
            </w:pPr>
            <w:r>
              <w:rPr>
                <w:bCs/>
                <w:szCs w:val="22"/>
                <w:lang w:val="sv-SE"/>
              </w:rPr>
              <w:t>Amgen s.r.o.</w:t>
            </w:r>
          </w:p>
          <w:p w14:paraId="048C4F38" w14:textId="77777777" w:rsidR="00FE291A" w:rsidRDefault="00C8738F">
            <w:pPr>
              <w:pStyle w:val="lbltxt"/>
              <w:keepNext/>
              <w:rPr>
                <w:bCs/>
                <w:szCs w:val="22"/>
                <w:lang w:val="de-DE"/>
              </w:rPr>
            </w:pPr>
            <w:r>
              <w:rPr>
                <w:bCs/>
                <w:szCs w:val="22"/>
                <w:lang w:val="de-DE"/>
              </w:rPr>
              <w:t>Tel: +420 221 773 500</w:t>
            </w:r>
          </w:p>
          <w:p w14:paraId="15C7B8B1" w14:textId="77777777" w:rsidR="00FE291A" w:rsidRDefault="00FE291A">
            <w:pPr>
              <w:widowControl/>
              <w:kinsoku w:val="0"/>
              <w:overflowPunct w:val="0"/>
              <w:rPr>
                <w:sz w:val="22"/>
                <w:szCs w:val="22"/>
                <w:lang w:val="de-DE"/>
              </w:rPr>
            </w:pPr>
          </w:p>
        </w:tc>
        <w:tc>
          <w:tcPr>
            <w:tcW w:w="4572" w:type="dxa"/>
          </w:tcPr>
          <w:p w14:paraId="2A050B42" w14:textId="77777777" w:rsidR="00FE291A" w:rsidRDefault="00C8738F">
            <w:pPr>
              <w:pStyle w:val="lbltxt"/>
              <w:rPr>
                <w:b/>
                <w:szCs w:val="22"/>
                <w:lang w:val="de-DE"/>
              </w:rPr>
            </w:pPr>
            <w:r>
              <w:rPr>
                <w:b/>
                <w:szCs w:val="22"/>
                <w:lang w:val="de-DE"/>
              </w:rPr>
              <w:t>Magyarország</w:t>
            </w:r>
          </w:p>
          <w:p w14:paraId="1E8DBC38" w14:textId="77777777" w:rsidR="00FE291A" w:rsidRDefault="00C8738F">
            <w:pPr>
              <w:pStyle w:val="lbltxt"/>
              <w:rPr>
                <w:bCs/>
                <w:szCs w:val="22"/>
                <w:lang w:val="de-DE"/>
              </w:rPr>
            </w:pPr>
            <w:r>
              <w:rPr>
                <w:bCs/>
                <w:szCs w:val="22"/>
                <w:lang w:val="de-DE"/>
              </w:rPr>
              <w:t>Amgen Kft.</w:t>
            </w:r>
          </w:p>
          <w:p w14:paraId="3E7A70A2" w14:textId="77777777" w:rsidR="00FE291A" w:rsidRDefault="00C8738F">
            <w:pPr>
              <w:pStyle w:val="lbltxt"/>
              <w:rPr>
                <w:bCs/>
                <w:szCs w:val="22"/>
                <w:lang w:val="de-DE"/>
              </w:rPr>
            </w:pPr>
            <w:r>
              <w:rPr>
                <w:bCs/>
                <w:szCs w:val="22"/>
                <w:lang w:val="de-DE"/>
              </w:rPr>
              <w:t>Tel.: +36 1 35 44 700</w:t>
            </w:r>
          </w:p>
          <w:p w14:paraId="7A3FCAD8" w14:textId="77777777" w:rsidR="00FE291A" w:rsidRDefault="00FE291A">
            <w:pPr>
              <w:widowControl/>
              <w:kinsoku w:val="0"/>
              <w:overflowPunct w:val="0"/>
              <w:rPr>
                <w:sz w:val="22"/>
                <w:szCs w:val="22"/>
                <w:lang w:val="de-DE"/>
              </w:rPr>
            </w:pPr>
          </w:p>
        </w:tc>
      </w:tr>
      <w:tr w:rsidR="00FE291A" w14:paraId="1168C5F3" w14:textId="77777777">
        <w:trPr>
          <w:cantSplit/>
        </w:trPr>
        <w:tc>
          <w:tcPr>
            <w:tcW w:w="4463" w:type="dxa"/>
          </w:tcPr>
          <w:p w14:paraId="7E9CD15F" w14:textId="77777777" w:rsidR="00FE291A" w:rsidRDefault="00C8738F">
            <w:pPr>
              <w:pStyle w:val="lbltxt"/>
              <w:rPr>
                <w:szCs w:val="22"/>
                <w:lang w:val="da-DK"/>
              </w:rPr>
            </w:pPr>
            <w:r>
              <w:rPr>
                <w:b/>
                <w:szCs w:val="22"/>
                <w:lang w:val="da-DK"/>
              </w:rPr>
              <w:t>Danmark</w:t>
            </w:r>
          </w:p>
          <w:p w14:paraId="61192751" w14:textId="77777777" w:rsidR="00FE291A" w:rsidRDefault="00C8738F">
            <w:pPr>
              <w:pStyle w:val="lbltxt"/>
              <w:rPr>
                <w:szCs w:val="22"/>
                <w:lang w:val="da-DK"/>
              </w:rPr>
            </w:pPr>
            <w:r>
              <w:rPr>
                <w:szCs w:val="22"/>
                <w:lang w:val="da-DK"/>
              </w:rPr>
              <w:t>Amgen, filial af Amgen AB, Sverige</w:t>
            </w:r>
          </w:p>
          <w:p w14:paraId="1D06275E" w14:textId="77777777" w:rsidR="00FE291A" w:rsidRDefault="00C8738F">
            <w:pPr>
              <w:pStyle w:val="lbltxt"/>
              <w:rPr>
                <w:szCs w:val="22"/>
                <w:lang w:val="de-DE"/>
              </w:rPr>
            </w:pPr>
            <w:r>
              <w:rPr>
                <w:szCs w:val="22"/>
                <w:lang w:val="de-DE"/>
              </w:rPr>
              <w:t>Tlf</w:t>
            </w:r>
            <w:ins w:id="146" w:author="Author">
              <w:r>
                <w:rPr>
                  <w:szCs w:val="22"/>
                  <w:lang w:val="de-DE"/>
                </w:rPr>
                <w:t>.</w:t>
              </w:r>
            </w:ins>
            <w:r>
              <w:rPr>
                <w:szCs w:val="22"/>
                <w:lang w:val="de-DE"/>
              </w:rPr>
              <w:t>: +45 39617500</w:t>
            </w:r>
          </w:p>
          <w:p w14:paraId="10210BEE" w14:textId="77777777" w:rsidR="00FE291A" w:rsidRDefault="00FE291A">
            <w:pPr>
              <w:widowControl/>
              <w:kinsoku w:val="0"/>
              <w:overflowPunct w:val="0"/>
              <w:rPr>
                <w:sz w:val="22"/>
                <w:szCs w:val="22"/>
                <w:lang w:val="de-DE"/>
              </w:rPr>
            </w:pPr>
          </w:p>
        </w:tc>
        <w:tc>
          <w:tcPr>
            <w:tcW w:w="4572" w:type="dxa"/>
          </w:tcPr>
          <w:p w14:paraId="5ED36793" w14:textId="77777777" w:rsidR="00FE291A" w:rsidRDefault="00C8738F">
            <w:pPr>
              <w:pStyle w:val="lbltxt"/>
              <w:rPr>
                <w:b/>
                <w:szCs w:val="22"/>
                <w:lang w:val="nb-NO"/>
              </w:rPr>
            </w:pPr>
            <w:r>
              <w:rPr>
                <w:b/>
                <w:szCs w:val="22"/>
                <w:lang w:val="nb-NO"/>
              </w:rPr>
              <w:t>Malta</w:t>
            </w:r>
          </w:p>
          <w:p w14:paraId="6F39627E" w14:textId="77777777" w:rsidR="00FE291A" w:rsidRDefault="00C8738F">
            <w:pPr>
              <w:pStyle w:val="lbltxt"/>
              <w:rPr>
                <w:szCs w:val="22"/>
                <w:lang w:val="nb-NO"/>
              </w:rPr>
            </w:pPr>
            <w:r>
              <w:rPr>
                <w:szCs w:val="22"/>
                <w:lang w:val="nb-NO"/>
              </w:rPr>
              <w:t>Amgen S.r.l.</w:t>
            </w:r>
          </w:p>
          <w:p w14:paraId="078471CA" w14:textId="77777777" w:rsidR="00FE291A" w:rsidRDefault="00C8738F">
            <w:pPr>
              <w:pStyle w:val="lbltxt"/>
              <w:rPr>
                <w:szCs w:val="22"/>
                <w:lang w:val="es-ES"/>
              </w:rPr>
            </w:pPr>
            <w:r>
              <w:rPr>
                <w:szCs w:val="22"/>
                <w:lang w:val="es-ES"/>
              </w:rPr>
              <w:t>Italy</w:t>
            </w:r>
          </w:p>
          <w:p w14:paraId="7F0E0927" w14:textId="77777777" w:rsidR="00FE291A" w:rsidRDefault="00C8738F">
            <w:pPr>
              <w:pStyle w:val="lbltxt"/>
              <w:rPr>
                <w:szCs w:val="22"/>
                <w:lang w:val="es-ES"/>
              </w:rPr>
            </w:pPr>
            <w:r>
              <w:rPr>
                <w:szCs w:val="22"/>
                <w:lang w:val="es-ES"/>
              </w:rPr>
              <w:t>Tel: +39 02 6241121</w:t>
            </w:r>
          </w:p>
          <w:p w14:paraId="588214E7" w14:textId="77777777" w:rsidR="00FE291A" w:rsidRDefault="00FE291A">
            <w:pPr>
              <w:widowControl/>
              <w:kinsoku w:val="0"/>
              <w:overflowPunct w:val="0"/>
              <w:rPr>
                <w:sz w:val="22"/>
                <w:szCs w:val="22"/>
                <w:lang w:val="es-ES"/>
              </w:rPr>
            </w:pPr>
          </w:p>
        </w:tc>
      </w:tr>
      <w:tr w:rsidR="00FE291A" w:rsidRPr="002E6CD3" w14:paraId="7A6CAA4A" w14:textId="77777777">
        <w:trPr>
          <w:cantSplit/>
        </w:trPr>
        <w:tc>
          <w:tcPr>
            <w:tcW w:w="4463" w:type="dxa"/>
          </w:tcPr>
          <w:p w14:paraId="7B7EC18F" w14:textId="77777777" w:rsidR="00FE291A" w:rsidRDefault="00C8738F">
            <w:pPr>
              <w:pStyle w:val="lbltxt"/>
              <w:rPr>
                <w:szCs w:val="22"/>
                <w:lang w:val="de-DE"/>
              </w:rPr>
            </w:pPr>
            <w:r>
              <w:rPr>
                <w:b/>
                <w:szCs w:val="22"/>
                <w:lang w:val="de-DE"/>
              </w:rPr>
              <w:t>Deutschland</w:t>
            </w:r>
          </w:p>
          <w:p w14:paraId="48D47353" w14:textId="77777777" w:rsidR="00FE291A" w:rsidRDefault="00C8738F">
            <w:pPr>
              <w:pStyle w:val="lbltxt"/>
              <w:rPr>
                <w:szCs w:val="22"/>
                <w:lang w:val="de-DE"/>
              </w:rPr>
            </w:pPr>
            <w:r>
              <w:rPr>
                <w:szCs w:val="22"/>
                <w:lang w:val="de-DE"/>
              </w:rPr>
              <w:t>Amgen GmbH</w:t>
            </w:r>
          </w:p>
          <w:p w14:paraId="1959120B" w14:textId="77777777" w:rsidR="00FE291A" w:rsidRDefault="00C8738F">
            <w:pPr>
              <w:pStyle w:val="lbltxt"/>
              <w:rPr>
                <w:szCs w:val="22"/>
                <w:lang w:val="de-DE"/>
              </w:rPr>
            </w:pPr>
            <w:r>
              <w:rPr>
                <w:szCs w:val="22"/>
                <w:lang w:val="de-DE"/>
              </w:rPr>
              <w:t>Tel.: +49 89 1490960</w:t>
            </w:r>
          </w:p>
          <w:p w14:paraId="0915F023" w14:textId="77777777" w:rsidR="00FE291A" w:rsidRDefault="00FE291A">
            <w:pPr>
              <w:widowControl/>
              <w:kinsoku w:val="0"/>
              <w:overflowPunct w:val="0"/>
              <w:rPr>
                <w:sz w:val="22"/>
                <w:szCs w:val="22"/>
                <w:lang w:val="de-DE"/>
              </w:rPr>
            </w:pPr>
          </w:p>
        </w:tc>
        <w:tc>
          <w:tcPr>
            <w:tcW w:w="4572" w:type="dxa"/>
          </w:tcPr>
          <w:p w14:paraId="29AA34C6" w14:textId="77777777" w:rsidR="00FE291A" w:rsidRDefault="00C8738F">
            <w:pPr>
              <w:pStyle w:val="lbltxt"/>
              <w:rPr>
                <w:szCs w:val="22"/>
                <w:lang w:val="de-DE"/>
              </w:rPr>
            </w:pPr>
            <w:r>
              <w:rPr>
                <w:b/>
                <w:szCs w:val="22"/>
                <w:lang w:val="de-DE"/>
              </w:rPr>
              <w:t>Nederland</w:t>
            </w:r>
          </w:p>
          <w:p w14:paraId="01B76367" w14:textId="77777777" w:rsidR="00FE291A" w:rsidRDefault="00C8738F">
            <w:pPr>
              <w:pStyle w:val="lbltxt"/>
              <w:rPr>
                <w:szCs w:val="22"/>
                <w:lang w:val="de-DE"/>
              </w:rPr>
            </w:pPr>
            <w:r>
              <w:rPr>
                <w:szCs w:val="22"/>
                <w:lang w:val="de-DE"/>
              </w:rPr>
              <w:t>Amgen B.V.</w:t>
            </w:r>
          </w:p>
          <w:p w14:paraId="736D273A" w14:textId="77777777" w:rsidR="00FE291A" w:rsidRDefault="00C8738F">
            <w:pPr>
              <w:pStyle w:val="lbltxt"/>
              <w:rPr>
                <w:bCs/>
                <w:szCs w:val="22"/>
                <w:lang w:val="de-DE"/>
              </w:rPr>
            </w:pPr>
            <w:r>
              <w:rPr>
                <w:szCs w:val="22"/>
                <w:lang w:val="de-DE"/>
              </w:rPr>
              <w:t>Tel: +31 (0)76 5732500</w:t>
            </w:r>
          </w:p>
          <w:p w14:paraId="3D86E0D9" w14:textId="77777777" w:rsidR="00FE291A" w:rsidRDefault="00FE291A">
            <w:pPr>
              <w:widowControl/>
              <w:kinsoku w:val="0"/>
              <w:overflowPunct w:val="0"/>
              <w:rPr>
                <w:sz w:val="22"/>
                <w:szCs w:val="22"/>
                <w:lang w:val="de-DE"/>
              </w:rPr>
            </w:pPr>
          </w:p>
        </w:tc>
      </w:tr>
      <w:tr w:rsidR="00FE291A" w14:paraId="6FAE1115" w14:textId="77777777">
        <w:trPr>
          <w:cantSplit/>
        </w:trPr>
        <w:tc>
          <w:tcPr>
            <w:tcW w:w="4463" w:type="dxa"/>
          </w:tcPr>
          <w:p w14:paraId="35CDC155" w14:textId="77777777" w:rsidR="00FE291A" w:rsidRPr="00211AE1" w:rsidRDefault="00C8738F">
            <w:pPr>
              <w:pStyle w:val="lbltxt"/>
              <w:rPr>
                <w:b/>
                <w:szCs w:val="22"/>
                <w:lang w:val="de-DE"/>
              </w:rPr>
            </w:pPr>
            <w:r w:rsidRPr="00211AE1">
              <w:rPr>
                <w:b/>
                <w:szCs w:val="22"/>
                <w:lang w:val="de-DE"/>
              </w:rPr>
              <w:t>Eesti</w:t>
            </w:r>
          </w:p>
          <w:p w14:paraId="317EBBD0" w14:textId="77777777" w:rsidR="00FE291A" w:rsidRPr="00211AE1" w:rsidRDefault="00C8738F">
            <w:pPr>
              <w:pStyle w:val="lbltxt"/>
              <w:rPr>
                <w:bCs/>
                <w:szCs w:val="22"/>
                <w:lang w:val="de-DE"/>
              </w:rPr>
            </w:pPr>
            <w:r w:rsidRPr="00211AE1">
              <w:rPr>
                <w:bCs/>
                <w:szCs w:val="22"/>
                <w:lang w:val="de-DE"/>
              </w:rPr>
              <w:t xml:space="preserve">Amgen Switzerland AG </w:t>
            </w:r>
            <w:r w:rsidRPr="00211AE1">
              <w:rPr>
                <w:szCs w:val="22"/>
                <w:lang w:val="de-DE"/>
              </w:rPr>
              <w:t>Vilniaus filialas</w:t>
            </w:r>
          </w:p>
          <w:p w14:paraId="65F7DD8C" w14:textId="77777777" w:rsidR="00FE291A" w:rsidRDefault="00C8738F">
            <w:pPr>
              <w:pStyle w:val="lbltxt"/>
              <w:rPr>
                <w:szCs w:val="22"/>
                <w:lang w:val="de-DE"/>
              </w:rPr>
            </w:pPr>
            <w:r>
              <w:rPr>
                <w:bCs/>
                <w:szCs w:val="22"/>
                <w:lang w:val="de-DE"/>
              </w:rPr>
              <w:t>Tel: +</w:t>
            </w:r>
            <w:r>
              <w:rPr>
                <w:szCs w:val="22"/>
                <w:lang w:val="de-DE"/>
              </w:rPr>
              <w:t>372 586 09553</w:t>
            </w:r>
          </w:p>
          <w:p w14:paraId="70FB2C88" w14:textId="77777777" w:rsidR="00FE291A" w:rsidRDefault="00FE291A">
            <w:pPr>
              <w:widowControl/>
              <w:kinsoku w:val="0"/>
              <w:overflowPunct w:val="0"/>
              <w:rPr>
                <w:sz w:val="22"/>
                <w:szCs w:val="22"/>
                <w:lang w:val="de-DE"/>
              </w:rPr>
            </w:pPr>
          </w:p>
        </w:tc>
        <w:tc>
          <w:tcPr>
            <w:tcW w:w="4572" w:type="dxa"/>
          </w:tcPr>
          <w:p w14:paraId="6EE85417" w14:textId="77777777" w:rsidR="00FE291A" w:rsidRDefault="00C8738F">
            <w:pPr>
              <w:pStyle w:val="lbltxt"/>
              <w:rPr>
                <w:b/>
                <w:bCs/>
                <w:szCs w:val="22"/>
                <w:lang w:val="de-DE"/>
              </w:rPr>
            </w:pPr>
            <w:r>
              <w:rPr>
                <w:b/>
                <w:bCs/>
                <w:szCs w:val="22"/>
                <w:lang w:val="de-DE"/>
              </w:rPr>
              <w:t>Norge</w:t>
            </w:r>
          </w:p>
          <w:p w14:paraId="61EEEBC4" w14:textId="77777777" w:rsidR="00FE291A" w:rsidRDefault="00C8738F">
            <w:pPr>
              <w:pStyle w:val="lbltxt"/>
              <w:rPr>
                <w:rStyle w:val="CommentReference"/>
                <w:sz w:val="22"/>
                <w:szCs w:val="22"/>
                <w:lang w:val="de-DE"/>
              </w:rPr>
            </w:pPr>
            <w:r>
              <w:rPr>
                <w:rStyle w:val="CommentReference"/>
                <w:sz w:val="22"/>
                <w:szCs w:val="22"/>
                <w:lang w:val="de-DE"/>
              </w:rPr>
              <w:t>Amgen AB</w:t>
            </w:r>
          </w:p>
          <w:p w14:paraId="25D7B052" w14:textId="77777777" w:rsidR="00FE291A" w:rsidRDefault="00C8738F">
            <w:pPr>
              <w:pStyle w:val="lbltxt"/>
              <w:rPr>
                <w:szCs w:val="22"/>
                <w:lang w:val="de-DE"/>
              </w:rPr>
            </w:pPr>
            <w:r>
              <w:rPr>
                <w:rStyle w:val="CommentReference"/>
                <w:sz w:val="22"/>
                <w:szCs w:val="22"/>
                <w:lang w:val="de-DE"/>
              </w:rPr>
              <w:t>Tlf: +47 23308000</w:t>
            </w:r>
          </w:p>
          <w:p w14:paraId="5E9405C4" w14:textId="77777777" w:rsidR="00FE291A" w:rsidRDefault="00FE291A">
            <w:pPr>
              <w:widowControl/>
              <w:kinsoku w:val="0"/>
              <w:overflowPunct w:val="0"/>
              <w:rPr>
                <w:sz w:val="22"/>
                <w:szCs w:val="22"/>
                <w:lang w:val="de-DE"/>
              </w:rPr>
            </w:pPr>
          </w:p>
        </w:tc>
      </w:tr>
      <w:tr w:rsidR="00FE291A" w14:paraId="271EB042" w14:textId="77777777">
        <w:trPr>
          <w:cantSplit/>
        </w:trPr>
        <w:tc>
          <w:tcPr>
            <w:tcW w:w="4463" w:type="dxa"/>
          </w:tcPr>
          <w:p w14:paraId="03D24D84" w14:textId="77777777" w:rsidR="00FE291A" w:rsidRDefault="00C8738F">
            <w:pPr>
              <w:pStyle w:val="lbltxt"/>
              <w:rPr>
                <w:b/>
                <w:bCs/>
                <w:szCs w:val="22"/>
                <w:lang w:val="el-GR"/>
              </w:rPr>
            </w:pPr>
            <w:r>
              <w:rPr>
                <w:b/>
                <w:bCs/>
                <w:szCs w:val="22"/>
                <w:lang w:val="el-GR"/>
              </w:rPr>
              <w:t>Ελλάδα</w:t>
            </w:r>
          </w:p>
          <w:p w14:paraId="35F4703C" w14:textId="77777777" w:rsidR="00FE291A" w:rsidRDefault="00C8738F">
            <w:pPr>
              <w:pStyle w:val="lbltxt"/>
              <w:rPr>
                <w:szCs w:val="22"/>
                <w:lang w:val="el-GR"/>
              </w:rPr>
            </w:pPr>
            <w:r>
              <w:rPr>
                <w:szCs w:val="22"/>
                <w:lang w:val="en-IN"/>
              </w:rPr>
              <w:t>Amgen</w:t>
            </w:r>
            <w:r>
              <w:rPr>
                <w:szCs w:val="22"/>
                <w:lang w:val="el-GR"/>
              </w:rPr>
              <w:t xml:space="preserve"> Ελλάς Φαρμακευτικά Ε.Π.Ε. </w:t>
            </w:r>
          </w:p>
          <w:p w14:paraId="7D8278DF" w14:textId="77777777" w:rsidR="00FE291A" w:rsidRDefault="00C8738F">
            <w:pPr>
              <w:pStyle w:val="lbltxt"/>
              <w:rPr>
                <w:szCs w:val="22"/>
                <w:lang w:val="de-DE"/>
              </w:rPr>
            </w:pPr>
            <w:r>
              <w:rPr>
                <w:szCs w:val="22"/>
                <w:lang w:val="de-DE"/>
              </w:rPr>
              <w:t>Τηλ: +30 210 3447000</w:t>
            </w:r>
          </w:p>
          <w:p w14:paraId="1164035E" w14:textId="77777777" w:rsidR="00FE291A" w:rsidRDefault="00FE291A">
            <w:pPr>
              <w:widowControl/>
              <w:kinsoku w:val="0"/>
              <w:overflowPunct w:val="0"/>
              <w:rPr>
                <w:sz w:val="22"/>
                <w:szCs w:val="22"/>
                <w:lang w:val="de-DE"/>
              </w:rPr>
            </w:pPr>
          </w:p>
        </w:tc>
        <w:tc>
          <w:tcPr>
            <w:tcW w:w="4572" w:type="dxa"/>
          </w:tcPr>
          <w:p w14:paraId="44E1E678" w14:textId="77777777" w:rsidR="00FE291A" w:rsidRDefault="00C8738F">
            <w:pPr>
              <w:pStyle w:val="lbltxt"/>
              <w:rPr>
                <w:szCs w:val="22"/>
                <w:lang w:val="de-DE"/>
              </w:rPr>
            </w:pPr>
            <w:r>
              <w:rPr>
                <w:b/>
                <w:szCs w:val="22"/>
                <w:lang w:val="de-DE"/>
              </w:rPr>
              <w:t>Österreich</w:t>
            </w:r>
          </w:p>
          <w:p w14:paraId="295361B6" w14:textId="77777777" w:rsidR="00FE291A" w:rsidRDefault="00C8738F">
            <w:pPr>
              <w:pStyle w:val="lbltxt"/>
              <w:rPr>
                <w:szCs w:val="22"/>
                <w:lang w:val="de-DE"/>
              </w:rPr>
            </w:pPr>
            <w:r>
              <w:rPr>
                <w:szCs w:val="22"/>
                <w:lang w:val="de-DE"/>
              </w:rPr>
              <w:t xml:space="preserve">Amgen GmbH </w:t>
            </w:r>
          </w:p>
          <w:p w14:paraId="7ED84DF8" w14:textId="77777777" w:rsidR="00FE291A" w:rsidRDefault="00C8738F">
            <w:pPr>
              <w:pStyle w:val="lbltxt"/>
              <w:rPr>
                <w:szCs w:val="22"/>
                <w:lang w:val="de-DE"/>
              </w:rPr>
            </w:pPr>
            <w:r>
              <w:rPr>
                <w:szCs w:val="22"/>
                <w:lang w:val="de-DE"/>
              </w:rPr>
              <w:t>Tel: +43 (0)1 50 217</w:t>
            </w:r>
          </w:p>
          <w:p w14:paraId="4B340E8A" w14:textId="77777777" w:rsidR="00FE291A" w:rsidRDefault="00FE291A">
            <w:pPr>
              <w:widowControl/>
              <w:kinsoku w:val="0"/>
              <w:overflowPunct w:val="0"/>
              <w:rPr>
                <w:sz w:val="22"/>
                <w:szCs w:val="22"/>
                <w:lang w:val="de-DE"/>
              </w:rPr>
            </w:pPr>
          </w:p>
        </w:tc>
      </w:tr>
      <w:tr w:rsidR="00FE291A" w14:paraId="58CF3342" w14:textId="77777777">
        <w:trPr>
          <w:cantSplit/>
        </w:trPr>
        <w:tc>
          <w:tcPr>
            <w:tcW w:w="4463" w:type="dxa"/>
          </w:tcPr>
          <w:p w14:paraId="5F5C8B92" w14:textId="77777777" w:rsidR="00FE291A" w:rsidRDefault="00C8738F">
            <w:pPr>
              <w:pStyle w:val="lbltxt"/>
              <w:rPr>
                <w:szCs w:val="22"/>
                <w:lang w:val="es-ES"/>
              </w:rPr>
            </w:pPr>
            <w:r>
              <w:rPr>
                <w:b/>
                <w:szCs w:val="22"/>
                <w:lang w:val="es-ES"/>
              </w:rPr>
              <w:t>España</w:t>
            </w:r>
          </w:p>
          <w:p w14:paraId="7C6357B2" w14:textId="77777777" w:rsidR="00FE291A" w:rsidRDefault="00C8738F">
            <w:pPr>
              <w:pStyle w:val="lbltxt"/>
              <w:rPr>
                <w:szCs w:val="22"/>
                <w:lang w:val="es-ES"/>
              </w:rPr>
            </w:pPr>
            <w:r>
              <w:rPr>
                <w:szCs w:val="22"/>
                <w:lang w:val="es-ES"/>
              </w:rPr>
              <w:t>Amgen S.A.</w:t>
            </w:r>
          </w:p>
          <w:p w14:paraId="0A284AF1" w14:textId="77777777" w:rsidR="00FE291A" w:rsidRDefault="00C8738F">
            <w:pPr>
              <w:pStyle w:val="lbltxt"/>
              <w:rPr>
                <w:rStyle w:val="Initial"/>
                <w:sz w:val="22"/>
                <w:szCs w:val="22"/>
                <w:lang w:val="es-ES"/>
              </w:rPr>
            </w:pPr>
            <w:r>
              <w:rPr>
                <w:szCs w:val="22"/>
                <w:lang w:val="es-ES"/>
              </w:rPr>
              <w:t xml:space="preserve">Tel: +34 93 600 18 60 </w:t>
            </w:r>
          </w:p>
          <w:p w14:paraId="46CFBC05" w14:textId="77777777" w:rsidR="00FE291A" w:rsidRDefault="00FE291A">
            <w:pPr>
              <w:widowControl/>
              <w:kinsoku w:val="0"/>
              <w:overflowPunct w:val="0"/>
              <w:rPr>
                <w:sz w:val="22"/>
                <w:szCs w:val="22"/>
                <w:lang w:val="es-ES"/>
              </w:rPr>
            </w:pPr>
          </w:p>
        </w:tc>
        <w:tc>
          <w:tcPr>
            <w:tcW w:w="4572" w:type="dxa"/>
          </w:tcPr>
          <w:p w14:paraId="2A6CD5B3" w14:textId="77777777" w:rsidR="00FE291A" w:rsidRDefault="00C8738F">
            <w:pPr>
              <w:pStyle w:val="lbltxt"/>
              <w:rPr>
                <w:b/>
                <w:szCs w:val="22"/>
                <w:lang w:val="pl-PL"/>
              </w:rPr>
            </w:pPr>
            <w:r>
              <w:rPr>
                <w:b/>
                <w:szCs w:val="22"/>
                <w:lang w:val="pl-PL"/>
              </w:rPr>
              <w:t>Polska</w:t>
            </w:r>
          </w:p>
          <w:p w14:paraId="2C4EEB40" w14:textId="77777777" w:rsidR="00FE291A" w:rsidRDefault="00C8738F">
            <w:pPr>
              <w:pStyle w:val="lbltxt"/>
              <w:rPr>
                <w:szCs w:val="22"/>
                <w:lang w:val="pl-PL"/>
              </w:rPr>
            </w:pPr>
            <w:r>
              <w:rPr>
                <w:szCs w:val="22"/>
                <w:lang w:val="pl-PL"/>
              </w:rPr>
              <w:t xml:space="preserve">Amgen </w:t>
            </w:r>
            <w:r>
              <w:rPr>
                <w:color w:val="000000"/>
                <w:szCs w:val="22"/>
                <w:lang w:val="pl-PL" w:eastAsia="en-GB"/>
              </w:rPr>
              <w:t>Biotechnologia</w:t>
            </w:r>
            <w:r>
              <w:rPr>
                <w:szCs w:val="22"/>
                <w:lang w:val="pl-PL"/>
              </w:rPr>
              <w:t xml:space="preserve"> Sp. z o.o.</w:t>
            </w:r>
          </w:p>
          <w:p w14:paraId="6AA3CB11" w14:textId="77777777" w:rsidR="00FE291A" w:rsidRDefault="00C8738F">
            <w:pPr>
              <w:pStyle w:val="lbltxt"/>
              <w:rPr>
                <w:bCs/>
                <w:szCs w:val="22"/>
                <w:lang w:val="de-DE"/>
              </w:rPr>
            </w:pPr>
            <w:r>
              <w:rPr>
                <w:bCs/>
                <w:szCs w:val="22"/>
                <w:lang w:val="de-DE"/>
              </w:rPr>
              <w:t>Tel.: +48 22 581 3000</w:t>
            </w:r>
          </w:p>
          <w:p w14:paraId="28B23CB2" w14:textId="77777777" w:rsidR="00FE291A" w:rsidRDefault="00FE291A">
            <w:pPr>
              <w:widowControl/>
              <w:kinsoku w:val="0"/>
              <w:overflowPunct w:val="0"/>
              <w:rPr>
                <w:sz w:val="22"/>
                <w:szCs w:val="22"/>
                <w:lang w:val="de-DE"/>
              </w:rPr>
            </w:pPr>
          </w:p>
        </w:tc>
      </w:tr>
      <w:tr w:rsidR="00FE291A" w14:paraId="609C0349" w14:textId="77777777">
        <w:trPr>
          <w:cantSplit/>
        </w:trPr>
        <w:tc>
          <w:tcPr>
            <w:tcW w:w="4463" w:type="dxa"/>
          </w:tcPr>
          <w:p w14:paraId="1FEE4677" w14:textId="77777777" w:rsidR="00FE291A" w:rsidRDefault="00C8738F">
            <w:pPr>
              <w:pStyle w:val="lbltxt"/>
              <w:rPr>
                <w:szCs w:val="22"/>
                <w:lang w:val="fr-FR"/>
              </w:rPr>
            </w:pPr>
            <w:r>
              <w:rPr>
                <w:b/>
                <w:szCs w:val="22"/>
                <w:lang w:val="fr-FR"/>
              </w:rPr>
              <w:t>France</w:t>
            </w:r>
          </w:p>
          <w:p w14:paraId="131214C1" w14:textId="77777777" w:rsidR="00FE291A" w:rsidRDefault="00C8738F">
            <w:pPr>
              <w:pStyle w:val="lbltxt"/>
              <w:rPr>
                <w:szCs w:val="22"/>
                <w:lang w:val="fr-FR"/>
              </w:rPr>
            </w:pPr>
            <w:r>
              <w:rPr>
                <w:szCs w:val="22"/>
                <w:lang w:val="fr-FR"/>
              </w:rPr>
              <w:t>Amgen S.A.S.</w:t>
            </w:r>
          </w:p>
          <w:p w14:paraId="37B2FB91" w14:textId="77777777" w:rsidR="00FE291A" w:rsidRDefault="00C8738F">
            <w:pPr>
              <w:widowControl/>
              <w:rPr>
                <w:sz w:val="22"/>
                <w:szCs w:val="22"/>
                <w:lang w:val="fr-FR"/>
              </w:rPr>
            </w:pPr>
            <w:r>
              <w:rPr>
                <w:sz w:val="22"/>
                <w:szCs w:val="22"/>
                <w:lang w:val="fr-FR"/>
              </w:rPr>
              <w:t>Tél: +33 (0)9 69 363 363</w:t>
            </w:r>
          </w:p>
          <w:p w14:paraId="6869C024" w14:textId="77777777" w:rsidR="00FE291A" w:rsidRDefault="00FE291A">
            <w:pPr>
              <w:widowControl/>
              <w:kinsoku w:val="0"/>
              <w:overflowPunct w:val="0"/>
              <w:rPr>
                <w:sz w:val="22"/>
                <w:szCs w:val="22"/>
                <w:lang w:val="fr-FR"/>
              </w:rPr>
            </w:pPr>
          </w:p>
        </w:tc>
        <w:tc>
          <w:tcPr>
            <w:tcW w:w="4572" w:type="dxa"/>
          </w:tcPr>
          <w:p w14:paraId="3BFD1672" w14:textId="77777777" w:rsidR="00FE291A" w:rsidRDefault="00C8738F">
            <w:pPr>
              <w:pStyle w:val="lbltxt"/>
              <w:rPr>
                <w:szCs w:val="22"/>
                <w:lang w:val="es-ES"/>
              </w:rPr>
            </w:pPr>
            <w:r>
              <w:rPr>
                <w:b/>
                <w:szCs w:val="22"/>
                <w:lang w:val="es-ES"/>
              </w:rPr>
              <w:t>Portugal</w:t>
            </w:r>
          </w:p>
          <w:p w14:paraId="7752E66E" w14:textId="77777777" w:rsidR="00FE291A" w:rsidRDefault="00C8738F">
            <w:pPr>
              <w:pStyle w:val="lbltxt"/>
              <w:rPr>
                <w:szCs w:val="22"/>
                <w:lang w:val="es-ES"/>
              </w:rPr>
            </w:pPr>
            <w:r>
              <w:rPr>
                <w:szCs w:val="22"/>
                <w:lang w:val="es-ES"/>
              </w:rPr>
              <w:t>Amgen Biofarmacêutica, Lda.</w:t>
            </w:r>
          </w:p>
          <w:p w14:paraId="425F140E" w14:textId="77777777" w:rsidR="00FE291A" w:rsidRDefault="00C8738F">
            <w:pPr>
              <w:pStyle w:val="lbltxt"/>
              <w:rPr>
                <w:szCs w:val="22"/>
                <w:lang w:val="es-ES"/>
              </w:rPr>
            </w:pPr>
            <w:r>
              <w:rPr>
                <w:szCs w:val="22"/>
                <w:lang w:val="es-ES"/>
              </w:rPr>
              <w:t>Tel: +351 21 4220606</w:t>
            </w:r>
          </w:p>
          <w:p w14:paraId="54912DEF" w14:textId="77777777" w:rsidR="00FE291A" w:rsidRDefault="00FE291A">
            <w:pPr>
              <w:widowControl/>
              <w:kinsoku w:val="0"/>
              <w:overflowPunct w:val="0"/>
              <w:rPr>
                <w:sz w:val="22"/>
                <w:szCs w:val="22"/>
                <w:lang w:val="es-ES"/>
              </w:rPr>
            </w:pPr>
          </w:p>
        </w:tc>
      </w:tr>
      <w:tr w:rsidR="00FE291A" w14:paraId="0AFC104F" w14:textId="77777777">
        <w:trPr>
          <w:cantSplit/>
        </w:trPr>
        <w:tc>
          <w:tcPr>
            <w:tcW w:w="4463" w:type="dxa"/>
          </w:tcPr>
          <w:p w14:paraId="5C370313" w14:textId="77777777" w:rsidR="00FE291A" w:rsidRDefault="00C8738F">
            <w:pPr>
              <w:keepNext/>
              <w:keepLines/>
              <w:widowControl/>
              <w:rPr>
                <w:sz w:val="22"/>
                <w:szCs w:val="22"/>
                <w:lang w:val="sv-SE"/>
              </w:rPr>
            </w:pPr>
            <w:r>
              <w:rPr>
                <w:b/>
                <w:sz w:val="22"/>
                <w:szCs w:val="22"/>
                <w:lang w:val="sv-SE"/>
              </w:rPr>
              <w:t>Hrvatska</w:t>
            </w:r>
          </w:p>
          <w:p w14:paraId="457DDDE6" w14:textId="77777777" w:rsidR="00FE291A" w:rsidRDefault="00C8738F">
            <w:pPr>
              <w:keepNext/>
              <w:keepLines/>
              <w:widowControl/>
              <w:rPr>
                <w:sz w:val="22"/>
                <w:szCs w:val="22"/>
                <w:lang w:val="sv-SE"/>
              </w:rPr>
            </w:pPr>
            <w:r>
              <w:rPr>
                <w:sz w:val="22"/>
                <w:szCs w:val="22"/>
                <w:lang w:val="sv-SE"/>
              </w:rPr>
              <w:t>Amgen d.o.o.</w:t>
            </w:r>
          </w:p>
          <w:p w14:paraId="08B68CE9" w14:textId="77777777" w:rsidR="00FE291A" w:rsidRDefault="00C8738F">
            <w:pPr>
              <w:keepNext/>
              <w:keepLines/>
              <w:widowControl/>
              <w:rPr>
                <w:sz w:val="22"/>
                <w:szCs w:val="22"/>
                <w:lang w:val="de-DE"/>
              </w:rPr>
            </w:pPr>
            <w:r>
              <w:rPr>
                <w:sz w:val="22"/>
                <w:szCs w:val="22"/>
                <w:lang w:val="de-DE"/>
              </w:rPr>
              <w:t>Tel: +385 (0)1 562 57 20</w:t>
            </w:r>
          </w:p>
          <w:p w14:paraId="5E487DA4" w14:textId="77777777" w:rsidR="00FE291A" w:rsidRDefault="00FE291A">
            <w:pPr>
              <w:widowControl/>
              <w:kinsoku w:val="0"/>
              <w:overflowPunct w:val="0"/>
              <w:rPr>
                <w:sz w:val="22"/>
                <w:szCs w:val="22"/>
                <w:lang w:val="de-DE"/>
              </w:rPr>
            </w:pPr>
          </w:p>
        </w:tc>
        <w:tc>
          <w:tcPr>
            <w:tcW w:w="4572" w:type="dxa"/>
          </w:tcPr>
          <w:p w14:paraId="1E08E2DC" w14:textId="77777777" w:rsidR="00FE291A" w:rsidRDefault="00C8738F">
            <w:pPr>
              <w:keepNext/>
              <w:keepLines/>
              <w:widowControl/>
              <w:suppressAutoHyphens/>
              <w:rPr>
                <w:b/>
                <w:sz w:val="22"/>
                <w:szCs w:val="22"/>
                <w:lang w:val="it-IT"/>
              </w:rPr>
            </w:pPr>
            <w:r>
              <w:rPr>
                <w:b/>
                <w:sz w:val="22"/>
                <w:szCs w:val="22"/>
                <w:lang w:val="it-IT"/>
              </w:rPr>
              <w:t>România</w:t>
            </w:r>
          </w:p>
          <w:p w14:paraId="55F3C313" w14:textId="77777777" w:rsidR="00FE291A" w:rsidRDefault="00C8738F">
            <w:pPr>
              <w:keepNext/>
              <w:keepLines/>
              <w:widowControl/>
              <w:rPr>
                <w:color w:val="000000"/>
                <w:sz w:val="22"/>
                <w:szCs w:val="22"/>
                <w:lang w:val="it-IT"/>
              </w:rPr>
            </w:pPr>
            <w:r>
              <w:rPr>
                <w:color w:val="000000"/>
                <w:sz w:val="22"/>
                <w:szCs w:val="22"/>
                <w:lang w:val="it-IT"/>
              </w:rPr>
              <w:t>Amgen România SRL</w:t>
            </w:r>
          </w:p>
          <w:p w14:paraId="038F8FBD" w14:textId="77777777" w:rsidR="00FE291A" w:rsidRDefault="00C8738F">
            <w:pPr>
              <w:pStyle w:val="lbltxt"/>
              <w:keepNext/>
              <w:keepLines/>
              <w:rPr>
                <w:szCs w:val="22"/>
                <w:lang w:val="it-IT"/>
              </w:rPr>
            </w:pPr>
            <w:r>
              <w:rPr>
                <w:szCs w:val="22"/>
                <w:lang w:val="it-IT"/>
              </w:rPr>
              <w:t>Tel: +4021 527 3000</w:t>
            </w:r>
          </w:p>
          <w:p w14:paraId="358A055A" w14:textId="77777777" w:rsidR="00FE291A" w:rsidRDefault="00FE291A">
            <w:pPr>
              <w:widowControl/>
              <w:kinsoku w:val="0"/>
              <w:overflowPunct w:val="0"/>
              <w:rPr>
                <w:sz w:val="22"/>
                <w:szCs w:val="22"/>
                <w:lang w:val="it-IT"/>
              </w:rPr>
            </w:pPr>
          </w:p>
        </w:tc>
      </w:tr>
      <w:tr w:rsidR="00FE291A" w14:paraId="03D29B79" w14:textId="77777777">
        <w:trPr>
          <w:cantSplit/>
        </w:trPr>
        <w:tc>
          <w:tcPr>
            <w:tcW w:w="4463" w:type="dxa"/>
          </w:tcPr>
          <w:p w14:paraId="030A6C89" w14:textId="77777777" w:rsidR="00FE291A" w:rsidRDefault="00C8738F">
            <w:pPr>
              <w:pStyle w:val="lbltxt"/>
              <w:rPr>
                <w:rFonts w:eastAsia="Arial Unicode MS"/>
                <w:b/>
                <w:szCs w:val="22"/>
                <w:lang w:val="en-US"/>
              </w:rPr>
            </w:pPr>
            <w:r>
              <w:rPr>
                <w:rFonts w:eastAsia="Arial Unicode MS"/>
                <w:b/>
                <w:szCs w:val="22"/>
                <w:lang w:val="en-US"/>
              </w:rPr>
              <w:t>Ireland</w:t>
            </w:r>
          </w:p>
          <w:p w14:paraId="41F28256" w14:textId="77777777" w:rsidR="00FE291A" w:rsidRDefault="00C8738F">
            <w:pPr>
              <w:pStyle w:val="lbltxt"/>
              <w:rPr>
                <w:rFonts w:eastAsia="Arial Unicode MS"/>
                <w:bCs/>
                <w:szCs w:val="22"/>
                <w:lang w:val="en-US"/>
              </w:rPr>
            </w:pPr>
            <w:r>
              <w:rPr>
                <w:rFonts w:eastAsia="Arial Unicode MS"/>
                <w:bCs/>
                <w:szCs w:val="22"/>
                <w:lang w:val="en-US"/>
              </w:rPr>
              <w:t>Amgen Ireland Limited</w:t>
            </w:r>
          </w:p>
          <w:p w14:paraId="0F7EEA6D" w14:textId="77777777" w:rsidR="00FE291A" w:rsidRDefault="00C8738F">
            <w:pPr>
              <w:pStyle w:val="lbltxt"/>
              <w:rPr>
                <w:rStyle w:val="Initial"/>
                <w:rFonts w:eastAsia="Arial Unicode MS"/>
                <w:bCs/>
                <w:sz w:val="22"/>
                <w:szCs w:val="22"/>
                <w:lang w:val="en-US"/>
              </w:rPr>
            </w:pPr>
            <w:r>
              <w:rPr>
                <w:rFonts w:eastAsia="Arial Unicode MS"/>
                <w:bCs/>
                <w:szCs w:val="22"/>
                <w:lang w:val="en-US"/>
              </w:rPr>
              <w:t>Tel: +353 1 8527400</w:t>
            </w:r>
          </w:p>
          <w:p w14:paraId="12F3FF2A" w14:textId="77777777" w:rsidR="00FE291A" w:rsidRDefault="00FE291A">
            <w:pPr>
              <w:widowControl/>
              <w:kinsoku w:val="0"/>
              <w:overflowPunct w:val="0"/>
              <w:rPr>
                <w:sz w:val="22"/>
                <w:szCs w:val="22"/>
                <w:lang w:val="en-US"/>
              </w:rPr>
            </w:pPr>
          </w:p>
        </w:tc>
        <w:tc>
          <w:tcPr>
            <w:tcW w:w="4572" w:type="dxa"/>
          </w:tcPr>
          <w:p w14:paraId="35909E23" w14:textId="77777777" w:rsidR="00FE291A" w:rsidRDefault="00C8738F">
            <w:pPr>
              <w:pStyle w:val="lbltxt"/>
              <w:rPr>
                <w:b/>
                <w:szCs w:val="22"/>
                <w:lang w:val="en-US"/>
              </w:rPr>
            </w:pPr>
            <w:r>
              <w:rPr>
                <w:b/>
                <w:szCs w:val="22"/>
                <w:lang w:val="en-US"/>
              </w:rPr>
              <w:t>Slovenija</w:t>
            </w:r>
          </w:p>
          <w:p w14:paraId="080F812E" w14:textId="77777777" w:rsidR="00FE291A" w:rsidRDefault="00C8738F">
            <w:pPr>
              <w:pStyle w:val="lbltxt"/>
              <w:rPr>
                <w:bCs/>
                <w:szCs w:val="22"/>
                <w:lang w:val="en-US"/>
              </w:rPr>
            </w:pPr>
            <w:r>
              <w:rPr>
                <w:szCs w:val="22"/>
                <w:lang w:val="en-US"/>
              </w:rPr>
              <w:t>AMGEN zdravila d.o.o.</w:t>
            </w:r>
          </w:p>
          <w:p w14:paraId="55DB7ABB" w14:textId="77777777" w:rsidR="00FE291A" w:rsidRDefault="00C8738F">
            <w:pPr>
              <w:pStyle w:val="lbltxt"/>
              <w:rPr>
                <w:bCs/>
                <w:szCs w:val="22"/>
                <w:lang w:val="en-US"/>
              </w:rPr>
            </w:pPr>
            <w:r>
              <w:rPr>
                <w:bCs/>
                <w:szCs w:val="22"/>
                <w:lang w:val="en-US"/>
              </w:rPr>
              <w:t>Tel: +386 (0)1 585 1767</w:t>
            </w:r>
          </w:p>
          <w:p w14:paraId="60003A8A" w14:textId="77777777" w:rsidR="00FE291A" w:rsidRDefault="00FE291A">
            <w:pPr>
              <w:widowControl/>
              <w:kinsoku w:val="0"/>
              <w:overflowPunct w:val="0"/>
              <w:rPr>
                <w:sz w:val="22"/>
                <w:szCs w:val="22"/>
                <w:lang w:val="en-US"/>
              </w:rPr>
            </w:pPr>
          </w:p>
        </w:tc>
      </w:tr>
      <w:tr w:rsidR="00FE291A" w14:paraId="6DFE54C3" w14:textId="77777777">
        <w:trPr>
          <w:cantSplit/>
        </w:trPr>
        <w:tc>
          <w:tcPr>
            <w:tcW w:w="4463" w:type="dxa"/>
          </w:tcPr>
          <w:p w14:paraId="41A3348B" w14:textId="77777777" w:rsidR="00FE291A" w:rsidRDefault="00C8738F">
            <w:pPr>
              <w:pStyle w:val="lbltxt"/>
              <w:rPr>
                <w:b/>
                <w:szCs w:val="22"/>
                <w:lang w:val="de-DE"/>
              </w:rPr>
            </w:pPr>
            <w:r>
              <w:rPr>
                <w:b/>
                <w:szCs w:val="22"/>
                <w:lang w:val="de-DE"/>
              </w:rPr>
              <w:t>Ísland</w:t>
            </w:r>
          </w:p>
          <w:p w14:paraId="2D238C31" w14:textId="77777777" w:rsidR="00FE291A" w:rsidRDefault="00C8738F">
            <w:pPr>
              <w:pStyle w:val="lbltxt"/>
              <w:rPr>
                <w:szCs w:val="22"/>
                <w:lang w:val="de-DE"/>
              </w:rPr>
            </w:pPr>
            <w:r>
              <w:rPr>
                <w:szCs w:val="22"/>
                <w:lang w:val="de-DE"/>
              </w:rPr>
              <w:t>Vistor</w:t>
            </w:r>
            <w:del w:id="147" w:author="Author">
              <w:r>
                <w:rPr>
                  <w:szCs w:val="22"/>
                  <w:lang w:val="de-DE"/>
                </w:rPr>
                <w:delText xml:space="preserve"> hf.</w:delText>
              </w:r>
            </w:del>
          </w:p>
          <w:p w14:paraId="47C60985" w14:textId="77777777" w:rsidR="00FE291A" w:rsidRDefault="00C8738F">
            <w:pPr>
              <w:pStyle w:val="lbltxt"/>
              <w:rPr>
                <w:szCs w:val="22"/>
                <w:lang w:val="de-DE"/>
              </w:rPr>
            </w:pPr>
            <w:r>
              <w:rPr>
                <w:szCs w:val="22"/>
                <w:lang w:val="de-DE"/>
              </w:rPr>
              <w:t>Sími: +354 535 7000</w:t>
            </w:r>
          </w:p>
          <w:p w14:paraId="1368055E" w14:textId="77777777" w:rsidR="00FE291A" w:rsidRDefault="00FE291A">
            <w:pPr>
              <w:widowControl/>
              <w:kinsoku w:val="0"/>
              <w:overflowPunct w:val="0"/>
              <w:rPr>
                <w:sz w:val="22"/>
                <w:szCs w:val="22"/>
                <w:lang w:val="de-DE"/>
              </w:rPr>
            </w:pPr>
          </w:p>
        </w:tc>
        <w:tc>
          <w:tcPr>
            <w:tcW w:w="4572" w:type="dxa"/>
          </w:tcPr>
          <w:p w14:paraId="18A296A8" w14:textId="77777777" w:rsidR="00FE291A" w:rsidRDefault="00C8738F">
            <w:pPr>
              <w:pStyle w:val="lbltxt"/>
              <w:rPr>
                <w:b/>
                <w:szCs w:val="22"/>
                <w:lang w:val="de-DE"/>
              </w:rPr>
            </w:pPr>
            <w:r>
              <w:rPr>
                <w:b/>
                <w:szCs w:val="22"/>
                <w:lang w:val="de-DE"/>
              </w:rPr>
              <w:t>Slovenská republika</w:t>
            </w:r>
          </w:p>
          <w:p w14:paraId="307A64A7" w14:textId="77777777" w:rsidR="00FE291A" w:rsidRDefault="00C8738F">
            <w:pPr>
              <w:pStyle w:val="lbltxt"/>
              <w:rPr>
                <w:bCs/>
                <w:szCs w:val="22"/>
                <w:lang w:val="de-DE"/>
              </w:rPr>
            </w:pPr>
            <w:r>
              <w:rPr>
                <w:bCs/>
                <w:szCs w:val="22"/>
                <w:lang w:val="de-DE"/>
              </w:rPr>
              <w:t>Amgen Slovakia s.r.o.</w:t>
            </w:r>
          </w:p>
          <w:p w14:paraId="6274284B" w14:textId="77777777" w:rsidR="00FE291A" w:rsidRDefault="00C8738F">
            <w:pPr>
              <w:pStyle w:val="lbltxt"/>
              <w:rPr>
                <w:bCs/>
                <w:szCs w:val="22"/>
                <w:lang w:val="de-DE"/>
              </w:rPr>
            </w:pPr>
            <w:r>
              <w:rPr>
                <w:bCs/>
                <w:szCs w:val="22"/>
                <w:lang w:val="de-DE"/>
              </w:rPr>
              <w:t>Tel: +421 2 321 114 49</w:t>
            </w:r>
          </w:p>
          <w:p w14:paraId="1D3AA5FB" w14:textId="77777777" w:rsidR="00FE291A" w:rsidRDefault="00FE291A">
            <w:pPr>
              <w:widowControl/>
              <w:kinsoku w:val="0"/>
              <w:overflowPunct w:val="0"/>
              <w:rPr>
                <w:sz w:val="22"/>
                <w:szCs w:val="22"/>
                <w:lang w:val="de-DE"/>
              </w:rPr>
            </w:pPr>
          </w:p>
        </w:tc>
      </w:tr>
      <w:tr w:rsidR="00FE291A" w14:paraId="15E4EDB8" w14:textId="77777777">
        <w:trPr>
          <w:cantSplit/>
        </w:trPr>
        <w:tc>
          <w:tcPr>
            <w:tcW w:w="4463" w:type="dxa"/>
          </w:tcPr>
          <w:p w14:paraId="5106C116" w14:textId="77777777" w:rsidR="00FE291A" w:rsidRDefault="00C8738F">
            <w:pPr>
              <w:pStyle w:val="lbltxt"/>
              <w:rPr>
                <w:szCs w:val="22"/>
                <w:lang w:val="es-ES"/>
              </w:rPr>
            </w:pPr>
            <w:r>
              <w:rPr>
                <w:b/>
                <w:szCs w:val="22"/>
                <w:lang w:val="es-ES"/>
              </w:rPr>
              <w:t>Italia</w:t>
            </w:r>
          </w:p>
          <w:p w14:paraId="0B2A59C3" w14:textId="77777777" w:rsidR="00FE291A" w:rsidRDefault="00C8738F">
            <w:pPr>
              <w:pStyle w:val="lbltxt"/>
              <w:rPr>
                <w:szCs w:val="22"/>
                <w:lang w:val="es-ES"/>
              </w:rPr>
            </w:pPr>
            <w:r>
              <w:rPr>
                <w:szCs w:val="22"/>
                <w:lang w:val="es-ES"/>
              </w:rPr>
              <w:t>Amgen S.r.l.</w:t>
            </w:r>
          </w:p>
          <w:p w14:paraId="72C24F79" w14:textId="77777777" w:rsidR="00FE291A" w:rsidRDefault="00C8738F">
            <w:pPr>
              <w:pStyle w:val="lbltxt"/>
              <w:rPr>
                <w:szCs w:val="22"/>
                <w:lang w:val="de-DE"/>
              </w:rPr>
            </w:pPr>
            <w:r>
              <w:rPr>
                <w:szCs w:val="22"/>
                <w:lang w:val="de-DE"/>
              </w:rPr>
              <w:t>Tel: +39 02 6241121</w:t>
            </w:r>
          </w:p>
          <w:p w14:paraId="236FD9A8" w14:textId="77777777" w:rsidR="00FE291A" w:rsidRDefault="00FE291A">
            <w:pPr>
              <w:widowControl/>
              <w:kinsoku w:val="0"/>
              <w:overflowPunct w:val="0"/>
              <w:rPr>
                <w:sz w:val="22"/>
                <w:szCs w:val="22"/>
                <w:lang w:val="de-DE"/>
              </w:rPr>
            </w:pPr>
          </w:p>
        </w:tc>
        <w:tc>
          <w:tcPr>
            <w:tcW w:w="4572" w:type="dxa"/>
          </w:tcPr>
          <w:p w14:paraId="14FDCFE2" w14:textId="77777777" w:rsidR="00FE291A" w:rsidRDefault="00C8738F">
            <w:pPr>
              <w:pStyle w:val="lbltxt"/>
              <w:rPr>
                <w:szCs w:val="22"/>
                <w:lang w:val="de-DE"/>
              </w:rPr>
            </w:pPr>
            <w:r>
              <w:rPr>
                <w:b/>
                <w:szCs w:val="22"/>
                <w:lang w:val="de-DE"/>
              </w:rPr>
              <w:t>Suomi/Finland</w:t>
            </w:r>
          </w:p>
          <w:p w14:paraId="681CE060" w14:textId="77777777" w:rsidR="00FE291A" w:rsidRDefault="00C8738F">
            <w:pPr>
              <w:pStyle w:val="lbltxt"/>
              <w:rPr>
                <w:szCs w:val="22"/>
                <w:lang w:val="de-DE"/>
              </w:rPr>
            </w:pPr>
            <w:r>
              <w:rPr>
                <w:szCs w:val="22"/>
                <w:lang w:val="de-DE"/>
              </w:rPr>
              <w:t>Amgen AB, sivuliike Suomessa/Amgen AB, filial i Finland</w:t>
            </w:r>
          </w:p>
          <w:p w14:paraId="36D8A375" w14:textId="77777777" w:rsidR="00FE291A" w:rsidRDefault="00C8738F">
            <w:pPr>
              <w:pStyle w:val="lbltxt"/>
              <w:rPr>
                <w:szCs w:val="22"/>
                <w:lang w:val="de-DE"/>
              </w:rPr>
            </w:pPr>
            <w:r>
              <w:rPr>
                <w:szCs w:val="22"/>
                <w:lang w:val="nl-NL"/>
              </w:rPr>
              <w:t>Puh/Tel: +358 (0)9 54900500</w:t>
            </w:r>
          </w:p>
          <w:p w14:paraId="30039E84" w14:textId="77777777" w:rsidR="00FE291A" w:rsidRDefault="00FE291A">
            <w:pPr>
              <w:pStyle w:val="lbltxt"/>
              <w:rPr>
                <w:szCs w:val="22"/>
                <w:lang w:val="de-DE"/>
              </w:rPr>
            </w:pPr>
          </w:p>
        </w:tc>
      </w:tr>
      <w:tr w:rsidR="00FE291A" w14:paraId="7DC2B55A" w14:textId="77777777">
        <w:trPr>
          <w:cantSplit/>
        </w:trPr>
        <w:tc>
          <w:tcPr>
            <w:tcW w:w="4463" w:type="dxa"/>
          </w:tcPr>
          <w:p w14:paraId="0A80756D" w14:textId="77777777" w:rsidR="00FE291A" w:rsidRDefault="00C8738F">
            <w:pPr>
              <w:pStyle w:val="lbltxt"/>
              <w:rPr>
                <w:b/>
                <w:szCs w:val="22"/>
                <w:lang w:val="en-IN"/>
              </w:rPr>
            </w:pPr>
            <w:r>
              <w:rPr>
                <w:b/>
                <w:szCs w:val="22"/>
                <w:lang w:val="en-IN"/>
              </w:rPr>
              <w:t>K</w:t>
            </w:r>
            <w:r>
              <w:rPr>
                <w:b/>
                <w:szCs w:val="22"/>
                <w:lang w:val="de-DE"/>
              </w:rPr>
              <w:t>ύπρος</w:t>
            </w:r>
          </w:p>
          <w:p w14:paraId="7D25984E" w14:textId="77777777" w:rsidR="00FE291A" w:rsidRDefault="00C8738F">
            <w:pPr>
              <w:widowControl/>
              <w:rPr>
                <w:sz w:val="22"/>
                <w:szCs w:val="22"/>
              </w:rPr>
            </w:pPr>
            <w:r>
              <w:rPr>
                <w:sz w:val="22"/>
                <w:szCs w:val="22"/>
              </w:rPr>
              <w:t>C.A. Papaellinas Ltd</w:t>
            </w:r>
          </w:p>
          <w:p w14:paraId="2650F401" w14:textId="77777777" w:rsidR="00FE291A" w:rsidRDefault="00C8738F">
            <w:pPr>
              <w:pStyle w:val="lbltxt"/>
              <w:rPr>
                <w:szCs w:val="22"/>
                <w:lang w:val="en-IN"/>
              </w:rPr>
            </w:pPr>
            <w:r>
              <w:rPr>
                <w:szCs w:val="22"/>
                <w:lang w:val="de-DE"/>
              </w:rPr>
              <w:t>Τηλ</w:t>
            </w:r>
            <w:r>
              <w:rPr>
                <w:szCs w:val="22"/>
                <w:lang w:val="en-IN"/>
              </w:rPr>
              <w:t>: +357 22741 741</w:t>
            </w:r>
          </w:p>
          <w:p w14:paraId="0AAD9405" w14:textId="77777777" w:rsidR="00FE291A" w:rsidRDefault="00FE291A">
            <w:pPr>
              <w:widowControl/>
              <w:kinsoku w:val="0"/>
              <w:overflowPunct w:val="0"/>
              <w:rPr>
                <w:sz w:val="22"/>
                <w:szCs w:val="22"/>
              </w:rPr>
            </w:pPr>
          </w:p>
        </w:tc>
        <w:tc>
          <w:tcPr>
            <w:tcW w:w="4572" w:type="dxa"/>
          </w:tcPr>
          <w:p w14:paraId="40144C7F" w14:textId="77777777" w:rsidR="00FE291A" w:rsidRDefault="00C8738F">
            <w:pPr>
              <w:pStyle w:val="lbltxt"/>
              <w:rPr>
                <w:szCs w:val="22"/>
                <w:lang w:val="de-DE"/>
              </w:rPr>
            </w:pPr>
            <w:r>
              <w:rPr>
                <w:b/>
                <w:szCs w:val="22"/>
                <w:lang w:val="de-DE"/>
              </w:rPr>
              <w:t>Sverige</w:t>
            </w:r>
          </w:p>
          <w:p w14:paraId="65C78551" w14:textId="77777777" w:rsidR="00FE291A" w:rsidRDefault="00C8738F">
            <w:pPr>
              <w:pStyle w:val="lbltxt"/>
              <w:rPr>
                <w:szCs w:val="22"/>
                <w:lang w:val="de-DE"/>
              </w:rPr>
            </w:pPr>
            <w:r>
              <w:rPr>
                <w:szCs w:val="22"/>
                <w:lang w:val="de-DE"/>
              </w:rPr>
              <w:t xml:space="preserve">Amgen AB </w:t>
            </w:r>
          </w:p>
          <w:p w14:paraId="325264D2" w14:textId="77777777" w:rsidR="00FE291A" w:rsidRDefault="00C8738F">
            <w:pPr>
              <w:pStyle w:val="lbltxt"/>
              <w:rPr>
                <w:szCs w:val="22"/>
                <w:lang w:val="de-DE"/>
              </w:rPr>
            </w:pPr>
            <w:r>
              <w:rPr>
                <w:szCs w:val="22"/>
                <w:lang w:val="de-DE"/>
              </w:rPr>
              <w:t>Tel: +46 (0)8 6951100</w:t>
            </w:r>
          </w:p>
          <w:p w14:paraId="1DF29173" w14:textId="77777777" w:rsidR="00FE291A" w:rsidRDefault="00FE291A">
            <w:pPr>
              <w:widowControl/>
              <w:kinsoku w:val="0"/>
              <w:overflowPunct w:val="0"/>
              <w:rPr>
                <w:sz w:val="22"/>
                <w:szCs w:val="22"/>
                <w:lang w:val="de-DE"/>
              </w:rPr>
            </w:pPr>
          </w:p>
        </w:tc>
      </w:tr>
      <w:tr w:rsidR="00FE291A" w14:paraId="235945A7" w14:textId="77777777">
        <w:trPr>
          <w:cantSplit/>
        </w:trPr>
        <w:tc>
          <w:tcPr>
            <w:tcW w:w="4463" w:type="dxa"/>
          </w:tcPr>
          <w:p w14:paraId="31B42FF6" w14:textId="77777777" w:rsidR="00FE291A" w:rsidRPr="00211AE1" w:rsidRDefault="00C8738F">
            <w:pPr>
              <w:pStyle w:val="lbltxt"/>
              <w:rPr>
                <w:b/>
                <w:bCs/>
                <w:szCs w:val="22"/>
                <w:lang w:val="de-DE"/>
              </w:rPr>
            </w:pPr>
            <w:r w:rsidRPr="00211AE1">
              <w:rPr>
                <w:b/>
                <w:bCs/>
                <w:szCs w:val="22"/>
                <w:lang w:val="de-DE"/>
              </w:rPr>
              <w:t>Latvija</w:t>
            </w:r>
          </w:p>
          <w:p w14:paraId="68A0CA5B" w14:textId="77777777" w:rsidR="00FE291A" w:rsidRPr="00211AE1" w:rsidRDefault="00C8738F">
            <w:pPr>
              <w:pStyle w:val="lbltxt"/>
              <w:rPr>
                <w:szCs w:val="22"/>
                <w:lang w:val="de-DE"/>
              </w:rPr>
            </w:pPr>
            <w:r w:rsidRPr="00211AE1">
              <w:rPr>
                <w:szCs w:val="22"/>
                <w:lang w:val="de-DE"/>
              </w:rPr>
              <w:t>Amgen Switzerland AG Rīgas filiāle</w:t>
            </w:r>
          </w:p>
          <w:p w14:paraId="7B7FE4AA" w14:textId="77777777" w:rsidR="00FE291A" w:rsidRDefault="00C8738F">
            <w:pPr>
              <w:pStyle w:val="lbltxt"/>
              <w:rPr>
                <w:szCs w:val="22"/>
                <w:lang w:val="de-DE"/>
              </w:rPr>
            </w:pPr>
            <w:r>
              <w:rPr>
                <w:bCs/>
                <w:szCs w:val="22"/>
                <w:lang w:val="de-DE"/>
              </w:rPr>
              <w:t>Tel: +</w:t>
            </w:r>
            <w:r>
              <w:rPr>
                <w:szCs w:val="22"/>
                <w:lang w:val="de-DE"/>
              </w:rPr>
              <w:t>371 257 25888</w:t>
            </w:r>
          </w:p>
          <w:p w14:paraId="74744544" w14:textId="77777777" w:rsidR="00FE291A" w:rsidRDefault="00FE291A">
            <w:pPr>
              <w:widowControl/>
              <w:kinsoku w:val="0"/>
              <w:overflowPunct w:val="0"/>
              <w:rPr>
                <w:sz w:val="22"/>
                <w:szCs w:val="22"/>
                <w:lang w:val="de-DE"/>
              </w:rPr>
            </w:pPr>
          </w:p>
        </w:tc>
        <w:tc>
          <w:tcPr>
            <w:tcW w:w="4572" w:type="dxa"/>
          </w:tcPr>
          <w:p w14:paraId="2B92371E" w14:textId="77777777" w:rsidR="00FE291A" w:rsidRDefault="00FE291A">
            <w:pPr>
              <w:pStyle w:val="lbltxt"/>
              <w:rPr>
                <w:szCs w:val="22"/>
                <w:lang w:val="de-DE"/>
              </w:rPr>
            </w:pPr>
          </w:p>
        </w:tc>
      </w:tr>
    </w:tbl>
    <w:p w14:paraId="32D1E3A5" w14:textId="77777777" w:rsidR="00FE291A" w:rsidRDefault="00FE291A">
      <w:pPr>
        <w:widowControl/>
        <w:rPr>
          <w:sz w:val="22"/>
          <w:lang w:val="de-DE"/>
        </w:rPr>
      </w:pPr>
    </w:p>
    <w:p w14:paraId="391711D3" w14:textId="77777777" w:rsidR="00FE291A" w:rsidRDefault="00C8738F">
      <w:pPr>
        <w:pStyle w:val="Heading1"/>
        <w:keepNext/>
        <w:widowControl/>
        <w:kinsoku w:val="0"/>
        <w:overflowPunct w:val="0"/>
        <w:ind w:left="0"/>
        <w:rPr>
          <w:b w:val="0"/>
          <w:bCs w:val="0"/>
          <w:lang w:val="de-DE"/>
        </w:rPr>
      </w:pPr>
      <w:r>
        <w:rPr>
          <w:lang w:val="de-DE"/>
        </w:rPr>
        <w:t>Diese Packungsbeilage wurde zuletzt überarbeitet im</w:t>
      </w:r>
    </w:p>
    <w:p w14:paraId="4513A02C" w14:textId="77777777" w:rsidR="00FE291A" w:rsidRDefault="00FE291A">
      <w:pPr>
        <w:widowControl/>
        <w:kinsoku w:val="0"/>
        <w:overflowPunct w:val="0"/>
        <w:rPr>
          <w:sz w:val="22"/>
          <w:szCs w:val="22"/>
          <w:lang w:val="de-DE"/>
        </w:rPr>
      </w:pPr>
    </w:p>
    <w:p w14:paraId="1CF48DA1" w14:textId="77777777" w:rsidR="00FE291A" w:rsidRDefault="00C8738F">
      <w:pPr>
        <w:widowControl/>
        <w:kinsoku w:val="0"/>
        <w:overflowPunct w:val="0"/>
        <w:rPr>
          <w:b/>
          <w:sz w:val="22"/>
          <w:szCs w:val="22"/>
          <w:lang w:val="de-DE"/>
        </w:rPr>
      </w:pPr>
      <w:r>
        <w:rPr>
          <w:b/>
          <w:sz w:val="22"/>
          <w:szCs w:val="22"/>
          <w:lang w:val="de-DE"/>
        </w:rPr>
        <w:t>Weitere Informationsquellen</w:t>
      </w:r>
    </w:p>
    <w:p w14:paraId="6CEA2490" w14:textId="77777777" w:rsidR="00FE291A" w:rsidRDefault="00FE291A">
      <w:pPr>
        <w:widowControl/>
        <w:kinsoku w:val="0"/>
        <w:overflowPunct w:val="0"/>
        <w:rPr>
          <w:sz w:val="22"/>
          <w:szCs w:val="22"/>
          <w:lang w:val="de-DE"/>
        </w:rPr>
      </w:pPr>
    </w:p>
    <w:p w14:paraId="6D89A8AA" w14:textId="77777777" w:rsidR="00FE291A" w:rsidRDefault="00C8738F">
      <w:pPr>
        <w:pStyle w:val="BodyText"/>
        <w:widowControl/>
        <w:kinsoku w:val="0"/>
        <w:overflowPunct w:val="0"/>
        <w:ind w:left="0"/>
        <w:rPr>
          <w:color w:val="000000"/>
          <w:lang w:val="de-DE"/>
        </w:rPr>
      </w:pPr>
      <w:r>
        <w:rPr>
          <w:lang w:val="de-DE"/>
        </w:rPr>
        <w:t xml:space="preserve">Ausführliche Informationen zu diesem Arzneimittel sind auf den Internetseiten der Europäischen Arzneimittel-Agentur </w:t>
      </w:r>
      <w:r>
        <w:fldChar w:fldCharType="begin"/>
      </w:r>
      <w:r w:rsidRPr="00F076DE">
        <w:rPr>
          <w:lang w:val="de-DE"/>
          <w:rPrChange w:id="148" w:author="Author">
            <w:rPr/>
          </w:rPrChange>
        </w:rPr>
        <w:instrText>HYPERLINK "https://www.ema.europa.eu/"</w:instrText>
      </w:r>
      <w:r>
        <w:fldChar w:fldCharType="separate"/>
      </w:r>
      <w:r>
        <w:rPr>
          <w:rStyle w:val="Hyperlink"/>
          <w:color w:val="0000FF"/>
          <w:lang w:val="de-DE" w:eastAsia="en-US"/>
        </w:rPr>
        <w:t>https://www.ema.europa.eu/</w:t>
      </w:r>
      <w:r>
        <w:fldChar w:fldCharType="end"/>
      </w:r>
      <w:r>
        <w:rPr>
          <w:rStyle w:val="Hyperlink"/>
          <w:color w:val="auto"/>
          <w:u w:val="none"/>
          <w:lang w:val="de-DE"/>
        </w:rPr>
        <w:t xml:space="preserve"> </w:t>
      </w:r>
      <w:r>
        <w:rPr>
          <w:color w:val="000000"/>
          <w:lang w:val="de-DE"/>
        </w:rPr>
        <w:t>verfügbar.</w:t>
      </w:r>
    </w:p>
    <w:p w14:paraId="55186171" w14:textId="77777777" w:rsidR="00FE291A" w:rsidRDefault="00FE291A">
      <w:pPr>
        <w:pStyle w:val="BodyText"/>
        <w:widowControl/>
        <w:kinsoku w:val="0"/>
        <w:overflowPunct w:val="0"/>
        <w:ind w:left="0"/>
        <w:rPr>
          <w:color w:val="000000"/>
          <w:lang w:val="de-DE"/>
        </w:rPr>
      </w:pPr>
    </w:p>
    <w:p w14:paraId="235F043E" w14:textId="77777777" w:rsidR="00FE291A" w:rsidRDefault="00C8738F">
      <w:pPr>
        <w:rPr>
          <w:lang w:val="de-DE"/>
        </w:rPr>
      </w:pPr>
      <w:r>
        <w:rPr>
          <w:color w:val="000000"/>
          <w:lang w:val="de-DE"/>
        </w:rPr>
        <w:br w:type="page"/>
      </w:r>
    </w:p>
    <w:tbl>
      <w:tblPr>
        <w:tblpPr w:leftFromText="141" w:rightFromText="141" w:vertAnchor="text" w:tblpX="108" w:tblpY="1"/>
        <w:tblOverlap w:val="neve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8"/>
        <w:gridCol w:w="2544"/>
        <w:gridCol w:w="2967"/>
      </w:tblGrid>
      <w:tr w:rsidR="00FE291A" w14:paraId="21D8674C" w14:textId="77777777">
        <w:trPr>
          <w:cantSplit/>
          <w:trHeight w:val="57"/>
        </w:trPr>
        <w:tc>
          <w:tcPr>
            <w:tcW w:w="5000" w:type="pct"/>
            <w:gridSpan w:val="3"/>
            <w:tcBorders>
              <w:top w:val="single" w:sz="4" w:space="0" w:color="auto"/>
              <w:left w:val="single" w:sz="4" w:space="0" w:color="auto"/>
              <w:bottom w:val="single" w:sz="4" w:space="0" w:color="auto"/>
              <w:right w:val="single" w:sz="4" w:space="0" w:color="auto"/>
            </w:tcBorders>
          </w:tcPr>
          <w:p w14:paraId="0F329059" w14:textId="77777777" w:rsidR="00FE291A" w:rsidRDefault="00C8738F">
            <w:pPr>
              <w:keepNext/>
              <w:keepLines/>
              <w:jc w:val="center"/>
              <w:rPr>
                <w:b/>
                <w:bCs/>
                <w:sz w:val="22"/>
                <w:szCs w:val="22"/>
                <w:lang w:val="de-DE"/>
              </w:rPr>
            </w:pPr>
            <w:r>
              <w:rPr>
                <w:b/>
                <w:bCs/>
                <w:sz w:val="22"/>
                <w:szCs w:val="22"/>
                <w:lang w:val="de-DE"/>
              </w:rPr>
              <w:t>GEBRAUCHSANLEITUNG</w:t>
            </w:r>
          </w:p>
        </w:tc>
      </w:tr>
      <w:tr w:rsidR="00FE291A" w14:paraId="38F457B9" w14:textId="77777777">
        <w:trPr>
          <w:cantSplit/>
          <w:trHeight w:val="57"/>
        </w:trPr>
        <w:tc>
          <w:tcPr>
            <w:tcW w:w="5000" w:type="pct"/>
            <w:gridSpan w:val="3"/>
            <w:tcBorders>
              <w:top w:val="single" w:sz="4" w:space="0" w:color="auto"/>
              <w:left w:val="nil"/>
              <w:bottom w:val="single" w:sz="4" w:space="0" w:color="auto"/>
              <w:right w:val="nil"/>
            </w:tcBorders>
          </w:tcPr>
          <w:p w14:paraId="05FF9499" w14:textId="77777777" w:rsidR="00FE291A" w:rsidRDefault="00FE291A">
            <w:pPr>
              <w:keepNext/>
              <w:keepLines/>
              <w:jc w:val="center"/>
              <w:rPr>
                <w:bCs/>
                <w:sz w:val="22"/>
                <w:szCs w:val="22"/>
                <w:lang w:val="de-DE"/>
              </w:rPr>
            </w:pPr>
          </w:p>
        </w:tc>
      </w:tr>
      <w:tr w:rsidR="00FE291A" w:rsidRPr="00723069" w14:paraId="008F581E" w14:textId="77777777">
        <w:trPr>
          <w:cantSplit/>
          <w:trHeight w:val="57"/>
        </w:trPr>
        <w:tc>
          <w:tcPr>
            <w:tcW w:w="5000" w:type="pct"/>
            <w:gridSpan w:val="3"/>
            <w:tcBorders>
              <w:top w:val="single" w:sz="4" w:space="0" w:color="auto"/>
              <w:left w:val="single" w:sz="4" w:space="0" w:color="auto"/>
              <w:bottom w:val="single" w:sz="4" w:space="0" w:color="auto"/>
              <w:right w:val="single" w:sz="4" w:space="0" w:color="auto"/>
            </w:tcBorders>
          </w:tcPr>
          <w:p w14:paraId="10D61925" w14:textId="77777777" w:rsidR="00FE291A" w:rsidRDefault="00C8738F">
            <w:pPr>
              <w:keepNext/>
              <w:keepLines/>
              <w:rPr>
                <w:sz w:val="22"/>
                <w:szCs w:val="22"/>
                <w:lang w:val="de-DE"/>
              </w:rPr>
            </w:pPr>
            <w:r>
              <w:rPr>
                <w:sz w:val="22"/>
                <w:szCs w:val="22"/>
                <w:lang w:val="de-DE"/>
              </w:rPr>
              <w:t>Machen Sie sich mit Ihrer Fertigspritze vertraut.</w:t>
            </w:r>
          </w:p>
        </w:tc>
      </w:tr>
      <w:tr w:rsidR="00FE291A" w14:paraId="45A45276" w14:textId="77777777">
        <w:trPr>
          <w:cantSplit/>
          <w:trHeight w:val="57"/>
        </w:trPr>
        <w:tc>
          <w:tcPr>
            <w:tcW w:w="1865" w:type="pct"/>
            <w:tcBorders>
              <w:top w:val="single" w:sz="4" w:space="0" w:color="auto"/>
              <w:left w:val="single" w:sz="4" w:space="0" w:color="auto"/>
              <w:bottom w:val="single" w:sz="4" w:space="0" w:color="auto"/>
              <w:right w:val="nil"/>
            </w:tcBorders>
          </w:tcPr>
          <w:tbl>
            <w:tblPr>
              <w:tblW w:w="1770" w:type="dxa"/>
              <w:tblInd w:w="1288" w:type="dxa"/>
              <w:tblCellMar>
                <w:left w:w="0" w:type="dxa"/>
                <w:right w:w="113" w:type="dxa"/>
              </w:tblCellMar>
              <w:tblLook w:val="04A0" w:firstRow="1" w:lastRow="0" w:firstColumn="1" w:lastColumn="0" w:noHBand="0" w:noVBand="1"/>
            </w:tblPr>
            <w:tblGrid>
              <w:gridCol w:w="1770"/>
            </w:tblGrid>
            <w:tr w:rsidR="00FE291A" w:rsidRPr="00723069" w14:paraId="6A0E1943" w14:textId="77777777">
              <w:trPr>
                <w:trHeight w:val="124"/>
              </w:trPr>
              <w:tc>
                <w:tcPr>
                  <w:tcW w:w="1763" w:type="dxa"/>
                </w:tcPr>
                <w:p w14:paraId="163428CE" w14:textId="77777777" w:rsidR="00FE291A" w:rsidRDefault="00FE291A">
                  <w:pPr>
                    <w:framePr w:hSpace="141" w:wrap="around" w:vAnchor="text" w:hAnchor="text" w:x="108" w:y="1"/>
                    <w:suppressOverlap/>
                    <w:jc w:val="center"/>
                    <w:rPr>
                      <w:sz w:val="22"/>
                      <w:szCs w:val="22"/>
                      <w:lang w:val="de-DE"/>
                    </w:rPr>
                  </w:pPr>
                </w:p>
              </w:tc>
            </w:tr>
            <w:tr w:rsidR="00FE291A" w:rsidRPr="00723069" w14:paraId="2FE3B754" w14:textId="77777777">
              <w:trPr>
                <w:trHeight w:val="990"/>
              </w:trPr>
              <w:tc>
                <w:tcPr>
                  <w:tcW w:w="1763" w:type="dxa"/>
                </w:tcPr>
                <w:p w14:paraId="39EC0E0C" w14:textId="77777777" w:rsidR="00FE291A" w:rsidRDefault="00FE291A">
                  <w:pPr>
                    <w:framePr w:hSpace="141" w:wrap="around" w:vAnchor="text" w:hAnchor="text" w:x="108" w:y="1"/>
                    <w:suppressOverlap/>
                    <w:jc w:val="right"/>
                    <w:rPr>
                      <w:sz w:val="22"/>
                      <w:szCs w:val="22"/>
                      <w:lang w:val="de-DE"/>
                    </w:rPr>
                  </w:pPr>
                </w:p>
              </w:tc>
            </w:tr>
            <w:tr w:rsidR="00FE291A" w14:paraId="7AC11505" w14:textId="77777777">
              <w:trPr>
                <w:trHeight w:val="852"/>
              </w:trPr>
              <w:tc>
                <w:tcPr>
                  <w:tcW w:w="1763" w:type="dxa"/>
                </w:tcPr>
                <w:p w14:paraId="4DFCEA9B" w14:textId="77777777" w:rsidR="00FE291A" w:rsidRDefault="00C8738F">
                  <w:pPr>
                    <w:framePr w:hSpace="141" w:wrap="around" w:vAnchor="text" w:hAnchor="text" w:x="108" w:y="1"/>
                    <w:suppressOverlap/>
                    <w:jc w:val="right"/>
                    <w:rPr>
                      <w:sz w:val="22"/>
                      <w:szCs w:val="22"/>
                      <w:lang w:val="de-DE"/>
                    </w:rPr>
                  </w:pPr>
                  <w:r>
                    <w:rPr>
                      <w:sz w:val="22"/>
                      <w:szCs w:val="22"/>
                      <w:lang w:val="de-DE"/>
                    </w:rPr>
                    <w:t>Kolbenstange</w:t>
                  </w:r>
                </w:p>
              </w:tc>
            </w:tr>
            <w:tr w:rsidR="00FE291A" w14:paraId="1302CA6E" w14:textId="77777777">
              <w:trPr>
                <w:trHeight w:val="594"/>
              </w:trPr>
              <w:tc>
                <w:tcPr>
                  <w:tcW w:w="1763" w:type="dxa"/>
                </w:tcPr>
                <w:p w14:paraId="5C50636A" w14:textId="77777777" w:rsidR="00FE291A" w:rsidRDefault="00C8738F">
                  <w:pPr>
                    <w:framePr w:hSpace="141" w:wrap="around" w:vAnchor="text" w:hAnchor="text" w:x="108" w:y="1"/>
                    <w:suppressOverlap/>
                    <w:jc w:val="right"/>
                    <w:rPr>
                      <w:sz w:val="22"/>
                      <w:szCs w:val="22"/>
                      <w:lang w:val="de-DE"/>
                    </w:rPr>
                  </w:pPr>
                  <w:r>
                    <w:rPr>
                      <w:sz w:val="22"/>
                      <w:szCs w:val="22"/>
                      <w:lang w:val="de-DE"/>
                    </w:rPr>
                    <w:t>Verfalldatum</w:t>
                  </w:r>
                </w:p>
              </w:tc>
            </w:tr>
            <w:tr w:rsidR="00FE291A" w14:paraId="4783C2DE" w14:textId="77777777">
              <w:trPr>
                <w:trHeight w:val="972"/>
              </w:trPr>
              <w:tc>
                <w:tcPr>
                  <w:tcW w:w="1763" w:type="dxa"/>
                </w:tcPr>
                <w:p w14:paraId="6D1C872B" w14:textId="77777777" w:rsidR="00FE291A" w:rsidRDefault="00C8738F">
                  <w:pPr>
                    <w:framePr w:hSpace="141" w:wrap="around" w:vAnchor="text" w:hAnchor="text" w:x="108" w:y="1"/>
                    <w:suppressOverlap/>
                    <w:jc w:val="right"/>
                    <w:rPr>
                      <w:sz w:val="22"/>
                      <w:szCs w:val="22"/>
                      <w:lang w:val="de-DE"/>
                    </w:rPr>
                  </w:pPr>
                  <w:r>
                    <w:rPr>
                      <w:sz w:val="22"/>
                      <w:szCs w:val="22"/>
                      <w:lang w:val="de-DE"/>
                    </w:rPr>
                    <w:t>Spritzen-</w:t>
                  </w:r>
                </w:p>
                <w:p w14:paraId="7A7A7913" w14:textId="77777777" w:rsidR="00FE291A" w:rsidRDefault="00C8738F">
                  <w:pPr>
                    <w:framePr w:hSpace="141" w:wrap="around" w:vAnchor="text" w:hAnchor="text" w:x="108" w:y="1"/>
                    <w:suppressOverlap/>
                    <w:jc w:val="right"/>
                    <w:rPr>
                      <w:sz w:val="22"/>
                      <w:szCs w:val="22"/>
                      <w:lang w:val="de-DE"/>
                    </w:rPr>
                  </w:pPr>
                  <w:r>
                    <w:rPr>
                      <w:sz w:val="22"/>
                      <w:szCs w:val="22"/>
                      <w:lang w:val="de-DE"/>
                    </w:rPr>
                    <w:t>körper</w:t>
                  </w:r>
                </w:p>
              </w:tc>
            </w:tr>
            <w:tr w:rsidR="00FE291A" w14:paraId="5895C59A" w14:textId="77777777">
              <w:trPr>
                <w:trHeight w:val="1128"/>
              </w:trPr>
              <w:tc>
                <w:tcPr>
                  <w:tcW w:w="1763" w:type="dxa"/>
                </w:tcPr>
                <w:p w14:paraId="24D786F5" w14:textId="77777777" w:rsidR="00FE291A" w:rsidRDefault="00C8738F">
                  <w:pPr>
                    <w:framePr w:hSpace="141" w:wrap="around" w:vAnchor="text" w:hAnchor="text" w:x="108" w:y="1"/>
                    <w:suppressOverlap/>
                    <w:jc w:val="right"/>
                    <w:rPr>
                      <w:sz w:val="22"/>
                      <w:szCs w:val="22"/>
                      <w:lang w:val="de-DE"/>
                    </w:rPr>
                  </w:pPr>
                  <w:r>
                    <w:rPr>
                      <w:sz w:val="22"/>
                      <w:szCs w:val="22"/>
                      <w:lang w:val="de-DE"/>
                    </w:rPr>
                    <w:t>Nadelschutzkappe</w:t>
                  </w:r>
                </w:p>
                <w:p w14:paraId="7B612357" w14:textId="77777777" w:rsidR="00FE291A" w:rsidRDefault="00C8738F">
                  <w:pPr>
                    <w:framePr w:hSpace="141" w:wrap="around" w:vAnchor="text" w:hAnchor="text" w:x="108" w:y="1"/>
                    <w:suppressOverlap/>
                    <w:jc w:val="right"/>
                    <w:rPr>
                      <w:sz w:val="22"/>
                      <w:szCs w:val="22"/>
                      <w:lang w:val="de-DE"/>
                    </w:rPr>
                  </w:pPr>
                  <w:r>
                    <w:rPr>
                      <w:sz w:val="22"/>
                      <w:szCs w:val="22"/>
                      <w:lang w:val="de-DE"/>
                    </w:rPr>
                    <w:t>(Nadel im Inneren)</w:t>
                  </w:r>
                </w:p>
              </w:tc>
            </w:tr>
          </w:tbl>
          <w:p w14:paraId="04CA8EAC" w14:textId="77777777" w:rsidR="00FE291A" w:rsidRDefault="00FE291A">
            <w:pPr>
              <w:keepNext/>
              <w:jc w:val="right"/>
              <w:rPr>
                <w:sz w:val="22"/>
                <w:szCs w:val="22"/>
                <w:lang w:val="de-DE"/>
              </w:rPr>
            </w:pPr>
          </w:p>
        </w:tc>
        <w:tc>
          <w:tcPr>
            <w:tcW w:w="1447" w:type="pct"/>
            <w:tcBorders>
              <w:top w:val="nil"/>
              <w:left w:val="nil"/>
              <w:bottom w:val="single" w:sz="4" w:space="0" w:color="auto"/>
              <w:right w:val="nil"/>
            </w:tcBorders>
          </w:tcPr>
          <w:p w14:paraId="69D01B46" w14:textId="56A0FAEC" w:rsidR="00FE291A" w:rsidRDefault="009C5B62">
            <w:pPr>
              <w:jc w:val="right"/>
              <w:rPr>
                <w:sz w:val="22"/>
                <w:szCs w:val="22"/>
                <w:lang w:val="de-DE"/>
              </w:rPr>
            </w:pPr>
            <w:r>
              <w:rPr>
                <w:noProof/>
              </w:rPr>
              <w:drawing>
                <wp:anchor distT="0" distB="0" distL="114300" distR="114300" simplePos="0" relativeHeight="29" behindDoc="0" locked="0" layoutInCell="1" allowOverlap="1" wp14:anchorId="5C2FF3EF" wp14:editId="251CA2DF">
                  <wp:simplePos x="0" y="0"/>
                  <wp:positionH relativeFrom="column">
                    <wp:posOffset>297180</wp:posOffset>
                  </wp:positionH>
                  <wp:positionV relativeFrom="paragraph">
                    <wp:posOffset>307975</wp:posOffset>
                  </wp:positionV>
                  <wp:extent cx="939165" cy="2506345"/>
                  <wp:effectExtent l="0" t="0" r="0" b="0"/>
                  <wp:wrapNone/>
                  <wp:docPr id="856558807"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39165" cy="2506345"/>
                          </a:xfrm>
                          <a:prstGeom prst="rect">
                            <a:avLst/>
                          </a:prstGeom>
                          <a:noFill/>
                        </pic:spPr>
                      </pic:pic>
                    </a:graphicData>
                  </a:graphic>
                  <wp14:sizeRelH relativeFrom="page">
                    <wp14:pctWidth>0</wp14:pctWidth>
                  </wp14:sizeRelH>
                  <wp14:sizeRelV relativeFrom="page">
                    <wp14:pctHeight>0</wp14:pctHeight>
                  </wp14:sizeRelV>
                </wp:anchor>
              </w:drawing>
            </w:r>
          </w:p>
        </w:tc>
        <w:tc>
          <w:tcPr>
            <w:tcW w:w="1688" w:type="pct"/>
            <w:tcBorders>
              <w:top w:val="single" w:sz="4" w:space="0" w:color="auto"/>
              <w:left w:val="nil"/>
              <w:bottom w:val="single" w:sz="4" w:space="0" w:color="auto"/>
              <w:right w:val="single" w:sz="4" w:space="0" w:color="auto"/>
            </w:tcBorders>
          </w:tcPr>
          <w:tbl>
            <w:tblPr>
              <w:tblW w:w="1845" w:type="dxa"/>
              <w:tblCellMar>
                <w:left w:w="113" w:type="dxa"/>
                <w:right w:w="0" w:type="dxa"/>
              </w:tblCellMar>
              <w:tblLook w:val="04A0" w:firstRow="1" w:lastRow="0" w:firstColumn="1" w:lastColumn="0" w:noHBand="0" w:noVBand="1"/>
            </w:tblPr>
            <w:tblGrid>
              <w:gridCol w:w="1845"/>
            </w:tblGrid>
            <w:tr w:rsidR="00FE291A" w14:paraId="480C2883" w14:textId="77777777">
              <w:trPr>
                <w:trHeight w:val="461"/>
              </w:trPr>
              <w:tc>
                <w:tcPr>
                  <w:tcW w:w="1852" w:type="dxa"/>
                </w:tcPr>
                <w:p w14:paraId="6FB32E82" w14:textId="77777777" w:rsidR="00FE291A" w:rsidRDefault="00FE291A">
                  <w:pPr>
                    <w:framePr w:hSpace="141" w:wrap="around" w:vAnchor="text" w:hAnchor="text" w:x="108" w:y="1"/>
                    <w:suppressOverlap/>
                    <w:rPr>
                      <w:sz w:val="22"/>
                      <w:szCs w:val="22"/>
                      <w:lang w:val="de-DE"/>
                    </w:rPr>
                  </w:pPr>
                </w:p>
              </w:tc>
            </w:tr>
            <w:tr w:rsidR="00FE291A" w14:paraId="2C3C5941" w14:textId="77777777">
              <w:trPr>
                <w:trHeight w:val="1077"/>
              </w:trPr>
              <w:tc>
                <w:tcPr>
                  <w:tcW w:w="1852" w:type="dxa"/>
                </w:tcPr>
                <w:p w14:paraId="157B0A07" w14:textId="77777777" w:rsidR="00FE291A" w:rsidRDefault="00FE291A">
                  <w:pPr>
                    <w:framePr w:hSpace="141" w:wrap="around" w:vAnchor="text" w:hAnchor="text" w:x="108" w:y="1"/>
                    <w:suppressOverlap/>
                    <w:rPr>
                      <w:sz w:val="22"/>
                      <w:szCs w:val="22"/>
                      <w:lang w:val="de-DE"/>
                    </w:rPr>
                  </w:pPr>
                </w:p>
              </w:tc>
            </w:tr>
            <w:tr w:rsidR="00FE291A" w14:paraId="7A27CE97" w14:textId="77777777">
              <w:trPr>
                <w:trHeight w:val="725"/>
              </w:trPr>
              <w:tc>
                <w:tcPr>
                  <w:tcW w:w="1852" w:type="dxa"/>
                </w:tcPr>
                <w:p w14:paraId="2238DA9F" w14:textId="77777777" w:rsidR="00FE291A" w:rsidRDefault="00C8738F">
                  <w:pPr>
                    <w:framePr w:hSpace="141" w:wrap="around" w:vAnchor="text" w:hAnchor="text" w:x="108" w:y="1"/>
                    <w:suppressOverlap/>
                    <w:rPr>
                      <w:sz w:val="22"/>
                      <w:szCs w:val="22"/>
                      <w:lang w:val="de-DE"/>
                    </w:rPr>
                  </w:pPr>
                  <w:r>
                    <w:rPr>
                      <w:sz w:val="22"/>
                      <w:szCs w:val="22"/>
                      <w:lang w:val="de-DE"/>
                    </w:rPr>
                    <w:t>Fingergriffe</w:t>
                  </w:r>
                </w:p>
              </w:tc>
            </w:tr>
            <w:tr w:rsidR="00FE291A" w14:paraId="3CADE9AF" w14:textId="77777777">
              <w:trPr>
                <w:trHeight w:val="989"/>
              </w:trPr>
              <w:tc>
                <w:tcPr>
                  <w:tcW w:w="1852" w:type="dxa"/>
                </w:tcPr>
                <w:p w14:paraId="642D65F9" w14:textId="77777777" w:rsidR="00FE291A" w:rsidRDefault="00C8738F">
                  <w:pPr>
                    <w:framePr w:hSpace="141" w:wrap="around" w:vAnchor="text" w:hAnchor="text" w:x="108" w:y="1"/>
                    <w:suppressOverlap/>
                    <w:rPr>
                      <w:sz w:val="22"/>
                      <w:szCs w:val="22"/>
                      <w:lang w:val="de-DE"/>
                    </w:rPr>
                  </w:pPr>
                  <w:r>
                    <w:rPr>
                      <w:sz w:val="22"/>
                      <w:szCs w:val="22"/>
                      <w:lang w:val="de-DE"/>
                    </w:rPr>
                    <w:t>Kolben (Position kann variieren)</w:t>
                  </w:r>
                </w:p>
              </w:tc>
            </w:tr>
            <w:tr w:rsidR="00FE291A" w14:paraId="23C0428E" w14:textId="77777777">
              <w:trPr>
                <w:trHeight w:val="856"/>
              </w:trPr>
              <w:tc>
                <w:tcPr>
                  <w:tcW w:w="1852" w:type="dxa"/>
                </w:tcPr>
                <w:p w14:paraId="76EAAB73" w14:textId="77777777" w:rsidR="00FE291A" w:rsidRDefault="00C8738F">
                  <w:pPr>
                    <w:framePr w:hSpace="141" w:wrap="around" w:vAnchor="text" w:hAnchor="text" w:x="108" w:y="1"/>
                    <w:suppressOverlap/>
                    <w:rPr>
                      <w:sz w:val="22"/>
                      <w:szCs w:val="22"/>
                      <w:lang w:val="de-DE"/>
                    </w:rPr>
                  </w:pPr>
                  <w:r>
                    <w:rPr>
                      <w:sz w:val="22"/>
                      <w:szCs w:val="22"/>
                      <w:lang w:val="de-DE"/>
                    </w:rPr>
                    <w:t>Arzneimittel</w:t>
                  </w:r>
                </w:p>
              </w:tc>
            </w:tr>
          </w:tbl>
          <w:p w14:paraId="21C60B18" w14:textId="77777777" w:rsidR="00FE291A" w:rsidRDefault="00FE291A">
            <w:pPr>
              <w:rPr>
                <w:sz w:val="22"/>
                <w:szCs w:val="22"/>
                <w:lang w:val="de-DE"/>
              </w:rPr>
            </w:pPr>
          </w:p>
        </w:tc>
      </w:tr>
    </w:tbl>
    <w:p w14:paraId="4BFC624A" w14:textId="77777777" w:rsidR="00FE291A" w:rsidRDefault="00FE291A">
      <w:pPr>
        <w:rPr>
          <w:b/>
          <w:bCs/>
          <w:sz w:val="22"/>
          <w:szCs w:val="22"/>
          <w:lang w:val="de-DE"/>
        </w:rPr>
      </w:pPr>
    </w:p>
    <w:tbl>
      <w:tblPr>
        <w:tblW w:w="4889" w:type="pct"/>
        <w:tblInd w:w="57"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0" w:type="dxa"/>
        </w:tblCellMar>
        <w:tblLook w:val="04A0" w:firstRow="1" w:lastRow="0" w:firstColumn="1" w:lastColumn="0" w:noHBand="0" w:noVBand="1"/>
      </w:tblPr>
      <w:tblGrid>
        <w:gridCol w:w="562"/>
        <w:gridCol w:w="8298"/>
      </w:tblGrid>
      <w:tr w:rsidR="00FE291A" w:rsidRPr="00723069" w14:paraId="47E86B50" w14:textId="77777777">
        <w:trPr>
          <w:trHeight w:val="57"/>
        </w:trPr>
        <w:tc>
          <w:tcPr>
            <w:tcW w:w="317"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C53A087" w14:textId="77777777" w:rsidR="00FE291A" w:rsidRDefault="00C8738F">
            <w:pPr>
              <w:keepLines/>
              <w:pageBreakBefore/>
              <w:ind w:left="567" w:hanging="567"/>
              <w:rPr>
                <w:b/>
                <w:bCs/>
                <w:sz w:val="22"/>
                <w:szCs w:val="22"/>
                <w:lang w:val="de-DE"/>
              </w:rPr>
            </w:pPr>
            <w:r>
              <w:rPr>
                <w:b/>
                <w:sz w:val="22"/>
                <w:szCs w:val="22"/>
                <w:lang w:val="de-DE"/>
              </w:rPr>
              <w:t>1</w:t>
            </w:r>
          </w:p>
        </w:tc>
        <w:tc>
          <w:tcPr>
            <w:tcW w:w="4683" w:type="pct"/>
            <w:tcBorders>
              <w:top w:val="single" w:sz="4" w:space="0" w:color="auto"/>
              <w:left w:val="single" w:sz="4" w:space="0" w:color="auto"/>
              <w:bottom w:val="single" w:sz="4" w:space="0" w:color="auto"/>
              <w:right w:val="single" w:sz="4" w:space="0" w:color="auto"/>
            </w:tcBorders>
          </w:tcPr>
          <w:p w14:paraId="1F42273F" w14:textId="77777777" w:rsidR="00FE291A" w:rsidRDefault="00C8738F">
            <w:pPr>
              <w:keepLines/>
              <w:rPr>
                <w:b/>
                <w:bCs/>
                <w:sz w:val="22"/>
                <w:szCs w:val="22"/>
                <w:lang w:val="de-DE"/>
              </w:rPr>
            </w:pPr>
            <w:r>
              <w:rPr>
                <w:b/>
                <w:sz w:val="22"/>
                <w:szCs w:val="22"/>
                <w:lang w:val="de-DE"/>
              </w:rPr>
              <w:t>Wichtige Informationen, die Ihnen bekannt sein müssen, bevor Sie die Injektion mit AMGEVITA durchführen</w:t>
            </w:r>
          </w:p>
        </w:tc>
      </w:tr>
      <w:tr w:rsidR="00FE291A" w:rsidRPr="00723069" w14:paraId="68EC0AB2" w14:textId="77777777">
        <w:trPr>
          <w:trHeight w:val="57"/>
        </w:trPr>
        <w:tc>
          <w:tcPr>
            <w:tcW w:w="5000" w:type="pct"/>
            <w:gridSpan w:val="2"/>
            <w:tcBorders>
              <w:top w:val="single" w:sz="4" w:space="0" w:color="auto"/>
              <w:left w:val="single" w:sz="4" w:space="0" w:color="auto"/>
              <w:bottom w:val="nil"/>
              <w:right w:val="single" w:sz="4" w:space="0" w:color="auto"/>
            </w:tcBorders>
            <w:tcMar>
              <w:top w:w="57" w:type="dxa"/>
              <w:left w:w="57" w:type="dxa"/>
              <w:bottom w:w="57" w:type="dxa"/>
              <w:right w:w="57" w:type="dxa"/>
            </w:tcMar>
          </w:tcPr>
          <w:p w14:paraId="3A69A438" w14:textId="77777777" w:rsidR="00FE291A" w:rsidRDefault="00C8738F">
            <w:pPr>
              <w:keepLines/>
              <w:ind w:left="567" w:hanging="567"/>
              <w:rPr>
                <w:b/>
                <w:bCs/>
                <w:sz w:val="22"/>
                <w:szCs w:val="22"/>
                <w:lang w:val="de-DE"/>
              </w:rPr>
            </w:pPr>
            <w:r>
              <w:rPr>
                <w:b/>
                <w:sz w:val="22"/>
                <w:szCs w:val="22"/>
                <w:lang w:val="de-DE"/>
              </w:rPr>
              <w:t>Dosierung:</w:t>
            </w:r>
          </w:p>
          <w:p w14:paraId="01CDCF1D" w14:textId="77777777" w:rsidR="00FE291A" w:rsidRDefault="00C8738F">
            <w:pPr>
              <w:pStyle w:val="ListParagraph"/>
              <w:keepLines/>
              <w:widowControl/>
              <w:numPr>
                <w:ilvl w:val="0"/>
                <w:numId w:val="64"/>
              </w:numPr>
              <w:suppressAutoHyphens/>
              <w:ind w:left="567" w:hanging="567"/>
              <w:contextualSpacing/>
              <w:textAlignment w:val="center"/>
              <w:rPr>
                <w:color w:val="000000"/>
                <w:sz w:val="22"/>
                <w:szCs w:val="22"/>
                <w:lang w:val="de-DE"/>
              </w:rPr>
            </w:pPr>
            <w:r>
              <w:rPr>
                <w:color w:val="000000"/>
                <w:sz w:val="22"/>
                <w:szCs w:val="22"/>
                <w:lang w:val="de-DE"/>
              </w:rPr>
              <w:t xml:space="preserve">AMGEVITA ist in drei verschiedenen Dosierungen erhältlich: 20 mg/0,2 ml, 40 mg/0,4 ml, 80 mg/0,8 ml. Überprüfen Sie Ihr Rezept, um sicherzustellen, dass Sie die richtige Dosis erhalten haben. </w:t>
            </w:r>
          </w:p>
          <w:p w14:paraId="4F8F4C0C" w14:textId="77777777" w:rsidR="00FE291A" w:rsidRDefault="00C8738F">
            <w:pPr>
              <w:pStyle w:val="ListParagraph"/>
              <w:keepLines/>
              <w:widowControl/>
              <w:numPr>
                <w:ilvl w:val="0"/>
                <w:numId w:val="64"/>
              </w:numPr>
              <w:suppressAutoHyphens/>
              <w:ind w:left="567" w:hanging="567"/>
              <w:contextualSpacing/>
              <w:textAlignment w:val="center"/>
              <w:rPr>
                <w:sz w:val="22"/>
                <w:szCs w:val="22"/>
                <w:lang w:val="de-DE"/>
              </w:rPr>
            </w:pPr>
            <w:r>
              <w:rPr>
                <w:color w:val="000000"/>
                <w:sz w:val="22"/>
                <w:szCs w:val="22"/>
                <w:lang w:val="de-DE"/>
              </w:rPr>
              <w:t>Die Fertigspritzen unterscheiden sich für die einzelnen Dosierungen in Farbe und Aussehen. Die Menge des Arzneimittels in der Fertigspritze ist ebenfalls für jede Dosis anders</w:t>
            </w:r>
            <w:r>
              <w:rPr>
                <w:sz w:val="22"/>
                <w:szCs w:val="22"/>
                <w:lang w:val="de-DE"/>
              </w:rPr>
              <w:t>.</w:t>
            </w:r>
          </w:p>
          <w:p w14:paraId="47655143" w14:textId="77777777" w:rsidR="00FE291A" w:rsidRDefault="00C8738F">
            <w:pPr>
              <w:pStyle w:val="ListParagraph"/>
              <w:keepLines/>
              <w:widowControl/>
              <w:numPr>
                <w:ilvl w:val="0"/>
                <w:numId w:val="64"/>
              </w:numPr>
              <w:suppressAutoHyphens/>
              <w:ind w:left="567" w:hanging="567"/>
              <w:contextualSpacing/>
              <w:textAlignment w:val="center"/>
              <w:rPr>
                <w:sz w:val="22"/>
                <w:szCs w:val="22"/>
                <w:lang w:val="de-DE"/>
              </w:rPr>
            </w:pPr>
            <w:r>
              <w:rPr>
                <w:sz w:val="22"/>
                <w:szCs w:val="22"/>
                <w:lang w:val="de-DE"/>
              </w:rPr>
              <w:t xml:space="preserve">Es ist zum Beispiel richtig, dass die 20 mg/0,2 ml-Dosis eine geringe Arzneimittelmenge enthält, während die 80 mg/0,8 ml-Dosis eine große Arzneimittelmenge enthält. Überprüfen Sie in den Abbildungen unten, wie Ihre Dosis in der </w:t>
            </w:r>
            <w:r>
              <w:rPr>
                <w:color w:val="000000"/>
                <w:sz w:val="22"/>
                <w:szCs w:val="22"/>
                <w:lang w:val="de-DE"/>
              </w:rPr>
              <w:t>Fertigspritze</w:t>
            </w:r>
            <w:r>
              <w:rPr>
                <w:sz w:val="22"/>
                <w:szCs w:val="22"/>
                <w:lang w:val="de-DE"/>
              </w:rPr>
              <w:t xml:space="preserve"> aussieht. </w:t>
            </w:r>
          </w:p>
          <w:p w14:paraId="14EB4D36" w14:textId="77777777" w:rsidR="00FE291A" w:rsidRDefault="00FE291A">
            <w:pPr>
              <w:keepLines/>
              <w:rPr>
                <w:b/>
                <w:bCs/>
                <w:sz w:val="22"/>
                <w:szCs w:val="22"/>
                <w:lang w:val="de-DE"/>
              </w:rPr>
            </w:pPr>
          </w:p>
          <w:p w14:paraId="784F26C0" w14:textId="75B0092F" w:rsidR="00FE291A" w:rsidRDefault="009C5B62">
            <w:pPr>
              <w:keepLines/>
              <w:rPr>
                <w:b/>
                <w:bCs/>
                <w:sz w:val="22"/>
                <w:szCs w:val="22"/>
                <w:lang w:val="nb-NO"/>
              </w:rPr>
            </w:pPr>
            <w:ins w:id="149" w:author="Author">
              <w:r>
                <w:rPr>
                  <w:b/>
                  <w:noProof/>
                  <w:lang w:val="nl-NL"/>
                </w:rPr>
                <w:drawing>
                  <wp:inline distT="0" distB="0" distL="0" distR="0" wp14:anchorId="0B827974" wp14:editId="2B9B08DE">
                    <wp:extent cx="5200650" cy="2457450"/>
                    <wp:effectExtent l="0" t="0" r="0" b="0"/>
                    <wp:docPr id="49" name="Bild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00650" cy="2457450"/>
                            </a:xfrm>
                            <a:prstGeom prst="rect">
                              <a:avLst/>
                            </a:prstGeom>
                            <a:noFill/>
                            <a:ln>
                              <a:noFill/>
                            </a:ln>
                          </pic:spPr>
                        </pic:pic>
                      </a:graphicData>
                    </a:graphic>
                  </wp:inline>
                </w:drawing>
              </w:r>
            </w:ins>
          </w:p>
          <w:p w14:paraId="0F8E80B3" w14:textId="77777777" w:rsidR="00FE291A" w:rsidRDefault="00C8738F">
            <w:pPr>
              <w:keepLines/>
              <w:rPr>
                <w:b/>
                <w:bCs/>
                <w:sz w:val="22"/>
                <w:szCs w:val="22"/>
                <w:lang w:val="nb-NO"/>
              </w:rPr>
            </w:pPr>
            <w:r>
              <w:rPr>
                <w:b/>
                <w:sz w:val="22"/>
                <w:szCs w:val="22"/>
                <w:lang w:val="nb-NO"/>
              </w:rPr>
              <w:t xml:space="preserve">     20 mg/0,2 ml                </w:t>
            </w:r>
            <w:ins w:id="150" w:author="Author">
              <w:r>
                <w:rPr>
                  <w:b/>
                  <w:bCs/>
                  <w:szCs w:val="22"/>
                  <w:lang w:val="nl-NL"/>
                </w:rPr>
                <w:t xml:space="preserve">                   </w:t>
              </w:r>
            </w:ins>
            <w:r>
              <w:rPr>
                <w:b/>
                <w:sz w:val="22"/>
                <w:szCs w:val="22"/>
                <w:lang w:val="nb-NO"/>
              </w:rPr>
              <w:t xml:space="preserve">40 mg/0,4 ml                    </w:t>
            </w:r>
            <w:ins w:id="151" w:author="Author">
              <w:r>
                <w:rPr>
                  <w:b/>
                  <w:bCs/>
                  <w:szCs w:val="22"/>
                  <w:lang w:val="nl-NL"/>
                </w:rPr>
                <w:t xml:space="preserve">              </w:t>
              </w:r>
            </w:ins>
            <w:r>
              <w:rPr>
                <w:b/>
                <w:sz w:val="22"/>
                <w:szCs w:val="22"/>
                <w:lang w:val="nb-NO"/>
              </w:rPr>
              <w:t>80 mg/0,8 ml</w:t>
            </w:r>
          </w:p>
        </w:tc>
      </w:tr>
      <w:tr w:rsidR="00FE291A" w:rsidRPr="00723069" w14:paraId="76990F08" w14:textId="77777777">
        <w:trPr>
          <w:trHeight w:val="57"/>
        </w:trPr>
        <w:tc>
          <w:tcPr>
            <w:tcW w:w="5000" w:type="pct"/>
            <w:gridSpan w:val="2"/>
            <w:tcBorders>
              <w:top w:val="nil"/>
              <w:left w:val="single" w:sz="4" w:space="0" w:color="auto"/>
              <w:bottom w:val="nil"/>
              <w:right w:val="single" w:sz="4" w:space="0" w:color="auto"/>
            </w:tcBorders>
            <w:tcMar>
              <w:top w:w="57" w:type="dxa"/>
              <w:left w:w="57" w:type="dxa"/>
              <w:bottom w:w="57" w:type="dxa"/>
              <w:right w:w="57" w:type="dxa"/>
            </w:tcMar>
          </w:tcPr>
          <w:p w14:paraId="42634D4B" w14:textId="77777777" w:rsidR="00FE291A" w:rsidRDefault="00C8738F">
            <w:pPr>
              <w:keepNext/>
              <w:keepLines/>
              <w:ind w:left="567" w:hanging="567"/>
              <w:rPr>
                <w:b/>
                <w:sz w:val="22"/>
                <w:szCs w:val="22"/>
                <w:lang w:val="de-DE"/>
              </w:rPr>
            </w:pPr>
            <w:del w:id="152" w:author="Author">
              <w:r>
                <w:rPr>
                  <w:b/>
                  <w:sz w:val="22"/>
                  <w:szCs w:val="22"/>
                  <w:lang w:val="de-DE"/>
                </w:rPr>
                <w:delText>Anwendung Ihrer AMGEVITA-Fertigspritze:</w:delText>
              </w:r>
            </w:del>
          </w:p>
        </w:tc>
      </w:tr>
      <w:tr w:rsidR="00FE291A" w:rsidRPr="002E6CD3" w14:paraId="57B15931" w14:textId="77777777">
        <w:trPr>
          <w:trHeight w:val="57"/>
        </w:trPr>
        <w:tc>
          <w:tcPr>
            <w:tcW w:w="317" w:type="pct"/>
            <w:tcBorders>
              <w:top w:val="nil"/>
              <w:left w:val="single" w:sz="4" w:space="0" w:color="auto"/>
              <w:bottom w:val="nil"/>
              <w:right w:val="nil"/>
            </w:tcBorders>
          </w:tcPr>
          <w:p w14:paraId="68E2AF79"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83" w:type="pct"/>
            <w:tcBorders>
              <w:top w:val="nil"/>
              <w:left w:val="nil"/>
              <w:bottom w:val="nil"/>
              <w:right w:val="single" w:sz="4" w:space="0" w:color="auto"/>
            </w:tcBorders>
            <w:tcMar>
              <w:top w:w="57" w:type="dxa"/>
              <w:left w:w="0" w:type="dxa"/>
              <w:bottom w:w="57" w:type="dxa"/>
              <w:right w:w="57" w:type="dxa"/>
            </w:tcMar>
          </w:tcPr>
          <w:p w14:paraId="5B72A1AD" w14:textId="77777777" w:rsidR="00FE291A" w:rsidRDefault="00C8738F">
            <w:pPr>
              <w:rPr>
                <w:b/>
                <w:bCs/>
                <w:sz w:val="22"/>
                <w:szCs w:val="22"/>
                <w:lang w:val="de-DE"/>
              </w:rPr>
            </w:pPr>
            <w:r>
              <w:rPr>
                <w:sz w:val="22"/>
                <w:szCs w:val="22"/>
                <w:lang w:val="de-DE"/>
              </w:rPr>
              <w:t>Es ist wichtig, dass Sie nicht versuchen, sich selbst die Injektion zu geben, bevor Sie diese Gebrauchsanleitung vollständig gelesen und verstanden haben und von Ihrem Arzt oder dem medizinischen Fachpersonal geschult wurden.</w:t>
            </w:r>
          </w:p>
        </w:tc>
      </w:tr>
      <w:tr w:rsidR="00FE291A" w:rsidRPr="002E6CD3" w14:paraId="4622F83B" w14:textId="77777777">
        <w:trPr>
          <w:trHeight w:val="57"/>
        </w:trPr>
        <w:tc>
          <w:tcPr>
            <w:tcW w:w="317" w:type="pct"/>
            <w:tcBorders>
              <w:top w:val="nil"/>
              <w:left w:val="single" w:sz="4" w:space="0" w:color="auto"/>
              <w:bottom w:val="nil"/>
              <w:right w:val="nil"/>
            </w:tcBorders>
          </w:tcPr>
          <w:p w14:paraId="49B7837E"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83" w:type="pct"/>
            <w:tcBorders>
              <w:top w:val="nil"/>
              <w:left w:val="nil"/>
              <w:bottom w:val="nil"/>
              <w:right w:val="single" w:sz="4" w:space="0" w:color="auto"/>
            </w:tcBorders>
            <w:tcMar>
              <w:top w:w="57" w:type="dxa"/>
              <w:left w:w="0" w:type="dxa"/>
              <w:bottom w:w="57" w:type="dxa"/>
              <w:right w:w="57" w:type="dxa"/>
            </w:tcMar>
          </w:tcPr>
          <w:p w14:paraId="203C58AF" w14:textId="77777777" w:rsidR="00FE291A" w:rsidRDefault="00C8738F">
            <w:pPr>
              <w:rPr>
                <w:b/>
                <w:bCs/>
                <w:sz w:val="22"/>
                <w:szCs w:val="22"/>
                <w:lang w:val="de-DE"/>
              </w:rPr>
            </w:pPr>
            <w:r>
              <w:rPr>
                <w:sz w:val="22"/>
                <w:szCs w:val="22"/>
                <w:lang w:val="de-DE"/>
              </w:rPr>
              <w:t xml:space="preserve">Verwenden Sie die </w:t>
            </w:r>
            <w:r>
              <w:rPr>
                <w:color w:val="000000"/>
                <w:sz w:val="22"/>
                <w:szCs w:val="22"/>
                <w:lang w:val="de-DE"/>
              </w:rPr>
              <w:t>Fertigspritze</w:t>
            </w:r>
            <w:r>
              <w:rPr>
                <w:sz w:val="22"/>
                <w:szCs w:val="22"/>
                <w:lang w:val="de-DE"/>
              </w:rPr>
              <w:t xml:space="preserve"> </w:t>
            </w:r>
            <w:r>
              <w:rPr>
                <w:b/>
                <w:sz w:val="22"/>
                <w:szCs w:val="22"/>
                <w:lang w:val="de-DE"/>
              </w:rPr>
              <w:t>nicht</w:t>
            </w:r>
            <w:r>
              <w:rPr>
                <w:sz w:val="22"/>
                <w:szCs w:val="22"/>
                <w:lang w:val="de-DE"/>
              </w:rPr>
              <w:t>, wenn die Verpackung beschädigt oder die Versiegelung aufgebrochen ist.</w:t>
            </w:r>
          </w:p>
        </w:tc>
      </w:tr>
      <w:tr w:rsidR="00FE291A" w:rsidRPr="002E6CD3" w14:paraId="29D510C4" w14:textId="77777777">
        <w:trPr>
          <w:trHeight w:val="57"/>
        </w:trPr>
        <w:tc>
          <w:tcPr>
            <w:tcW w:w="317" w:type="pct"/>
            <w:tcBorders>
              <w:top w:val="nil"/>
              <w:left w:val="single" w:sz="4" w:space="0" w:color="auto"/>
              <w:bottom w:val="nil"/>
              <w:right w:val="nil"/>
            </w:tcBorders>
          </w:tcPr>
          <w:p w14:paraId="4699D449" w14:textId="77777777" w:rsidR="00FE291A" w:rsidRDefault="00FE291A">
            <w:pPr>
              <w:pStyle w:val="ListParagraph"/>
              <w:widowControl/>
              <w:numPr>
                <w:ilvl w:val="0"/>
                <w:numId w:val="66"/>
              </w:numPr>
              <w:tabs>
                <w:tab w:val="left" w:pos="474"/>
                <w:tab w:val="left" w:pos="529"/>
              </w:tabs>
              <w:autoSpaceDE/>
              <w:autoSpaceDN/>
              <w:adjustRightInd/>
              <w:ind w:left="567" w:hanging="567"/>
              <w:contextualSpacing/>
              <w:rPr>
                <w:sz w:val="22"/>
                <w:szCs w:val="22"/>
                <w:lang w:val="de-DE"/>
              </w:rPr>
            </w:pPr>
          </w:p>
        </w:tc>
        <w:tc>
          <w:tcPr>
            <w:tcW w:w="4683" w:type="pct"/>
            <w:tcBorders>
              <w:top w:val="nil"/>
              <w:left w:val="nil"/>
              <w:bottom w:val="nil"/>
              <w:right w:val="single" w:sz="4" w:space="0" w:color="auto"/>
            </w:tcBorders>
            <w:tcMar>
              <w:top w:w="57" w:type="dxa"/>
              <w:left w:w="0" w:type="dxa"/>
              <w:bottom w:w="57" w:type="dxa"/>
              <w:right w:w="57" w:type="dxa"/>
            </w:tcMar>
          </w:tcPr>
          <w:p w14:paraId="1671E118" w14:textId="77777777" w:rsidR="00FE291A" w:rsidRDefault="00C8738F">
            <w:pPr>
              <w:rPr>
                <w:b/>
                <w:bCs/>
                <w:sz w:val="22"/>
                <w:szCs w:val="22"/>
                <w:lang w:val="de-DE"/>
              </w:rPr>
            </w:pPr>
            <w:r>
              <w:rPr>
                <w:sz w:val="22"/>
                <w:szCs w:val="22"/>
                <w:lang w:val="de-DE"/>
              </w:rPr>
              <w:t xml:space="preserve">Verwenden Sie die </w:t>
            </w:r>
            <w:r>
              <w:rPr>
                <w:color w:val="000000"/>
                <w:sz w:val="22"/>
                <w:szCs w:val="22"/>
                <w:lang w:val="de-DE"/>
              </w:rPr>
              <w:t>Fertigspritze</w:t>
            </w:r>
            <w:r>
              <w:rPr>
                <w:sz w:val="22"/>
                <w:szCs w:val="22"/>
                <w:lang w:val="de-DE"/>
              </w:rPr>
              <w:t xml:space="preserve"> </w:t>
            </w:r>
            <w:r>
              <w:rPr>
                <w:b/>
                <w:sz w:val="22"/>
                <w:szCs w:val="22"/>
                <w:lang w:val="de-DE"/>
              </w:rPr>
              <w:t>nicht</w:t>
            </w:r>
            <w:r>
              <w:rPr>
                <w:sz w:val="22"/>
                <w:szCs w:val="22"/>
                <w:lang w:val="de-DE"/>
              </w:rPr>
              <w:t xml:space="preserve"> nach dem auf dem Etikett angegebenen Verfalldatum.</w:t>
            </w:r>
          </w:p>
        </w:tc>
      </w:tr>
      <w:tr w:rsidR="00FE291A" w14:paraId="4FD71E35" w14:textId="77777777">
        <w:trPr>
          <w:trHeight w:val="57"/>
        </w:trPr>
        <w:tc>
          <w:tcPr>
            <w:tcW w:w="317" w:type="pct"/>
            <w:tcBorders>
              <w:top w:val="nil"/>
              <w:left w:val="single" w:sz="4" w:space="0" w:color="auto"/>
              <w:bottom w:val="nil"/>
              <w:right w:val="nil"/>
            </w:tcBorders>
          </w:tcPr>
          <w:p w14:paraId="6DF0E7C6" w14:textId="77777777" w:rsidR="00FE291A" w:rsidRDefault="00FE291A">
            <w:pPr>
              <w:pStyle w:val="ListParagraph"/>
              <w:widowControl/>
              <w:numPr>
                <w:ilvl w:val="0"/>
                <w:numId w:val="66"/>
              </w:numPr>
              <w:tabs>
                <w:tab w:val="left" w:pos="567"/>
              </w:tabs>
              <w:autoSpaceDE/>
              <w:autoSpaceDN/>
              <w:adjustRightInd/>
              <w:ind w:left="567" w:hanging="567"/>
              <w:contextualSpacing/>
              <w:rPr>
                <w:sz w:val="22"/>
                <w:szCs w:val="22"/>
                <w:lang w:val="de-DE"/>
              </w:rPr>
            </w:pPr>
          </w:p>
        </w:tc>
        <w:tc>
          <w:tcPr>
            <w:tcW w:w="4683" w:type="pct"/>
            <w:tcBorders>
              <w:top w:val="nil"/>
              <w:left w:val="nil"/>
              <w:bottom w:val="nil"/>
              <w:right w:val="single" w:sz="4" w:space="0" w:color="auto"/>
            </w:tcBorders>
            <w:tcMar>
              <w:top w:w="57" w:type="dxa"/>
              <w:left w:w="0" w:type="dxa"/>
              <w:bottom w:w="57" w:type="dxa"/>
              <w:right w:w="57" w:type="dxa"/>
            </w:tcMar>
          </w:tcPr>
          <w:p w14:paraId="4DF87617" w14:textId="77777777" w:rsidR="00FE291A" w:rsidRDefault="00C8738F">
            <w:pPr>
              <w:rPr>
                <w:b/>
                <w:bCs/>
                <w:sz w:val="22"/>
                <w:szCs w:val="22"/>
                <w:lang w:val="de-DE"/>
              </w:rPr>
            </w:pPr>
            <w:r>
              <w:rPr>
                <w:sz w:val="22"/>
                <w:szCs w:val="22"/>
                <w:lang w:val="de-DE"/>
              </w:rPr>
              <w:t xml:space="preserve">Die Fertigspritze </w:t>
            </w:r>
            <w:r>
              <w:rPr>
                <w:b/>
                <w:sz w:val="22"/>
                <w:szCs w:val="22"/>
                <w:lang w:val="de-DE"/>
              </w:rPr>
              <w:t>nicht</w:t>
            </w:r>
            <w:r>
              <w:rPr>
                <w:sz w:val="22"/>
                <w:szCs w:val="22"/>
                <w:lang w:val="de-DE"/>
              </w:rPr>
              <w:t xml:space="preserve"> schütteln.</w:t>
            </w:r>
          </w:p>
        </w:tc>
      </w:tr>
      <w:tr w:rsidR="00FE291A" w:rsidRPr="002E6CD3" w14:paraId="0DDBFE23" w14:textId="77777777">
        <w:trPr>
          <w:trHeight w:val="57"/>
        </w:trPr>
        <w:tc>
          <w:tcPr>
            <w:tcW w:w="317" w:type="pct"/>
            <w:tcBorders>
              <w:top w:val="nil"/>
              <w:left w:val="single" w:sz="4" w:space="0" w:color="auto"/>
              <w:bottom w:val="nil"/>
              <w:right w:val="nil"/>
            </w:tcBorders>
          </w:tcPr>
          <w:p w14:paraId="0AAEA688" w14:textId="77777777" w:rsidR="00FE291A" w:rsidRDefault="00FE291A">
            <w:pPr>
              <w:pStyle w:val="ListParagraph"/>
              <w:widowControl/>
              <w:numPr>
                <w:ilvl w:val="0"/>
                <w:numId w:val="67"/>
              </w:numPr>
              <w:tabs>
                <w:tab w:val="left" w:pos="567"/>
              </w:tabs>
              <w:autoSpaceDE/>
              <w:autoSpaceDN/>
              <w:adjustRightInd/>
              <w:ind w:left="567" w:hanging="567"/>
              <w:contextualSpacing/>
              <w:rPr>
                <w:sz w:val="22"/>
                <w:szCs w:val="22"/>
                <w:lang w:val="de-DE"/>
              </w:rPr>
            </w:pPr>
          </w:p>
        </w:tc>
        <w:tc>
          <w:tcPr>
            <w:tcW w:w="4683" w:type="pct"/>
            <w:tcBorders>
              <w:top w:val="nil"/>
              <w:left w:val="nil"/>
              <w:bottom w:val="nil"/>
              <w:right w:val="single" w:sz="4" w:space="0" w:color="auto"/>
            </w:tcBorders>
            <w:tcMar>
              <w:top w:w="57" w:type="dxa"/>
              <w:left w:w="0" w:type="dxa"/>
              <w:bottom w:w="57" w:type="dxa"/>
              <w:right w:w="57" w:type="dxa"/>
            </w:tcMar>
          </w:tcPr>
          <w:p w14:paraId="693769A0" w14:textId="77777777" w:rsidR="00FE291A" w:rsidRDefault="00C8738F">
            <w:pPr>
              <w:rPr>
                <w:sz w:val="22"/>
                <w:szCs w:val="22"/>
                <w:lang w:val="de-DE"/>
              </w:rPr>
            </w:pPr>
            <w:r>
              <w:rPr>
                <w:sz w:val="22"/>
                <w:szCs w:val="22"/>
                <w:lang w:val="de-DE"/>
              </w:rPr>
              <w:t xml:space="preserve">Entfernen Sie die Nadelschutzkappe </w:t>
            </w:r>
            <w:r>
              <w:rPr>
                <w:b/>
                <w:sz w:val="22"/>
                <w:szCs w:val="22"/>
                <w:lang w:val="de-DE"/>
              </w:rPr>
              <w:t>erst</w:t>
            </w:r>
            <w:r>
              <w:rPr>
                <w:sz w:val="22"/>
                <w:szCs w:val="22"/>
                <w:lang w:val="de-DE"/>
              </w:rPr>
              <w:t xml:space="preserve"> von der </w:t>
            </w:r>
            <w:r>
              <w:rPr>
                <w:color w:val="000000"/>
                <w:sz w:val="22"/>
                <w:szCs w:val="22"/>
                <w:lang w:val="de-DE"/>
              </w:rPr>
              <w:t>Fertigspritze,</w:t>
            </w:r>
            <w:r>
              <w:rPr>
                <w:sz w:val="22"/>
                <w:szCs w:val="22"/>
                <w:lang w:val="de-DE"/>
              </w:rPr>
              <w:t xml:space="preserve"> wenn Sie für die Injektion bereit sind.</w:t>
            </w:r>
          </w:p>
        </w:tc>
      </w:tr>
      <w:tr w:rsidR="00FE291A" w:rsidRPr="002E6CD3" w14:paraId="2120AE6B" w14:textId="77777777">
        <w:trPr>
          <w:trHeight w:val="57"/>
        </w:trPr>
        <w:tc>
          <w:tcPr>
            <w:tcW w:w="317" w:type="pct"/>
            <w:tcBorders>
              <w:top w:val="nil"/>
              <w:left w:val="single" w:sz="4" w:space="0" w:color="auto"/>
              <w:bottom w:val="nil"/>
              <w:right w:val="nil"/>
            </w:tcBorders>
          </w:tcPr>
          <w:p w14:paraId="4BB1447A" w14:textId="77777777" w:rsidR="00FE291A" w:rsidRDefault="00FE291A">
            <w:pPr>
              <w:pStyle w:val="ListParagraph"/>
              <w:widowControl/>
              <w:numPr>
                <w:ilvl w:val="0"/>
                <w:numId w:val="67"/>
              </w:numPr>
              <w:tabs>
                <w:tab w:val="left" w:pos="567"/>
              </w:tabs>
              <w:autoSpaceDE/>
              <w:autoSpaceDN/>
              <w:adjustRightInd/>
              <w:ind w:left="567" w:hanging="567"/>
              <w:contextualSpacing/>
              <w:rPr>
                <w:sz w:val="22"/>
                <w:szCs w:val="22"/>
                <w:lang w:val="de-DE"/>
              </w:rPr>
            </w:pPr>
          </w:p>
        </w:tc>
        <w:tc>
          <w:tcPr>
            <w:tcW w:w="4683" w:type="pct"/>
            <w:tcBorders>
              <w:top w:val="nil"/>
              <w:left w:val="nil"/>
              <w:bottom w:val="nil"/>
              <w:right w:val="single" w:sz="4" w:space="0" w:color="auto"/>
            </w:tcBorders>
            <w:tcMar>
              <w:top w:w="57" w:type="dxa"/>
              <w:left w:w="0" w:type="dxa"/>
              <w:bottom w:w="57" w:type="dxa"/>
              <w:right w:w="57" w:type="dxa"/>
            </w:tcMar>
          </w:tcPr>
          <w:p w14:paraId="6A9CEC43" w14:textId="77777777" w:rsidR="00FE291A" w:rsidRDefault="00C8738F">
            <w:pPr>
              <w:rPr>
                <w:sz w:val="22"/>
                <w:szCs w:val="22"/>
                <w:lang w:val="de-DE"/>
              </w:rPr>
            </w:pPr>
            <w:r>
              <w:rPr>
                <w:sz w:val="22"/>
                <w:szCs w:val="22"/>
                <w:lang w:val="de-DE"/>
              </w:rPr>
              <w:t xml:space="preserve">Die </w:t>
            </w:r>
            <w:r>
              <w:rPr>
                <w:color w:val="000000"/>
                <w:sz w:val="22"/>
                <w:szCs w:val="22"/>
                <w:lang w:val="de-DE"/>
              </w:rPr>
              <w:t>Fertigspritze</w:t>
            </w:r>
            <w:r>
              <w:rPr>
                <w:sz w:val="22"/>
                <w:szCs w:val="22"/>
                <w:lang w:val="de-DE"/>
              </w:rPr>
              <w:t xml:space="preserve"> </w:t>
            </w:r>
            <w:r>
              <w:rPr>
                <w:b/>
                <w:sz w:val="22"/>
                <w:szCs w:val="22"/>
                <w:lang w:val="de-DE"/>
              </w:rPr>
              <w:t>nicht</w:t>
            </w:r>
            <w:r>
              <w:rPr>
                <w:sz w:val="22"/>
                <w:szCs w:val="22"/>
                <w:lang w:val="de-DE"/>
              </w:rPr>
              <w:t xml:space="preserve"> verwenden, wenn sie gefroren war.</w:t>
            </w:r>
          </w:p>
        </w:tc>
      </w:tr>
      <w:tr w:rsidR="00FE291A" w:rsidRPr="00723069" w14:paraId="1981D31A" w14:textId="77777777">
        <w:trPr>
          <w:trHeight w:val="57"/>
        </w:trPr>
        <w:tc>
          <w:tcPr>
            <w:tcW w:w="317" w:type="pct"/>
            <w:tcBorders>
              <w:top w:val="nil"/>
              <w:left w:val="single" w:sz="4" w:space="0" w:color="auto"/>
              <w:bottom w:val="nil"/>
              <w:right w:val="nil"/>
            </w:tcBorders>
          </w:tcPr>
          <w:p w14:paraId="7DCFFDCF" w14:textId="77777777" w:rsidR="00FE291A" w:rsidRDefault="00FE291A">
            <w:pPr>
              <w:pStyle w:val="ListParagraph"/>
              <w:widowControl/>
              <w:numPr>
                <w:ilvl w:val="0"/>
                <w:numId w:val="67"/>
              </w:numPr>
              <w:tabs>
                <w:tab w:val="left" w:pos="567"/>
              </w:tabs>
              <w:autoSpaceDE/>
              <w:autoSpaceDN/>
              <w:adjustRightInd/>
              <w:ind w:left="567" w:hanging="567"/>
              <w:contextualSpacing/>
              <w:rPr>
                <w:sz w:val="22"/>
                <w:szCs w:val="22"/>
                <w:lang w:val="de-DE"/>
              </w:rPr>
            </w:pPr>
          </w:p>
        </w:tc>
        <w:tc>
          <w:tcPr>
            <w:tcW w:w="4683" w:type="pct"/>
            <w:tcBorders>
              <w:top w:val="nil"/>
              <w:left w:val="nil"/>
              <w:bottom w:val="nil"/>
              <w:right w:val="single" w:sz="4" w:space="0" w:color="auto"/>
            </w:tcBorders>
            <w:tcMar>
              <w:top w:w="57" w:type="dxa"/>
              <w:left w:w="0" w:type="dxa"/>
              <w:bottom w:w="57" w:type="dxa"/>
              <w:right w:w="57" w:type="dxa"/>
            </w:tcMar>
          </w:tcPr>
          <w:p w14:paraId="2F48DE38" w14:textId="77777777" w:rsidR="00FE291A" w:rsidRDefault="00C8738F">
            <w:pPr>
              <w:rPr>
                <w:sz w:val="22"/>
                <w:szCs w:val="22"/>
                <w:lang w:val="de-DE"/>
              </w:rPr>
            </w:pPr>
            <w:r>
              <w:rPr>
                <w:color w:val="000000"/>
                <w:sz w:val="22"/>
                <w:szCs w:val="22"/>
                <w:lang w:val="de-DE"/>
              </w:rPr>
              <w:t xml:space="preserve">Die Fertigspritze </w:t>
            </w:r>
            <w:r>
              <w:rPr>
                <w:b/>
                <w:color w:val="000000"/>
                <w:sz w:val="22"/>
                <w:szCs w:val="22"/>
                <w:lang w:val="de-DE"/>
              </w:rPr>
              <w:t>nicht</w:t>
            </w:r>
            <w:r>
              <w:rPr>
                <w:color w:val="000000"/>
                <w:sz w:val="22"/>
                <w:szCs w:val="22"/>
                <w:lang w:val="de-DE"/>
              </w:rPr>
              <w:t xml:space="preserve"> verwenden, wenn sie auf eine harte Oberfläche gefallen ist. Teile der Fertigspritze könnten beschädigt sein, selbst wenn Sie keine Beschädigung erkennen können. Verwenden Sie eine neue Fertigspritze, und wenden Sie sich an Ihren Arzt oder an das medizinische Fachpersonal.</w:t>
            </w:r>
          </w:p>
        </w:tc>
      </w:tr>
      <w:tr w:rsidR="00FE291A" w:rsidRPr="00723069" w14:paraId="26C0FA4A" w14:textId="77777777">
        <w:trPr>
          <w:trHeight w:val="57"/>
          <w:del w:id="153" w:author="Author"/>
        </w:trPr>
        <w:tc>
          <w:tcPr>
            <w:tcW w:w="317" w:type="pct"/>
            <w:tcBorders>
              <w:top w:val="nil"/>
              <w:left w:val="single" w:sz="4" w:space="0" w:color="auto"/>
              <w:bottom w:val="nil"/>
              <w:right w:val="nil"/>
            </w:tcBorders>
          </w:tcPr>
          <w:p w14:paraId="248C4E3C" w14:textId="77777777" w:rsidR="00FE291A" w:rsidRPr="00F076DE" w:rsidRDefault="00FE291A">
            <w:pPr>
              <w:widowControl/>
              <w:tabs>
                <w:tab w:val="left" w:pos="567"/>
              </w:tabs>
              <w:autoSpaceDE/>
              <w:autoSpaceDN/>
              <w:adjustRightInd/>
              <w:ind w:left="360"/>
              <w:contextualSpacing/>
              <w:rPr>
                <w:del w:id="154" w:author="Author"/>
                <w:sz w:val="22"/>
                <w:szCs w:val="22"/>
                <w:lang w:val="de-DE"/>
                <w:rPrChange w:id="155" w:author="Author">
                  <w:rPr>
                    <w:del w:id="156" w:author="Author"/>
                    <w:lang w:val="de-DE"/>
                  </w:rPr>
                </w:rPrChange>
              </w:rPr>
              <w:pPrChange w:id="157" w:author="Author">
                <w:pPr>
                  <w:pStyle w:val="ListParagraph"/>
                  <w:widowControl/>
                  <w:numPr>
                    <w:numId w:val="67"/>
                  </w:numPr>
                  <w:tabs>
                    <w:tab w:val="left" w:pos="567"/>
                  </w:tabs>
                  <w:autoSpaceDE/>
                  <w:autoSpaceDN/>
                  <w:adjustRightInd/>
                  <w:ind w:left="567" w:hanging="567"/>
                  <w:contextualSpacing/>
                </w:pPr>
              </w:pPrChange>
            </w:pPr>
          </w:p>
        </w:tc>
        <w:tc>
          <w:tcPr>
            <w:tcW w:w="4683" w:type="pct"/>
            <w:tcBorders>
              <w:top w:val="nil"/>
              <w:left w:val="nil"/>
              <w:bottom w:val="nil"/>
              <w:right w:val="single" w:sz="4" w:space="0" w:color="auto"/>
            </w:tcBorders>
            <w:tcMar>
              <w:top w:w="57" w:type="dxa"/>
              <w:left w:w="0" w:type="dxa"/>
              <w:bottom w:w="57" w:type="dxa"/>
              <w:right w:w="57" w:type="dxa"/>
            </w:tcMar>
          </w:tcPr>
          <w:p w14:paraId="35A219B5" w14:textId="77777777" w:rsidR="00FE291A" w:rsidRDefault="00C8738F">
            <w:pPr>
              <w:pStyle w:val="ListParagraph"/>
              <w:suppressAutoHyphens/>
              <w:kinsoku w:val="0"/>
              <w:overflowPunct w:val="0"/>
              <w:jc w:val="both"/>
              <w:textAlignment w:val="center"/>
              <w:rPr>
                <w:del w:id="158" w:author="Author"/>
                <w:b/>
                <w:color w:val="000000"/>
                <w:sz w:val="22"/>
                <w:szCs w:val="22"/>
                <w:lang w:val="de-DE"/>
              </w:rPr>
            </w:pPr>
            <w:del w:id="159" w:author="Author">
              <w:r>
                <w:rPr>
                  <w:color w:val="000000"/>
                  <w:sz w:val="22"/>
                  <w:szCs w:val="22"/>
                  <w:lang w:val="de-DE"/>
                </w:rPr>
                <w:delText>Die Fertigspritze besteht nicht aus Naturkautschuklatex.</w:delText>
              </w:r>
            </w:del>
          </w:p>
        </w:tc>
      </w:tr>
      <w:tr w:rsidR="00FE291A" w14:paraId="14D85D9F" w14:textId="77777777">
        <w:trPr>
          <w:trHeight w:val="57"/>
        </w:trPr>
        <w:tc>
          <w:tcPr>
            <w:tcW w:w="5000" w:type="pct"/>
            <w:gridSpan w:val="2"/>
            <w:tcBorders>
              <w:top w:val="nil"/>
              <w:left w:val="single" w:sz="4" w:space="0" w:color="auto"/>
              <w:bottom w:val="single" w:sz="4" w:space="0" w:color="auto"/>
              <w:right w:val="single" w:sz="4" w:space="0" w:color="auto"/>
            </w:tcBorders>
          </w:tcPr>
          <w:p w14:paraId="544EB1F0" w14:textId="7E363748" w:rsidR="00FE291A" w:rsidRDefault="009C5B62">
            <w:r>
              <w:rPr>
                <w:noProof/>
              </w:rPr>
              <mc:AlternateContent>
                <mc:Choice Requires="wps">
                  <w:drawing>
                    <wp:inline distT="0" distB="0" distL="0" distR="0" wp14:anchorId="7395E089" wp14:editId="7DF013D8">
                      <wp:extent cx="5525770" cy="431800"/>
                      <wp:effectExtent l="9525" t="9525" r="17780" b="15875"/>
                      <wp:docPr id="33877825" name="Textfeld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770" cy="431800"/>
                              </a:xfrm>
                              <a:prstGeom prst="rect">
                                <a:avLst/>
                              </a:prstGeom>
                              <a:solidFill>
                                <a:srgbClr val="FFFFFF"/>
                              </a:solidFill>
                              <a:ln w="19050">
                                <a:solidFill>
                                  <a:srgbClr val="FF0000"/>
                                </a:solidFill>
                                <a:miter lim="800000"/>
                                <a:headEnd/>
                                <a:tailEnd/>
                              </a:ln>
                            </wps:spPr>
                            <wps:txbx>
                              <w:txbxContent>
                                <w:p w14:paraId="284AE66D" w14:textId="77777777" w:rsidR="00FE291A" w:rsidRDefault="00C8738F">
                                  <w:pPr>
                                    <w:rPr>
                                      <w:sz w:val="22"/>
                                      <w:lang w:val="de-DE"/>
                                    </w:rPr>
                                  </w:pPr>
                                  <w:r>
                                    <w:rPr>
                                      <w:b/>
                                      <w:sz w:val="22"/>
                                      <w:lang w:val="de-DE"/>
                                    </w:rPr>
                                    <w:t>Wichtig:</w:t>
                                  </w:r>
                                  <w:r>
                                    <w:rPr>
                                      <w:sz w:val="22"/>
                                      <w:lang w:val="de-DE"/>
                                    </w:rPr>
                                    <w:t xml:space="preserve"> Bewahren Sie die </w:t>
                                  </w:r>
                                  <w:r>
                                    <w:rPr>
                                      <w:color w:val="000000"/>
                                      <w:sz w:val="22"/>
                                      <w:lang w:val="de-DE"/>
                                    </w:rPr>
                                    <w:t>Fertigspritze</w:t>
                                  </w:r>
                                  <w:r>
                                    <w:rPr>
                                      <w:sz w:val="22"/>
                                      <w:lang w:val="de-DE"/>
                                    </w:rPr>
                                    <w:t xml:space="preserve"> und den durchstichsicheren Behälter für Kinder unzugänglich auf.</w:t>
                                  </w:r>
                                </w:p>
                              </w:txbxContent>
                            </wps:txbx>
                            <wps:bodyPr rot="0" vert="horz" wrap="square" lIns="91440" tIns="45720" rIns="91440" bIns="45720" anchor="t" anchorCtr="0" upright="1">
                              <a:spAutoFit/>
                            </wps:bodyPr>
                          </wps:wsp>
                        </a:graphicData>
                      </a:graphic>
                    </wp:inline>
                  </w:drawing>
                </mc:Choice>
                <mc:Fallback>
                  <w:pict>
                    <v:shape w14:anchorId="7395E089" id="Textfeld 110" o:spid="_x0000_s1028" type="#_x0000_t202" style="width:435.1pt;height: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" strokecolor="red" strokeweight="1.5pt">
                      <v:textbox style="mso-fit-shape-to-text:t">
                        <w:txbxContent>
                          <w:p w14:paraId="284AE66D" w14:textId="77777777" w:rsidR="00FE291A" w:rsidRDefault="00C8738F">
                            <w:pPr>
                              <w:rPr>
                                <w:sz w:val="22"/>
                                <w:lang w:val="de-DE"/>
                              </w:rPr>
                            </w:pPr>
                            <w:r>
                              <w:rPr>
                                <w:b/>
                                <w:sz w:val="22"/>
                                <w:lang w:val="de-DE"/>
                              </w:rPr>
                              <w:t>Wichtig:</w:t>
                            </w:r>
                            <w:r>
                              <w:rPr>
                                <w:sz w:val="22"/>
                                <w:lang w:val="de-DE"/>
                              </w:rPr>
                              <w:t xml:space="preserve"> Bewahren Sie die </w:t>
                            </w:r>
                            <w:r>
                              <w:rPr>
                                <w:color w:val="000000"/>
                                <w:sz w:val="22"/>
                                <w:lang w:val="de-DE"/>
                              </w:rPr>
                              <w:t>Fertigspritze</w:t>
                            </w:r>
                            <w:r>
                              <w:rPr>
                                <w:sz w:val="22"/>
                                <w:lang w:val="de-DE"/>
                              </w:rPr>
                              <w:t xml:space="preserve"> und den durchstichsicheren Behälter für Kinder unzugänglich auf.</w:t>
                            </w:r>
                          </w:p>
                        </w:txbxContent>
                      </v:textbox>
                      <w10:anchorlock/>
                    </v:shape>
                  </w:pict>
                </mc:Fallback>
              </mc:AlternateContent>
            </w:r>
          </w:p>
          <w:p w14:paraId="6A0D21D8" w14:textId="77777777" w:rsidR="00FE291A" w:rsidRDefault="00FE291A">
            <w:pPr>
              <w:rPr>
                <w:b/>
                <w:bCs/>
                <w:sz w:val="22"/>
                <w:szCs w:val="22"/>
                <w:lang w:val="de-DE"/>
              </w:rPr>
            </w:pPr>
          </w:p>
        </w:tc>
      </w:tr>
    </w:tbl>
    <w:p w14:paraId="4B8C63CB" w14:textId="77777777" w:rsidR="00FE291A" w:rsidRDefault="00FE291A">
      <w:pPr>
        <w:rPr>
          <w:sz w:val="22"/>
          <w:szCs w:val="22"/>
          <w:lang w:val="de-DE"/>
        </w:rPr>
      </w:pPr>
    </w:p>
    <w:tbl>
      <w:tblPr>
        <w:tblW w:w="482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625"/>
        <w:gridCol w:w="8122"/>
      </w:tblGrid>
      <w:tr w:rsidR="00FE291A" w14:paraId="49AF39B7" w14:textId="77777777">
        <w:trPr>
          <w:cantSplit/>
          <w:trHeight w:val="57"/>
        </w:trPr>
        <w:tc>
          <w:tcPr>
            <w:tcW w:w="357"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DD4413" w14:textId="77777777" w:rsidR="00FE291A" w:rsidRDefault="00C8738F">
            <w:pPr>
              <w:keepNext/>
              <w:ind w:left="567" w:hanging="567"/>
              <w:rPr>
                <w:sz w:val="22"/>
                <w:szCs w:val="22"/>
                <w:lang w:val="de-DE"/>
              </w:rPr>
            </w:pPr>
            <w:r>
              <w:rPr>
                <w:b/>
                <w:sz w:val="22"/>
                <w:szCs w:val="22"/>
                <w:lang w:val="de-DE"/>
              </w:rPr>
              <w:t>2</w:t>
            </w:r>
          </w:p>
        </w:tc>
        <w:tc>
          <w:tcPr>
            <w:tcW w:w="4643" w:type="pct"/>
            <w:tcBorders>
              <w:top w:val="single" w:sz="4" w:space="0" w:color="auto"/>
              <w:left w:val="single" w:sz="4" w:space="0" w:color="auto"/>
              <w:bottom w:val="single" w:sz="4" w:space="0" w:color="auto"/>
              <w:right w:val="single" w:sz="4" w:space="0" w:color="auto"/>
            </w:tcBorders>
          </w:tcPr>
          <w:p w14:paraId="3A898B3B" w14:textId="77777777" w:rsidR="00FE291A" w:rsidRDefault="00C8738F">
            <w:pPr>
              <w:keepNext/>
              <w:rPr>
                <w:sz w:val="22"/>
                <w:szCs w:val="22"/>
                <w:lang w:val="de-DE"/>
              </w:rPr>
            </w:pPr>
            <w:r>
              <w:rPr>
                <w:b/>
                <w:sz w:val="22"/>
                <w:szCs w:val="22"/>
                <w:lang w:val="de-DE"/>
              </w:rPr>
              <w:t>Vorbereitung der AMGEVITA-Injektion</w:t>
            </w:r>
          </w:p>
        </w:tc>
      </w:tr>
      <w:tr w:rsidR="00FE291A" w:rsidRPr="002E6CD3" w14:paraId="55915684" w14:textId="77777777">
        <w:trPr>
          <w:cantSplit/>
          <w:trHeight w:val="57"/>
        </w:trPr>
        <w:tc>
          <w:tcPr>
            <w:tcW w:w="357"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45EECE" w14:textId="77777777" w:rsidR="00FE291A" w:rsidRDefault="00C8738F">
            <w:pPr>
              <w:keepNext/>
              <w:rPr>
                <w:b/>
                <w:bCs/>
                <w:sz w:val="22"/>
                <w:szCs w:val="22"/>
                <w:lang w:val="de-DE"/>
              </w:rPr>
            </w:pPr>
            <w:r>
              <w:rPr>
                <w:b/>
                <w:sz w:val="22"/>
                <w:szCs w:val="22"/>
                <w:lang w:val="de-DE"/>
              </w:rPr>
              <w:t>2a</w:t>
            </w:r>
          </w:p>
        </w:tc>
        <w:tc>
          <w:tcPr>
            <w:tcW w:w="464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FE7400F" w14:textId="77777777" w:rsidR="00FE291A" w:rsidRDefault="00C8738F">
            <w:pPr>
              <w:pStyle w:val="ListParagraph"/>
              <w:keepNext/>
              <w:rPr>
                <w:sz w:val="22"/>
                <w:szCs w:val="22"/>
                <w:lang w:val="de-DE"/>
              </w:rPr>
            </w:pPr>
            <w:del w:id="160" w:author="Author">
              <w:r>
                <w:rPr>
                  <w:b/>
                  <w:sz w:val="22"/>
                  <w:szCs w:val="22"/>
                  <w:lang w:val="de-DE"/>
                </w:rPr>
                <w:delText xml:space="preserve">Greifen </w:delText>
              </w:r>
            </w:del>
            <w:ins w:id="161" w:author="Author">
              <w:r>
                <w:rPr>
                  <w:b/>
                  <w:sz w:val="22"/>
                  <w:szCs w:val="22"/>
                  <w:lang w:val="de-DE"/>
                </w:rPr>
                <w:t xml:space="preserve">Halten </w:t>
              </w:r>
            </w:ins>
            <w:r>
              <w:rPr>
                <w:b/>
                <w:sz w:val="22"/>
                <w:szCs w:val="22"/>
                <w:lang w:val="de-DE"/>
              </w:rPr>
              <w:t>Sie die Fertigspritze am Spritzenkörper und entnehmen Sie sie aus der Verpackung.</w:t>
            </w:r>
          </w:p>
        </w:tc>
      </w:tr>
      <w:tr w:rsidR="00FE291A" w14:paraId="73E7FC05" w14:textId="77777777">
        <w:trPr>
          <w:cantSplit/>
          <w:trHeight w:val="57"/>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B0E257" w14:textId="6FC6AE97" w:rsidR="00FE291A" w:rsidRDefault="009C5B62">
            <w:pPr>
              <w:pStyle w:val="ListParagraph"/>
              <w:keepNext/>
              <w:ind w:left="567" w:hanging="567"/>
              <w:jc w:val="center"/>
              <w:rPr>
                <w:b/>
                <w:bCs/>
                <w:sz w:val="22"/>
                <w:szCs w:val="22"/>
                <w:lang w:val="de-DE"/>
              </w:rPr>
            </w:pPr>
            <w:r>
              <w:rPr>
                <w:noProof/>
              </w:rPr>
              <w:drawing>
                <wp:inline distT="0" distB="0" distL="0" distR="0" wp14:anchorId="517BC08A" wp14:editId="5DCF2B8D">
                  <wp:extent cx="3200400" cy="1674495"/>
                  <wp:effectExtent l="0" t="0" r="0" b="0"/>
                  <wp:docPr id="51" name="Bild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00400" cy="1674495"/>
                          </a:xfrm>
                          <a:prstGeom prst="rect">
                            <a:avLst/>
                          </a:prstGeom>
                          <a:noFill/>
                          <a:ln>
                            <a:noFill/>
                          </a:ln>
                        </pic:spPr>
                      </pic:pic>
                    </a:graphicData>
                  </a:graphic>
                </wp:inline>
              </w:drawing>
            </w:r>
          </w:p>
        </w:tc>
      </w:tr>
      <w:tr w:rsidR="00FE291A" w:rsidRPr="002E6CD3" w14:paraId="56052AD8" w14:textId="77777777">
        <w:trPr>
          <w:cantSplit/>
          <w:trHeight w:val="57"/>
        </w:trPr>
        <w:tc>
          <w:tcPr>
            <w:tcW w:w="357" w:type="pct"/>
            <w:tcBorders>
              <w:top w:val="nil"/>
              <w:left w:val="single" w:sz="4" w:space="0" w:color="auto"/>
              <w:bottom w:val="nil"/>
              <w:right w:val="nil"/>
            </w:tcBorders>
            <w:tcMar>
              <w:top w:w="28" w:type="dxa"/>
              <w:left w:w="57" w:type="dxa"/>
              <w:bottom w:w="28" w:type="dxa"/>
              <w:right w:w="57" w:type="dxa"/>
            </w:tcMar>
          </w:tcPr>
          <w:p w14:paraId="25BC328C"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3" w:type="pct"/>
            <w:tcBorders>
              <w:top w:val="nil"/>
              <w:left w:val="nil"/>
              <w:bottom w:val="nil"/>
              <w:right w:val="single" w:sz="4" w:space="0" w:color="auto"/>
            </w:tcBorders>
            <w:tcMar>
              <w:top w:w="0" w:type="dxa"/>
              <w:left w:w="0" w:type="dxa"/>
              <w:bottom w:w="0" w:type="dxa"/>
              <w:right w:w="108" w:type="dxa"/>
            </w:tcMar>
          </w:tcPr>
          <w:p w14:paraId="3FEBD989" w14:textId="77777777" w:rsidR="00FE291A" w:rsidRDefault="00C8738F">
            <w:pPr>
              <w:rPr>
                <w:b/>
                <w:bCs/>
                <w:sz w:val="22"/>
                <w:szCs w:val="22"/>
                <w:lang w:val="de-DE"/>
              </w:rPr>
            </w:pPr>
            <w:r>
              <w:rPr>
                <w:sz w:val="22"/>
                <w:szCs w:val="22"/>
                <w:lang w:val="de-DE"/>
              </w:rPr>
              <w:t xml:space="preserve">Greifen Sie </w:t>
            </w:r>
            <w:r>
              <w:rPr>
                <w:b/>
                <w:sz w:val="22"/>
                <w:szCs w:val="22"/>
                <w:lang w:val="de-DE"/>
              </w:rPr>
              <w:t>nicht</w:t>
            </w:r>
            <w:r>
              <w:rPr>
                <w:sz w:val="22"/>
                <w:szCs w:val="22"/>
                <w:lang w:val="de-DE"/>
              </w:rPr>
              <w:t xml:space="preserve"> die Fingergriffe, die Kolbenstange oder die Nadelschutzkappe.</w:t>
            </w:r>
          </w:p>
        </w:tc>
      </w:tr>
      <w:tr w:rsidR="00FE291A" w:rsidRPr="002E6CD3" w14:paraId="63B7FCD0" w14:textId="77777777">
        <w:trPr>
          <w:cantSplit/>
          <w:trHeight w:val="57"/>
        </w:trPr>
        <w:tc>
          <w:tcPr>
            <w:tcW w:w="357" w:type="pct"/>
            <w:tcBorders>
              <w:top w:val="nil"/>
              <w:left w:val="single" w:sz="4" w:space="0" w:color="auto"/>
              <w:bottom w:val="nil"/>
              <w:right w:val="nil"/>
            </w:tcBorders>
            <w:tcMar>
              <w:top w:w="28" w:type="dxa"/>
              <w:left w:w="57" w:type="dxa"/>
              <w:bottom w:w="28" w:type="dxa"/>
              <w:right w:w="57" w:type="dxa"/>
            </w:tcMar>
          </w:tcPr>
          <w:p w14:paraId="1F4984A6"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3" w:type="pct"/>
            <w:tcBorders>
              <w:top w:val="nil"/>
              <w:left w:val="nil"/>
              <w:bottom w:val="nil"/>
              <w:right w:val="single" w:sz="4" w:space="0" w:color="auto"/>
            </w:tcBorders>
            <w:tcMar>
              <w:top w:w="0" w:type="dxa"/>
              <w:left w:w="0" w:type="dxa"/>
              <w:bottom w:w="0" w:type="dxa"/>
              <w:right w:w="108" w:type="dxa"/>
            </w:tcMar>
          </w:tcPr>
          <w:p w14:paraId="6272A886" w14:textId="77777777" w:rsidR="00FE291A" w:rsidRDefault="00C8738F">
            <w:pPr>
              <w:rPr>
                <w:b/>
                <w:bCs/>
                <w:sz w:val="22"/>
                <w:szCs w:val="22"/>
                <w:lang w:val="de-DE"/>
              </w:rPr>
            </w:pPr>
            <w:r>
              <w:rPr>
                <w:sz w:val="22"/>
                <w:szCs w:val="22"/>
                <w:lang w:val="de-DE"/>
              </w:rPr>
              <w:t xml:space="preserve">Entnehmen Sie die Anzahl an </w:t>
            </w:r>
            <w:r>
              <w:rPr>
                <w:color w:val="000000"/>
                <w:sz w:val="22"/>
                <w:szCs w:val="22"/>
                <w:lang w:val="de-DE"/>
              </w:rPr>
              <w:t>Fertigspritzen</w:t>
            </w:r>
            <w:r>
              <w:rPr>
                <w:sz w:val="22"/>
                <w:szCs w:val="22"/>
                <w:lang w:val="de-DE"/>
              </w:rPr>
              <w:t>, die Sie für die Injektion benötigen.</w:t>
            </w:r>
          </w:p>
        </w:tc>
      </w:tr>
      <w:tr w:rsidR="00FE291A" w:rsidRPr="00723069" w14:paraId="0206453C" w14:textId="77777777">
        <w:trPr>
          <w:cantSplit/>
          <w:trHeight w:val="57"/>
        </w:trPr>
        <w:tc>
          <w:tcPr>
            <w:tcW w:w="357" w:type="pct"/>
            <w:tcBorders>
              <w:top w:val="nil"/>
              <w:left w:val="single" w:sz="4" w:space="0" w:color="auto"/>
              <w:bottom w:val="single" w:sz="4" w:space="0" w:color="auto"/>
              <w:right w:val="nil"/>
            </w:tcBorders>
            <w:tcMar>
              <w:top w:w="28" w:type="dxa"/>
              <w:left w:w="57" w:type="dxa"/>
              <w:bottom w:w="28" w:type="dxa"/>
              <w:right w:w="57" w:type="dxa"/>
            </w:tcMar>
          </w:tcPr>
          <w:p w14:paraId="246A9320"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3" w:type="pct"/>
            <w:tcBorders>
              <w:top w:val="nil"/>
              <w:left w:val="nil"/>
              <w:bottom w:val="single" w:sz="4" w:space="0" w:color="auto"/>
              <w:right w:val="single" w:sz="4" w:space="0" w:color="auto"/>
            </w:tcBorders>
            <w:tcMar>
              <w:top w:w="0" w:type="dxa"/>
              <w:left w:w="0" w:type="dxa"/>
              <w:bottom w:w="0" w:type="dxa"/>
              <w:right w:w="108" w:type="dxa"/>
            </w:tcMar>
          </w:tcPr>
          <w:p w14:paraId="279B0B1E" w14:textId="77777777" w:rsidR="00FE291A" w:rsidRDefault="00C8738F">
            <w:pPr>
              <w:rPr>
                <w:sz w:val="22"/>
                <w:szCs w:val="22"/>
                <w:lang w:val="de-DE"/>
              </w:rPr>
            </w:pPr>
            <w:r>
              <w:rPr>
                <w:sz w:val="22"/>
                <w:szCs w:val="22"/>
                <w:lang w:val="de-DE"/>
              </w:rPr>
              <w:t xml:space="preserve">Legen Sie alle </w:t>
            </w:r>
            <w:r>
              <w:rPr>
                <w:color w:val="000000"/>
                <w:sz w:val="22"/>
                <w:szCs w:val="22"/>
                <w:lang w:val="de-DE"/>
              </w:rPr>
              <w:t>unbenutzten Fertigspritzen</w:t>
            </w:r>
            <w:r>
              <w:rPr>
                <w:sz w:val="22"/>
                <w:szCs w:val="22"/>
                <w:lang w:val="de-DE"/>
              </w:rPr>
              <w:t xml:space="preserve"> zurück in den Kühlschrank.</w:t>
            </w:r>
          </w:p>
        </w:tc>
      </w:tr>
    </w:tbl>
    <w:p w14:paraId="459ABF47" w14:textId="77777777" w:rsidR="00FE291A" w:rsidRDefault="00FE291A">
      <w:pPr>
        <w:pageBreakBefore/>
        <w:rPr>
          <w:sz w:val="22"/>
          <w:szCs w:val="22"/>
          <w:lang w:val="de-DE"/>
        </w:rPr>
      </w:pPr>
    </w:p>
    <w:tbl>
      <w:tblPr>
        <w:tblW w:w="4854"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628"/>
        <w:gridCol w:w="8168"/>
      </w:tblGrid>
      <w:tr w:rsidR="00FE291A" w:rsidRPr="00723069" w14:paraId="0131A728" w14:textId="77777777">
        <w:trPr>
          <w:cantSplit/>
          <w:trHeight w:val="57"/>
        </w:trPr>
        <w:tc>
          <w:tcPr>
            <w:tcW w:w="357"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A8CE47" w14:textId="77777777" w:rsidR="00FE291A" w:rsidRDefault="00C8738F">
            <w:pPr>
              <w:keepNext/>
              <w:rPr>
                <w:b/>
                <w:bCs/>
                <w:sz w:val="22"/>
                <w:szCs w:val="22"/>
                <w:lang w:val="de-DE"/>
              </w:rPr>
            </w:pPr>
            <w:r>
              <w:rPr>
                <w:b/>
                <w:sz w:val="22"/>
                <w:szCs w:val="22"/>
                <w:lang w:val="de-DE"/>
              </w:rPr>
              <w:t>2b</w:t>
            </w:r>
          </w:p>
        </w:tc>
        <w:tc>
          <w:tcPr>
            <w:tcW w:w="464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FE4F36" w14:textId="77777777" w:rsidR="00FE291A" w:rsidRDefault="00C8738F">
            <w:pPr>
              <w:pStyle w:val="ListParagraph"/>
              <w:ind w:left="567" w:hanging="567"/>
              <w:rPr>
                <w:sz w:val="22"/>
                <w:szCs w:val="22"/>
                <w:lang w:val="de-DE"/>
              </w:rPr>
            </w:pPr>
            <w:r>
              <w:rPr>
                <w:b/>
                <w:sz w:val="22"/>
                <w:szCs w:val="22"/>
                <w:lang w:val="de-DE"/>
              </w:rPr>
              <w:t xml:space="preserve">Warten Sie </w:t>
            </w:r>
            <w:ins w:id="162" w:author="Author">
              <w:r>
                <w:rPr>
                  <w:b/>
                  <w:sz w:val="22"/>
                  <w:szCs w:val="22"/>
                  <w:lang w:val="de-DE"/>
                </w:rPr>
                <w:t xml:space="preserve">15 bis </w:t>
              </w:r>
            </w:ins>
            <w:r>
              <w:rPr>
                <w:b/>
                <w:sz w:val="22"/>
                <w:szCs w:val="22"/>
                <w:lang w:val="de-DE"/>
              </w:rPr>
              <w:t>30 Minuten, bis die Fertigspritze Raumtemperatur angenommen hat.</w:t>
            </w:r>
          </w:p>
        </w:tc>
      </w:tr>
      <w:tr w:rsidR="00FE291A" w14:paraId="139B1C42" w14:textId="77777777">
        <w:trPr>
          <w:cantSplit/>
          <w:trHeight w:val="57"/>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E66985" w14:textId="77777777" w:rsidR="00FE291A" w:rsidRPr="00F076DE" w:rsidRDefault="00FE291A">
            <w:pPr>
              <w:jc w:val="center"/>
              <w:rPr>
                <w:b/>
                <w:bCs/>
                <w:sz w:val="36"/>
                <w:szCs w:val="36"/>
                <w:lang w:val="de-DE"/>
                <w:rPrChange w:id="163" w:author="Author">
                  <w:rPr>
                    <w:b/>
                    <w:bCs/>
                    <w:sz w:val="22"/>
                    <w:szCs w:val="22"/>
                    <w:lang w:val="de-DE"/>
                  </w:rPr>
                </w:rPrChange>
              </w:rPr>
            </w:pPr>
          </w:p>
          <w:p w14:paraId="6A6AF1CD" w14:textId="77777777" w:rsidR="00FE291A" w:rsidRDefault="00C8738F">
            <w:pPr>
              <w:jc w:val="center"/>
              <w:rPr>
                <w:b/>
                <w:bCs/>
                <w:sz w:val="36"/>
                <w:szCs w:val="36"/>
                <w:lang w:val="de-DE"/>
              </w:rPr>
            </w:pPr>
            <w:ins w:id="164" w:author="Author">
              <w:r>
                <w:rPr>
                  <w:b/>
                  <w:sz w:val="36"/>
                  <w:szCs w:val="36"/>
                  <w:lang w:val="de-DE"/>
                </w:rPr>
                <w:t xml:space="preserve">15 bis </w:t>
              </w:r>
            </w:ins>
            <w:r>
              <w:rPr>
                <w:b/>
                <w:sz w:val="36"/>
                <w:szCs w:val="36"/>
                <w:lang w:val="de-DE"/>
              </w:rPr>
              <w:t>30</w:t>
            </w:r>
          </w:p>
          <w:p w14:paraId="23CB2CA7" w14:textId="77777777" w:rsidR="00FE291A" w:rsidRDefault="00C8738F">
            <w:pPr>
              <w:jc w:val="center"/>
              <w:rPr>
                <w:b/>
                <w:bCs/>
                <w:sz w:val="36"/>
                <w:szCs w:val="36"/>
                <w:lang w:val="de-DE"/>
              </w:rPr>
            </w:pPr>
            <w:r>
              <w:rPr>
                <w:b/>
                <w:sz w:val="36"/>
                <w:szCs w:val="36"/>
                <w:lang w:val="de-DE"/>
              </w:rPr>
              <w:t>Minuten</w:t>
            </w:r>
          </w:p>
          <w:p w14:paraId="447CBAB7" w14:textId="77777777" w:rsidR="00FE291A" w:rsidRDefault="00C8738F">
            <w:pPr>
              <w:jc w:val="center"/>
              <w:rPr>
                <w:b/>
                <w:bCs/>
                <w:sz w:val="36"/>
                <w:szCs w:val="36"/>
                <w:lang w:val="de-DE"/>
              </w:rPr>
            </w:pPr>
            <w:r>
              <w:rPr>
                <w:b/>
                <w:sz w:val="36"/>
                <w:szCs w:val="36"/>
                <w:lang w:val="de-DE"/>
              </w:rPr>
              <w:t>WARTEN</w:t>
            </w:r>
          </w:p>
          <w:p w14:paraId="0013D33B" w14:textId="77777777" w:rsidR="00FE291A" w:rsidRDefault="00FE291A">
            <w:pPr>
              <w:jc w:val="center"/>
              <w:rPr>
                <w:b/>
                <w:bCs/>
                <w:sz w:val="22"/>
                <w:szCs w:val="22"/>
                <w:lang w:val="de-DE"/>
              </w:rPr>
            </w:pPr>
          </w:p>
        </w:tc>
      </w:tr>
      <w:tr w:rsidR="00FE291A" w:rsidRPr="00723069" w14:paraId="4F2392F6" w14:textId="77777777">
        <w:trPr>
          <w:cantSplit/>
          <w:trHeight w:val="57"/>
        </w:trPr>
        <w:tc>
          <w:tcPr>
            <w:tcW w:w="357" w:type="pct"/>
            <w:tcBorders>
              <w:top w:val="nil"/>
              <w:left w:val="single" w:sz="4" w:space="0" w:color="auto"/>
              <w:bottom w:val="nil"/>
              <w:right w:val="nil"/>
            </w:tcBorders>
            <w:tcMar>
              <w:top w:w="28" w:type="dxa"/>
              <w:left w:w="57" w:type="dxa"/>
              <w:bottom w:w="28" w:type="dxa"/>
              <w:right w:w="57" w:type="dxa"/>
            </w:tcMar>
          </w:tcPr>
          <w:p w14:paraId="4097CEB1"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3" w:type="pct"/>
            <w:tcBorders>
              <w:top w:val="nil"/>
              <w:left w:val="nil"/>
              <w:bottom w:val="nil"/>
              <w:right w:val="single" w:sz="4" w:space="0" w:color="auto"/>
            </w:tcBorders>
            <w:tcMar>
              <w:top w:w="0" w:type="dxa"/>
              <w:left w:w="0" w:type="dxa"/>
              <w:bottom w:w="0" w:type="dxa"/>
              <w:right w:w="108" w:type="dxa"/>
            </w:tcMar>
          </w:tcPr>
          <w:p w14:paraId="1AE14512" w14:textId="77777777" w:rsidR="00FE291A" w:rsidRDefault="00C8738F">
            <w:pPr>
              <w:rPr>
                <w:b/>
                <w:bCs/>
                <w:sz w:val="22"/>
                <w:szCs w:val="22"/>
                <w:lang w:val="de-DE"/>
              </w:rPr>
            </w:pPr>
            <w:r>
              <w:rPr>
                <w:sz w:val="22"/>
                <w:szCs w:val="22"/>
                <w:lang w:val="de-DE"/>
              </w:rPr>
              <w:t xml:space="preserve">Lassen Sie die </w:t>
            </w:r>
            <w:r>
              <w:rPr>
                <w:color w:val="000000"/>
                <w:sz w:val="22"/>
                <w:szCs w:val="22"/>
                <w:lang w:val="de-DE"/>
              </w:rPr>
              <w:t xml:space="preserve">Fertigspritze </w:t>
            </w:r>
            <w:r>
              <w:rPr>
                <w:sz w:val="22"/>
                <w:szCs w:val="22"/>
                <w:lang w:val="de-DE"/>
              </w:rPr>
              <w:t>von alleine warm werden.</w:t>
            </w:r>
          </w:p>
        </w:tc>
      </w:tr>
      <w:tr w:rsidR="00FE291A" w:rsidRPr="002E6CD3" w14:paraId="2D568A50" w14:textId="77777777">
        <w:trPr>
          <w:cantSplit/>
          <w:trHeight w:val="57"/>
        </w:trPr>
        <w:tc>
          <w:tcPr>
            <w:tcW w:w="357" w:type="pct"/>
            <w:tcBorders>
              <w:top w:val="nil"/>
              <w:left w:val="single" w:sz="4" w:space="0" w:color="auto"/>
              <w:bottom w:val="nil"/>
              <w:right w:val="nil"/>
            </w:tcBorders>
            <w:tcMar>
              <w:top w:w="28" w:type="dxa"/>
              <w:left w:w="57" w:type="dxa"/>
              <w:bottom w:w="28" w:type="dxa"/>
              <w:right w:w="57" w:type="dxa"/>
            </w:tcMar>
          </w:tcPr>
          <w:p w14:paraId="22C9D5E3"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3" w:type="pct"/>
            <w:tcBorders>
              <w:top w:val="nil"/>
              <w:left w:val="nil"/>
              <w:bottom w:val="nil"/>
              <w:right w:val="single" w:sz="4" w:space="0" w:color="auto"/>
            </w:tcBorders>
            <w:tcMar>
              <w:top w:w="0" w:type="dxa"/>
              <w:left w:w="0" w:type="dxa"/>
              <w:bottom w:w="0" w:type="dxa"/>
              <w:right w:w="108" w:type="dxa"/>
            </w:tcMar>
          </w:tcPr>
          <w:p w14:paraId="341F3C3C" w14:textId="77777777" w:rsidR="00FE291A" w:rsidRDefault="00C8738F">
            <w:pPr>
              <w:rPr>
                <w:sz w:val="22"/>
                <w:szCs w:val="22"/>
                <w:lang w:val="de-DE"/>
              </w:rPr>
            </w:pPr>
            <w:ins w:id="165" w:author="Author">
              <w:r>
                <w:rPr>
                  <w:bCs/>
                  <w:sz w:val="22"/>
                  <w:szCs w:val="22"/>
                  <w:lang w:val="de-DE"/>
                </w:rPr>
                <w:t xml:space="preserve">Die </w:t>
              </w:r>
              <w:r w:rsidRPr="00F076DE">
                <w:rPr>
                  <w:bCs/>
                  <w:sz w:val="22"/>
                  <w:szCs w:val="22"/>
                  <w:lang w:val="de-DE"/>
                  <w:rPrChange w:id="166" w:author="Author">
                    <w:rPr>
                      <w:b/>
                      <w:sz w:val="22"/>
                      <w:szCs w:val="22"/>
                      <w:lang w:val="de-DE"/>
                    </w:rPr>
                  </w:rPrChange>
                </w:rPr>
                <w:t xml:space="preserve">Fertigspritze </w:t>
              </w:r>
              <w:r>
                <w:rPr>
                  <w:b/>
                  <w:sz w:val="22"/>
                  <w:szCs w:val="22"/>
                  <w:lang w:val="de-DE"/>
                </w:rPr>
                <w:t>n</w:t>
              </w:r>
            </w:ins>
            <w:del w:id="167" w:author="Author">
              <w:r>
                <w:rPr>
                  <w:b/>
                  <w:sz w:val="22"/>
                  <w:szCs w:val="22"/>
                  <w:lang w:val="de-DE"/>
                </w:rPr>
                <w:delText>N</w:delText>
              </w:r>
            </w:del>
            <w:r>
              <w:rPr>
                <w:b/>
                <w:sz w:val="22"/>
                <w:szCs w:val="22"/>
                <w:lang w:val="de-DE"/>
              </w:rPr>
              <w:t>icht</w:t>
            </w:r>
            <w:r>
              <w:rPr>
                <w:sz w:val="22"/>
                <w:szCs w:val="22"/>
                <w:lang w:val="de-DE"/>
              </w:rPr>
              <w:t xml:space="preserve"> mit heißem Wasser, in der Mikrowelle oder durch direktes Sonnenlicht erwärmen.</w:t>
            </w:r>
          </w:p>
        </w:tc>
      </w:tr>
      <w:tr w:rsidR="00FE291A" w14:paraId="114CE154" w14:textId="77777777">
        <w:trPr>
          <w:cantSplit/>
          <w:trHeight w:val="57"/>
        </w:trPr>
        <w:tc>
          <w:tcPr>
            <w:tcW w:w="357" w:type="pct"/>
            <w:tcBorders>
              <w:top w:val="nil"/>
              <w:left w:val="single" w:sz="4" w:space="0" w:color="auto"/>
              <w:bottom w:val="nil"/>
              <w:right w:val="nil"/>
            </w:tcBorders>
            <w:tcMar>
              <w:top w:w="28" w:type="dxa"/>
              <w:left w:w="57" w:type="dxa"/>
              <w:bottom w:w="28" w:type="dxa"/>
              <w:right w:w="57" w:type="dxa"/>
            </w:tcMar>
          </w:tcPr>
          <w:p w14:paraId="6C04E199"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3" w:type="pct"/>
            <w:tcBorders>
              <w:top w:val="nil"/>
              <w:left w:val="nil"/>
              <w:bottom w:val="nil"/>
              <w:right w:val="single" w:sz="4" w:space="0" w:color="auto"/>
            </w:tcBorders>
            <w:tcMar>
              <w:top w:w="0" w:type="dxa"/>
              <w:left w:w="0" w:type="dxa"/>
              <w:bottom w:w="0" w:type="dxa"/>
              <w:right w:w="108" w:type="dxa"/>
            </w:tcMar>
          </w:tcPr>
          <w:p w14:paraId="124F8FD0" w14:textId="77777777" w:rsidR="00FE291A" w:rsidRDefault="00C8738F">
            <w:pPr>
              <w:rPr>
                <w:sz w:val="22"/>
                <w:szCs w:val="22"/>
                <w:lang w:val="de-DE"/>
              </w:rPr>
            </w:pPr>
            <w:r>
              <w:rPr>
                <w:sz w:val="22"/>
                <w:szCs w:val="22"/>
                <w:lang w:val="de-DE"/>
              </w:rPr>
              <w:t xml:space="preserve">Die Fertigspritze </w:t>
            </w:r>
            <w:r>
              <w:rPr>
                <w:b/>
                <w:sz w:val="22"/>
                <w:szCs w:val="22"/>
                <w:lang w:val="de-DE"/>
              </w:rPr>
              <w:t>niemals</w:t>
            </w:r>
            <w:r>
              <w:rPr>
                <w:sz w:val="22"/>
                <w:szCs w:val="22"/>
                <w:lang w:val="de-DE"/>
              </w:rPr>
              <w:t xml:space="preserve"> schütteln.</w:t>
            </w:r>
          </w:p>
        </w:tc>
      </w:tr>
      <w:tr w:rsidR="00FE291A" w:rsidRPr="002E6CD3" w14:paraId="67D30F28" w14:textId="77777777">
        <w:trPr>
          <w:cantSplit/>
          <w:trHeight w:val="57"/>
        </w:trPr>
        <w:tc>
          <w:tcPr>
            <w:tcW w:w="357" w:type="pct"/>
            <w:tcBorders>
              <w:top w:val="nil"/>
              <w:left w:val="single" w:sz="4" w:space="0" w:color="auto"/>
              <w:bottom w:val="nil"/>
              <w:right w:val="nil"/>
            </w:tcBorders>
            <w:tcMar>
              <w:top w:w="28" w:type="dxa"/>
              <w:left w:w="57" w:type="dxa"/>
              <w:bottom w:w="28" w:type="dxa"/>
              <w:right w:w="57" w:type="dxa"/>
            </w:tcMar>
          </w:tcPr>
          <w:p w14:paraId="4D6D00EC"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3" w:type="pct"/>
            <w:tcBorders>
              <w:top w:val="nil"/>
              <w:left w:val="nil"/>
              <w:bottom w:val="nil"/>
              <w:right w:val="single" w:sz="4" w:space="0" w:color="auto"/>
            </w:tcBorders>
            <w:tcMar>
              <w:top w:w="0" w:type="dxa"/>
              <w:left w:w="0" w:type="dxa"/>
              <w:bottom w:w="0" w:type="dxa"/>
              <w:right w:w="108" w:type="dxa"/>
            </w:tcMar>
          </w:tcPr>
          <w:p w14:paraId="69C93A6B" w14:textId="77777777" w:rsidR="00FE291A" w:rsidRDefault="00C8738F">
            <w:pPr>
              <w:rPr>
                <w:b/>
                <w:bCs/>
                <w:sz w:val="22"/>
                <w:szCs w:val="22"/>
                <w:lang w:val="de-DE"/>
              </w:rPr>
            </w:pPr>
            <w:r>
              <w:rPr>
                <w:sz w:val="22"/>
                <w:szCs w:val="22"/>
                <w:lang w:val="de-DE"/>
              </w:rPr>
              <w:t xml:space="preserve">Legen Sie die Fertigspritze </w:t>
            </w:r>
            <w:r>
              <w:rPr>
                <w:b/>
                <w:sz w:val="22"/>
                <w:szCs w:val="22"/>
                <w:lang w:val="de-DE"/>
              </w:rPr>
              <w:t>nicht</w:t>
            </w:r>
            <w:r>
              <w:rPr>
                <w:sz w:val="22"/>
                <w:szCs w:val="22"/>
                <w:lang w:val="de-DE"/>
              </w:rPr>
              <w:t xml:space="preserve"> zurück in den Kühlschrank, nachdem sie Raumtemperatur erreicht hat.</w:t>
            </w:r>
          </w:p>
        </w:tc>
      </w:tr>
      <w:tr w:rsidR="00FE291A" w:rsidRPr="002E6CD3" w14:paraId="698C4A89" w14:textId="77777777">
        <w:trPr>
          <w:cantSplit/>
          <w:trHeight w:val="57"/>
        </w:trPr>
        <w:tc>
          <w:tcPr>
            <w:tcW w:w="357" w:type="pct"/>
            <w:tcBorders>
              <w:top w:val="nil"/>
              <w:left w:val="single" w:sz="4" w:space="0" w:color="auto"/>
              <w:bottom w:val="single" w:sz="4" w:space="0" w:color="auto"/>
              <w:right w:val="nil"/>
            </w:tcBorders>
            <w:tcMar>
              <w:top w:w="28" w:type="dxa"/>
              <w:left w:w="57" w:type="dxa"/>
              <w:bottom w:w="28" w:type="dxa"/>
              <w:right w:w="57" w:type="dxa"/>
            </w:tcMar>
          </w:tcPr>
          <w:p w14:paraId="26F96E24"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3" w:type="pct"/>
            <w:tcBorders>
              <w:top w:val="nil"/>
              <w:left w:val="nil"/>
              <w:bottom w:val="single" w:sz="4" w:space="0" w:color="auto"/>
              <w:right w:val="single" w:sz="4" w:space="0" w:color="auto"/>
            </w:tcBorders>
            <w:tcMar>
              <w:top w:w="0" w:type="dxa"/>
              <w:left w:w="0" w:type="dxa"/>
              <w:bottom w:w="0" w:type="dxa"/>
              <w:right w:w="108" w:type="dxa"/>
            </w:tcMar>
          </w:tcPr>
          <w:p w14:paraId="4A03112D" w14:textId="77777777" w:rsidR="00FE291A" w:rsidRDefault="00C8738F">
            <w:pPr>
              <w:pStyle w:val="ListParagraph"/>
              <w:tabs>
                <w:tab w:val="left" w:pos="5083"/>
                <w:tab w:val="left" w:pos="5233"/>
              </w:tabs>
              <w:rPr>
                <w:b/>
                <w:bCs/>
                <w:sz w:val="22"/>
                <w:szCs w:val="22"/>
                <w:lang w:val="de-DE"/>
              </w:rPr>
            </w:pPr>
            <w:r>
              <w:rPr>
                <w:sz w:val="22"/>
                <w:szCs w:val="22"/>
                <w:lang w:val="de-DE"/>
              </w:rPr>
              <w:t xml:space="preserve">Die Anwendung der </w:t>
            </w:r>
            <w:r>
              <w:rPr>
                <w:color w:val="000000"/>
                <w:sz w:val="22"/>
                <w:szCs w:val="22"/>
                <w:lang w:val="de-DE"/>
              </w:rPr>
              <w:t>Fertigspritze</w:t>
            </w:r>
            <w:r>
              <w:rPr>
                <w:sz w:val="22"/>
                <w:szCs w:val="22"/>
                <w:lang w:val="de-DE"/>
              </w:rPr>
              <w:t xml:space="preserve"> bei Raumtemperatur ermöglicht eine angenehmere Injektion.</w:t>
            </w:r>
            <w:r>
              <w:rPr>
                <w:b/>
                <w:sz w:val="22"/>
                <w:szCs w:val="22"/>
                <w:lang w:val="de-DE"/>
              </w:rPr>
              <w:t xml:space="preserve"> </w:t>
            </w:r>
          </w:p>
          <w:p w14:paraId="72B6CABB" w14:textId="77777777" w:rsidR="00FE291A" w:rsidRDefault="00FE291A">
            <w:pPr>
              <w:rPr>
                <w:sz w:val="22"/>
                <w:szCs w:val="22"/>
                <w:lang w:val="de-DE"/>
              </w:rPr>
            </w:pPr>
          </w:p>
        </w:tc>
      </w:tr>
    </w:tbl>
    <w:p w14:paraId="46146B78" w14:textId="7692B844" w:rsidR="00FE291A" w:rsidRDefault="009C5B62">
      <w:pPr>
        <w:rPr>
          <w:b/>
          <w:bCs/>
          <w:sz w:val="22"/>
          <w:szCs w:val="22"/>
          <w:lang w:val="de-DE"/>
        </w:rPr>
      </w:pPr>
      <w:r>
        <w:rPr>
          <w:noProof/>
        </w:rPr>
        <mc:AlternateContent>
          <mc:Choice Requires="wps">
            <w:drawing>
              <wp:anchor distT="0" distB="0" distL="114300" distR="114300" simplePos="0" relativeHeight="35" behindDoc="0" locked="0" layoutInCell="1" allowOverlap="1" wp14:anchorId="3E48C515" wp14:editId="418A6D5F">
                <wp:simplePos x="0" y="0"/>
                <wp:positionH relativeFrom="column">
                  <wp:posOffset>10160</wp:posOffset>
                </wp:positionH>
                <wp:positionV relativeFrom="paragraph">
                  <wp:posOffset>1948180</wp:posOffset>
                </wp:positionV>
                <wp:extent cx="1426210" cy="504825"/>
                <wp:effectExtent l="0" t="0" r="0" b="0"/>
                <wp:wrapNone/>
                <wp:docPr id="192645196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210" cy="504825"/>
                        </a:xfrm>
                        <a:prstGeom prst="rect">
                          <a:avLst/>
                        </a:prstGeom>
                        <a:solidFill>
                          <a:srgbClr val="FFFFFF"/>
                        </a:solidFill>
                        <a:ln>
                          <a:noFill/>
                        </a:ln>
                      </wps:spPr>
                      <wps:txbx>
                        <w:txbxContent>
                          <w:p w14:paraId="1ECF965B" w14:textId="77777777" w:rsidR="00425AE3" w:rsidRDefault="00425AE3">
                            <w:pPr>
                              <w:rPr>
                                <w:sz w:val="22"/>
                                <w:szCs w:val="22"/>
                              </w:rPr>
                            </w:pPr>
                            <w:r>
                              <w:rPr>
                                <w:sz w:val="22"/>
                                <w:szCs w:val="22"/>
                                <w:lang w:val="de-DE"/>
                              </w:rPr>
                              <w:t>Durchstichsicherer Behälter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8C515" id="Text Box 20" o:spid="_x0000_s1029" type="#_x0000_t202" style="position:absolute;margin-left:.8pt;margin-top:153.4pt;width:112.3pt;height:39.75pt;z-index: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" stroked="f">
                <v:textbox>
                  <w:txbxContent>
                    <w:p w14:paraId="1ECF965B" w14:textId="77777777" w:rsidR="00425AE3" w:rsidRDefault="00425AE3">
                      <w:pPr>
                        <w:rPr>
                          <w:sz w:val="22"/>
                          <w:szCs w:val="22"/>
                        </w:rPr>
                      </w:pPr>
                      <w:r>
                        <w:rPr>
                          <w:sz w:val="22"/>
                          <w:szCs w:val="22"/>
                          <w:lang w:val="de-DE"/>
                        </w:rPr>
                        <w:t>Durchstichsicherer Behälter</w:t>
                      </w:r>
                    </w:p>
                  </w:txbxContent>
                </v:textbox>
              </v:shape>
            </w:pict>
          </mc:Fallback>
        </mc:AlternateContent>
      </w:r>
    </w:p>
    <w:tbl>
      <w:tblPr>
        <w:tblW w:w="4854"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628"/>
        <w:gridCol w:w="8168"/>
      </w:tblGrid>
      <w:tr w:rsidR="00FE291A" w:rsidRPr="002E6CD3" w14:paraId="272DE590" w14:textId="77777777" w:rsidTr="00425AE3">
        <w:trPr>
          <w:cantSplit/>
          <w:trHeight w:val="495"/>
        </w:trPr>
        <w:tc>
          <w:tcPr>
            <w:tcW w:w="357"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6BC48C" w14:textId="77777777" w:rsidR="00FE291A" w:rsidRDefault="00C8738F">
            <w:pPr>
              <w:keepNext/>
              <w:rPr>
                <w:b/>
                <w:bCs/>
                <w:sz w:val="22"/>
                <w:szCs w:val="22"/>
                <w:lang w:val="de-DE"/>
              </w:rPr>
            </w:pPr>
            <w:r>
              <w:rPr>
                <w:b/>
                <w:sz w:val="22"/>
                <w:szCs w:val="22"/>
                <w:lang w:val="de-DE"/>
              </w:rPr>
              <w:t>2c</w:t>
            </w:r>
          </w:p>
        </w:tc>
        <w:tc>
          <w:tcPr>
            <w:tcW w:w="464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7BEC88" w14:textId="7ACFB7B5" w:rsidR="00FE291A" w:rsidRDefault="00C8738F" w:rsidP="00425AE3">
            <w:pPr>
              <w:pStyle w:val="ListParagraph"/>
              <w:rPr>
                <w:sz w:val="22"/>
                <w:szCs w:val="22"/>
                <w:lang w:val="de-DE"/>
              </w:rPr>
            </w:pPr>
            <w:r>
              <w:rPr>
                <w:b/>
                <w:sz w:val="22"/>
                <w:szCs w:val="22"/>
                <w:lang w:val="de-DE"/>
              </w:rPr>
              <w:t xml:space="preserve">Stellen Sie </w:t>
            </w:r>
            <w:del w:id="168" w:author="Author">
              <w:r>
                <w:rPr>
                  <w:b/>
                  <w:sz w:val="22"/>
                  <w:szCs w:val="22"/>
                  <w:lang w:val="de-DE"/>
                </w:rPr>
                <w:delText xml:space="preserve">alle </w:delText>
              </w:r>
            </w:del>
            <w:ins w:id="169" w:author="Author">
              <w:r>
                <w:rPr>
                  <w:b/>
                  <w:sz w:val="22"/>
                  <w:szCs w:val="22"/>
                  <w:lang w:val="de-DE"/>
                </w:rPr>
                <w:t xml:space="preserve">die folgenden </w:t>
              </w:r>
            </w:ins>
            <w:r>
              <w:rPr>
                <w:b/>
                <w:sz w:val="22"/>
                <w:szCs w:val="22"/>
                <w:lang w:val="de-DE"/>
              </w:rPr>
              <w:t>Materialien für die Injektion zusammen und legen Sie sie auf eine saubere,</w:t>
            </w:r>
            <w:ins w:id="170" w:author="Author">
              <w:r>
                <w:rPr>
                  <w:b/>
                  <w:sz w:val="22"/>
                  <w:szCs w:val="22"/>
                  <w:lang w:val="de-DE"/>
                </w:rPr>
                <w:t xml:space="preserve"> ebene und</w:t>
              </w:r>
            </w:ins>
            <w:r>
              <w:rPr>
                <w:b/>
                <w:sz w:val="22"/>
                <w:szCs w:val="22"/>
                <w:lang w:val="de-DE"/>
              </w:rPr>
              <w:t xml:space="preserve"> gut beleuchtete Arbeitsfläche.</w:t>
            </w:r>
          </w:p>
        </w:tc>
      </w:tr>
      <w:tr w:rsidR="00425AE3" w:rsidRPr="002E6CD3" w14:paraId="57DC21EE" w14:textId="77777777" w:rsidTr="00425AE3">
        <w:trPr>
          <w:cantSplit/>
          <w:trHeight w:val="3045"/>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CE0378" w14:textId="77777777" w:rsidR="00425AE3" w:rsidRDefault="00425AE3">
            <w:pPr>
              <w:pStyle w:val="ListParagraph"/>
              <w:ind w:left="567" w:hanging="567"/>
              <w:rPr>
                <w:b/>
                <w:bCs/>
                <w:sz w:val="22"/>
                <w:szCs w:val="22"/>
                <w:lang w:val="de-DE"/>
              </w:rPr>
            </w:pPr>
          </w:p>
          <w:p w14:paraId="58680DED" w14:textId="5BAE4321" w:rsidR="00425AE3" w:rsidRDefault="009C5B62">
            <w:pPr>
              <w:widowControl/>
              <w:autoSpaceDE/>
              <w:autoSpaceDN/>
              <w:adjustRightInd/>
              <w:ind w:left="567" w:hanging="567"/>
              <w:contextualSpacing/>
              <w:rPr>
                <w:lang w:val="de-DE" w:eastAsia="en-GB"/>
              </w:rPr>
            </w:pPr>
            <w:r>
              <w:rPr>
                <w:noProof/>
              </w:rPr>
              <w:drawing>
                <wp:anchor distT="0" distB="0" distL="114300" distR="114300" simplePos="0" relativeHeight="36" behindDoc="0" locked="0" layoutInCell="1" allowOverlap="1" wp14:anchorId="7B106046" wp14:editId="5245D2A1">
                  <wp:simplePos x="0" y="0"/>
                  <wp:positionH relativeFrom="margin">
                    <wp:posOffset>1391920</wp:posOffset>
                  </wp:positionH>
                  <wp:positionV relativeFrom="margin">
                    <wp:posOffset>504190</wp:posOffset>
                  </wp:positionV>
                  <wp:extent cx="1929130" cy="1717675"/>
                  <wp:effectExtent l="0" t="0" r="0" b="0"/>
                  <wp:wrapSquare wrapText="bothSides"/>
                  <wp:docPr id="14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29130" cy="1717675"/>
                          </a:xfrm>
                          <a:prstGeom prst="rect">
                            <a:avLst/>
                          </a:prstGeom>
                          <a:noFill/>
                        </pic:spPr>
                      </pic:pic>
                    </a:graphicData>
                  </a:graphic>
                  <wp14:sizeRelH relativeFrom="page">
                    <wp14:pctWidth>0</wp14:pctWidth>
                  </wp14:sizeRelH>
                  <wp14:sizeRelV relativeFrom="page">
                    <wp14:pctHeight>0</wp14:pctHeight>
                  </wp14:sizeRelV>
                </wp:anchor>
              </w:drawing>
            </w:r>
          </w:p>
          <w:p w14:paraId="2AEB1657" w14:textId="77777777" w:rsidR="00425AE3" w:rsidRDefault="00425AE3">
            <w:pPr>
              <w:pStyle w:val="ListParagraph"/>
              <w:ind w:left="567" w:hanging="567"/>
              <w:rPr>
                <w:sz w:val="22"/>
                <w:szCs w:val="22"/>
                <w:lang w:val="de-DE"/>
              </w:rPr>
            </w:pPr>
          </w:p>
          <w:p w14:paraId="286977FC" w14:textId="77777777" w:rsidR="00425AE3" w:rsidRDefault="00425AE3">
            <w:pPr>
              <w:pStyle w:val="ListParagraph"/>
              <w:ind w:left="5335"/>
              <w:rPr>
                <w:sz w:val="22"/>
                <w:szCs w:val="22"/>
                <w:lang w:val="de-DE"/>
              </w:rPr>
            </w:pPr>
          </w:p>
          <w:p w14:paraId="17C4C7E6" w14:textId="49F71EE8" w:rsidR="00425AE3" w:rsidRDefault="00425AE3" w:rsidP="00425AE3">
            <w:pPr>
              <w:pStyle w:val="ListParagraph"/>
              <w:spacing w:after="120"/>
              <w:ind w:left="5335"/>
              <w:rPr>
                <w:sz w:val="22"/>
                <w:szCs w:val="22"/>
                <w:lang w:val="de-DE"/>
              </w:rPr>
            </w:pPr>
            <w:r>
              <w:rPr>
                <w:sz w:val="22"/>
                <w:szCs w:val="22"/>
                <w:lang w:val="de-DE"/>
              </w:rPr>
              <w:t>Alkoholtupfer</w:t>
            </w:r>
          </w:p>
          <w:p w14:paraId="7335702F" w14:textId="77777777" w:rsidR="00425AE3" w:rsidRDefault="00425AE3">
            <w:pPr>
              <w:pStyle w:val="ListParagraph"/>
              <w:ind w:left="567" w:hanging="567"/>
              <w:rPr>
                <w:sz w:val="22"/>
                <w:szCs w:val="22"/>
                <w:lang w:val="de-DE"/>
              </w:rPr>
            </w:pPr>
          </w:p>
          <w:p w14:paraId="641DACAA" w14:textId="77777777" w:rsidR="00425AE3" w:rsidRDefault="00425AE3">
            <w:pPr>
              <w:pStyle w:val="ListParagraph"/>
              <w:ind w:left="567" w:hanging="567"/>
              <w:rPr>
                <w:sz w:val="22"/>
                <w:szCs w:val="22"/>
                <w:lang w:val="de-DE"/>
              </w:rPr>
            </w:pPr>
          </w:p>
          <w:p w14:paraId="6175DDAE" w14:textId="30F870F4" w:rsidR="00425AE3" w:rsidRDefault="00425AE3">
            <w:pPr>
              <w:pStyle w:val="ListParagraph"/>
              <w:tabs>
                <w:tab w:val="left" w:pos="3773"/>
              </w:tabs>
              <w:ind w:left="567" w:hanging="567"/>
              <w:rPr>
                <w:sz w:val="22"/>
                <w:szCs w:val="22"/>
                <w:lang w:val="de-DE"/>
              </w:rPr>
            </w:pPr>
            <w:r>
              <w:rPr>
                <w:sz w:val="22"/>
                <w:szCs w:val="22"/>
                <w:lang w:val="de-DE"/>
              </w:rPr>
              <w:t xml:space="preserve">                             Pflaster</w:t>
            </w:r>
          </w:p>
          <w:p w14:paraId="01C659F2" w14:textId="77777777" w:rsidR="00425AE3" w:rsidRDefault="00425AE3">
            <w:pPr>
              <w:pStyle w:val="ListParagraph"/>
              <w:ind w:left="567" w:hanging="567"/>
              <w:rPr>
                <w:sz w:val="22"/>
                <w:szCs w:val="22"/>
                <w:lang w:val="de-DE"/>
              </w:rPr>
            </w:pPr>
          </w:p>
          <w:p w14:paraId="31754473" w14:textId="77777777" w:rsidR="00425AE3" w:rsidRDefault="00425AE3">
            <w:pPr>
              <w:pStyle w:val="ListParagraph"/>
              <w:ind w:left="567" w:hanging="567"/>
              <w:rPr>
                <w:sz w:val="22"/>
                <w:szCs w:val="22"/>
                <w:lang w:val="de-DE"/>
              </w:rPr>
            </w:pPr>
          </w:p>
          <w:p w14:paraId="3F205EA8" w14:textId="77777777" w:rsidR="00425AE3" w:rsidRDefault="00425AE3" w:rsidP="00425AE3">
            <w:pPr>
              <w:pStyle w:val="ListParagraph"/>
              <w:ind w:left="5335"/>
              <w:rPr>
                <w:b/>
                <w:sz w:val="22"/>
                <w:szCs w:val="22"/>
                <w:lang w:val="de-DE"/>
              </w:rPr>
            </w:pPr>
            <w:r>
              <w:rPr>
                <w:sz w:val="22"/>
                <w:szCs w:val="22"/>
                <w:lang w:val="de-DE"/>
              </w:rPr>
              <w:t>Wattebausch oder Verbandmull</w:t>
            </w:r>
          </w:p>
        </w:tc>
      </w:tr>
      <w:tr w:rsidR="00FE291A" w14:paraId="35CF57FB" w14:textId="77777777">
        <w:trPr>
          <w:cantSplit/>
          <w:trHeight w:val="57"/>
        </w:trPr>
        <w:tc>
          <w:tcPr>
            <w:tcW w:w="357" w:type="pct"/>
            <w:tcBorders>
              <w:top w:val="nil"/>
              <w:left w:val="single" w:sz="4" w:space="0" w:color="auto"/>
              <w:bottom w:val="nil"/>
              <w:right w:val="nil"/>
            </w:tcBorders>
            <w:tcMar>
              <w:top w:w="28" w:type="dxa"/>
              <w:left w:w="57" w:type="dxa"/>
              <w:bottom w:w="28" w:type="dxa"/>
              <w:right w:w="57" w:type="dxa"/>
            </w:tcMar>
          </w:tcPr>
          <w:p w14:paraId="26CC9C15"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3" w:type="pct"/>
            <w:tcBorders>
              <w:top w:val="nil"/>
              <w:left w:val="nil"/>
              <w:bottom w:val="nil"/>
              <w:right w:val="single" w:sz="4" w:space="0" w:color="auto"/>
            </w:tcBorders>
            <w:tcMar>
              <w:top w:w="0" w:type="dxa"/>
              <w:left w:w="0" w:type="dxa"/>
              <w:bottom w:w="0" w:type="dxa"/>
              <w:right w:w="108" w:type="dxa"/>
            </w:tcMar>
          </w:tcPr>
          <w:p w14:paraId="128C9225" w14:textId="77777777" w:rsidR="00FE291A" w:rsidRDefault="00C8738F">
            <w:pPr>
              <w:rPr>
                <w:b/>
                <w:bCs/>
                <w:sz w:val="22"/>
                <w:szCs w:val="22"/>
                <w:lang w:val="de-DE"/>
              </w:rPr>
            </w:pPr>
            <w:r>
              <w:rPr>
                <w:sz w:val="22"/>
                <w:szCs w:val="22"/>
                <w:lang w:val="de-DE"/>
              </w:rPr>
              <w:t>AMGEVITA-</w:t>
            </w:r>
            <w:r>
              <w:rPr>
                <w:color w:val="000000"/>
                <w:sz w:val="22"/>
                <w:szCs w:val="22"/>
                <w:lang w:val="de-DE"/>
              </w:rPr>
              <w:t xml:space="preserve">Fertigspritze </w:t>
            </w:r>
            <w:r>
              <w:rPr>
                <w:sz w:val="22"/>
                <w:szCs w:val="22"/>
                <w:lang w:val="de-DE"/>
              </w:rPr>
              <w:t>(Raumtemperatur)</w:t>
            </w:r>
          </w:p>
        </w:tc>
      </w:tr>
      <w:tr w:rsidR="00FE291A" w14:paraId="08CD3919" w14:textId="77777777">
        <w:trPr>
          <w:cantSplit/>
          <w:trHeight w:val="57"/>
        </w:trPr>
        <w:tc>
          <w:tcPr>
            <w:tcW w:w="357" w:type="pct"/>
            <w:tcBorders>
              <w:top w:val="nil"/>
              <w:left w:val="single" w:sz="4" w:space="0" w:color="auto"/>
              <w:bottom w:val="nil"/>
              <w:right w:val="nil"/>
            </w:tcBorders>
            <w:tcMar>
              <w:top w:w="28" w:type="dxa"/>
              <w:left w:w="57" w:type="dxa"/>
              <w:bottom w:w="28" w:type="dxa"/>
              <w:right w:w="57" w:type="dxa"/>
            </w:tcMar>
          </w:tcPr>
          <w:p w14:paraId="6E6EF70C"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3" w:type="pct"/>
            <w:tcBorders>
              <w:top w:val="nil"/>
              <w:left w:val="nil"/>
              <w:bottom w:val="nil"/>
              <w:right w:val="single" w:sz="4" w:space="0" w:color="auto"/>
            </w:tcBorders>
            <w:tcMar>
              <w:top w:w="0" w:type="dxa"/>
              <w:left w:w="0" w:type="dxa"/>
              <w:bottom w:w="0" w:type="dxa"/>
              <w:right w:w="108" w:type="dxa"/>
            </w:tcMar>
          </w:tcPr>
          <w:p w14:paraId="32087069" w14:textId="77777777" w:rsidR="00FE291A" w:rsidRDefault="00C8738F">
            <w:pPr>
              <w:rPr>
                <w:sz w:val="22"/>
                <w:szCs w:val="22"/>
                <w:lang w:val="de-DE"/>
              </w:rPr>
            </w:pPr>
            <w:r>
              <w:rPr>
                <w:sz w:val="22"/>
                <w:szCs w:val="22"/>
                <w:lang w:val="de-DE"/>
              </w:rPr>
              <w:t xml:space="preserve">Durchstichsicherer Behälter </w:t>
            </w:r>
          </w:p>
        </w:tc>
      </w:tr>
      <w:tr w:rsidR="00FE291A" w14:paraId="284A96A6" w14:textId="77777777">
        <w:trPr>
          <w:cantSplit/>
          <w:trHeight w:val="57"/>
        </w:trPr>
        <w:tc>
          <w:tcPr>
            <w:tcW w:w="357" w:type="pct"/>
            <w:tcBorders>
              <w:top w:val="nil"/>
              <w:left w:val="single" w:sz="4" w:space="0" w:color="auto"/>
              <w:bottom w:val="nil"/>
              <w:right w:val="nil"/>
            </w:tcBorders>
            <w:tcMar>
              <w:top w:w="28" w:type="dxa"/>
              <w:left w:w="57" w:type="dxa"/>
              <w:bottom w:w="28" w:type="dxa"/>
              <w:right w:w="57" w:type="dxa"/>
            </w:tcMar>
          </w:tcPr>
          <w:p w14:paraId="44143C76"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3" w:type="pct"/>
            <w:tcBorders>
              <w:top w:val="nil"/>
              <w:left w:val="nil"/>
              <w:bottom w:val="nil"/>
              <w:right w:val="single" w:sz="4" w:space="0" w:color="auto"/>
            </w:tcBorders>
            <w:tcMar>
              <w:top w:w="0" w:type="dxa"/>
              <w:left w:w="0" w:type="dxa"/>
              <w:bottom w:w="0" w:type="dxa"/>
              <w:right w:w="108" w:type="dxa"/>
            </w:tcMar>
          </w:tcPr>
          <w:p w14:paraId="5760668A" w14:textId="77777777" w:rsidR="00FE291A" w:rsidRDefault="00C8738F">
            <w:pPr>
              <w:rPr>
                <w:sz w:val="22"/>
                <w:szCs w:val="22"/>
                <w:lang w:val="de-DE"/>
              </w:rPr>
            </w:pPr>
            <w:r>
              <w:rPr>
                <w:sz w:val="22"/>
                <w:szCs w:val="22"/>
                <w:lang w:val="de-DE"/>
              </w:rPr>
              <w:t>Alkoholtupfer</w:t>
            </w:r>
          </w:p>
        </w:tc>
      </w:tr>
      <w:tr w:rsidR="00FE291A" w14:paraId="4AB6834A" w14:textId="77777777">
        <w:trPr>
          <w:cantSplit/>
          <w:trHeight w:val="57"/>
        </w:trPr>
        <w:tc>
          <w:tcPr>
            <w:tcW w:w="357" w:type="pct"/>
            <w:tcBorders>
              <w:top w:val="nil"/>
              <w:left w:val="single" w:sz="4" w:space="0" w:color="auto"/>
              <w:bottom w:val="nil"/>
              <w:right w:val="nil"/>
            </w:tcBorders>
            <w:tcMar>
              <w:top w:w="28" w:type="dxa"/>
              <w:left w:w="57" w:type="dxa"/>
              <w:bottom w:w="28" w:type="dxa"/>
              <w:right w:w="57" w:type="dxa"/>
            </w:tcMar>
          </w:tcPr>
          <w:p w14:paraId="508221F7"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3" w:type="pct"/>
            <w:tcBorders>
              <w:top w:val="nil"/>
              <w:left w:val="nil"/>
              <w:bottom w:val="nil"/>
              <w:right w:val="single" w:sz="4" w:space="0" w:color="auto"/>
            </w:tcBorders>
            <w:tcMar>
              <w:top w:w="0" w:type="dxa"/>
              <w:left w:w="0" w:type="dxa"/>
              <w:bottom w:w="0" w:type="dxa"/>
              <w:right w:w="108" w:type="dxa"/>
            </w:tcMar>
          </w:tcPr>
          <w:p w14:paraId="2B5DDB65" w14:textId="77777777" w:rsidR="00FE291A" w:rsidRDefault="00C8738F">
            <w:pPr>
              <w:rPr>
                <w:sz w:val="22"/>
                <w:szCs w:val="22"/>
                <w:lang w:val="de-DE"/>
              </w:rPr>
            </w:pPr>
            <w:r>
              <w:rPr>
                <w:sz w:val="22"/>
                <w:szCs w:val="22"/>
                <w:lang w:val="de-DE"/>
              </w:rPr>
              <w:t>Pflaster</w:t>
            </w:r>
          </w:p>
        </w:tc>
      </w:tr>
      <w:tr w:rsidR="00FE291A" w14:paraId="5F0DBEF3" w14:textId="77777777">
        <w:trPr>
          <w:cantSplit/>
          <w:trHeight w:val="57"/>
        </w:trPr>
        <w:tc>
          <w:tcPr>
            <w:tcW w:w="357" w:type="pct"/>
            <w:tcBorders>
              <w:top w:val="nil"/>
              <w:left w:val="single" w:sz="4" w:space="0" w:color="auto"/>
              <w:bottom w:val="single" w:sz="4" w:space="0" w:color="auto"/>
              <w:right w:val="nil"/>
            </w:tcBorders>
            <w:tcMar>
              <w:top w:w="28" w:type="dxa"/>
              <w:left w:w="57" w:type="dxa"/>
              <w:bottom w:w="28" w:type="dxa"/>
              <w:right w:w="57" w:type="dxa"/>
            </w:tcMar>
          </w:tcPr>
          <w:p w14:paraId="56D7804E"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3" w:type="pct"/>
            <w:tcBorders>
              <w:top w:val="nil"/>
              <w:left w:val="nil"/>
              <w:bottom w:val="single" w:sz="4" w:space="0" w:color="auto"/>
              <w:right w:val="single" w:sz="4" w:space="0" w:color="auto"/>
            </w:tcBorders>
            <w:tcMar>
              <w:top w:w="0" w:type="dxa"/>
              <w:left w:w="0" w:type="dxa"/>
              <w:bottom w:w="0" w:type="dxa"/>
              <w:right w:w="108" w:type="dxa"/>
            </w:tcMar>
          </w:tcPr>
          <w:p w14:paraId="246202AF" w14:textId="77777777" w:rsidR="00FE291A" w:rsidRDefault="00C8738F">
            <w:pPr>
              <w:rPr>
                <w:sz w:val="22"/>
                <w:szCs w:val="22"/>
                <w:lang w:val="de-DE"/>
              </w:rPr>
            </w:pPr>
            <w:r>
              <w:rPr>
                <w:sz w:val="22"/>
                <w:szCs w:val="22"/>
                <w:lang w:val="de-DE"/>
              </w:rPr>
              <w:t>Wattebausch oder Verbandmull</w:t>
            </w:r>
          </w:p>
        </w:tc>
      </w:tr>
    </w:tbl>
    <w:p w14:paraId="2D636624" w14:textId="77777777" w:rsidR="00FE291A" w:rsidRDefault="00FE291A">
      <w:pPr>
        <w:rPr>
          <w:b/>
          <w:bCs/>
          <w:sz w:val="22"/>
          <w:szCs w:val="22"/>
          <w:lang w:val="de-DE"/>
        </w:rPr>
      </w:pPr>
    </w:p>
    <w:tbl>
      <w:tblPr>
        <w:tblW w:w="4921"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Change w:id="171" w:author="Author">
          <w:tblPr>
            <w:tblW w:w="470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PrChange>
      </w:tblPr>
      <w:tblGrid>
        <w:gridCol w:w="633"/>
        <w:gridCol w:w="1174"/>
        <w:gridCol w:w="4805"/>
        <w:gridCol w:w="2306"/>
        <w:tblGridChange w:id="172">
          <w:tblGrid>
            <w:gridCol w:w="633"/>
            <w:gridCol w:w="1173"/>
            <w:gridCol w:w="4805"/>
            <w:gridCol w:w="2307"/>
          </w:tblGrid>
        </w:tblGridChange>
      </w:tblGrid>
      <w:tr w:rsidR="00FE291A" w14:paraId="1B3C4A06" w14:textId="77777777" w:rsidTr="00F076DE">
        <w:trPr>
          <w:cantSplit/>
          <w:trHeight w:val="57"/>
          <w:trPrChange w:id="173" w:author="Author">
            <w:trPr>
              <w:cantSplit/>
              <w:trHeight w:val="57"/>
            </w:trPr>
          </w:trPrChange>
        </w:trPr>
        <w:tc>
          <w:tcPr>
            <w:tcW w:w="35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174" w:author="Author">
              <w:tcPr>
                <w:tcW w:w="35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59524234" w14:textId="77777777" w:rsidR="00FE291A" w:rsidRDefault="00C8738F">
            <w:pPr>
              <w:keepNext/>
              <w:rPr>
                <w:b/>
                <w:bCs/>
                <w:sz w:val="22"/>
                <w:szCs w:val="22"/>
                <w:lang w:val="de-DE"/>
              </w:rPr>
            </w:pPr>
            <w:r>
              <w:rPr>
                <w:b/>
                <w:sz w:val="22"/>
                <w:szCs w:val="22"/>
                <w:lang w:val="de-DE"/>
              </w:rPr>
              <w:t>3</w:t>
            </w:r>
          </w:p>
        </w:tc>
        <w:tc>
          <w:tcPr>
            <w:tcW w:w="4645" w:type="pct"/>
            <w:gridSpan w:val="3"/>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175" w:author="Author">
              <w:tcPr>
                <w:tcW w:w="4644" w:type="pct"/>
                <w:gridSpan w:val="3"/>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43C29789" w14:textId="77777777" w:rsidR="00FE291A" w:rsidRDefault="00C8738F">
            <w:pPr>
              <w:pStyle w:val="ListParagraph"/>
              <w:ind w:left="567" w:hanging="567"/>
              <w:rPr>
                <w:b/>
                <w:bCs/>
                <w:sz w:val="22"/>
                <w:szCs w:val="22"/>
                <w:lang w:val="de-DE"/>
              </w:rPr>
            </w:pPr>
            <w:r>
              <w:rPr>
                <w:b/>
                <w:sz w:val="22"/>
                <w:szCs w:val="22"/>
                <w:lang w:val="de-DE"/>
              </w:rPr>
              <w:t>Vorbereitung auf Ihre Injektion</w:t>
            </w:r>
          </w:p>
        </w:tc>
      </w:tr>
      <w:tr w:rsidR="00FE291A" w14:paraId="00A45EF2" w14:textId="77777777" w:rsidTr="00F076DE">
        <w:trPr>
          <w:cantSplit/>
          <w:trHeight w:val="57"/>
          <w:trPrChange w:id="176" w:author="Author">
            <w:trPr>
              <w:cantSplit/>
              <w:trHeight w:val="57"/>
            </w:trPr>
          </w:trPrChange>
        </w:trPr>
        <w:tc>
          <w:tcPr>
            <w:tcW w:w="35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177" w:author="Author">
              <w:tcPr>
                <w:tcW w:w="35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72F08731" w14:textId="77777777" w:rsidR="00FE291A" w:rsidRDefault="00C8738F">
            <w:pPr>
              <w:keepNext/>
              <w:rPr>
                <w:b/>
                <w:bCs/>
                <w:sz w:val="22"/>
                <w:szCs w:val="22"/>
                <w:lang w:val="de-DE"/>
              </w:rPr>
            </w:pPr>
            <w:r>
              <w:rPr>
                <w:b/>
                <w:sz w:val="22"/>
                <w:szCs w:val="22"/>
                <w:lang w:val="de-DE"/>
              </w:rPr>
              <w:t>3a</w:t>
            </w:r>
          </w:p>
        </w:tc>
        <w:tc>
          <w:tcPr>
            <w:tcW w:w="4645" w:type="pct"/>
            <w:gridSpan w:val="3"/>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178" w:author="Author">
              <w:tcPr>
                <w:tcW w:w="4644" w:type="pct"/>
                <w:gridSpan w:val="3"/>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107F59CA" w14:textId="77777777" w:rsidR="00FE291A" w:rsidRDefault="00C8738F">
            <w:pPr>
              <w:pStyle w:val="ListParagraph"/>
              <w:ind w:left="567" w:hanging="567"/>
              <w:rPr>
                <w:sz w:val="22"/>
                <w:szCs w:val="22"/>
                <w:lang w:val="de-DE"/>
              </w:rPr>
            </w:pPr>
            <w:r>
              <w:rPr>
                <w:b/>
                <w:sz w:val="22"/>
                <w:szCs w:val="22"/>
                <w:lang w:val="de-DE"/>
              </w:rPr>
              <w:t>Überprüfen Sie das Arzneimittel.</w:t>
            </w:r>
          </w:p>
        </w:tc>
      </w:tr>
      <w:tr w:rsidR="00FE291A" w14:paraId="5C5CAE75" w14:textId="77777777" w:rsidTr="00F076DE">
        <w:trPr>
          <w:cantSplit/>
          <w:trHeight w:val="2070"/>
          <w:trPrChange w:id="179" w:author="Author">
            <w:trPr>
              <w:cantSplit/>
              <w:trHeight w:val="2070"/>
            </w:trPr>
          </w:trPrChange>
        </w:trPr>
        <w:tc>
          <w:tcPr>
            <w:tcW w:w="1013" w:type="pct"/>
            <w:gridSpan w:val="2"/>
            <w:tcBorders>
              <w:top w:val="single" w:sz="4" w:space="0" w:color="auto"/>
              <w:left w:val="single" w:sz="4" w:space="0" w:color="auto"/>
              <w:bottom w:val="single" w:sz="4" w:space="0" w:color="auto"/>
              <w:right w:val="nil"/>
            </w:tcBorders>
            <w:tcMar>
              <w:top w:w="28" w:type="dxa"/>
              <w:left w:w="57" w:type="dxa"/>
              <w:bottom w:w="28" w:type="dxa"/>
              <w:right w:w="57" w:type="dxa"/>
            </w:tcMar>
            <w:tcPrChange w:id="180" w:author="Author">
              <w:tcPr>
                <w:tcW w:w="1015" w:type="pct"/>
                <w:gridSpan w:val="2"/>
                <w:tcBorders>
                  <w:top w:val="single" w:sz="4" w:space="0" w:color="auto"/>
                  <w:left w:val="single" w:sz="4" w:space="0" w:color="auto"/>
                  <w:bottom w:val="single" w:sz="4" w:space="0" w:color="auto"/>
                  <w:right w:val="nil"/>
                </w:tcBorders>
                <w:tcMar>
                  <w:top w:w="28" w:type="dxa"/>
                  <w:left w:w="57" w:type="dxa"/>
                  <w:bottom w:w="28" w:type="dxa"/>
                  <w:right w:w="57" w:type="dxa"/>
                </w:tcMar>
              </w:tcPr>
            </w:tcPrChange>
          </w:tcPr>
          <w:p w14:paraId="3CDB251C" w14:textId="77777777" w:rsidR="00FE291A" w:rsidRDefault="00FE291A">
            <w:pPr>
              <w:pStyle w:val="ListParagraph"/>
              <w:keepNext/>
              <w:ind w:left="567" w:hanging="567"/>
              <w:rPr>
                <w:sz w:val="22"/>
                <w:szCs w:val="22"/>
                <w:lang w:val="de-DE"/>
              </w:rPr>
            </w:pPr>
          </w:p>
          <w:p w14:paraId="3E2B69AE" w14:textId="77777777" w:rsidR="00FE291A" w:rsidRDefault="00FE291A">
            <w:pPr>
              <w:pStyle w:val="ListParagraph"/>
              <w:keepNext/>
              <w:ind w:left="567" w:hanging="567"/>
              <w:rPr>
                <w:sz w:val="22"/>
                <w:szCs w:val="22"/>
                <w:lang w:val="de-DE"/>
              </w:rPr>
            </w:pPr>
          </w:p>
        </w:tc>
        <w:tc>
          <w:tcPr>
            <w:tcW w:w="2694" w:type="pct"/>
            <w:tcBorders>
              <w:top w:val="single" w:sz="4" w:space="0" w:color="auto"/>
              <w:left w:val="nil"/>
              <w:bottom w:val="single" w:sz="4" w:space="0" w:color="auto"/>
              <w:right w:val="nil"/>
            </w:tcBorders>
            <w:tcPrChange w:id="181" w:author="Author">
              <w:tcPr>
                <w:tcW w:w="2689" w:type="pct"/>
                <w:tcBorders>
                  <w:top w:val="single" w:sz="4" w:space="0" w:color="auto"/>
                  <w:left w:val="nil"/>
                  <w:bottom w:val="single" w:sz="4" w:space="0" w:color="auto"/>
                  <w:right w:val="nil"/>
                </w:tcBorders>
              </w:tcPr>
            </w:tcPrChange>
          </w:tcPr>
          <w:p w14:paraId="22821A98" w14:textId="32DB375B" w:rsidR="00FE291A" w:rsidRDefault="009C5B62">
            <w:pPr>
              <w:pStyle w:val="ListParagraph"/>
              <w:keepNext/>
              <w:ind w:left="567" w:hanging="567"/>
              <w:rPr>
                <w:sz w:val="22"/>
                <w:szCs w:val="22"/>
                <w:lang w:val="de-DE"/>
              </w:rPr>
            </w:pPr>
            <w:r>
              <w:rPr>
                <w:noProof/>
              </w:rPr>
              <w:drawing>
                <wp:inline distT="0" distB="0" distL="0" distR="0" wp14:anchorId="13E9AD7B" wp14:editId="1C27830C">
                  <wp:extent cx="2960370" cy="1674495"/>
                  <wp:effectExtent l="0" t="0" r="0" b="0"/>
                  <wp:docPr id="52" name="Bild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960370" cy="1674495"/>
                          </a:xfrm>
                          <a:prstGeom prst="rect">
                            <a:avLst/>
                          </a:prstGeom>
                          <a:noFill/>
                          <a:ln>
                            <a:noFill/>
                          </a:ln>
                        </pic:spPr>
                      </pic:pic>
                    </a:graphicData>
                  </a:graphic>
                </wp:inline>
              </w:drawing>
            </w:r>
          </w:p>
          <w:p w14:paraId="7442FFA6" w14:textId="77777777" w:rsidR="00FE291A" w:rsidRDefault="00FE291A">
            <w:pPr>
              <w:pStyle w:val="ListParagraph"/>
              <w:keepNext/>
              <w:ind w:left="567" w:hanging="567"/>
              <w:rPr>
                <w:sz w:val="22"/>
                <w:szCs w:val="22"/>
                <w:lang w:val="de-DE"/>
              </w:rPr>
            </w:pPr>
          </w:p>
          <w:p w14:paraId="4956799E" w14:textId="77777777" w:rsidR="00FE291A" w:rsidRDefault="00FE291A">
            <w:pPr>
              <w:pStyle w:val="ListParagraph"/>
              <w:keepNext/>
              <w:ind w:left="567" w:hanging="567"/>
              <w:rPr>
                <w:sz w:val="22"/>
                <w:szCs w:val="22"/>
                <w:lang w:val="de-DE"/>
              </w:rPr>
            </w:pPr>
          </w:p>
        </w:tc>
        <w:tc>
          <w:tcPr>
            <w:tcW w:w="1293" w:type="pct"/>
            <w:tcBorders>
              <w:top w:val="single" w:sz="4" w:space="0" w:color="auto"/>
              <w:left w:val="nil"/>
              <w:bottom w:val="single" w:sz="4" w:space="0" w:color="auto"/>
              <w:right w:val="single" w:sz="4" w:space="0" w:color="auto"/>
            </w:tcBorders>
            <w:tcPrChange w:id="182" w:author="Author">
              <w:tcPr>
                <w:tcW w:w="1296" w:type="pct"/>
                <w:tcBorders>
                  <w:top w:val="single" w:sz="4" w:space="0" w:color="auto"/>
                  <w:left w:val="nil"/>
                  <w:bottom w:val="single" w:sz="4" w:space="0" w:color="auto"/>
                  <w:right w:val="single" w:sz="4" w:space="0" w:color="auto"/>
                </w:tcBorders>
              </w:tcPr>
            </w:tcPrChange>
          </w:tcPr>
          <w:p w14:paraId="1584750C" w14:textId="77777777" w:rsidR="00FE291A" w:rsidRDefault="00FE291A">
            <w:pPr>
              <w:pStyle w:val="ListParagraph"/>
              <w:ind w:left="567" w:hanging="567"/>
              <w:rPr>
                <w:b/>
                <w:bCs/>
                <w:sz w:val="22"/>
                <w:szCs w:val="22"/>
                <w:lang w:val="de-DE"/>
              </w:rPr>
            </w:pPr>
          </w:p>
          <w:p w14:paraId="158B0E40" w14:textId="77777777" w:rsidR="00FE291A" w:rsidRDefault="00FE291A">
            <w:pPr>
              <w:pStyle w:val="ListParagraph"/>
              <w:ind w:left="567" w:hanging="567"/>
              <w:rPr>
                <w:b/>
                <w:bCs/>
                <w:sz w:val="22"/>
                <w:szCs w:val="22"/>
                <w:lang w:val="de-DE"/>
              </w:rPr>
            </w:pPr>
          </w:p>
          <w:p w14:paraId="12AE6C45" w14:textId="77777777" w:rsidR="00FE291A" w:rsidRDefault="00FE291A">
            <w:pPr>
              <w:pStyle w:val="ListParagraph"/>
              <w:ind w:left="567" w:hanging="567"/>
              <w:rPr>
                <w:b/>
                <w:bCs/>
                <w:sz w:val="22"/>
                <w:szCs w:val="22"/>
                <w:lang w:val="de-DE"/>
              </w:rPr>
            </w:pPr>
          </w:p>
          <w:p w14:paraId="487C3D53" w14:textId="77777777" w:rsidR="00FE291A" w:rsidRDefault="00FE291A">
            <w:pPr>
              <w:pStyle w:val="ListParagraph"/>
              <w:ind w:left="567" w:hanging="567"/>
              <w:rPr>
                <w:b/>
                <w:bCs/>
                <w:sz w:val="22"/>
                <w:szCs w:val="22"/>
                <w:lang w:val="de-DE"/>
              </w:rPr>
            </w:pPr>
          </w:p>
          <w:p w14:paraId="61498413" w14:textId="77777777" w:rsidR="00FE291A" w:rsidRDefault="00C8738F">
            <w:pPr>
              <w:pStyle w:val="ListParagraph"/>
              <w:ind w:left="567" w:hanging="567"/>
              <w:rPr>
                <w:sz w:val="22"/>
                <w:szCs w:val="22"/>
                <w:lang w:val="de-DE"/>
              </w:rPr>
            </w:pPr>
            <w:r>
              <w:rPr>
                <w:sz w:val="22"/>
                <w:szCs w:val="22"/>
                <w:lang w:val="de-DE"/>
              </w:rPr>
              <w:t>Arzneimittel</w:t>
            </w:r>
          </w:p>
        </w:tc>
      </w:tr>
      <w:tr w:rsidR="00FE291A" w:rsidRPr="002E6CD3" w14:paraId="308F3233" w14:textId="77777777" w:rsidTr="00F076DE">
        <w:trPr>
          <w:cantSplit/>
          <w:trHeight w:val="57"/>
          <w:trPrChange w:id="183" w:author="Author">
            <w:trPr>
              <w:cantSplit/>
              <w:trHeight w:val="57"/>
            </w:trPr>
          </w:trPrChange>
        </w:trPr>
        <w:tc>
          <w:tcPr>
            <w:tcW w:w="355" w:type="pct"/>
            <w:tcBorders>
              <w:top w:val="single" w:sz="4" w:space="0" w:color="auto"/>
              <w:left w:val="single" w:sz="4" w:space="0" w:color="auto"/>
              <w:bottom w:val="nil"/>
              <w:right w:val="nil"/>
            </w:tcBorders>
            <w:tcMar>
              <w:top w:w="28" w:type="dxa"/>
              <w:left w:w="57" w:type="dxa"/>
              <w:bottom w:w="28" w:type="dxa"/>
              <w:right w:w="57" w:type="dxa"/>
            </w:tcMar>
            <w:tcPrChange w:id="184" w:author="Author">
              <w:tcPr>
                <w:tcW w:w="356" w:type="pct"/>
                <w:tcBorders>
                  <w:top w:val="single" w:sz="4" w:space="0" w:color="auto"/>
                  <w:left w:val="single" w:sz="4" w:space="0" w:color="auto"/>
                  <w:bottom w:val="nil"/>
                  <w:right w:val="nil"/>
                </w:tcBorders>
                <w:tcMar>
                  <w:top w:w="28" w:type="dxa"/>
                  <w:left w:w="57" w:type="dxa"/>
                  <w:bottom w:w="28" w:type="dxa"/>
                  <w:right w:w="57" w:type="dxa"/>
                </w:tcMar>
              </w:tcPr>
            </w:tcPrChange>
          </w:tcPr>
          <w:p w14:paraId="6A9DAB5F"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5" w:type="pct"/>
            <w:gridSpan w:val="3"/>
            <w:tcBorders>
              <w:top w:val="single" w:sz="4" w:space="0" w:color="auto"/>
              <w:left w:val="nil"/>
              <w:bottom w:val="nil"/>
              <w:right w:val="single" w:sz="4" w:space="0" w:color="auto"/>
            </w:tcBorders>
            <w:tcMar>
              <w:top w:w="0" w:type="dxa"/>
              <w:left w:w="0" w:type="dxa"/>
              <w:bottom w:w="0" w:type="dxa"/>
              <w:right w:w="108" w:type="dxa"/>
            </w:tcMar>
            <w:tcPrChange w:id="185" w:author="Author">
              <w:tcPr>
                <w:tcW w:w="4644" w:type="pct"/>
                <w:gridSpan w:val="3"/>
                <w:tcBorders>
                  <w:top w:val="single" w:sz="4" w:space="0" w:color="auto"/>
                  <w:left w:val="nil"/>
                  <w:bottom w:val="nil"/>
                  <w:right w:val="single" w:sz="4" w:space="0" w:color="auto"/>
                </w:tcBorders>
                <w:tcMar>
                  <w:top w:w="0" w:type="dxa"/>
                  <w:left w:w="0" w:type="dxa"/>
                  <w:bottom w:w="0" w:type="dxa"/>
                  <w:right w:w="108" w:type="dxa"/>
                </w:tcMar>
              </w:tcPr>
            </w:tcPrChange>
          </w:tcPr>
          <w:p w14:paraId="3DC458CB" w14:textId="77777777" w:rsidR="00FE291A" w:rsidRDefault="00C8738F">
            <w:pPr>
              <w:rPr>
                <w:bCs/>
                <w:sz w:val="22"/>
                <w:szCs w:val="22"/>
                <w:lang w:val="de-DE"/>
              </w:rPr>
            </w:pPr>
            <w:r>
              <w:rPr>
                <w:sz w:val="22"/>
                <w:szCs w:val="22"/>
                <w:lang w:val="de-DE"/>
              </w:rPr>
              <w:t>Es sollte klar und farblos bis leicht gelblich sein.</w:t>
            </w:r>
          </w:p>
        </w:tc>
      </w:tr>
      <w:tr w:rsidR="00FE291A" w:rsidRPr="002E6CD3" w14:paraId="066900B7" w14:textId="77777777" w:rsidTr="00F076DE">
        <w:trPr>
          <w:cantSplit/>
          <w:trHeight w:val="57"/>
          <w:trPrChange w:id="186" w:author="Author">
            <w:trPr>
              <w:cantSplit/>
              <w:trHeight w:val="57"/>
            </w:trPr>
          </w:trPrChange>
        </w:trPr>
        <w:tc>
          <w:tcPr>
            <w:tcW w:w="355" w:type="pct"/>
            <w:tcBorders>
              <w:top w:val="nil"/>
              <w:left w:val="single" w:sz="4" w:space="0" w:color="auto"/>
              <w:bottom w:val="nil"/>
              <w:right w:val="nil"/>
            </w:tcBorders>
            <w:tcMar>
              <w:top w:w="28" w:type="dxa"/>
              <w:left w:w="57" w:type="dxa"/>
              <w:bottom w:w="28" w:type="dxa"/>
              <w:right w:w="57" w:type="dxa"/>
            </w:tcMar>
            <w:tcPrChange w:id="187" w:author="Author">
              <w:tcPr>
                <w:tcW w:w="356" w:type="pct"/>
                <w:tcBorders>
                  <w:top w:val="nil"/>
                  <w:left w:val="single" w:sz="4" w:space="0" w:color="auto"/>
                  <w:bottom w:val="nil"/>
                  <w:right w:val="nil"/>
                </w:tcBorders>
                <w:tcMar>
                  <w:top w:w="28" w:type="dxa"/>
                  <w:left w:w="57" w:type="dxa"/>
                  <w:bottom w:w="28" w:type="dxa"/>
                  <w:right w:w="57" w:type="dxa"/>
                </w:tcMar>
              </w:tcPr>
            </w:tcPrChange>
          </w:tcPr>
          <w:p w14:paraId="008588D3"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5" w:type="pct"/>
            <w:gridSpan w:val="3"/>
            <w:tcBorders>
              <w:top w:val="nil"/>
              <w:left w:val="nil"/>
              <w:bottom w:val="nil"/>
              <w:right w:val="single" w:sz="4" w:space="0" w:color="auto"/>
            </w:tcBorders>
            <w:tcMar>
              <w:top w:w="0" w:type="dxa"/>
              <w:left w:w="0" w:type="dxa"/>
              <w:bottom w:w="0" w:type="dxa"/>
              <w:right w:w="108" w:type="dxa"/>
            </w:tcMar>
            <w:tcPrChange w:id="188" w:author="Author">
              <w:tcPr>
                <w:tcW w:w="4644" w:type="pct"/>
                <w:gridSpan w:val="3"/>
                <w:tcBorders>
                  <w:top w:val="nil"/>
                  <w:left w:val="nil"/>
                  <w:bottom w:val="nil"/>
                  <w:right w:val="single" w:sz="4" w:space="0" w:color="auto"/>
                </w:tcBorders>
                <w:tcMar>
                  <w:top w:w="0" w:type="dxa"/>
                  <w:left w:w="0" w:type="dxa"/>
                  <w:bottom w:w="0" w:type="dxa"/>
                  <w:right w:w="108" w:type="dxa"/>
                </w:tcMar>
              </w:tcPr>
            </w:tcPrChange>
          </w:tcPr>
          <w:p w14:paraId="1DDEC645" w14:textId="77777777" w:rsidR="00FE291A" w:rsidRDefault="00C8738F">
            <w:pPr>
              <w:rPr>
                <w:sz w:val="22"/>
                <w:szCs w:val="22"/>
                <w:lang w:val="de-DE"/>
              </w:rPr>
            </w:pPr>
            <w:r>
              <w:rPr>
                <w:sz w:val="22"/>
                <w:szCs w:val="22"/>
                <w:lang w:val="de-DE"/>
              </w:rPr>
              <w:t xml:space="preserve">Es ist in Ordnung, wenn Luftblasen in der </w:t>
            </w:r>
            <w:r>
              <w:rPr>
                <w:color w:val="000000"/>
                <w:sz w:val="22"/>
                <w:szCs w:val="22"/>
                <w:lang w:val="de-DE"/>
              </w:rPr>
              <w:t>Fertigspritze</w:t>
            </w:r>
            <w:r>
              <w:rPr>
                <w:sz w:val="22"/>
                <w:szCs w:val="22"/>
                <w:lang w:val="de-DE"/>
              </w:rPr>
              <w:t xml:space="preserve"> zu sehen sind.</w:t>
            </w:r>
          </w:p>
        </w:tc>
      </w:tr>
      <w:tr w:rsidR="00FE291A" w:rsidRPr="002E6CD3" w14:paraId="5DAE52A2" w14:textId="77777777" w:rsidTr="00F076DE">
        <w:trPr>
          <w:cantSplit/>
          <w:trHeight w:val="57"/>
          <w:trPrChange w:id="189" w:author="Author">
            <w:trPr>
              <w:cantSplit/>
              <w:trHeight w:val="57"/>
            </w:trPr>
          </w:trPrChange>
        </w:trPr>
        <w:tc>
          <w:tcPr>
            <w:tcW w:w="355" w:type="pct"/>
            <w:tcBorders>
              <w:top w:val="nil"/>
              <w:left w:val="single" w:sz="4" w:space="0" w:color="auto"/>
              <w:bottom w:val="nil"/>
              <w:right w:val="nil"/>
            </w:tcBorders>
            <w:tcMar>
              <w:top w:w="28" w:type="dxa"/>
              <w:left w:w="57" w:type="dxa"/>
              <w:bottom w:w="28" w:type="dxa"/>
              <w:right w:w="57" w:type="dxa"/>
            </w:tcMar>
            <w:tcPrChange w:id="190" w:author="Author">
              <w:tcPr>
                <w:tcW w:w="356" w:type="pct"/>
                <w:tcBorders>
                  <w:top w:val="nil"/>
                  <w:left w:val="single" w:sz="4" w:space="0" w:color="auto"/>
                  <w:bottom w:val="nil"/>
                  <w:right w:val="nil"/>
                </w:tcBorders>
                <w:tcMar>
                  <w:top w:w="28" w:type="dxa"/>
                  <w:left w:w="57" w:type="dxa"/>
                  <w:bottom w:w="28" w:type="dxa"/>
                  <w:right w:w="57" w:type="dxa"/>
                </w:tcMar>
              </w:tcPr>
            </w:tcPrChange>
          </w:tcPr>
          <w:p w14:paraId="054D1B94"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5" w:type="pct"/>
            <w:gridSpan w:val="3"/>
            <w:tcBorders>
              <w:top w:val="nil"/>
              <w:left w:val="nil"/>
              <w:bottom w:val="nil"/>
              <w:right w:val="single" w:sz="4" w:space="0" w:color="auto"/>
            </w:tcBorders>
            <w:tcMar>
              <w:top w:w="0" w:type="dxa"/>
              <w:left w:w="0" w:type="dxa"/>
              <w:bottom w:w="0" w:type="dxa"/>
              <w:right w:w="108" w:type="dxa"/>
            </w:tcMar>
            <w:tcPrChange w:id="191" w:author="Author">
              <w:tcPr>
                <w:tcW w:w="4644" w:type="pct"/>
                <w:gridSpan w:val="3"/>
                <w:tcBorders>
                  <w:top w:val="nil"/>
                  <w:left w:val="nil"/>
                  <w:bottom w:val="nil"/>
                  <w:right w:val="single" w:sz="4" w:space="0" w:color="auto"/>
                </w:tcBorders>
                <w:tcMar>
                  <w:top w:w="0" w:type="dxa"/>
                  <w:left w:w="0" w:type="dxa"/>
                  <w:bottom w:w="0" w:type="dxa"/>
                  <w:right w:w="108" w:type="dxa"/>
                </w:tcMar>
              </w:tcPr>
            </w:tcPrChange>
          </w:tcPr>
          <w:p w14:paraId="7A27A33D" w14:textId="77777777" w:rsidR="00FE291A" w:rsidRDefault="00C8738F">
            <w:pPr>
              <w:rPr>
                <w:sz w:val="22"/>
                <w:szCs w:val="22"/>
                <w:lang w:val="de-DE"/>
              </w:rPr>
            </w:pPr>
            <w:r>
              <w:rPr>
                <w:sz w:val="22"/>
                <w:szCs w:val="22"/>
                <w:lang w:val="de-DE"/>
              </w:rPr>
              <w:t xml:space="preserve">Wenden Sie </w:t>
            </w:r>
            <w:del w:id="192" w:author="Author">
              <w:r>
                <w:rPr>
                  <w:sz w:val="22"/>
                  <w:szCs w:val="22"/>
                  <w:lang w:val="de-DE"/>
                </w:rPr>
                <w:delText>das Arzneimittel</w:delText>
              </w:r>
            </w:del>
            <w:ins w:id="193" w:author="Author">
              <w:r>
                <w:rPr>
                  <w:sz w:val="22"/>
                  <w:szCs w:val="22"/>
                  <w:lang w:val="de-DE"/>
                </w:rPr>
                <w:t>AMGEVITA</w:t>
              </w:r>
            </w:ins>
            <w:r>
              <w:rPr>
                <w:sz w:val="22"/>
                <w:szCs w:val="22"/>
                <w:lang w:val="de-DE"/>
              </w:rPr>
              <w:t xml:space="preserve"> </w:t>
            </w:r>
            <w:r>
              <w:rPr>
                <w:b/>
                <w:sz w:val="22"/>
                <w:szCs w:val="22"/>
                <w:lang w:val="de-DE"/>
              </w:rPr>
              <w:t>nicht</w:t>
            </w:r>
            <w:r>
              <w:rPr>
                <w:sz w:val="22"/>
                <w:szCs w:val="22"/>
                <w:lang w:val="de-DE"/>
              </w:rPr>
              <w:t xml:space="preserve"> an, wenn es trübe oder verfärbt ist oder Flocken oder Partikel enthält.</w:t>
            </w:r>
          </w:p>
        </w:tc>
      </w:tr>
      <w:tr w:rsidR="00FE291A" w:rsidRPr="002E6CD3" w14:paraId="698A116F" w14:textId="77777777" w:rsidTr="00F076DE">
        <w:trPr>
          <w:cantSplit/>
          <w:trHeight w:val="57"/>
          <w:trPrChange w:id="194" w:author="Author">
            <w:trPr>
              <w:cantSplit/>
              <w:trHeight w:val="57"/>
            </w:trPr>
          </w:trPrChange>
        </w:trPr>
        <w:tc>
          <w:tcPr>
            <w:tcW w:w="5000" w:type="pct"/>
            <w:gridSpan w:val="4"/>
            <w:tcBorders>
              <w:top w:val="nil"/>
              <w:left w:val="single" w:sz="4" w:space="0" w:color="auto"/>
              <w:bottom w:val="single" w:sz="4" w:space="0" w:color="auto"/>
              <w:right w:val="single" w:sz="4" w:space="0" w:color="auto"/>
            </w:tcBorders>
            <w:tcMar>
              <w:top w:w="28" w:type="dxa"/>
              <w:left w:w="57" w:type="dxa"/>
              <w:bottom w:w="28" w:type="dxa"/>
              <w:right w:w="57" w:type="dxa"/>
            </w:tcMar>
            <w:tcPrChange w:id="195" w:author="Author">
              <w:tcPr>
                <w:tcW w:w="5000" w:type="pct"/>
                <w:gridSpan w:val="4"/>
                <w:tcBorders>
                  <w:top w:val="nil"/>
                  <w:left w:val="single" w:sz="4" w:space="0" w:color="auto"/>
                  <w:bottom w:val="single" w:sz="4" w:space="0" w:color="auto"/>
                  <w:right w:val="single" w:sz="4" w:space="0" w:color="auto"/>
                </w:tcBorders>
                <w:tcMar>
                  <w:top w:w="28" w:type="dxa"/>
                  <w:left w:w="57" w:type="dxa"/>
                  <w:bottom w:w="28" w:type="dxa"/>
                  <w:right w:w="57" w:type="dxa"/>
                </w:tcMar>
              </w:tcPr>
            </w:tcPrChange>
          </w:tcPr>
          <w:p w14:paraId="03A4EFA4" w14:textId="149826DB" w:rsidR="00FE291A" w:rsidRDefault="009C5B62">
            <w:pPr>
              <w:rPr>
                <w:b/>
                <w:bCs/>
                <w:sz w:val="22"/>
                <w:szCs w:val="22"/>
                <w:lang w:val="de-DE"/>
              </w:rPr>
            </w:pPr>
            <w:r>
              <w:rPr>
                <w:noProof/>
              </w:rPr>
              <mc:AlternateContent>
                <mc:Choice Requires="wps">
                  <w:drawing>
                    <wp:anchor distT="45720" distB="45720" distL="114300" distR="114300" simplePos="0" relativeHeight="27" behindDoc="0" locked="0" layoutInCell="1" allowOverlap="1" wp14:anchorId="69D5FFF7" wp14:editId="1FF4FCEF">
                      <wp:simplePos x="0" y="0"/>
                      <wp:positionH relativeFrom="margin">
                        <wp:posOffset>-2540</wp:posOffset>
                      </wp:positionH>
                      <wp:positionV relativeFrom="paragraph">
                        <wp:posOffset>33020</wp:posOffset>
                      </wp:positionV>
                      <wp:extent cx="5575935" cy="431800"/>
                      <wp:effectExtent l="0" t="0" r="5715" b="6350"/>
                      <wp:wrapSquare wrapText="bothSides"/>
                      <wp:docPr id="84808064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935" cy="431800"/>
                              </a:xfrm>
                              <a:prstGeom prst="rect">
                                <a:avLst/>
                              </a:prstGeom>
                              <a:solidFill>
                                <a:srgbClr val="FFFFFF"/>
                              </a:solidFill>
                              <a:ln w="19050">
                                <a:solidFill>
                                  <a:srgbClr val="FF0000"/>
                                </a:solidFill>
                                <a:miter lim="800000"/>
                              </a:ln>
                            </wps:spPr>
                            <wps:txbx>
                              <w:txbxContent>
                                <w:p w14:paraId="131CE370" w14:textId="77777777" w:rsidR="00FE291A" w:rsidRDefault="00C8738F">
                                  <w:pPr>
                                    <w:rPr>
                                      <w:sz w:val="22"/>
                                      <w:lang w:val="de-DE"/>
                                    </w:rPr>
                                  </w:pPr>
                                  <w:r>
                                    <w:rPr>
                                      <w:b/>
                                      <w:sz w:val="22"/>
                                      <w:lang w:val="de-DE"/>
                                    </w:rPr>
                                    <w:t xml:space="preserve">Wichtig: </w:t>
                                  </w:r>
                                  <w:r>
                                    <w:rPr>
                                      <w:sz w:val="22"/>
                                      <w:lang w:val="de-DE"/>
                                    </w:rPr>
                                    <w:t>Wenn das Arzneimittel trübe oder verfärbt ist oder Flocken oder Partikel enthält, wenden Sie sich an Ihren Arzt oder das medizinische Fachpersonal.</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69D5FFF7" id="Text Box 18" o:spid="_x0000_s1030" type="#_x0000_t202" style="position:absolute;margin-left:-.2pt;margin-top:2.6pt;width:439.05pt;height:34pt;z-index:2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" strokecolor="red" strokeweight="1.5pt">
                      <v:textbox style="mso-fit-shape-to-text:t">
                        <w:txbxContent>
                          <w:p w14:paraId="131CE370" w14:textId="77777777" w:rsidR="00FE291A" w:rsidRDefault="00C8738F">
                            <w:pPr>
                              <w:rPr>
                                <w:sz w:val="22"/>
                                <w:lang w:val="de-DE"/>
                              </w:rPr>
                            </w:pPr>
                            <w:r>
                              <w:rPr>
                                <w:b/>
                                <w:sz w:val="22"/>
                                <w:lang w:val="de-DE"/>
                              </w:rPr>
                              <w:t xml:space="preserve">Wichtig: </w:t>
                            </w:r>
                            <w:r>
                              <w:rPr>
                                <w:sz w:val="22"/>
                                <w:lang w:val="de-DE"/>
                              </w:rPr>
                              <w:t>Wenn das Arzneimittel trübe oder verfärbt ist oder Flocken oder Partikel enthält, wenden Sie sich an Ihren Arzt oder das medizinische Fachpersonal.</w:t>
                            </w:r>
                          </w:p>
                        </w:txbxContent>
                      </v:textbox>
                      <w10:wrap type="square" anchorx="margin"/>
                    </v:shape>
                  </w:pict>
                </mc:Fallback>
              </mc:AlternateContent>
            </w:r>
            <w:r w:rsidR="00C8738F">
              <w:rPr>
                <w:b/>
                <w:bCs/>
                <w:sz w:val="22"/>
                <w:szCs w:val="22"/>
                <w:lang w:val="de-DE"/>
              </w:rPr>
              <w:t xml:space="preserve"> </w:t>
            </w:r>
          </w:p>
        </w:tc>
      </w:tr>
    </w:tbl>
    <w:p w14:paraId="70CBCBA1" w14:textId="77777777" w:rsidR="00FE291A" w:rsidRDefault="00FE291A">
      <w:pPr>
        <w:rPr>
          <w:sz w:val="22"/>
          <w:szCs w:val="22"/>
          <w:lang w:val="de-DE"/>
        </w:rPr>
      </w:pPr>
    </w:p>
    <w:tbl>
      <w:tblPr>
        <w:tblW w:w="494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Change w:id="196" w:author="Author">
          <w:tblPr>
            <w:tblW w:w="4854"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PrChange>
      </w:tblPr>
      <w:tblGrid>
        <w:gridCol w:w="628"/>
        <w:gridCol w:w="8324"/>
        <w:tblGridChange w:id="197">
          <w:tblGrid>
            <w:gridCol w:w="628"/>
            <w:gridCol w:w="8168"/>
            <w:gridCol w:w="156"/>
          </w:tblGrid>
        </w:tblGridChange>
      </w:tblGrid>
      <w:tr w:rsidR="00FE291A" w:rsidRPr="002E6CD3" w14:paraId="7914366E" w14:textId="77777777" w:rsidTr="00F076DE">
        <w:trPr>
          <w:cantSplit/>
          <w:trHeight w:val="57"/>
          <w:trPrChange w:id="198" w:author="Author">
            <w:trPr>
              <w:gridAfter w:val="0"/>
              <w:cantSplit/>
              <w:trHeight w:val="57"/>
            </w:trPr>
          </w:trPrChange>
        </w:trPr>
        <w:tc>
          <w:tcPr>
            <w:tcW w:w="351"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199" w:author="Author">
              <w:tcPr>
                <w:tcW w:w="357"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554FC670" w14:textId="77777777" w:rsidR="00FE291A" w:rsidRDefault="00C8738F">
            <w:pPr>
              <w:keepNext/>
              <w:rPr>
                <w:b/>
                <w:bCs/>
                <w:sz w:val="22"/>
                <w:szCs w:val="22"/>
                <w:lang w:val="de-DE"/>
              </w:rPr>
            </w:pPr>
            <w:r>
              <w:rPr>
                <w:b/>
                <w:sz w:val="22"/>
                <w:szCs w:val="22"/>
                <w:lang w:val="de-DE"/>
              </w:rPr>
              <w:t>3b</w:t>
            </w:r>
          </w:p>
        </w:tc>
        <w:tc>
          <w:tcPr>
            <w:tcW w:w="46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200" w:author="Author">
              <w:tcPr>
                <w:tcW w:w="464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707CA6B4" w14:textId="77777777" w:rsidR="00FE291A" w:rsidRDefault="00C8738F">
            <w:pPr>
              <w:pStyle w:val="ListParagraph"/>
              <w:keepNext/>
              <w:rPr>
                <w:sz w:val="22"/>
                <w:szCs w:val="22"/>
                <w:lang w:val="de-DE"/>
              </w:rPr>
            </w:pPr>
            <w:r>
              <w:rPr>
                <w:b/>
                <w:sz w:val="22"/>
                <w:szCs w:val="22"/>
                <w:lang w:val="de-DE"/>
              </w:rPr>
              <w:t>Überprüfen Sie das Verfalldatum (EXP) und überprüfen Sie die Fertigspritze auf Beschädigungen.</w:t>
            </w:r>
          </w:p>
        </w:tc>
      </w:tr>
    </w:tbl>
    <w:p w14:paraId="177921A9" w14:textId="77777777" w:rsidR="00FE291A" w:rsidRDefault="00FE291A">
      <w:pPr>
        <w:keepNext/>
        <w:rPr>
          <w:sz w:val="22"/>
          <w:szCs w:val="22"/>
          <w:lang w:val="de-DE"/>
        </w:rPr>
      </w:pPr>
    </w:p>
    <w:tbl>
      <w:tblPr>
        <w:tblW w:w="494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Change w:id="201" w:author="Author">
          <w:tblPr>
            <w:tblW w:w="482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PrChange>
      </w:tblPr>
      <w:tblGrid>
        <w:gridCol w:w="595"/>
        <w:gridCol w:w="1092"/>
        <w:gridCol w:w="4558"/>
        <w:gridCol w:w="2707"/>
        <w:tblGridChange w:id="202">
          <w:tblGrid>
            <w:gridCol w:w="594"/>
            <w:gridCol w:w="1092"/>
            <w:gridCol w:w="1"/>
            <w:gridCol w:w="4558"/>
            <w:gridCol w:w="2502"/>
            <w:gridCol w:w="205"/>
          </w:tblGrid>
        </w:tblGridChange>
      </w:tblGrid>
      <w:tr w:rsidR="00FE291A" w14:paraId="2A3E3628" w14:textId="77777777" w:rsidTr="00F076DE">
        <w:trPr>
          <w:cantSplit/>
          <w:trHeight w:val="57"/>
          <w:trPrChange w:id="203" w:author="Author">
            <w:trPr>
              <w:gridAfter w:val="0"/>
              <w:cantSplit/>
              <w:trHeight w:val="57"/>
            </w:trPr>
          </w:trPrChange>
        </w:trPr>
        <w:tc>
          <w:tcPr>
            <w:tcW w:w="942" w:type="pct"/>
            <w:gridSpan w:val="2"/>
            <w:tcBorders>
              <w:top w:val="single" w:sz="4" w:space="0" w:color="auto"/>
              <w:left w:val="single" w:sz="4" w:space="0" w:color="auto"/>
              <w:bottom w:val="single" w:sz="4" w:space="0" w:color="auto"/>
              <w:right w:val="nil"/>
            </w:tcBorders>
            <w:tcMar>
              <w:top w:w="28" w:type="dxa"/>
              <w:left w:w="57" w:type="dxa"/>
              <w:bottom w:w="28" w:type="dxa"/>
              <w:right w:w="57" w:type="dxa"/>
            </w:tcMar>
            <w:tcPrChange w:id="204" w:author="Author">
              <w:tcPr>
                <w:tcW w:w="964" w:type="pct"/>
                <w:gridSpan w:val="2"/>
                <w:tcBorders>
                  <w:top w:val="single" w:sz="4" w:space="0" w:color="auto"/>
                  <w:left w:val="single" w:sz="4" w:space="0" w:color="auto"/>
                  <w:bottom w:val="single" w:sz="4" w:space="0" w:color="auto"/>
                  <w:right w:val="nil"/>
                </w:tcBorders>
                <w:tcMar>
                  <w:top w:w="28" w:type="dxa"/>
                  <w:left w:w="57" w:type="dxa"/>
                  <w:bottom w:w="28" w:type="dxa"/>
                  <w:right w:w="57" w:type="dxa"/>
                </w:tcMar>
              </w:tcPr>
            </w:tcPrChange>
          </w:tcPr>
          <w:p w14:paraId="1D0D0213" w14:textId="77777777" w:rsidR="00FE291A" w:rsidRDefault="00FE291A">
            <w:pPr>
              <w:pStyle w:val="ListParagraph"/>
              <w:ind w:left="567" w:hanging="567"/>
              <w:rPr>
                <w:sz w:val="22"/>
                <w:szCs w:val="22"/>
                <w:lang w:val="de-DE"/>
              </w:rPr>
            </w:pPr>
          </w:p>
          <w:p w14:paraId="171556CA" w14:textId="77777777" w:rsidR="00FE291A" w:rsidRDefault="00FE291A">
            <w:pPr>
              <w:pStyle w:val="ListParagraph"/>
              <w:ind w:left="567" w:hanging="567"/>
              <w:rPr>
                <w:sz w:val="22"/>
                <w:szCs w:val="22"/>
                <w:lang w:val="de-DE"/>
              </w:rPr>
            </w:pPr>
          </w:p>
        </w:tc>
        <w:tc>
          <w:tcPr>
            <w:tcW w:w="2546" w:type="pct"/>
            <w:tcBorders>
              <w:top w:val="single" w:sz="4" w:space="0" w:color="auto"/>
              <w:left w:val="nil"/>
              <w:bottom w:val="single" w:sz="4" w:space="0" w:color="auto"/>
              <w:right w:val="nil"/>
            </w:tcBorders>
            <w:tcPrChange w:id="205" w:author="Author">
              <w:tcPr>
                <w:tcW w:w="2606" w:type="pct"/>
                <w:gridSpan w:val="2"/>
                <w:tcBorders>
                  <w:top w:val="single" w:sz="4" w:space="0" w:color="auto"/>
                  <w:left w:val="nil"/>
                  <w:bottom w:val="single" w:sz="4" w:space="0" w:color="auto"/>
                  <w:right w:val="nil"/>
                </w:tcBorders>
              </w:tcPr>
            </w:tcPrChange>
          </w:tcPr>
          <w:p w14:paraId="28AF4C97" w14:textId="38A2E252" w:rsidR="00FE291A" w:rsidRDefault="009C5B62">
            <w:pPr>
              <w:pStyle w:val="ListParagraph"/>
              <w:rPr>
                <w:sz w:val="22"/>
                <w:szCs w:val="22"/>
                <w:lang w:val="de-DE"/>
              </w:rPr>
            </w:pPr>
            <w:r>
              <w:rPr>
                <w:noProof/>
                <w:sz w:val="22"/>
                <w:szCs w:val="22"/>
                <w:lang w:val="de-DE"/>
              </w:rPr>
              <w:drawing>
                <wp:inline distT="0" distB="0" distL="0" distR="0" wp14:anchorId="7E9D7C22" wp14:editId="47378981">
                  <wp:extent cx="3200400" cy="1760220"/>
                  <wp:effectExtent l="0" t="0" r="0" b="0"/>
                  <wp:docPr id="53"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00400" cy="1760220"/>
                          </a:xfrm>
                          <a:prstGeom prst="rect">
                            <a:avLst/>
                          </a:prstGeom>
                          <a:noFill/>
                          <a:ln>
                            <a:noFill/>
                          </a:ln>
                        </pic:spPr>
                      </pic:pic>
                    </a:graphicData>
                  </a:graphic>
                </wp:inline>
              </w:drawing>
            </w:r>
          </w:p>
          <w:p w14:paraId="681A0216" w14:textId="77777777" w:rsidR="00FE291A" w:rsidRDefault="00FE291A">
            <w:pPr>
              <w:rPr>
                <w:sz w:val="22"/>
                <w:szCs w:val="22"/>
                <w:lang w:val="de-DE"/>
              </w:rPr>
            </w:pPr>
          </w:p>
        </w:tc>
        <w:tc>
          <w:tcPr>
            <w:tcW w:w="1512" w:type="pct"/>
            <w:tcBorders>
              <w:top w:val="single" w:sz="4" w:space="0" w:color="auto"/>
              <w:left w:val="nil"/>
              <w:bottom w:val="single" w:sz="4" w:space="0" w:color="auto"/>
              <w:right w:val="single" w:sz="4" w:space="0" w:color="auto"/>
            </w:tcBorders>
            <w:tcPrChange w:id="206" w:author="Author">
              <w:tcPr>
                <w:tcW w:w="1430" w:type="pct"/>
                <w:tcBorders>
                  <w:top w:val="single" w:sz="4" w:space="0" w:color="auto"/>
                  <w:left w:val="nil"/>
                  <w:bottom w:val="single" w:sz="4" w:space="0" w:color="auto"/>
                  <w:right w:val="single" w:sz="4" w:space="0" w:color="auto"/>
                </w:tcBorders>
              </w:tcPr>
            </w:tcPrChange>
          </w:tcPr>
          <w:p w14:paraId="48CEFFE6" w14:textId="77777777" w:rsidR="00FE291A" w:rsidRDefault="00FE291A">
            <w:pPr>
              <w:pStyle w:val="ListParagraph"/>
              <w:ind w:left="567" w:hanging="567"/>
              <w:rPr>
                <w:sz w:val="22"/>
                <w:szCs w:val="22"/>
                <w:lang w:val="de-DE"/>
              </w:rPr>
            </w:pPr>
          </w:p>
          <w:p w14:paraId="483C08B3" w14:textId="77777777" w:rsidR="00FE291A" w:rsidRDefault="00FE291A">
            <w:pPr>
              <w:pStyle w:val="ListParagraph"/>
              <w:ind w:left="567" w:hanging="567"/>
              <w:rPr>
                <w:sz w:val="22"/>
                <w:szCs w:val="22"/>
                <w:lang w:val="de-DE"/>
              </w:rPr>
            </w:pPr>
          </w:p>
          <w:p w14:paraId="42269551" w14:textId="77777777" w:rsidR="00FE291A" w:rsidRDefault="00FE291A">
            <w:pPr>
              <w:pStyle w:val="ListParagraph"/>
              <w:ind w:left="567" w:hanging="567"/>
              <w:rPr>
                <w:sz w:val="22"/>
                <w:szCs w:val="22"/>
                <w:lang w:val="de-DE"/>
              </w:rPr>
            </w:pPr>
          </w:p>
          <w:p w14:paraId="5D3B198B" w14:textId="77777777" w:rsidR="00FE291A" w:rsidRDefault="00FE291A">
            <w:pPr>
              <w:pStyle w:val="ListParagraph"/>
              <w:ind w:left="567" w:hanging="567"/>
              <w:rPr>
                <w:sz w:val="22"/>
                <w:szCs w:val="22"/>
                <w:lang w:val="de-DE"/>
              </w:rPr>
            </w:pPr>
          </w:p>
          <w:p w14:paraId="3F4FD086" w14:textId="77777777" w:rsidR="00FE291A" w:rsidRDefault="00FE291A">
            <w:pPr>
              <w:pStyle w:val="ListParagraph"/>
              <w:ind w:left="567" w:hanging="567"/>
              <w:rPr>
                <w:sz w:val="22"/>
                <w:szCs w:val="22"/>
                <w:lang w:val="de-DE"/>
              </w:rPr>
            </w:pPr>
          </w:p>
          <w:p w14:paraId="73FF7526" w14:textId="77777777" w:rsidR="00FE291A" w:rsidRDefault="00C8738F">
            <w:pPr>
              <w:pStyle w:val="ListParagraph"/>
              <w:ind w:left="567" w:hanging="567"/>
              <w:rPr>
                <w:sz w:val="22"/>
                <w:szCs w:val="22"/>
                <w:lang w:val="de-DE"/>
              </w:rPr>
            </w:pPr>
            <w:r>
              <w:rPr>
                <w:sz w:val="22"/>
                <w:szCs w:val="22"/>
                <w:lang w:val="de-DE"/>
              </w:rPr>
              <w:t>Verfalldatum</w:t>
            </w:r>
          </w:p>
        </w:tc>
      </w:tr>
      <w:tr w:rsidR="00FE291A" w:rsidRPr="002E6CD3" w14:paraId="5CAF5D0B" w14:textId="77777777" w:rsidTr="00F076DE">
        <w:trPr>
          <w:cantSplit/>
          <w:trHeight w:val="57"/>
          <w:trPrChange w:id="207" w:author="Author">
            <w:trPr>
              <w:gridAfter w:val="0"/>
              <w:cantSplit/>
              <w:trHeight w:val="57"/>
            </w:trPr>
          </w:trPrChange>
        </w:trPr>
        <w:tc>
          <w:tcPr>
            <w:tcW w:w="332" w:type="pct"/>
            <w:tcBorders>
              <w:top w:val="single" w:sz="4" w:space="0" w:color="auto"/>
              <w:left w:val="single" w:sz="4" w:space="0" w:color="auto"/>
              <w:bottom w:val="nil"/>
              <w:right w:val="nil"/>
            </w:tcBorders>
            <w:tcMar>
              <w:top w:w="28" w:type="dxa"/>
              <w:left w:w="57" w:type="dxa"/>
              <w:bottom w:w="28" w:type="dxa"/>
              <w:right w:w="57" w:type="dxa"/>
            </w:tcMar>
            <w:tcPrChange w:id="208" w:author="Author">
              <w:tcPr>
                <w:tcW w:w="340" w:type="pct"/>
                <w:tcBorders>
                  <w:top w:val="single" w:sz="4" w:space="0" w:color="auto"/>
                  <w:left w:val="single" w:sz="4" w:space="0" w:color="auto"/>
                  <w:bottom w:val="nil"/>
                  <w:right w:val="nil"/>
                </w:tcBorders>
                <w:tcMar>
                  <w:top w:w="28" w:type="dxa"/>
                  <w:left w:w="57" w:type="dxa"/>
                  <w:bottom w:w="28" w:type="dxa"/>
                  <w:right w:w="57" w:type="dxa"/>
                </w:tcMar>
              </w:tcPr>
            </w:tcPrChange>
          </w:tcPr>
          <w:p w14:paraId="2FB0600B"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68" w:type="pct"/>
            <w:gridSpan w:val="3"/>
            <w:tcBorders>
              <w:top w:val="single" w:sz="4" w:space="0" w:color="auto"/>
              <w:left w:val="nil"/>
              <w:bottom w:val="nil"/>
              <w:right w:val="single" w:sz="4" w:space="0" w:color="auto"/>
            </w:tcBorders>
            <w:tcMar>
              <w:top w:w="0" w:type="dxa"/>
              <w:left w:w="0" w:type="dxa"/>
              <w:bottom w:w="0" w:type="dxa"/>
              <w:right w:w="108" w:type="dxa"/>
            </w:tcMar>
            <w:tcPrChange w:id="209" w:author="Author">
              <w:tcPr>
                <w:tcW w:w="4660" w:type="pct"/>
                <w:gridSpan w:val="4"/>
                <w:tcBorders>
                  <w:top w:val="single" w:sz="4" w:space="0" w:color="auto"/>
                  <w:left w:val="nil"/>
                  <w:bottom w:val="nil"/>
                  <w:right w:val="single" w:sz="4" w:space="0" w:color="auto"/>
                </w:tcBorders>
                <w:tcMar>
                  <w:top w:w="0" w:type="dxa"/>
                  <w:left w:w="0" w:type="dxa"/>
                  <w:bottom w:w="0" w:type="dxa"/>
                  <w:right w:w="108" w:type="dxa"/>
                </w:tcMar>
              </w:tcPr>
            </w:tcPrChange>
          </w:tcPr>
          <w:p w14:paraId="1C6152BA" w14:textId="77777777" w:rsidR="00FE291A" w:rsidRDefault="00C8738F">
            <w:pPr>
              <w:rPr>
                <w:b/>
                <w:bCs/>
                <w:sz w:val="22"/>
                <w:szCs w:val="22"/>
                <w:lang w:val="de-DE"/>
              </w:rPr>
            </w:pPr>
            <w:ins w:id="210" w:author="Author">
              <w:r>
                <w:rPr>
                  <w:bCs/>
                  <w:sz w:val="22"/>
                  <w:szCs w:val="22"/>
                  <w:lang w:val="de-DE"/>
                </w:rPr>
                <w:t>Die Fertigspritze</w:t>
              </w:r>
              <w:r>
                <w:rPr>
                  <w:b/>
                  <w:bCs/>
                  <w:sz w:val="22"/>
                  <w:szCs w:val="22"/>
                  <w:lang w:val="de-DE"/>
                </w:rPr>
                <w:t xml:space="preserve"> </w:t>
              </w:r>
            </w:ins>
            <w:del w:id="211" w:author="Author">
              <w:r>
                <w:rPr>
                  <w:b/>
                  <w:bCs/>
                  <w:sz w:val="22"/>
                  <w:szCs w:val="22"/>
                  <w:lang w:val="de-DE"/>
                </w:rPr>
                <w:delText>Nicht</w:delText>
              </w:r>
              <w:r>
                <w:rPr>
                  <w:sz w:val="22"/>
                  <w:szCs w:val="22"/>
                  <w:lang w:val="de-DE"/>
                </w:rPr>
                <w:delText xml:space="preserve"> </w:delText>
              </w:r>
            </w:del>
            <w:ins w:id="212" w:author="Author">
              <w:r>
                <w:rPr>
                  <w:b/>
                  <w:bCs/>
                  <w:sz w:val="22"/>
                  <w:szCs w:val="22"/>
                  <w:lang w:val="de-DE"/>
                </w:rPr>
                <w:t>nicht</w:t>
              </w:r>
              <w:r>
                <w:rPr>
                  <w:sz w:val="22"/>
                  <w:szCs w:val="22"/>
                  <w:lang w:val="de-DE"/>
                </w:rPr>
                <w:t xml:space="preserve"> </w:t>
              </w:r>
            </w:ins>
            <w:r>
              <w:rPr>
                <w:sz w:val="22"/>
                <w:szCs w:val="22"/>
                <w:lang w:val="de-DE"/>
              </w:rPr>
              <w:t>anwenden, wenn das Verfalldatum überschritten ist.</w:t>
            </w:r>
          </w:p>
        </w:tc>
      </w:tr>
      <w:tr w:rsidR="00FE291A" w:rsidRPr="00723069" w14:paraId="672F6CD5" w14:textId="77777777" w:rsidTr="00F076DE">
        <w:trPr>
          <w:cantSplit/>
          <w:trHeight w:val="57"/>
          <w:trPrChange w:id="213" w:author="Author">
            <w:trPr>
              <w:gridAfter w:val="0"/>
              <w:cantSplit/>
              <w:trHeight w:val="57"/>
            </w:trPr>
          </w:trPrChange>
        </w:trPr>
        <w:tc>
          <w:tcPr>
            <w:tcW w:w="332" w:type="pct"/>
            <w:tcBorders>
              <w:top w:val="nil"/>
              <w:left w:val="single" w:sz="4" w:space="0" w:color="auto"/>
              <w:bottom w:val="nil"/>
              <w:right w:val="nil"/>
            </w:tcBorders>
            <w:tcMar>
              <w:top w:w="28" w:type="dxa"/>
              <w:left w:w="57" w:type="dxa"/>
              <w:bottom w:w="28" w:type="dxa"/>
              <w:right w:w="57" w:type="dxa"/>
            </w:tcMar>
            <w:tcPrChange w:id="214" w:author="Author">
              <w:tcPr>
                <w:tcW w:w="340" w:type="pct"/>
                <w:tcBorders>
                  <w:top w:val="nil"/>
                  <w:left w:val="single" w:sz="4" w:space="0" w:color="auto"/>
                  <w:bottom w:val="nil"/>
                  <w:right w:val="nil"/>
                </w:tcBorders>
                <w:tcMar>
                  <w:top w:w="28" w:type="dxa"/>
                  <w:left w:w="57" w:type="dxa"/>
                  <w:bottom w:w="28" w:type="dxa"/>
                  <w:right w:w="57" w:type="dxa"/>
                </w:tcMar>
              </w:tcPr>
            </w:tcPrChange>
          </w:tcPr>
          <w:p w14:paraId="4E916708"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68" w:type="pct"/>
            <w:gridSpan w:val="3"/>
            <w:tcBorders>
              <w:top w:val="nil"/>
              <w:left w:val="nil"/>
              <w:bottom w:val="nil"/>
              <w:right w:val="single" w:sz="4" w:space="0" w:color="auto"/>
            </w:tcBorders>
            <w:tcMar>
              <w:top w:w="0" w:type="dxa"/>
              <w:left w:w="0" w:type="dxa"/>
              <w:bottom w:w="0" w:type="dxa"/>
              <w:right w:w="108" w:type="dxa"/>
            </w:tcMar>
            <w:tcPrChange w:id="215" w:author="Author">
              <w:tcPr>
                <w:tcW w:w="4660" w:type="pct"/>
                <w:gridSpan w:val="4"/>
                <w:tcBorders>
                  <w:top w:val="nil"/>
                  <w:left w:val="nil"/>
                  <w:bottom w:val="nil"/>
                  <w:right w:val="single" w:sz="4" w:space="0" w:color="auto"/>
                </w:tcBorders>
                <w:tcMar>
                  <w:top w:w="0" w:type="dxa"/>
                  <w:left w:w="0" w:type="dxa"/>
                  <w:bottom w:w="0" w:type="dxa"/>
                  <w:right w:w="108" w:type="dxa"/>
                </w:tcMar>
              </w:tcPr>
            </w:tcPrChange>
          </w:tcPr>
          <w:p w14:paraId="3B2A774C" w14:textId="77777777" w:rsidR="00FE291A" w:rsidRDefault="00C8738F">
            <w:pPr>
              <w:rPr>
                <w:sz w:val="22"/>
                <w:szCs w:val="22"/>
                <w:lang w:val="de-DE"/>
              </w:rPr>
            </w:pPr>
            <w:r>
              <w:rPr>
                <w:sz w:val="22"/>
                <w:szCs w:val="22"/>
                <w:lang w:val="de-DE"/>
              </w:rPr>
              <w:t>Wenden Sie die Fertigspritze</w:t>
            </w:r>
            <w:r>
              <w:rPr>
                <w:b/>
                <w:sz w:val="22"/>
                <w:szCs w:val="22"/>
                <w:lang w:val="de-DE"/>
              </w:rPr>
              <w:t xml:space="preserve"> nicht</w:t>
            </w:r>
            <w:r>
              <w:rPr>
                <w:sz w:val="22"/>
                <w:szCs w:val="22"/>
                <w:lang w:val="de-DE"/>
              </w:rPr>
              <w:t xml:space="preserve"> an, wenn:</w:t>
            </w:r>
          </w:p>
        </w:tc>
      </w:tr>
      <w:tr w:rsidR="00FE291A" w:rsidRPr="00723069" w14:paraId="3E31E91D" w14:textId="77777777" w:rsidTr="00F076DE">
        <w:trPr>
          <w:cantSplit/>
          <w:trHeight w:val="57"/>
          <w:trPrChange w:id="216" w:author="Author">
            <w:trPr>
              <w:gridAfter w:val="0"/>
              <w:cantSplit/>
              <w:trHeight w:val="57"/>
            </w:trPr>
          </w:trPrChange>
        </w:trPr>
        <w:tc>
          <w:tcPr>
            <w:tcW w:w="5000" w:type="pct"/>
            <w:gridSpan w:val="4"/>
            <w:tcBorders>
              <w:top w:val="nil"/>
              <w:left w:val="single" w:sz="4" w:space="0" w:color="auto"/>
              <w:bottom w:val="nil"/>
              <w:right w:val="single" w:sz="4" w:space="0" w:color="auto"/>
            </w:tcBorders>
            <w:tcMar>
              <w:top w:w="28" w:type="dxa"/>
              <w:left w:w="57" w:type="dxa"/>
              <w:bottom w:w="28" w:type="dxa"/>
              <w:right w:w="57" w:type="dxa"/>
            </w:tcMar>
            <w:tcPrChange w:id="217" w:author="Author">
              <w:tcPr>
                <w:tcW w:w="5000" w:type="pct"/>
                <w:gridSpan w:val="5"/>
                <w:tcBorders>
                  <w:top w:val="nil"/>
                  <w:left w:val="single" w:sz="4" w:space="0" w:color="auto"/>
                  <w:bottom w:val="nil"/>
                  <w:right w:val="single" w:sz="4" w:space="0" w:color="auto"/>
                </w:tcBorders>
                <w:tcMar>
                  <w:top w:w="28" w:type="dxa"/>
                  <w:left w:w="57" w:type="dxa"/>
                  <w:bottom w:w="28" w:type="dxa"/>
                  <w:right w:w="57" w:type="dxa"/>
                </w:tcMar>
              </w:tcPr>
            </w:tcPrChange>
          </w:tcPr>
          <w:p w14:paraId="216F197F" w14:textId="77777777" w:rsidR="00FE291A" w:rsidRDefault="00C8738F">
            <w:pPr>
              <w:pStyle w:val="ListParagraph"/>
              <w:widowControl/>
              <w:numPr>
                <w:ilvl w:val="0"/>
                <w:numId w:val="68"/>
              </w:numPr>
              <w:tabs>
                <w:tab w:val="left" w:pos="567"/>
                <w:tab w:val="left" w:pos="1134"/>
              </w:tabs>
              <w:autoSpaceDE/>
              <w:autoSpaceDN/>
              <w:adjustRightInd/>
              <w:ind w:left="1150" w:hanging="567"/>
              <w:contextualSpacing/>
              <w:rPr>
                <w:sz w:val="22"/>
                <w:szCs w:val="22"/>
                <w:lang w:val="de-DE"/>
              </w:rPr>
            </w:pPr>
            <w:r>
              <w:rPr>
                <w:sz w:val="22"/>
                <w:szCs w:val="22"/>
                <w:lang w:val="de-DE"/>
              </w:rPr>
              <w:t>die Nadelschutzkappe fehlt oder nicht fest angebracht ist.</w:t>
            </w:r>
          </w:p>
        </w:tc>
      </w:tr>
      <w:tr w:rsidR="00FE291A" w:rsidRPr="00723069" w14:paraId="04098365" w14:textId="77777777" w:rsidTr="00F076DE">
        <w:trPr>
          <w:cantSplit/>
          <w:trHeight w:val="57"/>
          <w:trPrChange w:id="218" w:author="Author">
            <w:trPr>
              <w:gridAfter w:val="0"/>
              <w:cantSplit/>
              <w:trHeight w:val="57"/>
            </w:trPr>
          </w:trPrChange>
        </w:trPr>
        <w:tc>
          <w:tcPr>
            <w:tcW w:w="5000" w:type="pct"/>
            <w:gridSpan w:val="4"/>
            <w:tcBorders>
              <w:top w:val="nil"/>
              <w:left w:val="single" w:sz="4" w:space="0" w:color="auto"/>
              <w:bottom w:val="nil"/>
              <w:right w:val="single" w:sz="4" w:space="0" w:color="auto"/>
            </w:tcBorders>
            <w:tcMar>
              <w:top w:w="28" w:type="dxa"/>
              <w:left w:w="57" w:type="dxa"/>
              <w:bottom w:w="28" w:type="dxa"/>
              <w:right w:w="57" w:type="dxa"/>
            </w:tcMar>
            <w:tcPrChange w:id="219" w:author="Author">
              <w:tcPr>
                <w:tcW w:w="5000" w:type="pct"/>
                <w:gridSpan w:val="5"/>
                <w:tcBorders>
                  <w:top w:val="nil"/>
                  <w:left w:val="single" w:sz="4" w:space="0" w:color="auto"/>
                  <w:bottom w:val="nil"/>
                  <w:right w:val="single" w:sz="4" w:space="0" w:color="auto"/>
                </w:tcBorders>
                <w:tcMar>
                  <w:top w:w="28" w:type="dxa"/>
                  <w:left w:w="57" w:type="dxa"/>
                  <w:bottom w:w="28" w:type="dxa"/>
                  <w:right w:w="57" w:type="dxa"/>
                </w:tcMar>
              </w:tcPr>
            </w:tcPrChange>
          </w:tcPr>
          <w:p w14:paraId="1BC8DE6C" w14:textId="77777777" w:rsidR="00FE291A" w:rsidRDefault="00C8738F">
            <w:pPr>
              <w:pStyle w:val="ListParagraph"/>
              <w:widowControl/>
              <w:numPr>
                <w:ilvl w:val="0"/>
                <w:numId w:val="68"/>
              </w:numPr>
              <w:tabs>
                <w:tab w:val="left" w:pos="567"/>
                <w:tab w:val="left" w:pos="1134"/>
              </w:tabs>
              <w:autoSpaceDE/>
              <w:autoSpaceDN/>
              <w:adjustRightInd/>
              <w:ind w:left="1150" w:hanging="567"/>
              <w:contextualSpacing/>
              <w:rPr>
                <w:sz w:val="22"/>
                <w:szCs w:val="22"/>
                <w:lang w:val="de-DE"/>
              </w:rPr>
            </w:pPr>
            <w:r>
              <w:rPr>
                <w:sz w:val="22"/>
                <w:szCs w:val="22"/>
                <w:lang w:val="de-DE"/>
              </w:rPr>
              <w:t>sie Risse oder gebrochene Teile aufweist.</w:t>
            </w:r>
          </w:p>
        </w:tc>
      </w:tr>
      <w:tr w:rsidR="00FE291A" w:rsidRPr="00723069" w14:paraId="0381E38A" w14:textId="77777777" w:rsidTr="00F076DE">
        <w:trPr>
          <w:cantSplit/>
          <w:trHeight w:val="57"/>
          <w:trPrChange w:id="220" w:author="Author">
            <w:trPr>
              <w:gridAfter w:val="0"/>
              <w:cantSplit/>
              <w:trHeight w:val="57"/>
            </w:trPr>
          </w:trPrChange>
        </w:trPr>
        <w:tc>
          <w:tcPr>
            <w:tcW w:w="5000" w:type="pct"/>
            <w:gridSpan w:val="4"/>
            <w:tcBorders>
              <w:top w:val="nil"/>
              <w:left w:val="single" w:sz="4" w:space="0" w:color="auto"/>
              <w:bottom w:val="nil"/>
              <w:right w:val="single" w:sz="4" w:space="0" w:color="auto"/>
            </w:tcBorders>
            <w:tcMar>
              <w:top w:w="28" w:type="dxa"/>
              <w:left w:w="57" w:type="dxa"/>
              <w:bottom w:w="28" w:type="dxa"/>
              <w:right w:w="57" w:type="dxa"/>
            </w:tcMar>
            <w:tcPrChange w:id="221" w:author="Author">
              <w:tcPr>
                <w:tcW w:w="5000" w:type="pct"/>
                <w:gridSpan w:val="5"/>
                <w:tcBorders>
                  <w:top w:val="nil"/>
                  <w:left w:val="single" w:sz="4" w:space="0" w:color="auto"/>
                  <w:bottom w:val="nil"/>
                  <w:right w:val="single" w:sz="4" w:space="0" w:color="auto"/>
                </w:tcBorders>
                <w:tcMar>
                  <w:top w:w="28" w:type="dxa"/>
                  <w:left w:w="57" w:type="dxa"/>
                  <w:bottom w:w="28" w:type="dxa"/>
                  <w:right w:w="57" w:type="dxa"/>
                </w:tcMar>
              </w:tcPr>
            </w:tcPrChange>
          </w:tcPr>
          <w:p w14:paraId="7C0268F8" w14:textId="77777777" w:rsidR="00FE291A" w:rsidRDefault="00C8738F">
            <w:pPr>
              <w:pStyle w:val="ListParagraph"/>
              <w:widowControl/>
              <w:numPr>
                <w:ilvl w:val="0"/>
                <w:numId w:val="68"/>
              </w:numPr>
              <w:tabs>
                <w:tab w:val="left" w:pos="567"/>
                <w:tab w:val="left" w:pos="1134"/>
              </w:tabs>
              <w:autoSpaceDE/>
              <w:autoSpaceDN/>
              <w:adjustRightInd/>
              <w:ind w:left="1150" w:hanging="567"/>
              <w:contextualSpacing/>
              <w:rPr>
                <w:sz w:val="22"/>
                <w:szCs w:val="22"/>
                <w:lang w:val="de-DE"/>
              </w:rPr>
            </w:pPr>
            <w:r>
              <w:rPr>
                <w:sz w:val="22"/>
                <w:szCs w:val="22"/>
                <w:lang w:val="de-DE"/>
              </w:rPr>
              <w:t>sie auf eine harte Oberfläche gefallen ist.</w:t>
            </w:r>
          </w:p>
        </w:tc>
      </w:tr>
      <w:tr w:rsidR="00FE291A" w14:paraId="6D4829D3" w14:textId="77777777" w:rsidTr="00F076DE">
        <w:trPr>
          <w:cantSplit/>
          <w:trHeight w:val="837"/>
          <w:trPrChange w:id="222" w:author="Author">
            <w:trPr>
              <w:gridAfter w:val="0"/>
              <w:cantSplit/>
              <w:trHeight w:val="837"/>
            </w:trPr>
          </w:trPrChange>
        </w:trPr>
        <w:tc>
          <w:tcPr>
            <w:tcW w:w="5000" w:type="pct"/>
            <w:gridSpan w:val="4"/>
            <w:tcBorders>
              <w:top w:val="nil"/>
              <w:left w:val="single" w:sz="4" w:space="0" w:color="auto"/>
              <w:bottom w:val="single" w:sz="4" w:space="0" w:color="auto"/>
              <w:right w:val="single" w:sz="4" w:space="0" w:color="auto"/>
            </w:tcBorders>
            <w:tcMar>
              <w:top w:w="28" w:type="dxa"/>
              <w:left w:w="57" w:type="dxa"/>
              <w:bottom w:w="28" w:type="dxa"/>
              <w:right w:w="57" w:type="dxa"/>
            </w:tcMar>
            <w:tcPrChange w:id="223" w:author="Author">
              <w:tcPr>
                <w:tcW w:w="5000" w:type="pct"/>
                <w:gridSpan w:val="5"/>
                <w:tcBorders>
                  <w:top w:val="nil"/>
                  <w:left w:val="single" w:sz="4" w:space="0" w:color="auto"/>
                  <w:bottom w:val="single" w:sz="4" w:space="0" w:color="auto"/>
                  <w:right w:val="single" w:sz="4" w:space="0" w:color="auto"/>
                </w:tcBorders>
                <w:tcMar>
                  <w:top w:w="28" w:type="dxa"/>
                  <w:left w:w="57" w:type="dxa"/>
                  <w:bottom w:w="28" w:type="dxa"/>
                  <w:right w:w="57" w:type="dxa"/>
                </w:tcMar>
              </w:tcPr>
            </w:tcPrChange>
          </w:tcPr>
          <w:p w14:paraId="2902D8E9" w14:textId="06892A5D" w:rsidR="00FE291A" w:rsidRDefault="009C5B62">
            <w:pPr>
              <w:pStyle w:val="ListParagraph"/>
              <w:tabs>
                <w:tab w:val="left" w:pos="1134"/>
              </w:tabs>
              <w:rPr>
                <w:sz w:val="22"/>
                <w:szCs w:val="22"/>
                <w:lang w:val="de-DE"/>
              </w:rPr>
            </w:pPr>
            <w:r>
              <w:rPr>
                <w:noProof/>
              </w:rPr>
              <mc:AlternateContent>
                <mc:Choice Requires="wps">
                  <w:drawing>
                    <wp:inline distT="0" distB="0" distL="0" distR="0" wp14:anchorId="00A58FE9" wp14:editId="104D74DE">
                      <wp:extent cx="5577205" cy="431800"/>
                      <wp:effectExtent l="9525" t="9525" r="13970" b="15875"/>
                      <wp:docPr id="91341750" name="Textfeld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205" cy="431800"/>
                              </a:xfrm>
                              <a:prstGeom prst="rect">
                                <a:avLst/>
                              </a:prstGeom>
                              <a:solidFill>
                                <a:srgbClr val="FFFFFF"/>
                              </a:solidFill>
                              <a:ln w="19050">
                                <a:solidFill>
                                  <a:srgbClr val="FF0000"/>
                                </a:solidFill>
                                <a:miter lim="800000"/>
                                <a:headEnd/>
                                <a:tailEnd/>
                              </a:ln>
                            </wps:spPr>
                            <wps:txbx>
                              <w:txbxContent>
                                <w:p w14:paraId="06290097" w14:textId="77777777" w:rsidR="00FE291A" w:rsidRDefault="00C8738F">
                                  <w:pPr>
                                    <w:tabs>
                                      <w:tab w:val="left" w:pos="1134"/>
                                    </w:tabs>
                                    <w:rPr>
                                      <w:sz w:val="22"/>
                                      <w:lang w:val="de-DE"/>
                                    </w:rPr>
                                  </w:pPr>
                                  <w:r>
                                    <w:rPr>
                                      <w:b/>
                                      <w:sz w:val="22"/>
                                      <w:lang w:val="de-DE"/>
                                    </w:rPr>
                                    <w:t>Wichtig:</w:t>
                                  </w:r>
                                  <w:r>
                                    <w:rPr>
                                      <w:sz w:val="22"/>
                                      <w:lang w:val="de-DE"/>
                                    </w:rPr>
                                    <w:t xml:space="preserve"> Wenn die Fertigspritze beschädigt oder das Verfalldatum überschritten ist, wenden Sie sich an Ihren Arzt oder das medizinische Fachpersonal.</w:t>
                                  </w:r>
                                </w:p>
                              </w:txbxContent>
                            </wps:txbx>
                            <wps:bodyPr rot="0" vert="horz" wrap="square" lIns="91440" tIns="45720" rIns="91440" bIns="45720" anchor="t" anchorCtr="0" upright="1">
                              <a:spAutoFit/>
                            </wps:bodyPr>
                          </wps:wsp>
                        </a:graphicData>
                      </a:graphic>
                    </wp:inline>
                  </w:drawing>
                </mc:Choice>
                <mc:Fallback>
                  <w:pict>
                    <v:shape w14:anchorId="00A58FE9" id="Textfeld 35" o:spid="_x0000_s1031" type="#_x0000_t202" style="width:439.15pt;height: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" strokecolor="red" strokeweight="1.5pt">
                      <v:textbox style="mso-fit-shape-to-text:t">
                        <w:txbxContent>
                          <w:p w14:paraId="06290097" w14:textId="77777777" w:rsidR="00FE291A" w:rsidRDefault="00C8738F">
                            <w:pPr>
                              <w:tabs>
                                <w:tab w:val="left" w:pos="1134"/>
                              </w:tabs>
                              <w:rPr>
                                <w:sz w:val="22"/>
                                <w:lang w:val="de-DE"/>
                              </w:rPr>
                            </w:pPr>
                            <w:r>
                              <w:rPr>
                                <w:b/>
                                <w:sz w:val="22"/>
                                <w:lang w:val="de-DE"/>
                              </w:rPr>
                              <w:t>Wichtig:</w:t>
                            </w:r>
                            <w:r>
                              <w:rPr>
                                <w:sz w:val="22"/>
                                <w:lang w:val="de-DE"/>
                              </w:rPr>
                              <w:t xml:space="preserve"> Wenn die Fertigspritze beschädigt oder das Verfalldatum überschritten ist, wenden Sie sich an Ihren Arzt oder das medizinische Fachpersonal.</w:t>
                            </w:r>
                          </w:p>
                        </w:txbxContent>
                      </v:textbox>
                      <w10:anchorlock/>
                    </v:shape>
                  </w:pict>
                </mc:Fallback>
              </mc:AlternateContent>
            </w:r>
            <w:r w:rsidR="00C8738F">
              <w:rPr>
                <w:sz w:val="22"/>
                <w:szCs w:val="22"/>
                <w:lang w:val="de-DE"/>
              </w:rPr>
              <w:t xml:space="preserve"> </w:t>
            </w:r>
          </w:p>
        </w:tc>
      </w:tr>
    </w:tbl>
    <w:p w14:paraId="047972ED" w14:textId="77777777" w:rsidR="00FE291A" w:rsidRDefault="00FE291A">
      <w:pPr>
        <w:rPr>
          <w:sz w:val="22"/>
          <w:szCs w:val="22"/>
          <w:lang w:val="de-DE"/>
        </w:rPr>
      </w:pPr>
    </w:p>
    <w:tbl>
      <w:tblPr>
        <w:tblW w:w="4933"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Change w:id="224" w:author="Author">
          <w:tblPr>
            <w:tblW w:w="4854"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PrChange>
      </w:tblPr>
      <w:tblGrid>
        <w:gridCol w:w="628"/>
        <w:gridCol w:w="8312"/>
        <w:tblGridChange w:id="225">
          <w:tblGrid>
            <w:gridCol w:w="628"/>
            <w:gridCol w:w="8168"/>
            <w:gridCol w:w="144"/>
          </w:tblGrid>
        </w:tblGridChange>
      </w:tblGrid>
      <w:tr w:rsidR="00FE291A" w:rsidRPr="002E6CD3" w14:paraId="51F882F1" w14:textId="77777777" w:rsidTr="00F076DE">
        <w:trPr>
          <w:cantSplit/>
          <w:trHeight w:val="57"/>
          <w:trPrChange w:id="226" w:author="Author">
            <w:trPr>
              <w:gridAfter w:val="0"/>
              <w:cantSplit/>
              <w:trHeight w:val="57"/>
            </w:trPr>
          </w:trPrChange>
        </w:trPr>
        <w:tc>
          <w:tcPr>
            <w:tcW w:w="351"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227" w:author="Author">
              <w:tcPr>
                <w:tcW w:w="357"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423A9788" w14:textId="77777777" w:rsidR="00FE291A" w:rsidRDefault="00C8738F">
            <w:pPr>
              <w:keepNext/>
              <w:rPr>
                <w:b/>
                <w:bCs/>
                <w:sz w:val="22"/>
                <w:szCs w:val="22"/>
                <w:lang w:val="de-DE"/>
              </w:rPr>
            </w:pPr>
            <w:r>
              <w:rPr>
                <w:b/>
                <w:sz w:val="22"/>
                <w:szCs w:val="22"/>
                <w:lang w:val="de-DE"/>
              </w:rPr>
              <w:t>3c</w:t>
            </w:r>
          </w:p>
        </w:tc>
        <w:tc>
          <w:tcPr>
            <w:tcW w:w="46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228" w:author="Author">
              <w:tcPr>
                <w:tcW w:w="464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5CD42767" w14:textId="585794A7" w:rsidR="00FE291A" w:rsidRDefault="00C8738F">
            <w:pPr>
              <w:pStyle w:val="ListParagraph"/>
              <w:keepNext/>
              <w:ind w:left="567" w:hanging="567"/>
              <w:rPr>
                <w:sz w:val="22"/>
                <w:szCs w:val="22"/>
                <w:lang w:val="de-DE"/>
              </w:rPr>
            </w:pPr>
            <w:r>
              <w:rPr>
                <w:b/>
                <w:sz w:val="22"/>
                <w:szCs w:val="22"/>
                <w:lang w:val="de-DE"/>
              </w:rPr>
              <w:t>Injizieren Sie in eine dieser Stellen.</w:t>
            </w:r>
          </w:p>
        </w:tc>
      </w:tr>
      <w:tr w:rsidR="00FE291A" w14:paraId="14E3A144" w14:textId="77777777" w:rsidTr="00F076DE">
        <w:trPr>
          <w:cantSplit/>
          <w:trHeight w:val="57"/>
          <w:trPrChange w:id="229" w:author="Author">
            <w:trPr>
              <w:gridAfter w:val="0"/>
              <w:cantSplit/>
              <w:trHeight w:val="57"/>
            </w:trPr>
          </w:trPrChange>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230" w:author="Author">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45C4404D" w14:textId="10EA9E29" w:rsidR="00FE291A" w:rsidRDefault="009C5B62">
            <w:pPr>
              <w:pStyle w:val="ListParagraph"/>
              <w:keepNext/>
              <w:ind w:left="567" w:hanging="567"/>
              <w:jc w:val="center"/>
              <w:rPr>
                <w:sz w:val="22"/>
                <w:szCs w:val="22"/>
                <w:lang w:val="de-DE"/>
              </w:rPr>
            </w:pPr>
            <w:bookmarkStart w:id="231" w:name="_Hlk164440303"/>
            <w:ins w:id="232" w:author="Author">
              <w:r>
                <w:rPr>
                  <w:noProof/>
                </w:rPr>
                <w:drawing>
                  <wp:inline distT="0" distB="0" distL="0" distR="0" wp14:anchorId="47C13041" wp14:editId="0EE561EE">
                    <wp:extent cx="1371600" cy="1828800"/>
                    <wp:effectExtent l="0" t="0" r="0" b="0"/>
                    <wp:docPr id="55"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ins>
            <w:del w:id="233" w:author="Author">
              <w:r>
                <w:rPr>
                  <w:noProof/>
                </w:rPr>
                <w:drawing>
                  <wp:inline distT="0" distB="0" distL="0" distR="0" wp14:anchorId="16850A15" wp14:editId="06C3F786">
                    <wp:extent cx="1828800" cy="1897380"/>
                    <wp:effectExtent l="0" t="0" r="0" b="0"/>
                    <wp:docPr id="56"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28800" cy="1897380"/>
                            </a:xfrm>
                            <a:prstGeom prst="rect">
                              <a:avLst/>
                            </a:prstGeom>
                            <a:noFill/>
                            <a:ln>
                              <a:noFill/>
                            </a:ln>
                          </pic:spPr>
                        </pic:pic>
                      </a:graphicData>
                    </a:graphic>
                  </wp:inline>
                </w:drawing>
              </w:r>
            </w:del>
            <w:bookmarkEnd w:id="231"/>
          </w:p>
        </w:tc>
      </w:tr>
      <w:tr w:rsidR="00FE291A" w:rsidRPr="002E6CD3" w14:paraId="6AE747D7" w14:textId="77777777" w:rsidTr="00F076DE">
        <w:trPr>
          <w:cantSplit/>
          <w:trHeight w:val="57"/>
          <w:trPrChange w:id="234" w:author="Author">
            <w:trPr>
              <w:gridAfter w:val="0"/>
              <w:cantSplit/>
              <w:trHeight w:val="57"/>
            </w:trPr>
          </w:trPrChange>
        </w:trPr>
        <w:tc>
          <w:tcPr>
            <w:tcW w:w="351" w:type="pct"/>
            <w:tcBorders>
              <w:top w:val="nil"/>
              <w:left w:val="single" w:sz="4" w:space="0" w:color="auto"/>
              <w:bottom w:val="nil"/>
              <w:right w:val="nil"/>
            </w:tcBorders>
            <w:tcMar>
              <w:top w:w="28" w:type="dxa"/>
              <w:left w:w="57" w:type="dxa"/>
              <w:bottom w:w="28" w:type="dxa"/>
              <w:right w:w="57" w:type="dxa"/>
            </w:tcMar>
            <w:tcPrChange w:id="235" w:author="Author">
              <w:tcPr>
                <w:tcW w:w="357" w:type="pct"/>
                <w:tcBorders>
                  <w:top w:val="nil"/>
                  <w:left w:val="single" w:sz="4" w:space="0" w:color="auto"/>
                  <w:bottom w:val="nil"/>
                  <w:right w:val="nil"/>
                </w:tcBorders>
                <w:tcMar>
                  <w:top w:w="28" w:type="dxa"/>
                  <w:left w:w="57" w:type="dxa"/>
                  <w:bottom w:w="28" w:type="dxa"/>
                  <w:right w:w="57" w:type="dxa"/>
                </w:tcMar>
              </w:tcPr>
            </w:tcPrChange>
          </w:tcPr>
          <w:p w14:paraId="7BAE78A1" w14:textId="77777777" w:rsidR="00FE291A" w:rsidRDefault="00FE291A">
            <w:pPr>
              <w:keepNext/>
              <w:widowControl/>
              <w:numPr>
                <w:ilvl w:val="0"/>
                <w:numId w:val="65"/>
              </w:numPr>
              <w:tabs>
                <w:tab w:val="left" w:pos="708"/>
              </w:tabs>
              <w:autoSpaceDE/>
              <w:autoSpaceDN/>
              <w:adjustRightInd/>
              <w:ind w:left="567" w:hanging="567"/>
              <w:rPr>
                <w:sz w:val="22"/>
                <w:szCs w:val="22"/>
                <w:lang w:val="de-DE"/>
              </w:rPr>
            </w:pPr>
          </w:p>
        </w:tc>
        <w:tc>
          <w:tcPr>
            <w:tcW w:w="4649" w:type="pct"/>
            <w:tcBorders>
              <w:top w:val="nil"/>
              <w:left w:val="nil"/>
              <w:bottom w:val="nil"/>
              <w:right w:val="single" w:sz="4" w:space="0" w:color="auto"/>
            </w:tcBorders>
            <w:tcMar>
              <w:top w:w="0" w:type="dxa"/>
              <w:left w:w="0" w:type="dxa"/>
              <w:bottom w:w="0" w:type="dxa"/>
              <w:right w:w="108" w:type="dxa"/>
            </w:tcMar>
            <w:tcPrChange w:id="236" w:author="Author">
              <w:tcPr>
                <w:tcW w:w="4643" w:type="pct"/>
                <w:tcBorders>
                  <w:top w:val="nil"/>
                  <w:left w:val="nil"/>
                  <w:bottom w:val="nil"/>
                  <w:right w:val="single" w:sz="4" w:space="0" w:color="auto"/>
                </w:tcBorders>
                <w:tcMar>
                  <w:top w:w="0" w:type="dxa"/>
                  <w:left w:w="0" w:type="dxa"/>
                  <w:bottom w:w="0" w:type="dxa"/>
                  <w:right w:w="108" w:type="dxa"/>
                </w:tcMar>
              </w:tcPr>
            </w:tcPrChange>
          </w:tcPr>
          <w:p w14:paraId="6F56AAE7" w14:textId="6DD95053" w:rsidR="00FE291A" w:rsidRDefault="00C8738F">
            <w:pPr>
              <w:keepNext/>
              <w:tabs>
                <w:tab w:val="left" w:pos="1134"/>
              </w:tabs>
              <w:rPr>
                <w:b/>
                <w:bCs/>
                <w:sz w:val="22"/>
                <w:szCs w:val="22"/>
                <w:lang w:val="de-DE"/>
              </w:rPr>
            </w:pPr>
            <w:r>
              <w:rPr>
                <w:sz w:val="22"/>
                <w:szCs w:val="22"/>
                <w:lang w:val="de-DE"/>
              </w:rPr>
              <w:t xml:space="preserve">Injizieren Sie in </w:t>
            </w:r>
            <w:del w:id="237" w:author="Author">
              <w:r>
                <w:rPr>
                  <w:sz w:val="22"/>
                  <w:szCs w:val="22"/>
                  <w:lang w:val="de-DE"/>
                </w:rPr>
                <w:delText xml:space="preserve">Ihren </w:delText>
              </w:r>
            </w:del>
            <w:ins w:id="238" w:author="Author">
              <w:r>
                <w:rPr>
                  <w:sz w:val="22"/>
                  <w:szCs w:val="22"/>
                  <w:lang w:val="de-DE"/>
                </w:rPr>
                <w:t xml:space="preserve">die Vorderseite Ihres </w:t>
              </w:r>
            </w:ins>
            <w:r>
              <w:rPr>
                <w:sz w:val="22"/>
                <w:szCs w:val="22"/>
                <w:lang w:val="de-DE"/>
              </w:rPr>
              <w:t>Oberschenkel</w:t>
            </w:r>
            <w:ins w:id="239" w:author="Author">
              <w:r>
                <w:rPr>
                  <w:sz w:val="22"/>
                  <w:szCs w:val="22"/>
                  <w:lang w:val="de-DE"/>
                </w:rPr>
                <w:t>s</w:t>
              </w:r>
            </w:ins>
            <w:r>
              <w:rPr>
                <w:sz w:val="22"/>
                <w:szCs w:val="22"/>
                <w:lang w:val="de-DE"/>
              </w:rPr>
              <w:t xml:space="preserve"> oder </w:t>
            </w:r>
            <w:ins w:id="240" w:author="Author">
              <w:r>
                <w:rPr>
                  <w:sz w:val="22"/>
                  <w:szCs w:val="22"/>
                  <w:lang w:val="de-DE"/>
                </w:rPr>
                <w:t xml:space="preserve">in Ihren </w:t>
              </w:r>
            </w:ins>
            <w:r>
              <w:rPr>
                <w:sz w:val="22"/>
                <w:szCs w:val="22"/>
                <w:lang w:val="de-DE"/>
              </w:rPr>
              <w:t>Bauch (mit Ausnahme von 5 </w:t>
            </w:r>
            <w:del w:id="241" w:author="Author">
              <w:r w:rsidDel="00211AE1">
                <w:rPr>
                  <w:sz w:val="22"/>
                  <w:szCs w:val="22"/>
                  <w:lang w:val="de-DE"/>
                </w:rPr>
                <w:delText xml:space="preserve">cm </w:delText>
              </w:r>
            </w:del>
            <w:ins w:id="242" w:author="Author">
              <w:r w:rsidR="00211AE1">
                <w:rPr>
                  <w:sz w:val="22"/>
                  <w:szCs w:val="22"/>
                  <w:lang w:val="de-DE"/>
                </w:rPr>
                <w:t xml:space="preserve">Zentimeter </w:t>
              </w:r>
            </w:ins>
            <w:r>
              <w:rPr>
                <w:sz w:val="22"/>
                <w:szCs w:val="22"/>
                <w:lang w:val="de-DE"/>
              </w:rPr>
              <w:t>um Ihren Bauchnabel herum).</w:t>
            </w:r>
          </w:p>
        </w:tc>
      </w:tr>
      <w:tr w:rsidR="00FE291A" w:rsidRPr="002E6CD3" w14:paraId="1F0B1C46" w14:textId="77777777" w:rsidTr="00F076DE">
        <w:trPr>
          <w:cantSplit/>
          <w:trHeight w:val="57"/>
          <w:trPrChange w:id="243" w:author="Author">
            <w:trPr>
              <w:gridAfter w:val="0"/>
              <w:cantSplit/>
              <w:trHeight w:val="57"/>
            </w:trPr>
          </w:trPrChange>
        </w:trPr>
        <w:tc>
          <w:tcPr>
            <w:tcW w:w="351" w:type="pct"/>
            <w:tcBorders>
              <w:top w:val="nil"/>
              <w:left w:val="single" w:sz="4" w:space="0" w:color="auto"/>
              <w:bottom w:val="nil"/>
              <w:right w:val="nil"/>
            </w:tcBorders>
            <w:tcMar>
              <w:top w:w="28" w:type="dxa"/>
              <w:left w:w="57" w:type="dxa"/>
              <w:bottom w:w="28" w:type="dxa"/>
              <w:right w:w="57" w:type="dxa"/>
            </w:tcMar>
            <w:tcPrChange w:id="244" w:author="Author">
              <w:tcPr>
                <w:tcW w:w="357" w:type="pct"/>
                <w:tcBorders>
                  <w:top w:val="nil"/>
                  <w:left w:val="single" w:sz="4" w:space="0" w:color="auto"/>
                  <w:bottom w:val="nil"/>
                  <w:right w:val="nil"/>
                </w:tcBorders>
                <w:tcMar>
                  <w:top w:w="28" w:type="dxa"/>
                  <w:left w:w="57" w:type="dxa"/>
                  <w:bottom w:w="28" w:type="dxa"/>
                  <w:right w:w="57" w:type="dxa"/>
                </w:tcMar>
              </w:tcPr>
            </w:tcPrChange>
          </w:tcPr>
          <w:p w14:paraId="45BC00E9" w14:textId="77777777" w:rsidR="00FE291A" w:rsidRDefault="00FE291A">
            <w:pPr>
              <w:keepNext/>
              <w:widowControl/>
              <w:numPr>
                <w:ilvl w:val="0"/>
                <w:numId w:val="65"/>
              </w:numPr>
              <w:tabs>
                <w:tab w:val="left" w:pos="708"/>
              </w:tabs>
              <w:autoSpaceDE/>
              <w:autoSpaceDN/>
              <w:adjustRightInd/>
              <w:ind w:left="567" w:hanging="567"/>
              <w:rPr>
                <w:sz w:val="22"/>
                <w:szCs w:val="22"/>
                <w:lang w:val="de-DE"/>
              </w:rPr>
            </w:pPr>
          </w:p>
        </w:tc>
        <w:tc>
          <w:tcPr>
            <w:tcW w:w="4649" w:type="pct"/>
            <w:tcBorders>
              <w:top w:val="nil"/>
              <w:left w:val="nil"/>
              <w:bottom w:val="nil"/>
              <w:right w:val="single" w:sz="4" w:space="0" w:color="auto"/>
            </w:tcBorders>
            <w:tcMar>
              <w:top w:w="0" w:type="dxa"/>
              <w:left w:w="0" w:type="dxa"/>
              <w:bottom w:w="0" w:type="dxa"/>
              <w:right w:w="108" w:type="dxa"/>
            </w:tcMar>
            <w:tcPrChange w:id="245" w:author="Author">
              <w:tcPr>
                <w:tcW w:w="4643" w:type="pct"/>
                <w:tcBorders>
                  <w:top w:val="nil"/>
                  <w:left w:val="nil"/>
                  <w:bottom w:val="nil"/>
                  <w:right w:val="single" w:sz="4" w:space="0" w:color="auto"/>
                </w:tcBorders>
                <w:tcMar>
                  <w:top w:w="0" w:type="dxa"/>
                  <w:left w:w="0" w:type="dxa"/>
                  <w:bottom w:w="0" w:type="dxa"/>
                  <w:right w:w="108" w:type="dxa"/>
                </w:tcMar>
              </w:tcPr>
            </w:tcPrChange>
          </w:tcPr>
          <w:p w14:paraId="587BC395" w14:textId="77777777" w:rsidR="00FE291A" w:rsidRDefault="00C8738F">
            <w:pPr>
              <w:keepNext/>
              <w:tabs>
                <w:tab w:val="left" w:pos="1134"/>
              </w:tabs>
              <w:rPr>
                <w:sz w:val="22"/>
                <w:szCs w:val="22"/>
                <w:lang w:val="de-DE"/>
              </w:rPr>
            </w:pPr>
            <w:r>
              <w:rPr>
                <w:sz w:val="22"/>
                <w:szCs w:val="22"/>
                <w:lang w:val="de-DE"/>
              </w:rPr>
              <w:t>Wählen Sie für jede Injektion eine andere Stelle.</w:t>
            </w:r>
          </w:p>
        </w:tc>
      </w:tr>
      <w:tr w:rsidR="00FE291A" w:rsidRPr="002E6CD3" w14:paraId="47638381" w14:textId="77777777" w:rsidTr="00F076DE">
        <w:trPr>
          <w:cantSplit/>
          <w:trHeight w:val="57"/>
          <w:trPrChange w:id="246" w:author="Author">
            <w:trPr>
              <w:gridAfter w:val="0"/>
              <w:cantSplit/>
              <w:trHeight w:val="57"/>
            </w:trPr>
          </w:trPrChange>
        </w:trPr>
        <w:tc>
          <w:tcPr>
            <w:tcW w:w="351" w:type="pct"/>
            <w:tcBorders>
              <w:top w:val="nil"/>
              <w:left w:val="single" w:sz="4" w:space="0" w:color="auto"/>
              <w:bottom w:val="nil"/>
              <w:right w:val="nil"/>
            </w:tcBorders>
            <w:tcMar>
              <w:top w:w="28" w:type="dxa"/>
              <w:left w:w="57" w:type="dxa"/>
              <w:bottom w:w="28" w:type="dxa"/>
              <w:right w:w="57" w:type="dxa"/>
            </w:tcMar>
            <w:tcPrChange w:id="247" w:author="Author">
              <w:tcPr>
                <w:tcW w:w="357" w:type="pct"/>
                <w:tcBorders>
                  <w:top w:val="nil"/>
                  <w:left w:val="single" w:sz="4" w:space="0" w:color="auto"/>
                  <w:bottom w:val="nil"/>
                  <w:right w:val="nil"/>
                </w:tcBorders>
                <w:tcMar>
                  <w:top w:w="28" w:type="dxa"/>
                  <w:left w:w="57" w:type="dxa"/>
                  <w:bottom w:w="28" w:type="dxa"/>
                  <w:right w:w="57" w:type="dxa"/>
                </w:tcMar>
              </w:tcPr>
            </w:tcPrChange>
          </w:tcPr>
          <w:p w14:paraId="0848678D" w14:textId="77777777" w:rsidR="00FE291A" w:rsidRDefault="00FE291A">
            <w:pPr>
              <w:keepNext/>
              <w:widowControl/>
              <w:numPr>
                <w:ilvl w:val="0"/>
                <w:numId w:val="65"/>
              </w:numPr>
              <w:tabs>
                <w:tab w:val="left" w:pos="708"/>
              </w:tabs>
              <w:autoSpaceDE/>
              <w:autoSpaceDN/>
              <w:adjustRightInd/>
              <w:ind w:left="567" w:hanging="567"/>
              <w:rPr>
                <w:sz w:val="22"/>
                <w:szCs w:val="22"/>
                <w:lang w:val="de-DE"/>
              </w:rPr>
            </w:pPr>
          </w:p>
        </w:tc>
        <w:tc>
          <w:tcPr>
            <w:tcW w:w="4649" w:type="pct"/>
            <w:tcBorders>
              <w:top w:val="nil"/>
              <w:left w:val="nil"/>
              <w:bottom w:val="nil"/>
              <w:right w:val="single" w:sz="4" w:space="0" w:color="auto"/>
            </w:tcBorders>
            <w:tcMar>
              <w:top w:w="0" w:type="dxa"/>
              <w:left w:w="0" w:type="dxa"/>
              <w:bottom w:w="0" w:type="dxa"/>
              <w:right w:w="108" w:type="dxa"/>
            </w:tcMar>
            <w:tcPrChange w:id="248" w:author="Author">
              <w:tcPr>
                <w:tcW w:w="4643" w:type="pct"/>
                <w:tcBorders>
                  <w:top w:val="nil"/>
                  <w:left w:val="nil"/>
                  <w:bottom w:val="nil"/>
                  <w:right w:val="single" w:sz="4" w:space="0" w:color="auto"/>
                </w:tcBorders>
                <w:tcMar>
                  <w:top w:w="0" w:type="dxa"/>
                  <w:left w:w="0" w:type="dxa"/>
                  <w:bottom w:w="0" w:type="dxa"/>
                  <w:right w:w="108" w:type="dxa"/>
                </w:tcMar>
              </w:tcPr>
            </w:tcPrChange>
          </w:tcPr>
          <w:p w14:paraId="5CB92F96" w14:textId="77777777" w:rsidR="00FE291A" w:rsidRDefault="00C8738F">
            <w:pPr>
              <w:keepNext/>
              <w:tabs>
                <w:tab w:val="left" w:pos="1134"/>
              </w:tabs>
              <w:rPr>
                <w:sz w:val="22"/>
                <w:szCs w:val="22"/>
                <w:lang w:val="de-DE"/>
              </w:rPr>
            </w:pPr>
            <w:r>
              <w:rPr>
                <w:sz w:val="22"/>
                <w:szCs w:val="22"/>
                <w:lang w:val="de-DE"/>
              </w:rPr>
              <w:t>Waschen Sie Ihre Hände gründlich mit Wasser und Seife.</w:t>
            </w:r>
          </w:p>
        </w:tc>
      </w:tr>
      <w:tr w:rsidR="00FE291A" w:rsidRPr="002E6CD3" w14:paraId="62FD7480" w14:textId="77777777" w:rsidTr="00F076DE">
        <w:trPr>
          <w:cantSplit/>
          <w:trHeight w:val="57"/>
          <w:trPrChange w:id="249" w:author="Author">
            <w:trPr>
              <w:gridAfter w:val="0"/>
              <w:cantSplit/>
              <w:trHeight w:val="57"/>
            </w:trPr>
          </w:trPrChange>
        </w:trPr>
        <w:tc>
          <w:tcPr>
            <w:tcW w:w="351" w:type="pct"/>
            <w:tcBorders>
              <w:top w:val="nil"/>
              <w:left w:val="single" w:sz="4" w:space="0" w:color="auto"/>
              <w:bottom w:val="nil"/>
              <w:right w:val="nil"/>
            </w:tcBorders>
            <w:tcMar>
              <w:top w:w="28" w:type="dxa"/>
              <w:left w:w="57" w:type="dxa"/>
              <w:bottom w:w="28" w:type="dxa"/>
              <w:right w:w="57" w:type="dxa"/>
            </w:tcMar>
            <w:tcPrChange w:id="250" w:author="Author">
              <w:tcPr>
                <w:tcW w:w="357" w:type="pct"/>
                <w:tcBorders>
                  <w:top w:val="nil"/>
                  <w:left w:val="single" w:sz="4" w:space="0" w:color="auto"/>
                  <w:bottom w:val="nil"/>
                  <w:right w:val="nil"/>
                </w:tcBorders>
                <w:tcMar>
                  <w:top w:w="28" w:type="dxa"/>
                  <w:left w:w="57" w:type="dxa"/>
                  <w:bottom w:w="28" w:type="dxa"/>
                  <w:right w:w="57" w:type="dxa"/>
                </w:tcMar>
              </w:tcPr>
            </w:tcPrChange>
          </w:tcPr>
          <w:p w14:paraId="4FB8C8EC" w14:textId="77777777" w:rsidR="00FE291A" w:rsidRDefault="00FE291A">
            <w:pPr>
              <w:keepNext/>
              <w:widowControl/>
              <w:numPr>
                <w:ilvl w:val="0"/>
                <w:numId w:val="65"/>
              </w:numPr>
              <w:tabs>
                <w:tab w:val="left" w:pos="708"/>
              </w:tabs>
              <w:autoSpaceDE/>
              <w:autoSpaceDN/>
              <w:adjustRightInd/>
              <w:ind w:left="567" w:hanging="567"/>
              <w:rPr>
                <w:sz w:val="22"/>
                <w:szCs w:val="22"/>
                <w:lang w:val="de-DE"/>
              </w:rPr>
            </w:pPr>
          </w:p>
        </w:tc>
        <w:tc>
          <w:tcPr>
            <w:tcW w:w="4649" w:type="pct"/>
            <w:tcBorders>
              <w:top w:val="nil"/>
              <w:left w:val="nil"/>
              <w:bottom w:val="nil"/>
              <w:right w:val="single" w:sz="4" w:space="0" w:color="auto"/>
            </w:tcBorders>
            <w:tcMar>
              <w:top w:w="0" w:type="dxa"/>
              <w:left w:w="0" w:type="dxa"/>
              <w:bottom w:w="0" w:type="dxa"/>
              <w:right w:w="108" w:type="dxa"/>
            </w:tcMar>
            <w:tcPrChange w:id="251" w:author="Author">
              <w:tcPr>
                <w:tcW w:w="4643" w:type="pct"/>
                <w:tcBorders>
                  <w:top w:val="nil"/>
                  <w:left w:val="nil"/>
                  <w:bottom w:val="nil"/>
                  <w:right w:val="single" w:sz="4" w:space="0" w:color="auto"/>
                </w:tcBorders>
                <w:tcMar>
                  <w:top w:w="0" w:type="dxa"/>
                  <w:left w:w="0" w:type="dxa"/>
                  <w:bottom w:w="0" w:type="dxa"/>
                  <w:right w:w="108" w:type="dxa"/>
                </w:tcMar>
              </w:tcPr>
            </w:tcPrChange>
          </w:tcPr>
          <w:p w14:paraId="7F00F67F" w14:textId="77777777" w:rsidR="00FE291A" w:rsidRDefault="00C8738F">
            <w:pPr>
              <w:keepNext/>
              <w:rPr>
                <w:sz w:val="22"/>
                <w:szCs w:val="22"/>
                <w:lang w:val="de-DE"/>
              </w:rPr>
            </w:pPr>
            <w:r>
              <w:rPr>
                <w:sz w:val="22"/>
                <w:szCs w:val="22"/>
                <w:lang w:val="de-DE"/>
              </w:rPr>
              <w:t>Reinigen Sie die Injektionsstelle mit einem Alkoholtupfer.</w:t>
            </w:r>
          </w:p>
        </w:tc>
      </w:tr>
      <w:tr w:rsidR="00FE291A" w:rsidRPr="00723069" w14:paraId="1A2069A0" w14:textId="77777777" w:rsidTr="00F076DE">
        <w:trPr>
          <w:cantSplit/>
          <w:trHeight w:val="55"/>
          <w:trPrChange w:id="252" w:author="Author">
            <w:trPr>
              <w:gridAfter w:val="0"/>
              <w:cantSplit/>
              <w:trHeight w:val="55"/>
            </w:trPr>
          </w:trPrChange>
        </w:trPr>
        <w:tc>
          <w:tcPr>
            <w:tcW w:w="351" w:type="pct"/>
            <w:tcBorders>
              <w:top w:val="nil"/>
              <w:left w:val="single" w:sz="4" w:space="0" w:color="auto"/>
              <w:bottom w:val="nil"/>
              <w:right w:val="nil"/>
            </w:tcBorders>
            <w:tcMar>
              <w:top w:w="28" w:type="dxa"/>
              <w:left w:w="57" w:type="dxa"/>
              <w:bottom w:w="28" w:type="dxa"/>
              <w:right w:w="57" w:type="dxa"/>
            </w:tcMar>
            <w:tcPrChange w:id="253" w:author="Author">
              <w:tcPr>
                <w:tcW w:w="357" w:type="pct"/>
                <w:tcBorders>
                  <w:top w:val="nil"/>
                  <w:left w:val="single" w:sz="4" w:space="0" w:color="auto"/>
                  <w:bottom w:val="nil"/>
                  <w:right w:val="nil"/>
                </w:tcBorders>
                <w:tcMar>
                  <w:top w:w="28" w:type="dxa"/>
                  <w:left w:w="57" w:type="dxa"/>
                  <w:bottom w:w="28" w:type="dxa"/>
                  <w:right w:w="57" w:type="dxa"/>
                </w:tcMar>
              </w:tcPr>
            </w:tcPrChange>
          </w:tcPr>
          <w:p w14:paraId="306B30D6"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9" w:type="pct"/>
            <w:tcBorders>
              <w:top w:val="nil"/>
              <w:left w:val="nil"/>
              <w:bottom w:val="nil"/>
              <w:right w:val="single" w:sz="4" w:space="0" w:color="auto"/>
            </w:tcBorders>
            <w:tcMar>
              <w:top w:w="0" w:type="dxa"/>
              <w:left w:w="0" w:type="dxa"/>
              <w:bottom w:w="0" w:type="dxa"/>
              <w:right w:w="108" w:type="dxa"/>
            </w:tcMar>
            <w:tcPrChange w:id="254" w:author="Author">
              <w:tcPr>
                <w:tcW w:w="4643" w:type="pct"/>
                <w:tcBorders>
                  <w:top w:val="nil"/>
                  <w:left w:val="nil"/>
                  <w:bottom w:val="nil"/>
                  <w:right w:val="single" w:sz="4" w:space="0" w:color="auto"/>
                </w:tcBorders>
                <w:tcMar>
                  <w:top w:w="0" w:type="dxa"/>
                  <w:left w:w="0" w:type="dxa"/>
                  <w:bottom w:w="0" w:type="dxa"/>
                  <w:right w:w="108" w:type="dxa"/>
                </w:tcMar>
              </w:tcPr>
            </w:tcPrChange>
          </w:tcPr>
          <w:p w14:paraId="1B3D4F85" w14:textId="77777777" w:rsidR="00FE291A" w:rsidRDefault="00C8738F">
            <w:pPr>
              <w:tabs>
                <w:tab w:val="left" w:pos="1134"/>
              </w:tabs>
              <w:rPr>
                <w:sz w:val="22"/>
                <w:szCs w:val="22"/>
                <w:lang w:val="de-DE"/>
              </w:rPr>
            </w:pPr>
            <w:r>
              <w:rPr>
                <w:sz w:val="22"/>
                <w:szCs w:val="22"/>
                <w:lang w:val="de-DE"/>
              </w:rPr>
              <w:t xml:space="preserve">Lassen Sie </w:t>
            </w:r>
            <w:del w:id="255" w:author="Author">
              <w:r>
                <w:rPr>
                  <w:sz w:val="22"/>
                  <w:szCs w:val="22"/>
                  <w:lang w:val="de-DE"/>
                </w:rPr>
                <w:delText xml:space="preserve">Ihre </w:delText>
              </w:r>
            </w:del>
            <w:ins w:id="256" w:author="Author">
              <w:r>
                <w:rPr>
                  <w:sz w:val="22"/>
                  <w:szCs w:val="22"/>
                  <w:lang w:val="de-DE"/>
                </w:rPr>
                <w:t xml:space="preserve">die </w:t>
              </w:r>
            </w:ins>
            <w:r>
              <w:rPr>
                <w:sz w:val="22"/>
                <w:szCs w:val="22"/>
                <w:lang w:val="de-DE"/>
              </w:rPr>
              <w:t>Haut an der Luft trocknen.</w:t>
            </w:r>
          </w:p>
        </w:tc>
      </w:tr>
      <w:tr w:rsidR="00FE291A" w:rsidRPr="00723069" w14:paraId="173D93F0" w14:textId="77777777" w:rsidTr="00F076DE">
        <w:trPr>
          <w:cantSplit/>
          <w:trHeight w:val="55"/>
          <w:trPrChange w:id="257" w:author="Author">
            <w:trPr>
              <w:gridAfter w:val="0"/>
              <w:cantSplit/>
              <w:trHeight w:val="55"/>
            </w:trPr>
          </w:trPrChange>
        </w:trPr>
        <w:tc>
          <w:tcPr>
            <w:tcW w:w="351" w:type="pct"/>
            <w:tcBorders>
              <w:top w:val="nil"/>
              <w:left w:val="single" w:sz="4" w:space="0" w:color="auto"/>
              <w:bottom w:val="nil"/>
              <w:right w:val="nil"/>
            </w:tcBorders>
            <w:tcMar>
              <w:top w:w="28" w:type="dxa"/>
              <w:left w:w="57" w:type="dxa"/>
              <w:bottom w:w="28" w:type="dxa"/>
              <w:right w:w="57" w:type="dxa"/>
            </w:tcMar>
            <w:tcPrChange w:id="258" w:author="Author">
              <w:tcPr>
                <w:tcW w:w="357" w:type="pct"/>
                <w:tcBorders>
                  <w:top w:val="nil"/>
                  <w:left w:val="single" w:sz="4" w:space="0" w:color="auto"/>
                  <w:bottom w:val="nil"/>
                  <w:right w:val="nil"/>
                </w:tcBorders>
                <w:tcMar>
                  <w:top w:w="28" w:type="dxa"/>
                  <w:left w:w="57" w:type="dxa"/>
                  <w:bottom w:w="28" w:type="dxa"/>
                  <w:right w:w="57" w:type="dxa"/>
                </w:tcMar>
              </w:tcPr>
            </w:tcPrChange>
          </w:tcPr>
          <w:p w14:paraId="6880DD77"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9" w:type="pct"/>
            <w:tcBorders>
              <w:top w:val="nil"/>
              <w:left w:val="nil"/>
              <w:bottom w:val="nil"/>
              <w:right w:val="single" w:sz="4" w:space="0" w:color="auto"/>
            </w:tcBorders>
            <w:tcMar>
              <w:top w:w="0" w:type="dxa"/>
              <w:left w:w="0" w:type="dxa"/>
              <w:bottom w:w="0" w:type="dxa"/>
              <w:right w:w="108" w:type="dxa"/>
            </w:tcMar>
            <w:tcPrChange w:id="259" w:author="Author">
              <w:tcPr>
                <w:tcW w:w="4643" w:type="pct"/>
                <w:tcBorders>
                  <w:top w:val="nil"/>
                  <w:left w:val="nil"/>
                  <w:bottom w:val="nil"/>
                  <w:right w:val="single" w:sz="4" w:space="0" w:color="auto"/>
                </w:tcBorders>
                <w:tcMar>
                  <w:top w:w="0" w:type="dxa"/>
                  <w:left w:w="0" w:type="dxa"/>
                  <w:bottom w:w="0" w:type="dxa"/>
                  <w:right w:w="108" w:type="dxa"/>
                </w:tcMar>
              </w:tcPr>
            </w:tcPrChange>
          </w:tcPr>
          <w:p w14:paraId="32BCFCDE" w14:textId="77777777" w:rsidR="00FE291A" w:rsidRDefault="00C8738F">
            <w:pPr>
              <w:tabs>
                <w:tab w:val="left" w:pos="1134"/>
              </w:tabs>
              <w:rPr>
                <w:sz w:val="22"/>
                <w:szCs w:val="22"/>
                <w:lang w:val="de-DE"/>
              </w:rPr>
            </w:pPr>
            <w:r>
              <w:rPr>
                <w:sz w:val="22"/>
                <w:szCs w:val="22"/>
                <w:lang w:val="de-DE"/>
              </w:rPr>
              <w:t xml:space="preserve">Diesen Bereich vor der Injektion </w:t>
            </w:r>
            <w:r>
              <w:rPr>
                <w:b/>
                <w:sz w:val="22"/>
                <w:szCs w:val="22"/>
                <w:lang w:val="de-DE"/>
              </w:rPr>
              <w:t>nicht</w:t>
            </w:r>
            <w:r>
              <w:rPr>
                <w:sz w:val="22"/>
                <w:szCs w:val="22"/>
                <w:lang w:val="de-DE"/>
              </w:rPr>
              <w:t xml:space="preserve"> noch einmal berühren.</w:t>
            </w:r>
          </w:p>
        </w:tc>
      </w:tr>
      <w:tr w:rsidR="00FE291A" w:rsidRPr="00723069" w14:paraId="179630EE" w14:textId="77777777" w:rsidTr="00F076DE">
        <w:trPr>
          <w:cantSplit/>
          <w:trHeight w:val="55"/>
          <w:trPrChange w:id="260" w:author="Author">
            <w:trPr>
              <w:gridAfter w:val="0"/>
              <w:cantSplit/>
              <w:trHeight w:val="55"/>
            </w:trPr>
          </w:trPrChange>
        </w:trPr>
        <w:tc>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tcPrChange w:id="261" w:author="Author">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tcPr>
            </w:tcPrChange>
          </w:tcPr>
          <w:p w14:paraId="30611603" w14:textId="507F8601" w:rsidR="00FE291A" w:rsidRDefault="009C5B62">
            <w:pPr>
              <w:tabs>
                <w:tab w:val="left" w:pos="1134"/>
              </w:tabs>
              <w:rPr>
                <w:b/>
                <w:bCs/>
                <w:sz w:val="22"/>
                <w:szCs w:val="22"/>
                <w:lang w:val="de-DE"/>
              </w:rPr>
            </w:pPr>
            <w:r>
              <w:rPr>
                <w:noProof/>
              </w:rPr>
              <mc:AlternateContent>
                <mc:Choice Requires="wps">
                  <w:drawing>
                    <wp:anchor distT="45720" distB="45720" distL="114300" distR="114300" simplePos="0" relativeHeight="20" behindDoc="0" locked="0" layoutInCell="1" allowOverlap="1" wp14:anchorId="7890D8B8" wp14:editId="69E34FF6">
                      <wp:simplePos x="0" y="0"/>
                      <wp:positionH relativeFrom="margin">
                        <wp:posOffset>54610</wp:posOffset>
                      </wp:positionH>
                      <wp:positionV relativeFrom="paragraph">
                        <wp:posOffset>59055</wp:posOffset>
                      </wp:positionV>
                      <wp:extent cx="5391150" cy="431800"/>
                      <wp:effectExtent l="0" t="0" r="0" b="6350"/>
                      <wp:wrapSquare wrapText="bothSides"/>
                      <wp:docPr id="112619500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431800"/>
                              </a:xfrm>
                              <a:prstGeom prst="rect">
                                <a:avLst/>
                              </a:prstGeom>
                              <a:solidFill>
                                <a:srgbClr val="FFFFFF"/>
                              </a:solidFill>
                              <a:ln w="19050">
                                <a:solidFill>
                                  <a:srgbClr val="FF0000"/>
                                </a:solidFill>
                                <a:miter lim="800000"/>
                              </a:ln>
                            </wps:spPr>
                            <wps:txbx>
                              <w:txbxContent>
                                <w:p w14:paraId="52559E81" w14:textId="77777777" w:rsidR="00FE291A" w:rsidRDefault="00C8738F">
                                  <w:pPr>
                                    <w:tabs>
                                      <w:tab w:val="left" w:pos="1134"/>
                                    </w:tabs>
                                    <w:rPr>
                                      <w:sz w:val="22"/>
                                      <w:lang w:val="de-DE"/>
                                    </w:rPr>
                                  </w:pPr>
                                  <w:r>
                                    <w:rPr>
                                      <w:b/>
                                      <w:sz w:val="22"/>
                                      <w:lang w:val="de-DE"/>
                                    </w:rPr>
                                    <w:t>Wichtig:</w:t>
                                  </w:r>
                                  <w:r>
                                    <w:rPr>
                                      <w:sz w:val="22"/>
                                      <w:lang w:val="de-DE"/>
                                    </w:rPr>
                                    <w:t xml:space="preserve"> Vermeiden Sie Bereiche mit Narben, Dehnungsstreifen oder in denen die Haut empfindlich, gerötet oder verhärtet ist bzw. einen Bluterguss aufweist.</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7890D8B8" id="Text Box 17" o:spid="_x0000_s1032" type="#_x0000_t202" style="position:absolute;margin-left:4.3pt;margin-top:4.65pt;width:424.5pt;height:34pt;z-index: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" strokecolor="red" strokeweight="1.5pt">
                      <v:textbox style="mso-fit-shape-to-text:t">
                        <w:txbxContent>
                          <w:p w14:paraId="52559E81" w14:textId="77777777" w:rsidR="00FE291A" w:rsidRDefault="00C8738F">
                            <w:pPr>
                              <w:tabs>
                                <w:tab w:val="left" w:pos="1134"/>
                              </w:tabs>
                              <w:rPr>
                                <w:sz w:val="22"/>
                                <w:lang w:val="de-DE"/>
                              </w:rPr>
                            </w:pPr>
                            <w:r>
                              <w:rPr>
                                <w:b/>
                                <w:sz w:val="22"/>
                                <w:lang w:val="de-DE"/>
                              </w:rPr>
                              <w:t>Wichtig:</w:t>
                            </w:r>
                            <w:r>
                              <w:rPr>
                                <w:sz w:val="22"/>
                                <w:lang w:val="de-DE"/>
                              </w:rPr>
                              <w:t xml:space="preserve"> Vermeiden Sie Bereiche mit Narben, Dehnungsstreifen oder in denen die Haut empfindlich, gerötet oder verhärtet ist bzw. einen Bluterguss aufweist.</w:t>
                            </w:r>
                          </w:p>
                        </w:txbxContent>
                      </v:textbox>
                      <w10:wrap type="square" anchorx="margin"/>
                    </v:shape>
                  </w:pict>
                </mc:Fallback>
              </mc:AlternateContent>
            </w:r>
            <w:r w:rsidR="00C8738F">
              <w:rPr>
                <w:b/>
                <w:bCs/>
                <w:sz w:val="22"/>
                <w:szCs w:val="22"/>
                <w:lang w:val="de-DE"/>
              </w:rPr>
              <w:t xml:space="preserve"> </w:t>
            </w:r>
          </w:p>
        </w:tc>
      </w:tr>
    </w:tbl>
    <w:p w14:paraId="77DFEB01" w14:textId="77777777" w:rsidR="00FE291A" w:rsidRDefault="00FE291A">
      <w:pPr>
        <w:tabs>
          <w:tab w:val="left" w:pos="1134"/>
        </w:tabs>
        <w:rPr>
          <w:sz w:val="22"/>
          <w:szCs w:val="22"/>
          <w:lang w:val="de-DE"/>
        </w:rPr>
      </w:pPr>
    </w:p>
    <w:tbl>
      <w:tblPr>
        <w:tblW w:w="4902"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Change w:id="262" w:author="Author">
          <w:tblPr>
            <w:tblW w:w="4903"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PrChange>
      </w:tblPr>
      <w:tblGrid>
        <w:gridCol w:w="636"/>
        <w:gridCol w:w="8307"/>
        <w:tblGridChange w:id="263">
          <w:tblGrid>
            <w:gridCol w:w="633"/>
            <w:gridCol w:w="3"/>
            <w:gridCol w:w="8307"/>
          </w:tblGrid>
        </w:tblGridChange>
      </w:tblGrid>
      <w:tr w:rsidR="00FE291A" w14:paraId="02EF0FB5" w14:textId="77777777" w:rsidTr="00F076DE">
        <w:trPr>
          <w:cantSplit/>
          <w:trHeight w:val="57"/>
          <w:trPrChange w:id="264" w:author="Author">
            <w:trPr>
              <w:cantSplit/>
              <w:trHeight w:val="57"/>
            </w:trPr>
          </w:trPrChange>
        </w:trPr>
        <w:tc>
          <w:tcPr>
            <w:tcW w:w="35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265" w:author="Author">
              <w:tcPr>
                <w:tcW w:w="35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64478FAE" w14:textId="77777777" w:rsidR="00FE291A" w:rsidRDefault="00C8738F">
            <w:pPr>
              <w:keepNext/>
              <w:rPr>
                <w:b/>
                <w:bCs/>
                <w:sz w:val="22"/>
                <w:szCs w:val="22"/>
                <w:lang w:val="de-DE"/>
              </w:rPr>
            </w:pPr>
            <w:r>
              <w:rPr>
                <w:b/>
                <w:sz w:val="22"/>
                <w:szCs w:val="22"/>
                <w:lang w:val="de-DE"/>
              </w:rPr>
              <w:t>4</w:t>
            </w:r>
          </w:p>
        </w:tc>
        <w:tc>
          <w:tcPr>
            <w:tcW w:w="464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266" w:author="Author">
              <w:tcPr>
                <w:tcW w:w="4646"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285FEC0A" w14:textId="77777777" w:rsidR="00FE291A" w:rsidRDefault="00C8738F">
            <w:pPr>
              <w:pStyle w:val="ListParagraph"/>
              <w:ind w:left="567" w:hanging="567"/>
              <w:rPr>
                <w:sz w:val="22"/>
                <w:szCs w:val="22"/>
                <w:lang w:val="de-DE"/>
              </w:rPr>
            </w:pPr>
            <w:r>
              <w:rPr>
                <w:b/>
                <w:sz w:val="22"/>
                <w:szCs w:val="22"/>
                <w:lang w:val="de-DE"/>
              </w:rPr>
              <w:t>Injektion von AMGEVITA</w:t>
            </w:r>
          </w:p>
        </w:tc>
      </w:tr>
      <w:tr w:rsidR="00FE291A" w14:paraId="5D7FE44C" w14:textId="77777777" w:rsidTr="00F076DE">
        <w:trPr>
          <w:cantSplit/>
          <w:trHeight w:val="773"/>
          <w:trPrChange w:id="267" w:author="Author">
            <w:trPr>
              <w:cantSplit/>
              <w:trHeight w:val="773"/>
            </w:trPr>
          </w:trPrChange>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268" w:author="Author">
              <w:tcPr>
                <w:tcW w:w="5000" w:type="pct"/>
                <w:gridSpan w:val="3"/>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283A3E97" w14:textId="41A80AFE" w:rsidR="00FE291A" w:rsidRDefault="009C5B62">
            <w:pPr>
              <w:pStyle w:val="ListParagraph"/>
              <w:keepNext/>
              <w:rPr>
                <w:sz w:val="22"/>
                <w:szCs w:val="22"/>
                <w:lang w:val="de-DE"/>
              </w:rPr>
            </w:pPr>
            <w:r>
              <w:rPr>
                <w:noProof/>
              </w:rPr>
              <mc:AlternateContent>
                <mc:Choice Requires="wps">
                  <w:drawing>
                    <wp:anchor distT="45720" distB="45720" distL="114300" distR="114300" simplePos="0" relativeHeight="21" behindDoc="0" locked="0" layoutInCell="1" allowOverlap="1" wp14:anchorId="6FE35212" wp14:editId="19ED5A25">
                      <wp:simplePos x="0" y="0"/>
                      <wp:positionH relativeFrom="margin">
                        <wp:posOffset>-12065</wp:posOffset>
                      </wp:positionH>
                      <wp:positionV relativeFrom="paragraph">
                        <wp:posOffset>15240</wp:posOffset>
                      </wp:positionV>
                      <wp:extent cx="5606415" cy="431800"/>
                      <wp:effectExtent l="0" t="0" r="0" b="0"/>
                      <wp:wrapSquare wrapText="bothSides"/>
                      <wp:docPr id="204623602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6415" cy="431800"/>
                              </a:xfrm>
                              <a:prstGeom prst="rect">
                                <a:avLst/>
                              </a:prstGeom>
                              <a:solidFill>
                                <a:srgbClr val="FFFFFF"/>
                              </a:solidFill>
                              <a:ln w="19050">
                                <a:solidFill>
                                  <a:srgbClr val="FF0000"/>
                                </a:solidFill>
                                <a:miter lim="800000"/>
                              </a:ln>
                            </wps:spPr>
                            <wps:txbx>
                              <w:txbxContent>
                                <w:p w14:paraId="7B7FB88E" w14:textId="77777777" w:rsidR="00FE291A" w:rsidRDefault="00C8738F">
                                  <w:pPr>
                                    <w:tabs>
                                      <w:tab w:val="left" w:pos="1134"/>
                                    </w:tabs>
                                    <w:rPr>
                                      <w:sz w:val="22"/>
                                      <w:szCs w:val="22"/>
                                      <w:lang w:val="de-DE"/>
                                    </w:rPr>
                                  </w:pPr>
                                  <w:r>
                                    <w:rPr>
                                      <w:b/>
                                      <w:bCs/>
                                      <w:sz w:val="22"/>
                                      <w:szCs w:val="22"/>
                                      <w:lang w:val="de-DE"/>
                                    </w:rPr>
                                    <w:t>Wichtig:</w:t>
                                  </w:r>
                                  <w:r>
                                    <w:rPr>
                                      <w:sz w:val="22"/>
                                      <w:szCs w:val="22"/>
                                      <w:lang w:val="de-DE"/>
                                    </w:rPr>
                                    <w:t xml:space="preserve"> Entfernen Sie die Nadelschutzkappe erst dann, wenn Sie sofort (innerhalb von 5 Minuten) mit der Injektion beginnen können, da sonst das Arzneimittel austrocknen kann.</w:t>
                                  </w:r>
                                  <w:ins w:id="269" w:author="Author">
                                    <w:r>
                                      <w:rPr>
                                        <w:sz w:val="22"/>
                                        <w:szCs w:val="22"/>
                                        <w:lang w:val="de-DE"/>
                                      </w:rPr>
                                      <w:t xml:space="preserve"> Setzen Sie die Kappe nicht wieder auf.</w:t>
                                    </w:r>
                                  </w:ins>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6FE35212" id="Text Box 16" o:spid="_x0000_s1033" type="#_x0000_t202" style="position:absolute;margin-left:-.95pt;margin-top:1.2pt;width:441.45pt;height:34pt;z-index:2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" strokecolor="red" strokeweight="1.5pt">
                      <v:textbox style="mso-fit-shape-to-text:t">
                        <w:txbxContent>
                          <w:p w14:paraId="7B7FB88E" w14:textId="77777777" w:rsidR="00FE291A" w:rsidRDefault="00C8738F">
                            <w:pPr>
                              <w:tabs>
                                <w:tab w:val="left" w:pos="1134"/>
                              </w:tabs>
                              <w:rPr>
                                <w:sz w:val="22"/>
                                <w:szCs w:val="22"/>
                                <w:lang w:val="de-DE"/>
                              </w:rPr>
                            </w:pPr>
                            <w:r>
                              <w:rPr>
                                <w:b/>
                                <w:bCs/>
                                <w:sz w:val="22"/>
                                <w:szCs w:val="22"/>
                                <w:lang w:val="de-DE"/>
                              </w:rPr>
                              <w:t>Wichtig:</w:t>
                            </w:r>
                            <w:r>
                              <w:rPr>
                                <w:sz w:val="22"/>
                                <w:szCs w:val="22"/>
                                <w:lang w:val="de-DE"/>
                              </w:rPr>
                              <w:t xml:space="preserve"> Entfernen Sie die Nadelschutzkappe erst dann, wenn Sie sofort (innerhalb von 5 Minuten) mit der Injektion beginnen können, da sonst das Arzneimittel austrocknen kann.</w:t>
                            </w:r>
                            <w:ins w:id="270" w:author="Author">
                              <w:r>
                                <w:rPr>
                                  <w:sz w:val="22"/>
                                  <w:szCs w:val="22"/>
                                  <w:lang w:val="de-DE"/>
                                </w:rPr>
                                <w:t xml:space="preserve"> Setzen Sie die Kappe nicht wieder auf.</w:t>
                              </w:r>
                            </w:ins>
                          </w:p>
                        </w:txbxContent>
                      </v:textbox>
                      <w10:wrap type="square" anchorx="margin"/>
                    </v:shape>
                  </w:pict>
                </mc:Fallback>
              </mc:AlternateContent>
            </w:r>
          </w:p>
        </w:tc>
      </w:tr>
      <w:tr w:rsidR="00FE291A" w:rsidRPr="002E6CD3" w14:paraId="71648EA9" w14:textId="77777777" w:rsidTr="00F076DE">
        <w:trPr>
          <w:cantSplit/>
          <w:trHeight w:val="57"/>
          <w:trPrChange w:id="271" w:author="Author">
            <w:trPr>
              <w:cantSplit/>
              <w:trHeight w:val="57"/>
            </w:trPr>
          </w:trPrChange>
        </w:trPr>
        <w:tc>
          <w:tcPr>
            <w:tcW w:w="35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272" w:author="Author">
              <w:tcPr>
                <w:tcW w:w="35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0E66265B" w14:textId="77777777" w:rsidR="00FE291A" w:rsidRDefault="00C8738F">
            <w:pPr>
              <w:keepNext/>
              <w:rPr>
                <w:b/>
                <w:bCs/>
                <w:sz w:val="22"/>
                <w:szCs w:val="22"/>
                <w:lang w:val="de-DE"/>
              </w:rPr>
            </w:pPr>
            <w:r>
              <w:rPr>
                <w:b/>
                <w:sz w:val="22"/>
                <w:szCs w:val="22"/>
                <w:lang w:val="de-DE"/>
              </w:rPr>
              <w:t>4a</w:t>
            </w:r>
          </w:p>
        </w:tc>
        <w:tc>
          <w:tcPr>
            <w:tcW w:w="464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273" w:author="Author">
              <w:tcPr>
                <w:tcW w:w="4646"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7FDA365D" w14:textId="77777777" w:rsidR="00FE291A" w:rsidRDefault="00C8738F">
            <w:pPr>
              <w:pStyle w:val="ListParagraph"/>
              <w:rPr>
                <w:sz w:val="22"/>
                <w:szCs w:val="22"/>
                <w:lang w:val="de-DE"/>
              </w:rPr>
            </w:pPr>
            <w:r>
              <w:rPr>
                <w:b/>
                <w:sz w:val="22"/>
                <w:szCs w:val="22"/>
                <w:lang w:val="de-DE"/>
              </w:rPr>
              <w:t>Ziehen Sie die Nadelschutzkappe gerade ab, während Sie die Fertigspritze am Spritzenkörper festhalten.</w:t>
            </w:r>
          </w:p>
        </w:tc>
      </w:tr>
      <w:tr w:rsidR="00FE291A" w14:paraId="5BD88A9C" w14:textId="77777777" w:rsidTr="00F076DE">
        <w:trPr>
          <w:cantSplit/>
          <w:trHeight w:val="57"/>
          <w:trPrChange w:id="274" w:author="Author">
            <w:trPr>
              <w:cantSplit/>
              <w:trHeight w:val="57"/>
            </w:trPr>
          </w:trPrChange>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275" w:author="Author">
              <w:tcPr>
                <w:tcW w:w="5000" w:type="pct"/>
                <w:gridSpan w:val="3"/>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39C1D36B" w14:textId="0F176122" w:rsidR="00FE291A" w:rsidRDefault="009C5B62">
            <w:pPr>
              <w:pStyle w:val="ListParagraph"/>
              <w:ind w:left="567" w:hanging="567"/>
              <w:jc w:val="center"/>
              <w:rPr>
                <w:b/>
                <w:bCs/>
                <w:sz w:val="22"/>
                <w:szCs w:val="22"/>
                <w:lang w:val="de-DE"/>
              </w:rPr>
            </w:pPr>
            <w:bookmarkStart w:id="276" w:name="_Hlk164440267"/>
            <w:r>
              <w:rPr>
                <w:noProof/>
              </w:rPr>
              <w:drawing>
                <wp:inline distT="0" distB="0" distL="0" distR="0" wp14:anchorId="0B6C8543" wp14:editId="06A8A6E5">
                  <wp:extent cx="3200400" cy="1445895"/>
                  <wp:effectExtent l="0" t="0" r="0" b="0"/>
                  <wp:docPr id="5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00400" cy="1445895"/>
                          </a:xfrm>
                          <a:prstGeom prst="rect">
                            <a:avLst/>
                          </a:prstGeom>
                          <a:noFill/>
                          <a:ln>
                            <a:noFill/>
                          </a:ln>
                        </pic:spPr>
                      </pic:pic>
                    </a:graphicData>
                  </a:graphic>
                </wp:inline>
              </w:drawing>
            </w:r>
            <w:bookmarkEnd w:id="276"/>
          </w:p>
        </w:tc>
      </w:tr>
      <w:tr w:rsidR="00FE291A" w:rsidRPr="00723069" w14:paraId="7D93DE96" w14:textId="77777777" w:rsidTr="00F076DE">
        <w:trPr>
          <w:cantSplit/>
          <w:trHeight w:val="57"/>
          <w:trPrChange w:id="277" w:author="Author">
            <w:trPr>
              <w:cantSplit/>
              <w:trHeight w:val="57"/>
            </w:trPr>
          </w:trPrChange>
        </w:trPr>
        <w:tc>
          <w:tcPr>
            <w:tcW w:w="356" w:type="pct"/>
            <w:tcBorders>
              <w:top w:val="nil"/>
              <w:left w:val="single" w:sz="4" w:space="0" w:color="auto"/>
              <w:bottom w:val="nil"/>
              <w:right w:val="nil"/>
            </w:tcBorders>
            <w:tcMar>
              <w:top w:w="28" w:type="dxa"/>
              <w:left w:w="57" w:type="dxa"/>
              <w:bottom w:w="28" w:type="dxa"/>
              <w:right w:w="57" w:type="dxa"/>
            </w:tcMar>
            <w:tcPrChange w:id="278" w:author="Author">
              <w:tcPr>
                <w:tcW w:w="354" w:type="pct"/>
                <w:tcBorders>
                  <w:top w:val="nil"/>
                  <w:left w:val="single" w:sz="4" w:space="0" w:color="auto"/>
                  <w:bottom w:val="nil"/>
                  <w:right w:val="nil"/>
                </w:tcBorders>
                <w:tcMar>
                  <w:top w:w="28" w:type="dxa"/>
                  <w:left w:w="57" w:type="dxa"/>
                  <w:bottom w:w="28" w:type="dxa"/>
                  <w:right w:w="57" w:type="dxa"/>
                </w:tcMar>
              </w:tcPr>
            </w:tcPrChange>
          </w:tcPr>
          <w:p w14:paraId="1D4A5B3D"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4" w:type="pct"/>
            <w:tcBorders>
              <w:top w:val="nil"/>
              <w:left w:val="nil"/>
              <w:bottom w:val="nil"/>
              <w:right w:val="single" w:sz="4" w:space="0" w:color="auto"/>
            </w:tcBorders>
            <w:tcMar>
              <w:top w:w="0" w:type="dxa"/>
              <w:left w:w="0" w:type="dxa"/>
              <w:bottom w:w="0" w:type="dxa"/>
              <w:right w:w="108" w:type="dxa"/>
            </w:tcMar>
            <w:tcPrChange w:id="279" w:author="Author">
              <w:tcPr>
                <w:tcW w:w="4646" w:type="pct"/>
                <w:gridSpan w:val="2"/>
                <w:tcBorders>
                  <w:top w:val="nil"/>
                  <w:left w:val="nil"/>
                  <w:bottom w:val="nil"/>
                  <w:right w:val="single" w:sz="4" w:space="0" w:color="auto"/>
                </w:tcBorders>
                <w:tcMar>
                  <w:top w:w="0" w:type="dxa"/>
                  <w:left w:w="0" w:type="dxa"/>
                  <w:bottom w:w="0" w:type="dxa"/>
                  <w:right w:w="108" w:type="dxa"/>
                </w:tcMar>
              </w:tcPr>
            </w:tcPrChange>
          </w:tcPr>
          <w:p w14:paraId="489B0176" w14:textId="77777777" w:rsidR="00FE291A" w:rsidRDefault="00C8738F">
            <w:pPr>
              <w:tabs>
                <w:tab w:val="left" w:pos="1134"/>
              </w:tabs>
              <w:rPr>
                <w:b/>
                <w:bCs/>
                <w:sz w:val="22"/>
                <w:szCs w:val="22"/>
                <w:lang w:val="de-DE"/>
              </w:rPr>
            </w:pPr>
            <w:r>
              <w:rPr>
                <w:sz w:val="22"/>
                <w:szCs w:val="22"/>
                <w:lang w:val="de-DE"/>
              </w:rPr>
              <w:t xml:space="preserve">Die Nadelschutzkappe </w:t>
            </w:r>
            <w:r>
              <w:rPr>
                <w:b/>
                <w:sz w:val="22"/>
                <w:szCs w:val="22"/>
                <w:lang w:val="de-DE"/>
              </w:rPr>
              <w:t>nicht</w:t>
            </w:r>
            <w:r>
              <w:rPr>
                <w:sz w:val="22"/>
                <w:szCs w:val="22"/>
                <w:lang w:val="de-DE"/>
              </w:rPr>
              <w:t xml:space="preserve"> drehen oder biegen.</w:t>
            </w:r>
          </w:p>
        </w:tc>
      </w:tr>
      <w:tr w:rsidR="00FE291A" w:rsidRPr="00723069" w14:paraId="6C663CBE" w14:textId="77777777" w:rsidTr="00F076DE">
        <w:trPr>
          <w:cantSplit/>
          <w:trHeight w:val="57"/>
          <w:trPrChange w:id="280" w:author="Author">
            <w:trPr>
              <w:cantSplit/>
              <w:trHeight w:val="57"/>
            </w:trPr>
          </w:trPrChange>
        </w:trPr>
        <w:tc>
          <w:tcPr>
            <w:tcW w:w="356" w:type="pct"/>
            <w:tcBorders>
              <w:top w:val="nil"/>
              <w:left w:val="single" w:sz="4" w:space="0" w:color="auto"/>
              <w:bottom w:val="nil"/>
              <w:right w:val="nil"/>
            </w:tcBorders>
            <w:tcMar>
              <w:top w:w="28" w:type="dxa"/>
              <w:left w:w="57" w:type="dxa"/>
              <w:bottom w:w="28" w:type="dxa"/>
              <w:right w:w="57" w:type="dxa"/>
            </w:tcMar>
            <w:tcPrChange w:id="281" w:author="Author">
              <w:tcPr>
                <w:tcW w:w="354" w:type="pct"/>
                <w:tcBorders>
                  <w:top w:val="nil"/>
                  <w:left w:val="single" w:sz="4" w:space="0" w:color="auto"/>
                  <w:bottom w:val="nil"/>
                  <w:right w:val="nil"/>
                </w:tcBorders>
                <w:tcMar>
                  <w:top w:w="28" w:type="dxa"/>
                  <w:left w:w="57" w:type="dxa"/>
                  <w:bottom w:w="28" w:type="dxa"/>
                  <w:right w:w="57" w:type="dxa"/>
                </w:tcMar>
              </w:tcPr>
            </w:tcPrChange>
          </w:tcPr>
          <w:p w14:paraId="2CCF0EB7"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4" w:type="pct"/>
            <w:tcBorders>
              <w:top w:val="nil"/>
              <w:left w:val="nil"/>
              <w:bottom w:val="nil"/>
              <w:right w:val="single" w:sz="4" w:space="0" w:color="auto"/>
            </w:tcBorders>
            <w:tcMar>
              <w:top w:w="0" w:type="dxa"/>
              <w:left w:w="0" w:type="dxa"/>
              <w:bottom w:w="0" w:type="dxa"/>
              <w:right w:w="108" w:type="dxa"/>
            </w:tcMar>
            <w:tcPrChange w:id="282" w:author="Author">
              <w:tcPr>
                <w:tcW w:w="4646" w:type="pct"/>
                <w:gridSpan w:val="2"/>
                <w:tcBorders>
                  <w:top w:val="nil"/>
                  <w:left w:val="nil"/>
                  <w:bottom w:val="nil"/>
                  <w:right w:val="single" w:sz="4" w:space="0" w:color="auto"/>
                </w:tcBorders>
                <w:tcMar>
                  <w:top w:w="0" w:type="dxa"/>
                  <w:left w:w="0" w:type="dxa"/>
                  <w:bottom w:w="0" w:type="dxa"/>
                  <w:right w:w="108" w:type="dxa"/>
                </w:tcMar>
              </w:tcPr>
            </w:tcPrChange>
          </w:tcPr>
          <w:p w14:paraId="1E743D74" w14:textId="77777777" w:rsidR="00FE291A" w:rsidRDefault="00C8738F">
            <w:pPr>
              <w:tabs>
                <w:tab w:val="left" w:pos="1134"/>
              </w:tabs>
              <w:rPr>
                <w:sz w:val="22"/>
                <w:szCs w:val="22"/>
                <w:lang w:val="de-DE"/>
              </w:rPr>
            </w:pPr>
            <w:r>
              <w:rPr>
                <w:sz w:val="22"/>
                <w:szCs w:val="22"/>
                <w:lang w:val="de-DE"/>
              </w:rPr>
              <w:t xml:space="preserve">Die Nadelschutzkappe </w:t>
            </w:r>
            <w:r>
              <w:rPr>
                <w:b/>
                <w:sz w:val="22"/>
                <w:szCs w:val="22"/>
                <w:lang w:val="de-DE"/>
              </w:rPr>
              <w:t>niemals</w:t>
            </w:r>
            <w:r>
              <w:rPr>
                <w:sz w:val="22"/>
                <w:szCs w:val="22"/>
                <w:lang w:val="de-DE"/>
              </w:rPr>
              <w:t xml:space="preserve"> wieder aufsetzen. Dies könnte die Nadel beschädigen.</w:t>
            </w:r>
          </w:p>
        </w:tc>
      </w:tr>
      <w:tr w:rsidR="00FE291A" w:rsidRPr="002E6CD3" w14:paraId="06E0EF7E" w14:textId="77777777" w:rsidTr="00F076DE">
        <w:trPr>
          <w:cantSplit/>
          <w:trHeight w:val="57"/>
          <w:trPrChange w:id="283" w:author="Author">
            <w:trPr>
              <w:cantSplit/>
              <w:trHeight w:val="57"/>
            </w:trPr>
          </w:trPrChange>
        </w:trPr>
        <w:tc>
          <w:tcPr>
            <w:tcW w:w="356" w:type="pct"/>
            <w:tcBorders>
              <w:top w:val="nil"/>
              <w:left w:val="single" w:sz="4" w:space="0" w:color="auto"/>
              <w:bottom w:val="nil"/>
              <w:right w:val="nil"/>
            </w:tcBorders>
            <w:tcMar>
              <w:top w:w="28" w:type="dxa"/>
              <w:left w:w="57" w:type="dxa"/>
              <w:bottom w:w="28" w:type="dxa"/>
              <w:right w:w="57" w:type="dxa"/>
            </w:tcMar>
            <w:tcPrChange w:id="284" w:author="Author">
              <w:tcPr>
                <w:tcW w:w="354" w:type="pct"/>
                <w:tcBorders>
                  <w:top w:val="nil"/>
                  <w:left w:val="single" w:sz="4" w:space="0" w:color="auto"/>
                  <w:bottom w:val="nil"/>
                  <w:right w:val="nil"/>
                </w:tcBorders>
                <w:tcMar>
                  <w:top w:w="28" w:type="dxa"/>
                  <w:left w:w="57" w:type="dxa"/>
                  <w:bottom w:w="28" w:type="dxa"/>
                  <w:right w:w="57" w:type="dxa"/>
                </w:tcMar>
              </w:tcPr>
            </w:tcPrChange>
          </w:tcPr>
          <w:p w14:paraId="2935284E"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4" w:type="pct"/>
            <w:tcBorders>
              <w:top w:val="nil"/>
              <w:left w:val="nil"/>
              <w:bottom w:val="nil"/>
              <w:right w:val="single" w:sz="4" w:space="0" w:color="auto"/>
            </w:tcBorders>
            <w:tcMar>
              <w:top w:w="0" w:type="dxa"/>
              <w:left w:w="0" w:type="dxa"/>
              <w:bottom w:w="0" w:type="dxa"/>
              <w:right w:w="108" w:type="dxa"/>
            </w:tcMar>
            <w:tcPrChange w:id="285" w:author="Author">
              <w:tcPr>
                <w:tcW w:w="4646" w:type="pct"/>
                <w:gridSpan w:val="2"/>
                <w:tcBorders>
                  <w:top w:val="nil"/>
                  <w:left w:val="nil"/>
                  <w:bottom w:val="nil"/>
                  <w:right w:val="single" w:sz="4" w:space="0" w:color="auto"/>
                </w:tcBorders>
                <w:tcMar>
                  <w:top w:w="0" w:type="dxa"/>
                  <w:left w:w="0" w:type="dxa"/>
                  <w:bottom w:w="0" w:type="dxa"/>
                  <w:right w:w="108" w:type="dxa"/>
                </w:tcMar>
              </w:tcPr>
            </w:tcPrChange>
          </w:tcPr>
          <w:p w14:paraId="775805BC" w14:textId="30164AE0" w:rsidR="00FE291A" w:rsidRDefault="00211AE1">
            <w:pPr>
              <w:tabs>
                <w:tab w:val="left" w:pos="1134"/>
              </w:tabs>
              <w:rPr>
                <w:sz w:val="22"/>
                <w:szCs w:val="22"/>
                <w:lang w:val="de-DE"/>
              </w:rPr>
            </w:pPr>
            <w:ins w:id="286" w:author="Author">
              <w:r w:rsidRPr="00F076DE">
                <w:rPr>
                  <w:sz w:val="22"/>
                  <w:szCs w:val="22"/>
                  <w:lang w:val="de-DE"/>
                  <w:rPrChange w:id="287" w:author="Author">
                    <w:rPr>
                      <w:sz w:val="22"/>
                      <w:szCs w:val="22"/>
                    </w:rPr>
                  </w:rPrChange>
                </w:rPr>
                <w:t xml:space="preserve">Lassen Sie </w:t>
              </w:r>
              <w:r w:rsidRPr="00F076DE">
                <w:rPr>
                  <w:b/>
                  <w:bCs/>
                  <w:sz w:val="22"/>
                  <w:szCs w:val="22"/>
                  <w:lang w:val="de-DE"/>
                  <w:rPrChange w:id="288" w:author="Author">
                    <w:rPr>
                      <w:sz w:val="22"/>
                      <w:szCs w:val="22"/>
                    </w:rPr>
                  </w:rPrChange>
                </w:rPr>
                <w:t>nichts</w:t>
              </w:r>
              <w:r w:rsidRPr="00F076DE">
                <w:rPr>
                  <w:sz w:val="22"/>
                  <w:szCs w:val="22"/>
                  <w:lang w:val="de-DE"/>
                  <w:rPrChange w:id="289" w:author="Author">
                    <w:rPr>
                      <w:sz w:val="22"/>
                      <w:szCs w:val="22"/>
                    </w:rPr>
                  </w:rPrChange>
                </w:rPr>
                <w:t xml:space="preserve"> die Nadel berühren, nachdem Sie die Nadelschutzkappe entfernt haben.</w:t>
              </w:r>
            </w:ins>
            <w:del w:id="290" w:author="Author">
              <w:r w:rsidDel="00211AE1">
                <w:rPr>
                  <w:sz w:val="22"/>
                  <w:szCs w:val="22"/>
                  <w:lang w:val="de-DE"/>
                </w:rPr>
                <w:delText xml:space="preserve">Die Nadel darf nach dem Abnehmen der Nadelschutzkappe mit </w:delText>
              </w:r>
              <w:r w:rsidDel="00211AE1">
                <w:rPr>
                  <w:b/>
                  <w:sz w:val="22"/>
                  <w:szCs w:val="22"/>
                  <w:lang w:val="de-DE"/>
                </w:rPr>
                <w:delText>nichts</w:delText>
              </w:r>
              <w:r w:rsidDel="00211AE1">
                <w:rPr>
                  <w:sz w:val="22"/>
                  <w:szCs w:val="22"/>
                  <w:lang w:val="de-DE"/>
                </w:rPr>
                <w:delText xml:space="preserve"> in Berührung kommen.</w:delText>
              </w:r>
            </w:del>
          </w:p>
        </w:tc>
      </w:tr>
      <w:tr w:rsidR="00FE291A" w:rsidRPr="002E6CD3" w14:paraId="465F9955" w14:textId="77777777" w:rsidTr="00F076DE">
        <w:trPr>
          <w:cantSplit/>
          <w:trHeight w:val="57"/>
          <w:trPrChange w:id="291" w:author="Author">
            <w:trPr>
              <w:cantSplit/>
              <w:trHeight w:val="57"/>
            </w:trPr>
          </w:trPrChange>
        </w:trPr>
        <w:tc>
          <w:tcPr>
            <w:tcW w:w="356" w:type="pct"/>
            <w:tcBorders>
              <w:top w:val="nil"/>
              <w:left w:val="single" w:sz="4" w:space="0" w:color="auto"/>
              <w:bottom w:val="nil"/>
              <w:right w:val="nil"/>
            </w:tcBorders>
            <w:tcMar>
              <w:top w:w="28" w:type="dxa"/>
              <w:left w:w="57" w:type="dxa"/>
              <w:bottom w:w="28" w:type="dxa"/>
              <w:right w:w="57" w:type="dxa"/>
            </w:tcMar>
            <w:tcPrChange w:id="292" w:author="Author">
              <w:tcPr>
                <w:tcW w:w="354" w:type="pct"/>
                <w:tcBorders>
                  <w:top w:val="nil"/>
                  <w:left w:val="single" w:sz="4" w:space="0" w:color="auto"/>
                  <w:bottom w:val="nil"/>
                  <w:right w:val="nil"/>
                </w:tcBorders>
                <w:tcMar>
                  <w:top w:w="28" w:type="dxa"/>
                  <w:left w:w="57" w:type="dxa"/>
                  <w:bottom w:w="28" w:type="dxa"/>
                  <w:right w:w="57" w:type="dxa"/>
                </w:tcMar>
              </w:tcPr>
            </w:tcPrChange>
          </w:tcPr>
          <w:p w14:paraId="7E50615A"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4" w:type="pct"/>
            <w:tcBorders>
              <w:top w:val="nil"/>
              <w:left w:val="nil"/>
              <w:bottom w:val="nil"/>
              <w:right w:val="single" w:sz="4" w:space="0" w:color="auto"/>
            </w:tcBorders>
            <w:tcMar>
              <w:top w:w="0" w:type="dxa"/>
              <w:left w:w="0" w:type="dxa"/>
              <w:bottom w:w="0" w:type="dxa"/>
              <w:right w:w="108" w:type="dxa"/>
            </w:tcMar>
            <w:tcPrChange w:id="293" w:author="Author">
              <w:tcPr>
                <w:tcW w:w="4646" w:type="pct"/>
                <w:gridSpan w:val="2"/>
                <w:tcBorders>
                  <w:top w:val="nil"/>
                  <w:left w:val="nil"/>
                  <w:bottom w:val="nil"/>
                  <w:right w:val="single" w:sz="4" w:space="0" w:color="auto"/>
                </w:tcBorders>
                <w:tcMar>
                  <w:top w:w="0" w:type="dxa"/>
                  <w:left w:w="0" w:type="dxa"/>
                  <w:bottom w:w="0" w:type="dxa"/>
                  <w:right w:w="108" w:type="dxa"/>
                </w:tcMar>
              </w:tcPr>
            </w:tcPrChange>
          </w:tcPr>
          <w:p w14:paraId="6CB3BCD1" w14:textId="0401EDAC" w:rsidR="00FE291A" w:rsidRDefault="00C8738F">
            <w:pPr>
              <w:tabs>
                <w:tab w:val="left" w:pos="1134"/>
              </w:tabs>
              <w:rPr>
                <w:sz w:val="22"/>
                <w:szCs w:val="22"/>
                <w:lang w:val="de-DE"/>
              </w:rPr>
            </w:pPr>
            <w:r>
              <w:rPr>
                <w:sz w:val="22"/>
                <w:szCs w:val="22"/>
                <w:lang w:val="de-DE"/>
              </w:rPr>
              <w:t xml:space="preserve">Die Fertigspritze </w:t>
            </w:r>
            <w:r>
              <w:rPr>
                <w:b/>
                <w:sz w:val="22"/>
                <w:szCs w:val="22"/>
                <w:lang w:val="de-DE"/>
              </w:rPr>
              <w:t>nicht</w:t>
            </w:r>
            <w:r>
              <w:rPr>
                <w:sz w:val="22"/>
                <w:szCs w:val="22"/>
                <w:lang w:val="de-DE"/>
              </w:rPr>
              <w:t xml:space="preserve"> auf einer Fläche ablegen, nachdem </w:t>
            </w:r>
            <w:ins w:id="294" w:author="Author">
              <w:r w:rsidR="00211AE1">
                <w:rPr>
                  <w:sz w:val="22"/>
                  <w:szCs w:val="22"/>
                  <w:lang w:val="de-DE"/>
                </w:rPr>
                <w:t xml:space="preserve">Sie </w:t>
              </w:r>
            </w:ins>
            <w:r>
              <w:rPr>
                <w:sz w:val="22"/>
                <w:szCs w:val="22"/>
                <w:lang w:val="de-DE"/>
              </w:rPr>
              <w:t xml:space="preserve">die Nadelschutzkappe entfernt </w:t>
            </w:r>
            <w:del w:id="295" w:author="Author">
              <w:r w:rsidDel="00211AE1">
                <w:rPr>
                  <w:sz w:val="22"/>
                  <w:szCs w:val="22"/>
                  <w:lang w:val="de-DE"/>
                </w:rPr>
                <w:delText>wurde</w:delText>
              </w:r>
            </w:del>
            <w:ins w:id="296" w:author="Author">
              <w:r w:rsidR="00211AE1">
                <w:rPr>
                  <w:sz w:val="22"/>
                  <w:szCs w:val="22"/>
                  <w:lang w:val="de-DE"/>
                </w:rPr>
                <w:t>haben</w:t>
              </w:r>
            </w:ins>
            <w:r>
              <w:rPr>
                <w:sz w:val="22"/>
                <w:szCs w:val="22"/>
                <w:lang w:val="de-DE"/>
              </w:rPr>
              <w:t>.</w:t>
            </w:r>
          </w:p>
        </w:tc>
      </w:tr>
      <w:tr w:rsidR="00FE291A" w14:paraId="65FA7728" w14:textId="77777777" w:rsidTr="00F076DE">
        <w:trPr>
          <w:cantSplit/>
          <w:trHeight w:val="55"/>
          <w:trPrChange w:id="297" w:author="Author">
            <w:trPr>
              <w:cantSplit/>
              <w:trHeight w:val="55"/>
            </w:trPr>
          </w:trPrChange>
        </w:trPr>
        <w:tc>
          <w:tcPr>
            <w:tcW w:w="356" w:type="pct"/>
            <w:tcBorders>
              <w:top w:val="nil"/>
              <w:left w:val="single" w:sz="4" w:space="0" w:color="auto"/>
              <w:bottom w:val="nil"/>
              <w:right w:val="nil"/>
            </w:tcBorders>
            <w:tcMar>
              <w:top w:w="28" w:type="dxa"/>
              <w:left w:w="57" w:type="dxa"/>
              <w:bottom w:w="28" w:type="dxa"/>
              <w:right w:w="57" w:type="dxa"/>
            </w:tcMar>
            <w:tcPrChange w:id="298" w:author="Author">
              <w:tcPr>
                <w:tcW w:w="354" w:type="pct"/>
                <w:tcBorders>
                  <w:top w:val="nil"/>
                  <w:left w:val="single" w:sz="4" w:space="0" w:color="auto"/>
                  <w:bottom w:val="nil"/>
                  <w:right w:val="nil"/>
                </w:tcBorders>
                <w:tcMar>
                  <w:top w:w="28" w:type="dxa"/>
                  <w:left w:w="57" w:type="dxa"/>
                  <w:bottom w:w="28" w:type="dxa"/>
                  <w:right w:w="57" w:type="dxa"/>
                </w:tcMar>
              </w:tcPr>
            </w:tcPrChange>
          </w:tcPr>
          <w:p w14:paraId="5C8A3203"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4" w:type="pct"/>
            <w:tcBorders>
              <w:top w:val="nil"/>
              <w:left w:val="nil"/>
              <w:bottom w:val="nil"/>
              <w:right w:val="single" w:sz="4" w:space="0" w:color="auto"/>
            </w:tcBorders>
            <w:tcMar>
              <w:top w:w="0" w:type="dxa"/>
              <w:left w:w="0" w:type="dxa"/>
              <w:bottom w:w="0" w:type="dxa"/>
              <w:right w:w="108" w:type="dxa"/>
            </w:tcMar>
            <w:tcPrChange w:id="299" w:author="Author">
              <w:tcPr>
                <w:tcW w:w="4646" w:type="pct"/>
                <w:gridSpan w:val="2"/>
                <w:tcBorders>
                  <w:top w:val="nil"/>
                  <w:left w:val="nil"/>
                  <w:bottom w:val="nil"/>
                  <w:right w:val="single" w:sz="4" w:space="0" w:color="auto"/>
                </w:tcBorders>
                <w:tcMar>
                  <w:top w:w="0" w:type="dxa"/>
                  <w:left w:w="0" w:type="dxa"/>
                  <w:bottom w:w="0" w:type="dxa"/>
                  <w:right w:w="108" w:type="dxa"/>
                </w:tcMar>
              </w:tcPr>
            </w:tcPrChange>
          </w:tcPr>
          <w:p w14:paraId="3CAD78A7" w14:textId="77777777" w:rsidR="00FE291A" w:rsidRDefault="00C8738F">
            <w:pPr>
              <w:tabs>
                <w:tab w:val="left" w:pos="1134"/>
              </w:tabs>
              <w:rPr>
                <w:sz w:val="22"/>
                <w:szCs w:val="22"/>
                <w:lang w:val="de-DE"/>
              </w:rPr>
            </w:pPr>
            <w:r>
              <w:rPr>
                <w:sz w:val="22"/>
                <w:szCs w:val="22"/>
                <w:lang w:val="de-DE"/>
              </w:rPr>
              <w:t xml:space="preserve">Versuchen Sie </w:t>
            </w:r>
            <w:r>
              <w:rPr>
                <w:b/>
                <w:sz w:val="22"/>
                <w:szCs w:val="22"/>
                <w:lang w:val="de-DE"/>
              </w:rPr>
              <w:t>nicht</w:t>
            </w:r>
            <w:r>
              <w:rPr>
                <w:sz w:val="22"/>
                <w:szCs w:val="22"/>
                <w:lang w:val="de-DE"/>
              </w:rPr>
              <w:t>, Luftblasen aus der Fertigspritze zu drücken. Es ist in Ordnung, wenn Luftblasen zu sehen sind.</w:t>
            </w:r>
          </w:p>
        </w:tc>
      </w:tr>
      <w:tr w:rsidR="00FE291A" w:rsidRPr="002E6CD3" w14:paraId="31FF827E" w14:textId="77777777" w:rsidTr="00F076DE">
        <w:trPr>
          <w:cantSplit/>
          <w:trHeight w:val="55"/>
          <w:trPrChange w:id="300" w:author="Author">
            <w:trPr>
              <w:cantSplit/>
              <w:trHeight w:val="55"/>
            </w:trPr>
          </w:trPrChange>
        </w:trPr>
        <w:tc>
          <w:tcPr>
            <w:tcW w:w="356" w:type="pct"/>
            <w:tcBorders>
              <w:top w:val="nil"/>
              <w:left w:val="single" w:sz="4" w:space="0" w:color="auto"/>
              <w:bottom w:val="single" w:sz="4" w:space="0" w:color="auto"/>
              <w:right w:val="nil"/>
            </w:tcBorders>
            <w:tcMar>
              <w:top w:w="28" w:type="dxa"/>
              <w:left w:w="57" w:type="dxa"/>
              <w:bottom w:w="28" w:type="dxa"/>
              <w:right w:w="57" w:type="dxa"/>
            </w:tcMar>
            <w:tcPrChange w:id="301" w:author="Author">
              <w:tcPr>
                <w:tcW w:w="354" w:type="pct"/>
                <w:tcBorders>
                  <w:top w:val="nil"/>
                  <w:left w:val="single" w:sz="4" w:space="0" w:color="auto"/>
                  <w:bottom w:val="single" w:sz="4" w:space="0" w:color="auto"/>
                  <w:right w:val="nil"/>
                </w:tcBorders>
                <w:tcMar>
                  <w:top w:w="28" w:type="dxa"/>
                  <w:left w:w="57" w:type="dxa"/>
                  <w:bottom w:w="28" w:type="dxa"/>
                  <w:right w:w="57" w:type="dxa"/>
                </w:tcMar>
              </w:tcPr>
            </w:tcPrChange>
          </w:tcPr>
          <w:p w14:paraId="54BA273A"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4" w:type="pct"/>
            <w:tcBorders>
              <w:top w:val="nil"/>
              <w:left w:val="nil"/>
              <w:bottom w:val="single" w:sz="4" w:space="0" w:color="auto"/>
              <w:right w:val="single" w:sz="4" w:space="0" w:color="auto"/>
            </w:tcBorders>
            <w:tcMar>
              <w:top w:w="0" w:type="dxa"/>
              <w:left w:w="0" w:type="dxa"/>
              <w:bottom w:w="0" w:type="dxa"/>
              <w:right w:w="108" w:type="dxa"/>
            </w:tcMar>
            <w:tcPrChange w:id="302" w:author="Author">
              <w:tcPr>
                <w:tcW w:w="4646" w:type="pct"/>
                <w:gridSpan w:val="2"/>
                <w:tcBorders>
                  <w:top w:val="nil"/>
                  <w:left w:val="nil"/>
                  <w:bottom w:val="single" w:sz="4" w:space="0" w:color="auto"/>
                  <w:right w:val="single" w:sz="4" w:space="0" w:color="auto"/>
                </w:tcBorders>
                <w:tcMar>
                  <w:top w:w="0" w:type="dxa"/>
                  <w:left w:w="0" w:type="dxa"/>
                  <w:bottom w:w="0" w:type="dxa"/>
                  <w:right w:w="108" w:type="dxa"/>
                </w:tcMar>
              </w:tcPr>
            </w:tcPrChange>
          </w:tcPr>
          <w:p w14:paraId="047FB2EB" w14:textId="5113F735" w:rsidR="00FE291A" w:rsidRDefault="00C8738F">
            <w:pPr>
              <w:tabs>
                <w:tab w:val="left" w:pos="1134"/>
              </w:tabs>
              <w:rPr>
                <w:sz w:val="22"/>
                <w:szCs w:val="22"/>
                <w:lang w:val="de-DE"/>
              </w:rPr>
            </w:pPr>
            <w:r>
              <w:rPr>
                <w:sz w:val="22"/>
                <w:szCs w:val="22"/>
                <w:lang w:val="de-DE"/>
              </w:rPr>
              <w:t xml:space="preserve">Es ist normal, </w:t>
            </w:r>
            <w:ins w:id="303" w:author="Author">
              <w:r w:rsidR="003A487A">
                <w:rPr>
                  <w:sz w:val="22"/>
                  <w:szCs w:val="22"/>
                  <w:lang w:val="de-DE"/>
                </w:rPr>
                <w:t xml:space="preserve">wenn aus der Nadel </w:t>
              </w:r>
            </w:ins>
            <w:r>
              <w:rPr>
                <w:sz w:val="22"/>
                <w:szCs w:val="22"/>
                <w:lang w:val="de-DE"/>
              </w:rPr>
              <w:t>ein</w:t>
            </w:r>
            <w:del w:id="304" w:author="Author">
              <w:r w:rsidDel="00CF4CF5">
                <w:rPr>
                  <w:sz w:val="22"/>
                  <w:szCs w:val="22"/>
                  <w:lang w:val="de-DE"/>
                </w:rPr>
                <w:delText>en</w:delText>
              </w:r>
            </w:del>
            <w:r>
              <w:rPr>
                <w:sz w:val="22"/>
                <w:szCs w:val="22"/>
                <w:lang w:val="de-DE"/>
              </w:rPr>
              <w:t xml:space="preserve"> Tropfen </w:t>
            </w:r>
            <w:ins w:id="305" w:author="Author">
              <w:r w:rsidR="003A487A">
                <w:rPr>
                  <w:sz w:val="22"/>
                  <w:szCs w:val="22"/>
                  <w:lang w:val="de-DE"/>
                </w:rPr>
                <w:t xml:space="preserve">des </w:t>
              </w:r>
            </w:ins>
            <w:r>
              <w:rPr>
                <w:sz w:val="22"/>
                <w:szCs w:val="22"/>
                <w:lang w:val="de-DE"/>
              </w:rPr>
              <w:t>Arzneimittel</w:t>
            </w:r>
            <w:ins w:id="306" w:author="Author">
              <w:r w:rsidR="003A487A">
                <w:rPr>
                  <w:sz w:val="22"/>
                  <w:szCs w:val="22"/>
                  <w:lang w:val="de-DE"/>
                </w:rPr>
                <w:t>s</w:t>
              </w:r>
            </w:ins>
            <w:del w:id="307" w:author="Author">
              <w:r w:rsidDel="003A487A">
                <w:rPr>
                  <w:sz w:val="22"/>
                  <w:szCs w:val="22"/>
                  <w:lang w:val="de-DE"/>
                </w:rPr>
                <w:delText xml:space="preserve"> </w:delText>
              </w:r>
              <w:r w:rsidDel="00CF4CF5">
                <w:rPr>
                  <w:sz w:val="22"/>
                  <w:szCs w:val="22"/>
                  <w:lang w:val="de-DE"/>
                </w:rPr>
                <w:delText>zu sehen.</w:delText>
              </w:r>
            </w:del>
            <w:ins w:id="308" w:author="Author">
              <w:del w:id="309" w:author="Author">
                <w:r w:rsidDel="00CF4CF5">
                  <w:rPr>
                    <w:sz w:val="22"/>
                    <w:szCs w:val="22"/>
                    <w:lang w:val="de-DE"/>
                  </w:rPr>
                  <w:delText xml:space="preserve">Wenn </w:delText>
                </w:r>
                <w:r w:rsidDel="003A487A">
                  <w:rPr>
                    <w:sz w:val="22"/>
                    <w:szCs w:val="22"/>
                    <w:lang w:val="de-DE"/>
                  </w:rPr>
                  <w:delText>aus der Nadel</w:delText>
                </w:r>
              </w:del>
              <w:r>
                <w:rPr>
                  <w:sz w:val="22"/>
                  <w:szCs w:val="22"/>
                  <w:lang w:val="de-DE"/>
                </w:rPr>
                <w:t xml:space="preserve"> </w:t>
              </w:r>
              <w:del w:id="310" w:author="Author">
                <w:r w:rsidDel="00CF4CF5">
                  <w:rPr>
                    <w:sz w:val="22"/>
                    <w:szCs w:val="22"/>
                    <w:lang w:val="de-DE"/>
                  </w:rPr>
                  <w:delText xml:space="preserve">ein Tropfen Arzneimittel </w:delText>
                </w:r>
              </w:del>
              <w:r>
                <w:rPr>
                  <w:sz w:val="22"/>
                  <w:szCs w:val="22"/>
                  <w:lang w:val="de-DE"/>
                </w:rPr>
                <w:t>austritt</w:t>
              </w:r>
              <w:del w:id="311" w:author="Author">
                <w:r w:rsidDel="00CF4CF5">
                  <w:rPr>
                    <w:sz w:val="22"/>
                    <w:szCs w:val="22"/>
                    <w:lang w:val="de-DE"/>
                  </w:rPr>
                  <w:delText>, ist dies normal</w:delText>
                </w:r>
              </w:del>
              <w:r>
                <w:rPr>
                  <w:sz w:val="22"/>
                  <w:szCs w:val="22"/>
                  <w:lang w:val="de-DE"/>
                </w:rPr>
                <w:t>.</w:t>
              </w:r>
            </w:ins>
          </w:p>
        </w:tc>
      </w:tr>
    </w:tbl>
    <w:p w14:paraId="323DDA31" w14:textId="77777777" w:rsidR="00FE291A" w:rsidRDefault="00FE291A">
      <w:pPr>
        <w:tabs>
          <w:tab w:val="left" w:pos="1134"/>
        </w:tabs>
        <w:rPr>
          <w:sz w:val="22"/>
          <w:szCs w:val="22"/>
          <w:lang w:val="de-DE"/>
        </w:rPr>
      </w:pPr>
    </w:p>
    <w:tbl>
      <w:tblPr>
        <w:tblW w:w="500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Change w:id="312" w:author="Author">
          <w:tblPr>
            <w:tblW w:w="4886"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PrChange>
      </w:tblPr>
      <w:tblGrid>
        <w:gridCol w:w="347"/>
        <w:gridCol w:w="8714"/>
        <w:tblGridChange w:id="313">
          <w:tblGrid>
            <w:gridCol w:w="344"/>
            <w:gridCol w:w="3"/>
            <w:gridCol w:w="287"/>
            <w:gridCol w:w="8220"/>
            <w:gridCol w:w="207"/>
            <w:gridCol w:w="67"/>
          </w:tblGrid>
        </w:tblGridChange>
      </w:tblGrid>
      <w:tr w:rsidR="00FE291A" w:rsidRPr="002E6CD3" w:rsidDel="00A85CE1" w14:paraId="4E920574" w14:textId="727AB9AA" w:rsidTr="00F076DE">
        <w:trPr>
          <w:cantSplit/>
          <w:trHeight w:val="57"/>
          <w:del w:id="314" w:author="Author"/>
          <w:trPrChange w:id="315" w:author="Author">
            <w:trPr>
              <w:cantSplit/>
              <w:trHeight w:val="57"/>
            </w:trPr>
          </w:trPrChange>
        </w:trPr>
        <w:tc>
          <w:tcPr>
            <w:tcW w:w="18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316" w:author="Author">
              <w:tcPr>
                <w:tcW w:w="3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09E8490B" w14:textId="06E11BC9" w:rsidR="00FE291A" w:rsidDel="00A85CE1" w:rsidRDefault="00C8738F">
            <w:pPr>
              <w:keepNext/>
              <w:rPr>
                <w:del w:id="317" w:author="Author"/>
                <w:b/>
                <w:bCs/>
                <w:sz w:val="22"/>
                <w:szCs w:val="22"/>
                <w:lang w:val="de-DE"/>
              </w:rPr>
            </w:pPr>
            <w:del w:id="318" w:author="Author">
              <w:r w:rsidDel="00A85CE1">
                <w:rPr>
                  <w:b/>
                  <w:sz w:val="22"/>
                  <w:szCs w:val="22"/>
                  <w:lang w:val="de-DE"/>
                </w:rPr>
                <w:delText>4b</w:delText>
              </w:r>
            </w:del>
          </w:p>
        </w:tc>
        <w:tc>
          <w:tcPr>
            <w:tcW w:w="4812"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319" w:author="Author">
              <w:tcPr>
                <w:tcW w:w="4642" w:type="pct"/>
                <w:gridSpan w:val="5"/>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2F46EA29" w14:textId="1208B0FE" w:rsidR="00FE291A" w:rsidDel="00A85CE1" w:rsidRDefault="00C8738F">
            <w:pPr>
              <w:pStyle w:val="ListParagraph"/>
              <w:keepNext/>
              <w:rPr>
                <w:del w:id="320" w:author="Author"/>
                <w:sz w:val="22"/>
                <w:szCs w:val="22"/>
                <w:lang w:val="de-DE"/>
              </w:rPr>
            </w:pPr>
            <w:del w:id="321" w:author="Author">
              <w:r w:rsidDel="00A85CE1">
                <w:rPr>
                  <w:b/>
                  <w:sz w:val="22"/>
                  <w:szCs w:val="22"/>
                  <w:lang w:val="de-DE"/>
                </w:rPr>
                <w:delText>Drücken Sie vor der Injektion die Haut an der Injektionsstelle zusammen.</w:delText>
              </w:r>
            </w:del>
          </w:p>
        </w:tc>
      </w:tr>
      <w:tr w:rsidR="00FE291A" w:rsidRPr="002E6CD3" w:rsidDel="00A85CE1" w14:paraId="2C99FB99" w14:textId="1AD05E3E" w:rsidTr="00F076DE">
        <w:trPr>
          <w:cantSplit/>
          <w:trHeight w:val="57"/>
          <w:del w:id="322" w:author="Author"/>
          <w:trPrChange w:id="323" w:author="Author">
            <w:trPr>
              <w:cantSplit/>
              <w:trHeight w:val="57"/>
            </w:trPr>
          </w:trPrChange>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324" w:author="Author">
              <w:tcPr>
                <w:tcW w:w="5000" w:type="pct"/>
                <w:gridSpan w:val="6"/>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52E815D2" w14:textId="32DB1C10" w:rsidR="00FE291A" w:rsidDel="00A85CE1" w:rsidRDefault="00C8738F">
            <w:pPr>
              <w:keepNext/>
              <w:tabs>
                <w:tab w:val="left" w:pos="1134"/>
              </w:tabs>
              <w:jc w:val="center"/>
              <w:rPr>
                <w:del w:id="325" w:author="Author"/>
                <w:sz w:val="22"/>
                <w:szCs w:val="22"/>
                <w:lang w:val="de-DE"/>
              </w:rPr>
            </w:pPr>
            <w:del w:id="326" w:author="Author">
              <w:r w:rsidDel="00A85CE1">
                <w:rPr>
                  <w:b/>
                  <w:sz w:val="22"/>
                  <w:szCs w:val="22"/>
                  <w:lang w:val="de-DE"/>
                </w:rPr>
                <w:delText>ZUSAMMENDRÜCKEN</w:delText>
              </w:r>
            </w:del>
          </w:p>
        </w:tc>
      </w:tr>
      <w:tr w:rsidR="00FE291A" w:rsidRPr="002E6CD3" w:rsidDel="00A85CE1" w14:paraId="74752455" w14:textId="7F8B141E" w:rsidTr="00F076DE">
        <w:trPr>
          <w:cantSplit/>
          <w:trHeight w:val="57"/>
          <w:del w:id="327" w:author="Author"/>
          <w:trPrChange w:id="328" w:author="Author">
            <w:trPr>
              <w:cantSplit/>
              <w:trHeight w:val="57"/>
            </w:trPr>
          </w:trPrChange>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329" w:author="Author">
              <w:tcPr>
                <w:tcW w:w="5000" w:type="pct"/>
                <w:gridSpan w:val="6"/>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2A55DC0C" w14:textId="3C505391" w:rsidR="00FE291A" w:rsidRPr="00F076DE" w:rsidDel="00A85CE1" w:rsidRDefault="00C8738F">
            <w:pPr>
              <w:keepNext/>
              <w:tabs>
                <w:tab w:val="left" w:pos="1134"/>
              </w:tabs>
              <w:ind w:right="4203"/>
              <w:jc w:val="right"/>
              <w:rPr>
                <w:ins w:id="330" w:author="Author"/>
                <w:del w:id="331" w:author="Author"/>
                <w:szCs w:val="22"/>
                <w:lang w:val="de-DE" w:eastAsia="en-GB"/>
                <w:rPrChange w:id="332" w:author="Author">
                  <w:rPr>
                    <w:ins w:id="333" w:author="Author"/>
                    <w:del w:id="334" w:author="Author"/>
                    <w:szCs w:val="22"/>
                    <w:lang w:eastAsia="en-GB"/>
                  </w:rPr>
                </w:rPrChange>
              </w:rPr>
              <w:pPrChange w:id="335" w:author="Author">
                <w:pPr>
                  <w:keepNext/>
                  <w:tabs>
                    <w:tab w:val="left" w:pos="1134"/>
                  </w:tabs>
                  <w:ind w:right="6187"/>
                  <w:jc w:val="right"/>
                </w:pPr>
              </w:pPrChange>
            </w:pPr>
            <w:ins w:id="336" w:author="Author">
              <w:del w:id="337" w:author="Author">
                <w:r w:rsidRPr="00F076DE" w:rsidDel="00A85CE1">
                  <w:rPr>
                    <w:szCs w:val="22"/>
                    <w:lang w:val="de-DE" w:eastAsia="en-GB"/>
                    <w:rPrChange w:id="338" w:author="Author">
                      <w:rPr>
                        <w:szCs w:val="22"/>
                        <w:lang w:eastAsia="en-GB"/>
                      </w:rPr>
                    </w:rPrChange>
                  </w:rPr>
                  <w:delText>Haut an der Injektionsstelle</w:delText>
                </w:r>
              </w:del>
            </w:ins>
          </w:p>
          <w:p w14:paraId="3AE78C6E" w14:textId="325F7A5C" w:rsidR="00FE291A" w:rsidRPr="00F076DE" w:rsidDel="00A85CE1" w:rsidRDefault="00C8738F">
            <w:pPr>
              <w:keepNext/>
              <w:tabs>
                <w:tab w:val="left" w:pos="1134"/>
              </w:tabs>
              <w:ind w:right="4203"/>
              <w:jc w:val="right"/>
              <w:rPr>
                <w:ins w:id="339" w:author="Author"/>
                <w:del w:id="340" w:author="Author"/>
                <w:szCs w:val="22"/>
                <w:lang w:val="de-DE" w:eastAsia="en-GB"/>
                <w:rPrChange w:id="341" w:author="Author">
                  <w:rPr>
                    <w:ins w:id="342" w:author="Author"/>
                    <w:del w:id="343" w:author="Author"/>
                    <w:szCs w:val="22"/>
                    <w:lang w:eastAsia="en-GB"/>
                  </w:rPr>
                </w:rPrChange>
              </w:rPr>
            </w:pPr>
            <w:ins w:id="344" w:author="Author">
              <w:del w:id="345" w:author="Author">
                <w:r w:rsidRPr="00F076DE" w:rsidDel="00A85CE1">
                  <w:rPr>
                    <w:szCs w:val="22"/>
                    <w:lang w:val="de-DE" w:eastAsia="en-GB"/>
                    <w:rPrChange w:id="346" w:author="Author">
                      <w:rPr>
                        <w:szCs w:val="22"/>
                        <w:lang w:eastAsia="en-GB"/>
                      </w:rPr>
                    </w:rPrChange>
                  </w:rPr>
                  <w:delText>ZUSAMMENDRÜCKEN</w:delText>
                </w:r>
              </w:del>
            </w:ins>
          </w:p>
          <w:p w14:paraId="60032A28" w14:textId="6F0AF373" w:rsidR="00FE291A" w:rsidDel="00A85CE1" w:rsidRDefault="009C5B62">
            <w:pPr>
              <w:keepNext/>
              <w:tabs>
                <w:tab w:val="left" w:pos="1134"/>
              </w:tabs>
              <w:jc w:val="center"/>
              <w:rPr>
                <w:del w:id="347" w:author="Author"/>
                <w:b/>
                <w:bCs/>
                <w:sz w:val="22"/>
                <w:szCs w:val="22"/>
                <w:lang w:val="de-DE"/>
              </w:rPr>
            </w:pPr>
            <w:del w:id="348" w:author="Author">
              <w:r>
                <w:rPr>
                  <w:noProof/>
                </w:rPr>
                <w:drawing>
                  <wp:inline distT="0" distB="0" distL="0" distR="0" wp14:anchorId="4A42F06A" wp14:editId="0AA174D0">
                    <wp:extent cx="1897380" cy="1131570"/>
                    <wp:effectExtent l="0" t="0" r="0" b="0"/>
                    <wp:docPr id="58" name="Bild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97380" cy="1131570"/>
                            </a:xfrm>
                            <a:prstGeom prst="rect">
                              <a:avLst/>
                            </a:prstGeom>
                            <a:noFill/>
                            <a:ln>
                              <a:noFill/>
                            </a:ln>
                          </pic:spPr>
                        </pic:pic>
                      </a:graphicData>
                    </a:graphic>
                  </wp:inline>
                </w:drawing>
              </w:r>
            </w:del>
            <w:ins w:id="349" w:author="Author">
              <w:del w:id="350" w:author="Author">
                <w:r>
                  <w:rPr>
                    <w:noProof/>
                  </w:rPr>
                  <w:drawing>
                    <wp:inline distT="0" distB="0" distL="0" distR="0" wp14:anchorId="5BD8A48F" wp14:editId="13932FBF">
                      <wp:extent cx="1885950" cy="668655"/>
                      <wp:effectExtent l="0" t="0" r="0" b="0"/>
                      <wp:docPr id="59"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85950" cy="668655"/>
                              </a:xfrm>
                              <a:prstGeom prst="rect">
                                <a:avLst/>
                              </a:prstGeom>
                              <a:noFill/>
                              <a:ln>
                                <a:noFill/>
                              </a:ln>
                            </pic:spPr>
                          </pic:pic>
                        </a:graphicData>
                      </a:graphic>
                    </wp:inline>
                  </w:drawing>
                </w:r>
              </w:del>
            </w:ins>
          </w:p>
        </w:tc>
      </w:tr>
      <w:tr w:rsidR="00FE291A" w:rsidRPr="002E6CD3" w:rsidDel="00A85CE1" w14:paraId="0006824C" w14:textId="1B16499A" w:rsidTr="00F076DE">
        <w:trPr>
          <w:cantSplit/>
          <w:trHeight w:val="57"/>
          <w:del w:id="351" w:author="Author"/>
          <w:trPrChange w:id="352" w:author="Author">
            <w:trPr>
              <w:gridAfter w:val="0"/>
              <w:cantSplit/>
              <w:trHeight w:val="57"/>
            </w:trPr>
          </w:trPrChange>
        </w:trPr>
        <w:tc>
          <w:tcPr>
            <w:tcW w:w="188" w:type="pct"/>
            <w:tcBorders>
              <w:top w:val="nil"/>
              <w:left w:val="single" w:sz="4" w:space="0" w:color="auto"/>
              <w:bottom w:val="nil"/>
              <w:right w:val="nil"/>
            </w:tcBorders>
            <w:tcMar>
              <w:top w:w="28" w:type="dxa"/>
              <w:left w:w="57" w:type="dxa"/>
              <w:bottom w:w="28" w:type="dxa"/>
              <w:right w:w="57" w:type="dxa"/>
            </w:tcMar>
            <w:tcPrChange w:id="353" w:author="Author">
              <w:tcPr>
                <w:tcW w:w="358" w:type="pct"/>
                <w:gridSpan w:val="3"/>
                <w:tcBorders>
                  <w:top w:val="nil"/>
                  <w:left w:val="single" w:sz="4" w:space="0" w:color="auto"/>
                  <w:bottom w:val="nil"/>
                  <w:right w:val="nil"/>
                </w:tcBorders>
                <w:tcMar>
                  <w:top w:w="28" w:type="dxa"/>
                  <w:left w:w="57" w:type="dxa"/>
                  <w:bottom w:w="28" w:type="dxa"/>
                  <w:right w:w="57" w:type="dxa"/>
                </w:tcMar>
              </w:tcPr>
            </w:tcPrChange>
          </w:tcPr>
          <w:p w14:paraId="4CFFCEFC" w14:textId="158FBB3C" w:rsidR="00FE291A" w:rsidDel="00A85CE1" w:rsidRDefault="00FE291A">
            <w:pPr>
              <w:widowControl/>
              <w:numPr>
                <w:ilvl w:val="0"/>
                <w:numId w:val="65"/>
              </w:numPr>
              <w:tabs>
                <w:tab w:val="left" w:pos="708"/>
              </w:tabs>
              <w:autoSpaceDE/>
              <w:autoSpaceDN/>
              <w:adjustRightInd/>
              <w:ind w:left="567" w:hanging="567"/>
              <w:rPr>
                <w:del w:id="354" w:author="Author"/>
                <w:sz w:val="22"/>
                <w:szCs w:val="22"/>
                <w:lang w:val="de-DE"/>
              </w:rPr>
            </w:pPr>
          </w:p>
        </w:tc>
        <w:tc>
          <w:tcPr>
            <w:tcW w:w="4812" w:type="pct"/>
            <w:tcBorders>
              <w:top w:val="nil"/>
              <w:left w:val="nil"/>
              <w:bottom w:val="nil"/>
              <w:right w:val="single" w:sz="4" w:space="0" w:color="auto"/>
            </w:tcBorders>
            <w:tcMar>
              <w:top w:w="0" w:type="dxa"/>
              <w:left w:w="0" w:type="dxa"/>
              <w:bottom w:w="0" w:type="dxa"/>
              <w:right w:w="108" w:type="dxa"/>
            </w:tcMar>
            <w:tcPrChange w:id="355" w:author="Author">
              <w:tcPr>
                <w:tcW w:w="4642" w:type="pct"/>
                <w:tcBorders>
                  <w:top w:val="nil"/>
                  <w:left w:val="nil"/>
                  <w:bottom w:val="nil"/>
                  <w:right w:val="single" w:sz="4" w:space="0" w:color="auto"/>
                </w:tcBorders>
                <w:tcMar>
                  <w:top w:w="0" w:type="dxa"/>
                  <w:left w:w="0" w:type="dxa"/>
                  <w:bottom w:w="0" w:type="dxa"/>
                  <w:right w:w="108" w:type="dxa"/>
                </w:tcMar>
              </w:tcPr>
            </w:tcPrChange>
          </w:tcPr>
          <w:p w14:paraId="0CB46800" w14:textId="3E493F83" w:rsidR="00FE291A" w:rsidDel="00A85CE1" w:rsidRDefault="00C8738F">
            <w:pPr>
              <w:tabs>
                <w:tab w:val="left" w:pos="1134"/>
              </w:tabs>
              <w:rPr>
                <w:del w:id="356" w:author="Author"/>
                <w:b/>
                <w:bCs/>
                <w:sz w:val="22"/>
                <w:szCs w:val="22"/>
                <w:lang w:val="de-DE"/>
              </w:rPr>
            </w:pPr>
            <w:del w:id="357" w:author="Author">
              <w:r w:rsidDel="00A85CE1">
                <w:rPr>
                  <w:sz w:val="22"/>
                  <w:szCs w:val="22"/>
                  <w:lang w:val="de-DE"/>
                </w:rPr>
                <w:delText>Drücken Sie die Haut zwischen Daumen und Zeigefinger zusammen, um eine Erhebung für die Injektion zu bilden.</w:delText>
              </w:r>
            </w:del>
          </w:p>
        </w:tc>
      </w:tr>
      <w:tr w:rsidR="00FE291A" w:rsidRPr="002E6CD3" w:rsidDel="00A85CE1" w14:paraId="10738518" w14:textId="2F723A09" w:rsidTr="00F076DE">
        <w:trPr>
          <w:cantSplit/>
          <w:trHeight w:val="344"/>
          <w:del w:id="358" w:author="Author"/>
          <w:trPrChange w:id="359" w:author="Author">
            <w:trPr>
              <w:gridAfter w:val="0"/>
              <w:cantSplit/>
              <w:trHeight w:val="344"/>
            </w:trPr>
          </w:trPrChange>
        </w:trPr>
        <w:tc>
          <w:tcPr>
            <w:tcW w:w="188" w:type="pct"/>
            <w:tcBorders>
              <w:top w:val="nil"/>
              <w:left w:val="single" w:sz="4" w:space="0" w:color="auto"/>
              <w:bottom w:val="single" w:sz="4" w:space="0" w:color="auto"/>
              <w:right w:val="nil"/>
            </w:tcBorders>
            <w:tcMar>
              <w:top w:w="28" w:type="dxa"/>
              <w:left w:w="57" w:type="dxa"/>
              <w:bottom w:w="28" w:type="dxa"/>
              <w:right w:w="57" w:type="dxa"/>
            </w:tcMar>
            <w:tcPrChange w:id="360" w:author="Author">
              <w:tcPr>
                <w:tcW w:w="358" w:type="pct"/>
                <w:gridSpan w:val="3"/>
                <w:tcBorders>
                  <w:top w:val="nil"/>
                  <w:left w:val="single" w:sz="4" w:space="0" w:color="auto"/>
                  <w:bottom w:val="nil"/>
                  <w:right w:val="nil"/>
                </w:tcBorders>
                <w:tcMar>
                  <w:top w:w="28" w:type="dxa"/>
                  <w:left w:w="57" w:type="dxa"/>
                  <w:bottom w:w="28" w:type="dxa"/>
                  <w:right w:w="57" w:type="dxa"/>
                </w:tcMar>
              </w:tcPr>
            </w:tcPrChange>
          </w:tcPr>
          <w:p w14:paraId="14C15D3A" w14:textId="41125796" w:rsidR="00FE291A" w:rsidDel="00A85CE1" w:rsidRDefault="00FE291A">
            <w:pPr>
              <w:widowControl/>
              <w:numPr>
                <w:ilvl w:val="0"/>
                <w:numId w:val="65"/>
              </w:numPr>
              <w:tabs>
                <w:tab w:val="left" w:pos="708"/>
              </w:tabs>
              <w:autoSpaceDE/>
              <w:autoSpaceDN/>
              <w:adjustRightInd/>
              <w:ind w:left="567" w:hanging="567"/>
              <w:rPr>
                <w:del w:id="361" w:author="Author"/>
                <w:sz w:val="22"/>
                <w:szCs w:val="22"/>
                <w:lang w:val="de-DE"/>
              </w:rPr>
            </w:pPr>
          </w:p>
        </w:tc>
        <w:tc>
          <w:tcPr>
            <w:tcW w:w="4812" w:type="pct"/>
            <w:tcBorders>
              <w:top w:val="nil"/>
              <w:left w:val="nil"/>
              <w:bottom w:val="single" w:sz="4" w:space="0" w:color="auto"/>
              <w:right w:val="single" w:sz="4" w:space="0" w:color="auto"/>
            </w:tcBorders>
            <w:tcMar>
              <w:top w:w="0" w:type="dxa"/>
              <w:left w:w="0" w:type="dxa"/>
              <w:bottom w:w="0" w:type="dxa"/>
              <w:right w:w="108" w:type="dxa"/>
            </w:tcMar>
            <w:tcPrChange w:id="362" w:author="Author">
              <w:tcPr>
                <w:tcW w:w="4642" w:type="pct"/>
                <w:tcBorders>
                  <w:top w:val="nil"/>
                  <w:left w:val="nil"/>
                  <w:bottom w:val="nil"/>
                  <w:right w:val="single" w:sz="4" w:space="0" w:color="auto"/>
                </w:tcBorders>
                <w:tcMar>
                  <w:top w:w="0" w:type="dxa"/>
                  <w:left w:w="0" w:type="dxa"/>
                  <w:bottom w:w="0" w:type="dxa"/>
                  <w:right w:w="108" w:type="dxa"/>
                </w:tcMar>
              </w:tcPr>
            </w:tcPrChange>
          </w:tcPr>
          <w:p w14:paraId="592235B7" w14:textId="15671A8C" w:rsidR="00A85CE1" w:rsidDel="00A85CE1" w:rsidRDefault="00C8738F">
            <w:pPr>
              <w:ind w:left="-572"/>
              <w:rPr>
                <w:del w:id="363" w:author="Author"/>
                <w:sz w:val="22"/>
                <w:szCs w:val="22"/>
                <w:lang w:val="de-DE"/>
              </w:rPr>
              <w:pPrChange w:id="364" w:author="Author">
                <w:pPr>
                  <w:tabs>
                    <w:tab w:val="left" w:pos="1134"/>
                  </w:tabs>
                </w:pPr>
              </w:pPrChange>
            </w:pPr>
            <w:del w:id="365" w:author="Author">
              <w:r w:rsidDel="00A85CE1">
                <w:rPr>
                  <w:sz w:val="22"/>
                  <w:szCs w:val="22"/>
                  <w:lang w:val="de-DE"/>
                </w:rPr>
                <w:delText xml:space="preserve">Wenn möglich, sollte die Erhebung etwa 5 cm </w:delText>
              </w:r>
            </w:del>
            <w:ins w:id="366" w:author="Author">
              <w:del w:id="367" w:author="Author">
                <w:r w:rsidDel="00A85CE1">
                  <w:rPr>
                    <w:sz w:val="22"/>
                    <w:szCs w:val="22"/>
                    <w:lang w:val="de-DE"/>
                  </w:rPr>
                  <w:delText xml:space="preserve">Zentimeter </w:delText>
                </w:r>
              </w:del>
            </w:ins>
            <w:del w:id="368" w:author="Author">
              <w:r w:rsidDel="00A85CE1">
                <w:rPr>
                  <w:sz w:val="22"/>
                  <w:szCs w:val="22"/>
                  <w:lang w:val="de-DE"/>
                </w:rPr>
                <w:delText>breit sein.</w:delText>
              </w:r>
            </w:del>
          </w:p>
        </w:tc>
      </w:tr>
      <w:tr w:rsidR="00FE291A" w:rsidRPr="00723069" w:rsidDel="00A85CE1" w14:paraId="4AEFD00B" w14:textId="3320A0FA" w:rsidTr="00F076DE">
        <w:trPr>
          <w:cantSplit/>
          <w:trHeight w:val="505"/>
          <w:ins w:id="369" w:author="Author"/>
          <w:del w:id="370" w:author="Author"/>
          <w:trPrChange w:id="371" w:author="Author">
            <w:trPr>
              <w:gridAfter w:val="0"/>
              <w:cantSplit/>
              <w:trHeight w:val="505"/>
            </w:trPr>
          </w:trPrChange>
        </w:trPr>
        <w:tc>
          <w:tcPr>
            <w:tcW w:w="5000" w:type="pct"/>
            <w:gridSpan w:val="2"/>
            <w:tcBorders>
              <w:top w:val="single" w:sz="4" w:space="0" w:color="FF0000"/>
              <w:left w:val="single" w:sz="4" w:space="0" w:color="auto"/>
              <w:bottom w:val="single" w:sz="4" w:space="0" w:color="auto"/>
              <w:right w:val="single" w:sz="4" w:space="0" w:color="auto"/>
            </w:tcBorders>
            <w:tcMar>
              <w:top w:w="28" w:type="dxa"/>
              <w:left w:w="57" w:type="dxa"/>
              <w:bottom w:w="28" w:type="dxa"/>
              <w:right w:w="57" w:type="dxa"/>
            </w:tcMar>
            <w:tcPrChange w:id="372" w:author="Author">
              <w:tcPr>
                <w:tcW w:w="5000" w:type="pct"/>
                <w:gridSpan w:val="4"/>
                <w:tcBorders>
                  <w:top w:val="nil"/>
                  <w:left w:val="single" w:sz="4" w:space="0" w:color="auto"/>
                  <w:bottom w:val="single" w:sz="4" w:space="0" w:color="auto"/>
                  <w:right w:val="single" w:sz="4" w:space="0" w:color="auto"/>
                </w:tcBorders>
                <w:tcMar>
                  <w:top w:w="28" w:type="dxa"/>
                  <w:left w:w="57" w:type="dxa"/>
                  <w:bottom w:w="28" w:type="dxa"/>
                  <w:right w:w="57" w:type="dxa"/>
                </w:tcMar>
              </w:tcPr>
            </w:tcPrChange>
          </w:tcPr>
          <w:p w14:paraId="3AC5A24A" w14:textId="2DCAE5A7" w:rsidR="00FE291A" w:rsidDel="00A85CE1" w:rsidRDefault="009C5B62">
            <w:pPr>
              <w:tabs>
                <w:tab w:val="left" w:pos="1134"/>
              </w:tabs>
              <w:rPr>
                <w:ins w:id="373" w:author="Author"/>
                <w:del w:id="374" w:author="Author"/>
                <w:sz w:val="22"/>
                <w:szCs w:val="22"/>
                <w:lang w:val="de-DE"/>
              </w:rPr>
            </w:pPr>
            <w:r>
              <w:rPr>
                <w:noProof/>
              </w:rPr>
              <mc:AlternateContent>
                <mc:Choice Requires="wps">
                  <w:drawing>
                    <wp:inline distT="0" distB="0" distL="0" distR="0" wp14:anchorId="2C7BEE08" wp14:editId="57C4A3C0">
                      <wp:extent cx="5525770" cy="431800"/>
                      <wp:effectExtent l="9525" t="9525" r="17780" b="15875"/>
                      <wp:docPr id="1838852845" name="Textfeld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770" cy="431800"/>
                              </a:xfrm>
                              <a:prstGeom prst="rect">
                                <a:avLst/>
                              </a:prstGeom>
                              <a:solidFill>
                                <a:srgbClr val="FFFFFF"/>
                              </a:solidFill>
                              <a:ln w="19050">
                                <a:solidFill>
                                  <a:srgbClr val="FF0000"/>
                                </a:solidFill>
                                <a:miter lim="800000"/>
                                <a:headEnd/>
                                <a:tailEnd/>
                              </a:ln>
                            </wps:spPr>
                            <wps:txbx>
                              <w:txbxContent>
                                <w:p w14:paraId="18FD467A" w14:textId="77777777" w:rsidR="00FE291A" w:rsidRDefault="00C8738F">
                                  <w:pPr>
                                    <w:tabs>
                                      <w:tab w:val="left" w:pos="1134"/>
                                    </w:tabs>
                                    <w:rPr>
                                      <w:sz w:val="22"/>
                                      <w:szCs w:val="22"/>
                                      <w:lang w:val="zh-CN"/>
                                    </w:rPr>
                                  </w:pPr>
                                  <w:ins w:id="375" w:author="Author">
                                    <w:r>
                                      <w:rPr>
                                        <w:b/>
                                        <w:sz w:val="22"/>
                                        <w:szCs w:val="22"/>
                                        <w:lang w:val="de-DE"/>
                                      </w:rPr>
                                      <w:t>Wichtig:</w:t>
                                    </w:r>
                                    <w:r>
                                      <w:rPr>
                                        <w:sz w:val="22"/>
                                        <w:szCs w:val="22"/>
                                        <w:lang w:val="de-DE"/>
                                      </w:rPr>
                                      <w:t xml:space="preserve"> Drücken Sie die Haut so lange zusammen, bis die Injektion abgeschlossen ist.</w:t>
                                    </w:r>
                                  </w:ins>
                                </w:p>
                              </w:txbxContent>
                            </wps:txbx>
                            <wps:bodyPr rot="0" vert="horz" wrap="square" lIns="91440" tIns="45720" rIns="91440" bIns="45720" anchor="t" anchorCtr="0" upright="1">
                              <a:spAutoFit/>
                            </wps:bodyPr>
                          </wps:wsp>
                        </a:graphicData>
                      </a:graphic>
                    </wp:inline>
                  </w:drawing>
                </mc:Choice>
                <mc:Fallback>
                  <w:pict>
                    <v:shape w14:anchorId="2C7BEE08" id="Textfeld 31" o:spid="_x0000_s1034" type="#_x0000_t202" style="width:435.1pt;height: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" strokecolor="red" strokeweight="1.5pt">
                      <v:textbox style="mso-fit-shape-to-text:t">
                        <w:txbxContent>
                          <w:p w14:paraId="18FD467A" w14:textId="77777777" w:rsidR="00FE291A" w:rsidRDefault="00C8738F">
                            <w:pPr>
                              <w:tabs>
                                <w:tab w:val="left" w:pos="1134"/>
                              </w:tabs>
                              <w:rPr>
                                <w:sz w:val="22"/>
                                <w:szCs w:val="22"/>
                                <w:lang w:val="zh-CN"/>
                              </w:rPr>
                            </w:pPr>
                            <w:ins w:id="376" w:author="Author">
                              <w:r>
                                <w:rPr>
                                  <w:b/>
                                  <w:sz w:val="22"/>
                                  <w:szCs w:val="22"/>
                                  <w:lang w:val="de-DE"/>
                                </w:rPr>
                                <w:t>Wichtig:</w:t>
                              </w:r>
                              <w:r>
                                <w:rPr>
                                  <w:sz w:val="22"/>
                                  <w:szCs w:val="22"/>
                                  <w:lang w:val="de-DE"/>
                                </w:rPr>
                                <w:t xml:space="preserve"> Drücken Sie die Haut so lange zusammen, bis die Injektion abgeschlossen ist.</w:t>
                              </w:r>
                            </w:ins>
                          </w:p>
                        </w:txbxContent>
                      </v:textbox>
                      <w10:anchorlock/>
                    </v:shape>
                  </w:pict>
                </mc:Fallback>
              </mc:AlternateContent>
            </w:r>
          </w:p>
        </w:tc>
      </w:tr>
    </w:tbl>
    <w:p w14:paraId="6D0D03B2" w14:textId="2FF85358" w:rsidR="00FE291A" w:rsidRDefault="00FE291A">
      <w:pPr>
        <w:tabs>
          <w:tab w:val="left" w:pos="1134"/>
        </w:tabs>
        <w:rPr>
          <w:ins w:id="377" w:author="Author"/>
          <w:sz w:val="22"/>
          <w:szCs w:val="22"/>
          <w:lang w:val="de-DE"/>
        </w:rPr>
      </w:pPr>
    </w:p>
    <w:tbl>
      <w:tblPr>
        <w:tblW w:w="491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80"/>
        <w:gridCol w:w="3965"/>
        <w:gridCol w:w="4353"/>
        <w:tblGridChange w:id="378">
          <w:tblGrid>
            <w:gridCol w:w="87"/>
            <w:gridCol w:w="493"/>
            <w:gridCol w:w="87"/>
            <w:gridCol w:w="3878"/>
            <w:gridCol w:w="87"/>
            <w:gridCol w:w="4266"/>
            <w:gridCol w:w="279"/>
          </w:tblGrid>
        </w:tblGridChange>
      </w:tblGrid>
      <w:tr w:rsidR="00A85CE1" w:rsidRPr="002E6CD3" w14:paraId="45AC6620" w14:textId="77777777" w:rsidTr="00A85CE1">
        <w:trPr>
          <w:cantSplit/>
          <w:trHeight w:val="57"/>
          <w:ins w:id="379" w:author="Author"/>
        </w:trPr>
        <w:tc>
          <w:tcPr>
            <w:tcW w:w="32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59D35E" w14:textId="77777777" w:rsidR="00A85CE1" w:rsidRPr="00F04F82" w:rsidRDefault="00A85CE1" w:rsidP="007650C7">
            <w:pPr>
              <w:keepNext/>
              <w:rPr>
                <w:ins w:id="380" w:author="Author"/>
                <w:b/>
                <w:bCs/>
              </w:rPr>
            </w:pPr>
            <w:ins w:id="381" w:author="Author">
              <w:r w:rsidRPr="001775D9">
                <w:rPr>
                  <w:b/>
                  <w:bCs/>
                </w:rPr>
                <w:t>4b</w:t>
              </w:r>
            </w:ins>
          </w:p>
        </w:tc>
        <w:tc>
          <w:tcPr>
            <w:tcW w:w="4674"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C0E8FB9" w14:textId="4AB899EF" w:rsidR="00A85CE1" w:rsidRPr="00F076DE" w:rsidRDefault="00A85CE1" w:rsidP="007650C7">
            <w:pPr>
              <w:pStyle w:val="ListParagraph"/>
              <w:keepNext/>
              <w:ind w:left="567" w:hanging="567"/>
              <w:rPr>
                <w:ins w:id="382" w:author="Author"/>
                <w:lang w:val="de-DE"/>
                <w:rPrChange w:id="383" w:author="Author">
                  <w:rPr>
                    <w:ins w:id="384" w:author="Author"/>
                  </w:rPr>
                </w:rPrChange>
              </w:rPr>
            </w:pPr>
            <w:ins w:id="385" w:author="Author">
              <w:r>
                <w:rPr>
                  <w:b/>
                  <w:sz w:val="22"/>
                  <w:szCs w:val="22"/>
                  <w:lang w:val="de-DE"/>
                </w:rPr>
                <w:t>Drücken Sie vor der Injektion die Haut an der Injektionsstelle zusammen.</w:t>
              </w:r>
            </w:ins>
          </w:p>
        </w:tc>
      </w:tr>
      <w:tr w:rsidR="00A85CE1" w:rsidRPr="00F04F82" w14:paraId="48BB1A0D" w14:textId="77777777" w:rsidTr="00F076DE">
        <w:tblPrEx>
          <w:tblW w:w="491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PrExChange w:id="386" w:author="Author">
            <w:tblPrEx>
              <w:tblW w:w="5016"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PrEx>
          </w:tblPrExChange>
        </w:tblPrEx>
        <w:trPr>
          <w:cantSplit/>
          <w:trHeight w:val="57"/>
          <w:ins w:id="387" w:author="Author"/>
          <w:trPrChange w:id="388" w:author="Author">
            <w:trPr>
              <w:gridBefore w:val="1"/>
              <w:cantSplit/>
              <w:trHeight w:val="57"/>
            </w:trPr>
          </w:trPrChange>
        </w:trPr>
        <w:tc>
          <w:tcPr>
            <w:tcW w:w="2554" w:type="pct"/>
            <w:gridSpan w:val="2"/>
            <w:tcBorders>
              <w:top w:val="single" w:sz="4" w:space="0" w:color="auto"/>
              <w:left w:val="single" w:sz="4" w:space="0" w:color="auto"/>
              <w:bottom w:val="single" w:sz="4" w:space="0" w:color="auto"/>
              <w:right w:val="nil"/>
            </w:tcBorders>
            <w:tcMar>
              <w:top w:w="28" w:type="dxa"/>
              <w:left w:w="57" w:type="dxa"/>
              <w:bottom w:w="28" w:type="dxa"/>
              <w:right w:w="57" w:type="dxa"/>
            </w:tcMar>
            <w:hideMark/>
            <w:tcPrChange w:id="389" w:author="Author">
              <w:tcPr>
                <w:tcW w:w="2500" w:type="pct"/>
                <w:gridSpan w:val="4"/>
                <w:tcBorders>
                  <w:top w:val="single" w:sz="4" w:space="0" w:color="auto"/>
                  <w:left w:val="single" w:sz="4" w:space="0" w:color="auto"/>
                  <w:bottom w:val="single" w:sz="4" w:space="0" w:color="auto"/>
                  <w:right w:val="nil"/>
                </w:tcBorders>
                <w:tcMar>
                  <w:top w:w="28" w:type="dxa"/>
                  <w:left w:w="57" w:type="dxa"/>
                  <w:bottom w:w="28" w:type="dxa"/>
                  <w:right w:w="57" w:type="dxa"/>
                </w:tcMar>
                <w:hideMark/>
              </w:tcPr>
            </w:tcPrChange>
          </w:tcPr>
          <w:p w14:paraId="01D6C321" w14:textId="77777777" w:rsidR="00A85CE1" w:rsidRPr="00F076DE" w:rsidRDefault="00A85CE1" w:rsidP="007650C7">
            <w:pPr>
              <w:keepNext/>
              <w:tabs>
                <w:tab w:val="left" w:pos="514"/>
                <w:tab w:val="left" w:pos="1134"/>
                <w:tab w:val="center" w:pos="4507"/>
              </w:tabs>
              <w:rPr>
                <w:ins w:id="390" w:author="Author"/>
                <w:szCs w:val="22"/>
                <w:lang w:val="de-DE" w:eastAsia="en-GB"/>
                <w:rPrChange w:id="391" w:author="Author">
                  <w:rPr>
                    <w:ins w:id="392" w:author="Author"/>
                    <w:szCs w:val="22"/>
                    <w:lang w:eastAsia="en-GB"/>
                  </w:rPr>
                </w:rPrChange>
              </w:rPr>
            </w:pPr>
          </w:p>
          <w:p w14:paraId="0A2BC376" w14:textId="1A6781E3" w:rsidR="00A85CE1" w:rsidRPr="00F076DE" w:rsidRDefault="00A85CE1" w:rsidP="00A85CE1">
            <w:pPr>
              <w:keepNext/>
              <w:tabs>
                <w:tab w:val="left" w:pos="1134"/>
              </w:tabs>
              <w:jc w:val="right"/>
              <w:rPr>
                <w:ins w:id="393" w:author="Author"/>
                <w:szCs w:val="22"/>
                <w:lang w:val="de-DE" w:eastAsia="en-GB"/>
                <w:rPrChange w:id="394" w:author="Author">
                  <w:rPr>
                    <w:ins w:id="395" w:author="Author"/>
                    <w:szCs w:val="22"/>
                    <w:lang w:eastAsia="en-GB"/>
                  </w:rPr>
                </w:rPrChange>
              </w:rPr>
            </w:pPr>
            <w:ins w:id="396" w:author="Author">
              <w:r w:rsidRPr="00F076DE">
                <w:rPr>
                  <w:szCs w:val="22"/>
                  <w:lang w:val="de-DE" w:eastAsia="en-GB"/>
                  <w:rPrChange w:id="397" w:author="Author">
                    <w:rPr>
                      <w:szCs w:val="22"/>
                      <w:lang w:eastAsia="en-GB"/>
                    </w:rPr>
                  </w:rPrChange>
                </w:rPr>
                <w:t>Haut an der Injektionsstelle Z</w:t>
              </w:r>
              <w:r>
                <w:rPr>
                  <w:szCs w:val="22"/>
                  <w:lang w:val="de-DE" w:eastAsia="en-GB"/>
                </w:rPr>
                <w:t>USAMMENDRÜCKEN</w:t>
              </w:r>
            </w:ins>
          </w:p>
        </w:tc>
        <w:tc>
          <w:tcPr>
            <w:tcW w:w="2446" w:type="pct"/>
            <w:tcBorders>
              <w:top w:val="single" w:sz="4" w:space="0" w:color="auto"/>
              <w:left w:val="nil"/>
              <w:bottom w:val="single" w:sz="4" w:space="0" w:color="auto"/>
              <w:right w:val="single" w:sz="4" w:space="0" w:color="auto"/>
            </w:tcBorders>
            <w:tcPrChange w:id="398" w:author="Author">
              <w:tcPr>
                <w:tcW w:w="2500" w:type="pct"/>
                <w:gridSpan w:val="2"/>
                <w:tcBorders>
                  <w:top w:val="single" w:sz="4" w:space="0" w:color="auto"/>
                  <w:left w:val="nil"/>
                  <w:bottom w:val="single" w:sz="4" w:space="0" w:color="auto"/>
                  <w:right w:val="single" w:sz="4" w:space="0" w:color="auto"/>
                </w:tcBorders>
              </w:tcPr>
            </w:tcPrChange>
          </w:tcPr>
          <w:p w14:paraId="4BF6464E" w14:textId="77777777" w:rsidR="00A85CE1" w:rsidRPr="00F076DE" w:rsidRDefault="00A85CE1" w:rsidP="007650C7">
            <w:pPr>
              <w:keepNext/>
              <w:tabs>
                <w:tab w:val="left" w:pos="514"/>
                <w:tab w:val="left" w:pos="1134"/>
                <w:tab w:val="center" w:pos="4507"/>
              </w:tabs>
              <w:spacing w:after="100" w:afterAutospacing="1"/>
              <w:rPr>
                <w:ins w:id="399" w:author="Author"/>
                <w:lang w:val="de-DE"/>
                <w:rPrChange w:id="400" w:author="Author">
                  <w:rPr>
                    <w:ins w:id="401" w:author="Author"/>
                  </w:rPr>
                </w:rPrChange>
              </w:rPr>
            </w:pPr>
          </w:p>
          <w:p w14:paraId="41F40044" w14:textId="28236FFA" w:rsidR="00A85CE1" w:rsidRPr="00F04F82" w:rsidRDefault="009C5B62" w:rsidP="007650C7">
            <w:pPr>
              <w:keepNext/>
              <w:tabs>
                <w:tab w:val="left" w:pos="514"/>
                <w:tab w:val="left" w:pos="1134"/>
                <w:tab w:val="center" w:pos="4507"/>
              </w:tabs>
              <w:spacing w:after="100" w:afterAutospacing="1"/>
              <w:rPr>
                <w:ins w:id="402" w:author="Author"/>
                <w:b/>
                <w:bCs/>
              </w:rPr>
            </w:pPr>
            <w:ins w:id="403" w:author="Author">
              <w:r>
                <w:rPr>
                  <w:noProof/>
                </w:rPr>
                <w:drawing>
                  <wp:inline distT="0" distB="0" distL="0" distR="0" wp14:anchorId="3344CEC2" wp14:editId="53FCE67F">
                    <wp:extent cx="2148840" cy="914400"/>
                    <wp:effectExtent l="0" t="0" r="0" b="0"/>
                    <wp:docPr id="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48840" cy="914400"/>
                            </a:xfrm>
                            <a:prstGeom prst="rect">
                              <a:avLst/>
                            </a:prstGeom>
                            <a:noFill/>
                            <a:ln>
                              <a:noFill/>
                            </a:ln>
                          </pic:spPr>
                        </pic:pic>
                      </a:graphicData>
                    </a:graphic>
                  </wp:inline>
                </w:drawing>
              </w:r>
            </w:ins>
          </w:p>
        </w:tc>
      </w:tr>
      <w:tr w:rsidR="00A85CE1" w:rsidRPr="00723069" w14:paraId="4156E24A" w14:textId="77777777" w:rsidTr="00F076DE">
        <w:tblPrEx>
          <w:tblW w:w="491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PrExChange w:id="404" w:author="Author">
            <w:tblPrEx>
              <w:tblW w:w="5016"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PrEx>
          </w:tblPrExChange>
        </w:tblPrEx>
        <w:trPr>
          <w:cantSplit/>
          <w:trHeight w:val="57"/>
          <w:ins w:id="405" w:author="Author"/>
          <w:trPrChange w:id="406" w:author="Author">
            <w:trPr>
              <w:gridBefore w:val="1"/>
              <w:cantSplit/>
              <w:trHeight w:val="57"/>
            </w:trPr>
          </w:trPrChange>
        </w:trPr>
        <w:tc>
          <w:tcPr>
            <w:tcW w:w="326" w:type="pct"/>
            <w:tcBorders>
              <w:top w:val="nil"/>
              <w:left w:val="single" w:sz="4" w:space="0" w:color="auto"/>
              <w:bottom w:val="nil"/>
              <w:right w:val="nil"/>
            </w:tcBorders>
            <w:tcMar>
              <w:top w:w="28" w:type="dxa"/>
              <w:left w:w="57" w:type="dxa"/>
              <w:bottom w:w="28" w:type="dxa"/>
              <w:right w:w="57" w:type="dxa"/>
            </w:tcMar>
            <w:tcPrChange w:id="407" w:author="Author">
              <w:tcPr>
                <w:tcW w:w="319" w:type="pct"/>
                <w:gridSpan w:val="2"/>
                <w:tcBorders>
                  <w:top w:val="nil"/>
                  <w:left w:val="single" w:sz="4" w:space="0" w:color="auto"/>
                  <w:bottom w:val="nil"/>
                  <w:right w:val="nil"/>
                </w:tcBorders>
                <w:tcMar>
                  <w:top w:w="28" w:type="dxa"/>
                  <w:left w:w="57" w:type="dxa"/>
                  <w:bottom w:w="28" w:type="dxa"/>
                  <w:right w:w="57" w:type="dxa"/>
                </w:tcMar>
              </w:tcPr>
            </w:tcPrChange>
          </w:tcPr>
          <w:p w14:paraId="4CE34D66" w14:textId="77777777" w:rsidR="00A85CE1" w:rsidRPr="001775D9" w:rsidRDefault="00A85CE1" w:rsidP="00A85CE1">
            <w:pPr>
              <w:widowControl/>
              <w:numPr>
                <w:ilvl w:val="0"/>
                <w:numId w:val="65"/>
              </w:numPr>
              <w:tabs>
                <w:tab w:val="left" w:pos="708"/>
              </w:tabs>
              <w:autoSpaceDE/>
              <w:autoSpaceDN/>
              <w:adjustRightInd/>
              <w:ind w:left="567" w:hanging="567"/>
              <w:rPr>
                <w:ins w:id="408" w:author="Author"/>
              </w:rPr>
            </w:pPr>
          </w:p>
        </w:tc>
        <w:tc>
          <w:tcPr>
            <w:tcW w:w="4674" w:type="pct"/>
            <w:gridSpan w:val="2"/>
            <w:tcBorders>
              <w:top w:val="nil"/>
              <w:left w:val="nil"/>
              <w:bottom w:val="nil"/>
              <w:right w:val="single" w:sz="4" w:space="0" w:color="auto"/>
            </w:tcBorders>
            <w:tcMar>
              <w:top w:w="0" w:type="dxa"/>
              <w:left w:w="0" w:type="dxa"/>
              <w:bottom w:w="0" w:type="dxa"/>
              <w:right w:w="108" w:type="dxa"/>
            </w:tcMar>
            <w:hideMark/>
            <w:tcPrChange w:id="409" w:author="Author">
              <w:tcPr>
                <w:tcW w:w="4681" w:type="pct"/>
                <w:gridSpan w:val="4"/>
                <w:tcBorders>
                  <w:top w:val="nil"/>
                  <w:left w:val="nil"/>
                  <w:bottom w:val="nil"/>
                  <w:right w:val="single" w:sz="4" w:space="0" w:color="auto"/>
                </w:tcBorders>
                <w:tcMar>
                  <w:top w:w="0" w:type="dxa"/>
                  <w:left w:w="0" w:type="dxa"/>
                  <w:bottom w:w="0" w:type="dxa"/>
                  <w:right w:w="108" w:type="dxa"/>
                </w:tcMar>
                <w:hideMark/>
              </w:tcPr>
            </w:tcPrChange>
          </w:tcPr>
          <w:p w14:paraId="471D1261" w14:textId="6A16F1EF" w:rsidR="00A85CE1" w:rsidRPr="00F076DE" w:rsidRDefault="00A85CE1" w:rsidP="007650C7">
            <w:pPr>
              <w:tabs>
                <w:tab w:val="left" w:pos="1134"/>
              </w:tabs>
              <w:rPr>
                <w:ins w:id="410" w:author="Author"/>
                <w:b/>
                <w:bCs/>
                <w:lang w:val="de-DE"/>
                <w:rPrChange w:id="411" w:author="Author">
                  <w:rPr>
                    <w:ins w:id="412" w:author="Author"/>
                    <w:b/>
                    <w:bCs/>
                  </w:rPr>
                </w:rPrChange>
              </w:rPr>
            </w:pPr>
            <w:ins w:id="413" w:author="Author">
              <w:r>
                <w:rPr>
                  <w:sz w:val="22"/>
                  <w:szCs w:val="22"/>
                  <w:lang w:val="de-DE"/>
                </w:rPr>
                <w:t>Drücken Sie die Haut zwischen Daumen und Zeigefinger zusammen, um eine Erhebung für die Injektion zu bilden.</w:t>
              </w:r>
            </w:ins>
          </w:p>
        </w:tc>
      </w:tr>
      <w:tr w:rsidR="00A85CE1" w:rsidRPr="002E6CD3" w14:paraId="02A65FCC" w14:textId="77777777" w:rsidTr="00F076DE">
        <w:tblPrEx>
          <w:tblW w:w="491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PrExChange w:id="414" w:author="Author">
            <w:tblPrEx>
              <w:tblW w:w="5016"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PrEx>
          </w:tblPrExChange>
        </w:tblPrEx>
        <w:trPr>
          <w:cantSplit/>
          <w:trHeight w:val="57"/>
          <w:ins w:id="415" w:author="Author"/>
          <w:trPrChange w:id="416" w:author="Author">
            <w:trPr>
              <w:gridBefore w:val="1"/>
              <w:cantSplit/>
              <w:trHeight w:val="57"/>
            </w:trPr>
          </w:trPrChange>
        </w:trPr>
        <w:tc>
          <w:tcPr>
            <w:tcW w:w="326" w:type="pct"/>
            <w:tcBorders>
              <w:top w:val="nil"/>
              <w:left w:val="single" w:sz="4" w:space="0" w:color="auto"/>
              <w:bottom w:val="nil"/>
              <w:right w:val="nil"/>
            </w:tcBorders>
            <w:tcMar>
              <w:top w:w="28" w:type="dxa"/>
              <w:left w:w="57" w:type="dxa"/>
              <w:bottom w:w="28" w:type="dxa"/>
              <w:right w:w="57" w:type="dxa"/>
            </w:tcMar>
            <w:tcPrChange w:id="417" w:author="Author">
              <w:tcPr>
                <w:tcW w:w="319" w:type="pct"/>
                <w:gridSpan w:val="2"/>
                <w:tcBorders>
                  <w:top w:val="nil"/>
                  <w:left w:val="single" w:sz="4" w:space="0" w:color="auto"/>
                  <w:bottom w:val="nil"/>
                  <w:right w:val="nil"/>
                </w:tcBorders>
                <w:tcMar>
                  <w:top w:w="28" w:type="dxa"/>
                  <w:left w:w="57" w:type="dxa"/>
                  <w:bottom w:w="28" w:type="dxa"/>
                  <w:right w:w="57" w:type="dxa"/>
                </w:tcMar>
              </w:tcPr>
            </w:tcPrChange>
          </w:tcPr>
          <w:p w14:paraId="3D33FC90" w14:textId="77777777" w:rsidR="00A85CE1" w:rsidRPr="00F076DE" w:rsidRDefault="00A85CE1" w:rsidP="00A85CE1">
            <w:pPr>
              <w:widowControl/>
              <w:numPr>
                <w:ilvl w:val="0"/>
                <w:numId w:val="65"/>
              </w:numPr>
              <w:tabs>
                <w:tab w:val="left" w:pos="708"/>
              </w:tabs>
              <w:autoSpaceDE/>
              <w:autoSpaceDN/>
              <w:adjustRightInd/>
              <w:ind w:left="567" w:hanging="567"/>
              <w:rPr>
                <w:ins w:id="418" w:author="Author"/>
                <w:lang w:val="de-DE"/>
                <w:rPrChange w:id="419" w:author="Author">
                  <w:rPr>
                    <w:ins w:id="420" w:author="Author"/>
                  </w:rPr>
                </w:rPrChange>
              </w:rPr>
            </w:pPr>
          </w:p>
        </w:tc>
        <w:tc>
          <w:tcPr>
            <w:tcW w:w="4674" w:type="pct"/>
            <w:gridSpan w:val="2"/>
            <w:tcBorders>
              <w:top w:val="nil"/>
              <w:left w:val="nil"/>
              <w:bottom w:val="nil"/>
              <w:right w:val="single" w:sz="4" w:space="0" w:color="auto"/>
            </w:tcBorders>
            <w:tcMar>
              <w:top w:w="0" w:type="dxa"/>
              <w:left w:w="0" w:type="dxa"/>
              <w:bottom w:w="0" w:type="dxa"/>
              <w:right w:w="108" w:type="dxa"/>
            </w:tcMar>
            <w:hideMark/>
            <w:tcPrChange w:id="421" w:author="Author">
              <w:tcPr>
                <w:tcW w:w="4681" w:type="pct"/>
                <w:gridSpan w:val="4"/>
                <w:tcBorders>
                  <w:top w:val="nil"/>
                  <w:left w:val="nil"/>
                  <w:bottom w:val="nil"/>
                  <w:right w:val="single" w:sz="4" w:space="0" w:color="auto"/>
                </w:tcBorders>
                <w:tcMar>
                  <w:top w:w="0" w:type="dxa"/>
                  <w:left w:w="0" w:type="dxa"/>
                  <w:bottom w:w="0" w:type="dxa"/>
                  <w:right w:w="108" w:type="dxa"/>
                </w:tcMar>
                <w:hideMark/>
              </w:tcPr>
            </w:tcPrChange>
          </w:tcPr>
          <w:p w14:paraId="0E6CE553" w14:textId="3CF37866" w:rsidR="00A85CE1" w:rsidRPr="00F076DE" w:rsidRDefault="00A85CE1" w:rsidP="007650C7">
            <w:pPr>
              <w:tabs>
                <w:tab w:val="left" w:pos="1134"/>
              </w:tabs>
              <w:rPr>
                <w:ins w:id="422" w:author="Author"/>
                <w:lang w:val="de-DE"/>
                <w:rPrChange w:id="423" w:author="Author">
                  <w:rPr>
                    <w:ins w:id="424" w:author="Author"/>
                  </w:rPr>
                </w:rPrChange>
              </w:rPr>
            </w:pPr>
            <w:ins w:id="425" w:author="Author">
              <w:r>
                <w:rPr>
                  <w:sz w:val="22"/>
                  <w:szCs w:val="22"/>
                  <w:lang w:val="de-DE"/>
                </w:rPr>
                <w:t>Wenn möglich, sollte die Erhebung etwa 5 Zentimeter breit sein.</w:t>
              </w:r>
            </w:ins>
          </w:p>
        </w:tc>
      </w:tr>
      <w:tr w:rsidR="00A85CE1" w:rsidRPr="002E6CD3" w14:paraId="2F027DFF" w14:textId="77777777" w:rsidTr="00A85CE1">
        <w:trPr>
          <w:cantSplit/>
          <w:trHeight w:val="57"/>
          <w:ins w:id="426" w:author="Author"/>
        </w:trPr>
        <w:tc>
          <w:tcPr>
            <w:tcW w:w="5000" w:type="pct"/>
            <w:gridSpan w:val="3"/>
            <w:tcBorders>
              <w:top w:val="nil"/>
              <w:left w:val="single" w:sz="4" w:space="0" w:color="auto"/>
              <w:bottom w:val="single" w:sz="4" w:space="0" w:color="auto"/>
              <w:right w:val="single" w:sz="4" w:space="0" w:color="auto"/>
            </w:tcBorders>
            <w:tcMar>
              <w:top w:w="28" w:type="dxa"/>
              <w:left w:w="57" w:type="dxa"/>
              <w:bottom w:w="28" w:type="dxa"/>
              <w:right w:w="57" w:type="dxa"/>
            </w:tcMar>
          </w:tcPr>
          <w:p w14:paraId="43B5C2E4" w14:textId="4D53E4B3" w:rsidR="00A85CE1" w:rsidRPr="00F076DE" w:rsidRDefault="009C5B62" w:rsidP="007650C7">
            <w:pPr>
              <w:tabs>
                <w:tab w:val="left" w:pos="1134"/>
              </w:tabs>
              <w:rPr>
                <w:ins w:id="427" w:author="Author"/>
                <w:b/>
                <w:bCs/>
                <w:lang w:val="de-DE"/>
                <w:rPrChange w:id="428" w:author="Author">
                  <w:rPr>
                    <w:ins w:id="429" w:author="Author"/>
                    <w:b/>
                    <w:bCs/>
                  </w:rPr>
                </w:rPrChange>
              </w:rPr>
            </w:pPr>
            <w:ins w:id="430" w:author="Author">
              <w:r>
                <w:rPr>
                  <w:noProof/>
                </w:rPr>
                <mc:AlternateContent>
                  <mc:Choice Requires="wps">
                    <w:drawing>
                      <wp:anchor distT="45720" distB="45720" distL="114300" distR="114300" simplePos="0" relativeHeight="34" behindDoc="0" locked="0" layoutInCell="1" allowOverlap="1" wp14:anchorId="3ECBDEA6" wp14:editId="32CF148B">
                        <wp:simplePos x="0" y="0"/>
                        <wp:positionH relativeFrom="margin">
                          <wp:posOffset>-2540</wp:posOffset>
                        </wp:positionH>
                        <wp:positionV relativeFrom="paragraph">
                          <wp:posOffset>30480</wp:posOffset>
                        </wp:positionV>
                        <wp:extent cx="5575935" cy="271145"/>
                        <wp:effectExtent l="0" t="0" r="5715" b="0"/>
                        <wp:wrapSquare wrapText="bothSides"/>
                        <wp:docPr id="178773103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935" cy="271145"/>
                                </a:xfrm>
                                <a:prstGeom prst="rect">
                                  <a:avLst/>
                                </a:prstGeom>
                                <a:solidFill>
                                  <a:srgbClr val="FFFFFF"/>
                                </a:solidFill>
                                <a:ln w="19050">
                                  <a:solidFill>
                                    <a:srgbClr val="FF0000"/>
                                  </a:solidFill>
                                  <a:miter lim="800000"/>
                                  <a:headEnd/>
                                  <a:tailEnd/>
                                </a:ln>
                              </wps:spPr>
                              <wps:txbx>
                                <w:txbxContent>
                                  <w:p w14:paraId="36548658" w14:textId="3478C264" w:rsidR="00A85CE1" w:rsidRPr="00F076DE" w:rsidRDefault="00A85CE1">
                                    <w:pPr>
                                      <w:tabs>
                                        <w:tab w:val="left" w:pos="1134"/>
                                      </w:tabs>
                                      <w:rPr>
                                        <w:sz w:val="22"/>
                                        <w:lang w:val="de-DE"/>
                                        <w:rPrChange w:id="431" w:author="Author">
                                          <w:rPr/>
                                        </w:rPrChange>
                                      </w:rPr>
                                      <w:pPrChange w:id="432" w:author="Author">
                                        <w:pPr>
                                          <w:tabs>
                                            <w:tab w:val="left" w:pos="1134"/>
                                          </w:tabs>
                                          <w:ind w:left="-567" w:firstLine="567"/>
                                        </w:pPr>
                                      </w:pPrChange>
                                    </w:pPr>
                                    <w:ins w:id="433" w:author="Author">
                                      <w:r>
                                        <w:rPr>
                                          <w:b/>
                                          <w:sz w:val="22"/>
                                          <w:lang w:val="de-DE"/>
                                        </w:rPr>
                                        <w:t>Wichtig:</w:t>
                                      </w:r>
                                      <w:r>
                                        <w:rPr>
                                          <w:sz w:val="22"/>
                                          <w:lang w:val="de-DE"/>
                                        </w:rPr>
                                        <w:t xml:space="preserve"> </w:t>
                                      </w:r>
                                      <w:r w:rsidR="003A487A">
                                        <w:rPr>
                                          <w:sz w:val="22"/>
                                          <w:lang w:val="de-DE"/>
                                        </w:rPr>
                                        <w:t>Lassen</w:t>
                                      </w:r>
                                      <w:r>
                                        <w:rPr>
                                          <w:sz w:val="22"/>
                                          <w:lang w:val="de-DE"/>
                                        </w:rPr>
                                        <w:t xml:space="preserve"> Sie die Haut so lange zusammen</w:t>
                                      </w:r>
                                      <w:r w:rsidR="003A487A">
                                        <w:rPr>
                                          <w:sz w:val="22"/>
                                          <w:lang w:val="de-DE"/>
                                        </w:rPr>
                                        <w:t>gedrückt</w:t>
                                      </w:r>
                                      <w:r>
                                        <w:rPr>
                                          <w:sz w:val="22"/>
                                          <w:lang w:val="de-DE"/>
                                        </w:rPr>
                                        <w:t>, bis die Injektion abgeschlossen ist.</w:t>
                                      </w:r>
                                    </w:ins>
                                    <w:del w:id="434" w:author="Author">
                                      <w:r w:rsidRPr="00F076DE" w:rsidDel="00A85CE1">
                                        <w:rPr>
                                          <w:b/>
                                          <w:bCs/>
                                          <w:lang w:val="de-DE"/>
                                          <w:rPrChange w:id="435" w:author="Author">
                                            <w:rPr>
                                              <w:b/>
                                              <w:bCs/>
                                            </w:rPr>
                                          </w:rPrChange>
                                        </w:rPr>
                                        <w:delText>Important:</w:delText>
                                      </w:r>
                                      <w:r w:rsidRPr="00F076DE" w:rsidDel="00A85CE1">
                                        <w:rPr>
                                          <w:lang w:val="de-DE"/>
                                          <w:rPrChange w:id="436" w:author="Author">
                                            <w:rPr/>
                                          </w:rPrChange>
                                        </w:rPr>
                                        <w:delText xml:space="preserve"> Continue to pinch the skin until the injection is complete.</w:delText>
                                      </w:r>
                                    </w:del>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CBDEA6" id="Text Box 15" o:spid="_x0000_s1035" type="#_x0000_t202" style="position:absolute;margin-left:-.2pt;margin-top:2.4pt;width:439.05pt;height:21.35pt;z-index:3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" strokecolor="red" strokeweight="1.5pt">
                        <v:textbox style="mso-fit-shape-to-text:t">
                          <w:txbxContent>
                            <w:p w14:paraId="36548658" w14:textId="3478C264" w:rsidR="00A85CE1" w:rsidRPr="00F076DE" w:rsidRDefault="00A85CE1">
                              <w:pPr>
                                <w:tabs>
                                  <w:tab w:val="left" w:pos="1134"/>
                                </w:tabs>
                                <w:rPr>
                                  <w:sz w:val="22"/>
                                  <w:lang w:val="de-DE"/>
                                  <w:rPrChange w:id="437" w:author="Author">
                                    <w:rPr/>
                                  </w:rPrChange>
                                </w:rPr>
                                <w:pPrChange w:id="438" w:author="Author">
                                  <w:pPr>
                                    <w:tabs>
                                      <w:tab w:val="left" w:pos="1134"/>
                                    </w:tabs>
                                    <w:ind w:left="-567" w:firstLine="567"/>
                                  </w:pPr>
                                </w:pPrChange>
                              </w:pPr>
                              <w:ins w:id="439" w:author="Author">
                                <w:r>
                                  <w:rPr>
                                    <w:b/>
                                    <w:sz w:val="22"/>
                                    <w:lang w:val="de-DE"/>
                                  </w:rPr>
                                  <w:t>Wichtig:</w:t>
                                </w:r>
                                <w:r>
                                  <w:rPr>
                                    <w:sz w:val="22"/>
                                    <w:lang w:val="de-DE"/>
                                  </w:rPr>
                                  <w:t xml:space="preserve"> </w:t>
                                </w:r>
                                <w:r w:rsidR="003A487A">
                                  <w:rPr>
                                    <w:sz w:val="22"/>
                                    <w:lang w:val="de-DE"/>
                                  </w:rPr>
                                  <w:t>Lassen</w:t>
                                </w:r>
                                <w:r>
                                  <w:rPr>
                                    <w:sz w:val="22"/>
                                    <w:lang w:val="de-DE"/>
                                  </w:rPr>
                                  <w:t xml:space="preserve"> Sie die Haut so lange zusammen</w:t>
                                </w:r>
                                <w:r w:rsidR="003A487A">
                                  <w:rPr>
                                    <w:sz w:val="22"/>
                                    <w:lang w:val="de-DE"/>
                                  </w:rPr>
                                  <w:t>gedrückt</w:t>
                                </w:r>
                                <w:r>
                                  <w:rPr>
                                    <w:sz w:val="22"/>
                                    <w:lang w:val="de-DE"/>
                                  </w:rPr>
                                  <w:t>, bis die Injektion abgeschlossen ist.</w:t>
                                </w:r>
                              </w:ins>
                              <w:del w:id="440" w:author="Author">
                                <w:r w:rsidRPr="00F076DE" w:rsidDel="00A85CE1">
                                  <w:rPr>
                                    <w:b/>
                                    <w:bCs/>
                                    <w:lang w:val="de-DE"/>
                                    <w:rPrChange w:id="441" w:author="Author">
                                      <w:rPr>
                                        <w:b/>
                                        <w:bCs/>
                                      </w:rPr>
                                    </w:rPrChange>
                                  </w:rPr>
                                  <w:delText>Important:</w:delText>
                                </w:r>
                                <w:r w:rsidRPr="00F076DE" w:rsidDel="00A85CE1">
                                  <w:rPr>
                                    <w:lang w:val="de-DE"/>
                                    <w:rPrChange w:id="442" w:author="Author">
                                      <w:rPr/>
                                    </w:rPrChange>
                                  </w:rPr>
                                  <w:delText xml:space="preserve"> Continue to pinch the skin until the injection is complete.</w:delText>
                                </w:r>
                              </w:del>
                            </w:p>
                          </w:txbxContent>
                        </v:textbox>
                        <w10:wrap type="square" anchorx="margin"/>
                      </v:shape>
                    </w:pict>
                  </mc:Fallback>
                </mc:AlternateContent>
              </w:r>
            </w:ins>
          </w:p>
        </w:tc>
      </w:tr>
    </w:tbl>
    <w:p w14:paraId="5910CB11" w14:textId="77777777" w:rsidR="00A85CE1" w:rsidRPr="00A85CE1" w:rsidRDefault="00A85CE1">
      <w:pPr>
        <w:tabs>
          <w:tab w:val="left" w:pos="1134"/>
        </w:tabs>
        <w:rPr>
          <w:sz w:val="22"/>
          <w:szCs w:val="22"/>
          <w:lang w:val="de-DE"/>
        </w:rPr>
      </w:pPr>
    </w:p>
    <w:tbl>
      <w:tblPr>
        <w:tblW w:w="490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629"/>
        <w:gridCol w:w="8251"/>
      </w:tblGrid>
      <w:tr w:rsidR="00FE291A" w:rsidRPr="00723069" w14:paraId="2AE4F9EF" w14:textId="77777777">
        <w:trPr>
          <w:cantSplit/>
          <w:trHeight w:val="57"/>
        </w:trPr>
        <w:tc>
          <w:tcPr>
            <w:tcW w:w="35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53AB5E" w14:textId="77777777" w:rsidR="00FE291A" w:rsidRDefault="00C8738F">
            <w:pPr>
              <w:keepNext/>
              <w:rPr>
                <w:b/>
                <w:bCs/>
                <w:sz w:val="22"/>
                <w:szCs w:val="22"/>
                <w:lang w:val="de-DE"/>
              </w:rPr>
            </w:pPr>
            <w:r>
              <w:rPr>
                <w:b/>
                <w:sz w:val="22"/>
                <w:szCs w:val="22"/>
                <w:lang w:val="de-DE"/>
              </w:rPr>
              <w:t>4c</w:t>
            </w:r>
          </w:p>
        </w:tc>
        <w:tc>
          <w:tcPr>
            <w:tcW w:w="464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E1F79C" w14:textId="77777777" w:rsidR="00FE291A" w:rsidRDefault="00C8738F">
            <w:pPr>
              <w:pStyle w:val="ListParagraph"/>
              <w:ind w:left="567" w:hanging="567"/>
              <w:rPr>
                <w:sz w:val="22"/>
                <w:szCs w:val="22"/>
                <w:lang w:val="de-DE"/>
              </w:rPr>
            </w:pPr>
            <w:r>
              <w:rPr>
                <w:b/>
                <w:sz w:val="22"/>
                <w:szCs w:val="22"/>
                <w:lang w:val="de-DE"/>
              </w:rPr>
              <w:t xml:space="preserve">Stechen Sie die Nadel </w:t>
            </w:r>
            <w:ins w:id="443" w:author="Author">
              <w:r>
                <w:rPr>
                  <w:b/>
                  <w:sz w:val="22"/>
                  <w:szCs w:val="22"/>
                  <w:lang w:val="de-DE"/>
                </w:rPr>
                <w:t xml:space="preserve">in einem Winkel von 45 Grad </w:t>
              </w:r>
            </w:ins>
            <w:r>
              <w:rPr>
                <w:b/>
                <w:sz w:val="22"/>
                <w:szCs w:val="22"/>
                <w:lang w:val="de-DE"/>
              </w:rPr>
              <w:t>in die zusammengedrückte Haut.</w:t>
            </w:r>
          </w:p>
        </w:tc>
      </w:tr>
      <w:tr w:rsidR="00FE291A" w14:paraId="32D26F48" w14:textId="77777777">
        <w:trPr>
          <w:cantSplit/>
          <w:trHeight w:val="57"/>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550CA2" w14:textId="77777777" w:rsidR="00FE291A" w:rsidRDefault="00C8738F">
            <w:pPr>
              <w:tabs>
                <w:tab w:val="left" w:pos="1134"/>
              </w:tabs>
              <w:jc w:val="center"/>
              <w:rPr>
                <w:sz w:val="22"/>
                <w:szCs w:val="22"/>
                <w:lang w:val="de-DE"/>
              </w:rPr>
            </w:pPr>
            <w:r>
              <w:rPr>
                <w:b/>
                <w:sz w:val="22"/>
                <w:szCs w:val="22"/>
                <w:lang w:val="de-DE"/>
              </w:rPr>
              <w:t>EINSTECHEN</w:t>
            </w:r>
          </w:p>
        </w:tc>
      </w:tr>
      <w:tr w:rsidR="00FE291A" w14:paraId="04FA166C" w14:textId="77777777">
        <w:trPr>
          <w:cantSplit/>
          <w:trHeight w:val="57"/>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E03DB1F" w14:textId="378E4CE2" w:rsidR="00FE291A" w:rsidRDefault="009C5B62">
            <w:pPr>
              <w:tabs>
                <w:tab w:val="left" w:pos="1134"/>
              </w:tabs>
              <w:jc w:val="center"/>
              <w:rPr>
                <w:b/>
                <w:bCs/>
                <w:sz w:val="22"/>
                <w:szCs w:val="22"/>
                <w:lang w:val="de-DE"/>
              </w:rPr>
            </w:pPr>
            <w:del w:id="444" w:author="Author">
              <w:r>
                <w:rPr>
                  <w:noProof/>
                </w:rPr>
                <w:drawing>
                  <wp:inline distT="0" distB="0" distL="0" distR="0" wp14:anchorId="65BEC3D6" wp14:editId="22126A8C">
                    <wp:extent cx="2588895" cy="1611630"/>
                    <wp:effectExtent l="0" t="0" r="0" b="0"/>
                    <wp:docPr id="62" name="Bild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88895" cy="1611630"/>
                            </a:xfrm>
                            <a:prstGeom prst="rect">
                              <a:avLst/>
                            </a:prstGeom>
                            <a:noFill/>
                            <a:ln>
                              <a:noFill/>
                            </a:ln>
                          </pic:spPr>
                        </pic:pic>
                      </a:graphicData>
                    </a:graphic>
                  </wp:inline>
                </w:drawing>
              </w:r>
            </w:del>
            <w:ins w:id="445" w:author="Author">
              <w:r>
                <w:rPr>
                  <w:noProof/>
                </w:rPr>
                <w:drawing>
                  <wp:inline distT="0" distB="0" distL="0" distR="0" wp14:anchorId="3200DF1D" wp14:editId="48EECA72">
                    <wp:extent cx="3086100" cy="1583055"/>
                    <wp:effectExtent l="0" t="0" r="0" b="0"/>
                    <wp:docPr id="63"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86100" cy="1583055"/>
                            </a:xfrm>
                            <a:prstGeom prst="rect">
                              <a:avLst/>
                            </a:prstGeom>
                            <a:noFill/>
                            <a:ln>
                              <a:noFill/>
                            </a:ln>
                          </pic:spPr>
                        </pic:pic>
                      </a:graphicData>
                    </a:graphic>
                  </wp:inline>
                </w:drawing>
              </w:r>
            </w:ins>
          </w:p>
        </w:tc>
      </w:tr>
      <w:tr w:rsidR="00FE291A" w14:paraId="0F98989E" w14:textId="77777777">
        <w:trPr>
          <w:cantSplit/>
          <w:trHeight w:val="57"/>
          <w:del w:id="446" w:author="Author"/>
        </w:trPr>
        <w:tc>
          <w:tcPr>
            <w:tcW w:w="354" w:type="pct"/>
            <w:tcBorders>
              <w:top w:val="nil"/>
              <w:left w:val="single" w:sz="4" w:space="0" w:color="auto"/>
              <w:bottom w:val="nil"/>
              <w:right w:val="nil"/>
            </w:tcBorders>
            <w:tcMar>
              <w:top w:w="28" w:type="dxa"/>
              <w:left w:w="57" w:type="dxa"/>
              <w:bottom w:w="28" w:type="dxa"/>
              <w:right w:w="57" w:type="dxa"/>
            </w:tcMar>
          </w:tcPr>
          <w:p w14:paraId="093ADEC4" w14:textId="77777777" w:rsidR="00FE291A" w:rsidRDefault="00FE291A">
            <w:pPr>
              <w:widowControl/>
              <w:tabs>
                <w:tab w:val="left" w:pos="708"/>
              </w:tabs>
              <w:autoSpaceDE/>
              <w:autoSpaceDN/>
              <w:adjustRightInd/>
              <w:ind w:left="567"/>
              <w:rPr>
                <w:del w:id="447" w:author="Author"/>
                <w:sz w:val="22"/>
                <w:szCs w:val="22"/>
                <w:lang w:val="de-DE"/>
              </w:rPr>
              <w:pPrChange w:id="448" w:author="Author">
                <w:pPr>
                  <w:widowControl/>
                  <w:numPr>
                    <w:numId w:val="65"/>
                  </w:numPr>
                  <w:tabs>
                    <w:tab w:val="left" w:pos="708"/>
                  </w:tabs>
                  <w:autoSpaceDE/>
                  <w:autoSpaceDN/>
                  <w:adjustRightInd/>
                  <w:ind w:left="567" w:hanging="567"/>
                </w:pPr>
              </w:pPrChange>
            </w:pPr>
          </w:p>
        </w:tc>
        <w:tc>
          <w:tcPr>
            <w:tcW w:w="4646" w:type="pct"/>
            <w:tcBorders>
              <w:top w:val="nil"/>
              <w:left w:val="nil"/>
              <w:bottom w:val="nil"/>
              <w:right w:val="single" w:sz="4" w:space="0" w:color="auto"/>
            </w:tcBorders>
            <w:tcMar>
              <w:top w:w="0" w:type="dxa"/>
              <w:left w:w="0" w:type="dxa"/>
              <w:bottom w:w="0" w:type="dxa"/>
              <w:right w:w="108" w:type="dxa"/>
            </w:tcMar>
          </w:tcPr>
          <w:p w14:paraId="3280BB27" w14:textId="77777777" w:rsidR="00FE291A" w:rsidRDefault="00C8738F">
            <w:pPr>
              <w:tabs>
                <w:tab w:val="left" w:pos="1134"/>
              </w:tabs>
              <w:rPr>
                <w:del w:id="449" w:author="Author"/>
                <w:b/>
                <w:bCs/>
                <w:sz w:val="22"/>
                <w:szCs w:val="22"/>
                <w:lang w:val="de-DE"/>
              </w:rPr>
            </w:pPr>
            <w:del w:id="450" w:author="Author">
              <w:r>
                <w:rPr>
                  <w:sz w:val="22"/>
                  <w:szCs w:val="22"/>
                  <w:lang w:val="de-DE"/>
                </w:rPr>
                <w:delText>Stechen Sie die Nadel entweder gerade oder in einem Winkel von 45 Grad in die zusammengedrückte Haut.</w:delText>
              </w:r>
            </w:del>
          </w:p>
        </w:tc>
      </w:tr>
      <w:tr w:rsidR="00FE291A" w:rsidRPr="002E6CD3" w14:paraId="3D34DA01" w14:textId="77777777">
        <w:trPr>
          <w:cantSplit/>
          <w:trHeight w:val="57"/>
        </w:trPr>
        <w:tc>
          <w:tcPr>
            <w:tcW w:w="354" w:type="pct"/>
            <w:tcBorders>
              <w:top w:val="nil"/>
              <w:left w:val="single" w:sz="4" w:space="0" w:color="auto"/>
              <w:bottom w:val="single" w:sz="4" w:space="0" w:color="auto"/>
              <w:right w:val="nil"/>
            </w:tcBorders>
            <w:tcMar>
              <w:top w:w="28" w:type="dxa"/>
              <w:left w:w="57" w:type="dxa"/>
              <w:bottom w:w="28" w:type="dxa"/>
              <w:right w:w="57" w:type="dxa"/>
            </w:tcMar>
          </w:tcPr>
          <w:p w14:paraId="6C23A9E1"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6" w:type="pct"/>
            <w:tcBorders>
              <w:top w:val="nil"/>
              <w:left w:val="nil"/>
              <w:bottom w:val="single" w:sz="4" w:space="0" w:color="auto"/>
              <w:right w:val="single" w:sz="4" w:space="0" w:color="auto"/>
            </w:tcBorders>
            <w:tcMar>
              <w:top w:w="0" w:type="dxa"/>
              <w:left w:w="0" w:type="dxa"/>
              <w:bottom w:w="0" w:type="dxa"/>
              <w:right w:w="108" w:type="dxa"/>
            </w:tcMar>
          </w:tcPr>
          <w:p w14:paraId="2F391DB1" w14:textId="77777777" w:rsidR="00FE291A" w:rsidRDefault="00C8738F">
            <w:pPr>
              <w:tabs>
                <w:tab w:val="left" w:pos="1134"/>
              </w:tabs>
              <w:rPr>
                <w:sz w:val="22"/>
                <w:szCs w:val="22"/>
                <w:lang w:val="de-DE"/>
              </w:rPr>
            </w:pPr>
            <w:r>
              <w:rPr>
                <w:sz w:val="22"/>
                <w:szCs w:val="22"/>
                <w:lang w:val="de-DE"/>
              </w:rPr>
              <w:t xml:space="preserve">Legen Sie </w:t>
            </w:r>
            <w:r>
              <w:rPr>
                <w:b/>
                <w:sz w:val="22"/>
                <w:szCs w:val="22"/>
                <w:lang w:val="de-DE"/>
              </w:rPr>
              <w:t>nicht</w:t>
            </w:r>
            <w:r>
              <w:rPr>
                <w:sz w:val="22"/>
                <w:szCs w:val="22"/>
                <w:lang w:val="de-DE"/>
              </w:rPr>
              <w:t xml:space="preserve"> den Finger auf die Kolbenstange, während Sie die Nadel einstechen, weil dadurch Arzneimittel verloren gehen kann.</w:t>
            </w:r>
          </w:p>
        </w:tc>
      </w:tr>
    </w:tbl>
    <w:p w14:paraId="2F9C35E0" w14:textId="77777777" w:rsidR="00FE291A" w:rsidRDefault="00FE291A">
      <w:pPr>
        <w:tabs>
          <w:tab w:val="left" w:pos="1134"/>
        </w:tabs>
        <w:rPr>
          <w:sz w:val="22"/>
          <w:szCs w:val="22"/>
          <w:lang w:val="de-DE"/>
        </w:rPr>
      </w:pPr>
    </w:p>
    <w:tbl>
      <w:tblPr>
        <w:tblW w:w="4934"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Change w:id="451" w:author="Author">
          <w:tblPr>
            <w:tblW w:w="4934"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PrChange>
      </w:tblPr>
      <w:tblGrid>
        <w:gridCol w:w="633"/>
        <w:gridCol w:w="8309"/>
        <w:tblGridChange w:id="452">
          <w:tblGrid>
            <w:gridCol w:w="633"/>
            <w:gridCol w:w="8309"/>
          </w:tblGrid>
        </w:tblGridChange>
      </w:tblGrid>
      <w:tr w:rsidR="00FE291A" w:rsidRPr="002E6CD3" w14:paraId="3DEA308D" w14:textId="77777777" w:rsidTr="00F076DE">
        <w:trPr>
          <w:cantSplit/>
          <w:trHeight w:val="57"/>
          <w:trPrChange w:id="453" w:author="Author">
            <w:trPr>
              <w:cantSplit/>
              <w:trHeight w:val="57"/>
            </w:trPr>
          </w:trPrChange>
        </w:trPr>
        <w:tc>
          <w:tcPr>
            <w:tcW w:w="35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454" w:author="Author">
              <w:tcPr>
                <w:tcW w:w="35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16CBA03A" w14:textId="77777777" w:rsidR="00FE291A" w:rsidRDefault="00C8738F">
            <w:pPr>
              <w:keepNext/>
              <w:rPr>
                <w:b/>
                <w:bCs/>
                <w:sz w:val="22"/>
                <w:szCs w:val="22"/>
                <w:lang w:val="de-DE"/>
              </w:rPr>
            </w:pPr>
            <w:r>
              <w:rPr>
                <w:b/>
                <w:sz w:val="22"/>
                <w:szCs w:val="22"/>
                <w:lang w:val="de-DE"/>
              </w:rPr>
              <w:t>4d</w:t>
            </w:r>
          </w:p>
        </w:tc>
        <w:tc>
          <w:tcPr>
            <w:tcW w:w="464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455" w:author="Author">
              <w:tcPr>
                <w:tcW w:w="464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1CCEA059" w14:textId="77777777" w:rsidR="00FE291A" w:rsidRDefault="00C8738F">
            <w:pPr>
              <w:pStyle w:val="ListParagraph"/>
              <w:tabs>
                <w:tab w:val="left" w:pos="0"/>
              </w:tabs>
              <w:rPr>
                <w:sz w:val="22"/>
                <w:szCs w:val="22"/>
                <w:lang w:val="de-DE"/>
              </w:rPr>
            </w:pPr>
            <w:r>
              <w:rPr>
                <w:b/>
                <w:sz w:val="22"/>
                <w:szCs w:val="22"/>
                <w:lang w:val="de-DE"/>
              </w:rPr>
              <w:t>Zum Injizieren des Arzneimittels drücken Sie die Kolbenstange langsam herunter, bis sie den Boden der Fertigspritze erreicht.</w:t>
            </w:r>
          </w:p>
        </w:tc>
      </w:tr>
      <w:tr w:rsidR="00FE291A" w14:paraId="54BF6D8F" w14:textId="77777777" w:rsidTr="00F076DE">
        <w:trPr>
          <w:cantSplit/>
          <w:trHeight w:val="57"/>
          <w:trPrChange w:id="456" w:author="Author">
            <w:trPr>
              <w:cantSplit/>
              <w:trHeight w:val="57"/>
            </w:trPr>
          </w:trPrChange>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457" w:author="Author">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5C55703B" w14:textId="77777777" w:rsidR="00FE291A" w:rsidRDefault="00C8738F">
            <w:pPr>
              <w:tabs>
                <w:tab w:val="left" w:pos="1134"/>
              </w:tabs>
              <w:jc w:val="center"/>
              <w:rPr>
                <w:sz w:val="22"/>
                <w:szCs w:val="22"/>
                <w:lang w:val="de-DE"/>
              </w:rPr>
            </w:pPr>
            <w:r>
              <w:rPr>
                <w:b/>
                <w:sz w:val="22"/>
                <w:szCs w:val="22"/>
                <w:lang w:val="de-DE"/>
              </w:rPr>
              <w:t>INJIZIEREN</w:t>
            </w:r>
          </w:p>
        </w:tc>
      </w:tr>
      <w:tr w:rsidR="00FE291A" w14:paraId="413E70E7" w14:textId="77777777" w:rsidTr="00F076DE">
        <w:trPr>
          <w:cantSplit/>
          <w:trHeight w:val="57"/>
          <w:trPrChange w:id="458" w:author="Author">
            <w:trPr>
              <w:cantSplit/>
              <w:trHeight w:val="57"/>
            </w:trPr>
          </w:trPrChange>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459" w:author="Author">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4EDAF6E4" w14:textId="50FB52C3" w:rsidR="00FE291A" w:rsidRDefault="009C5B62">
            <w:pPr>
              <w:tabs>
                <w:tab w:val="left" w:pos="1134"/>
              </w:tabs>
              <w:jc w:val="center"/>
              <w:rPr>
                <w:b/>
                <w:bCs/>
                <w:sz w:val="22"/>
                <w:szCs w:val="22"/>
                <w:lang w:val="de-DE"/>
              </w:rPr>
            </w:pPr>
            <w:r>
              <w:rPr>
                <w:b/>
                <w:noProof/>
              </w:rPr>
              <w:drawing>
                <wp:inline distT="0" distB="0" distL="0" distR="0" wp14:anchorId="5764AB85" wp14:editId="643B460D">
                  <wp:extent cx="2514600" cy="1525905"/>
                  <wp:effectExtent l="0" t="0" r="0" b="0"/>
                  <wp:docPr id="64" name="Bild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14600" cy="1525905"/>
                          </a:xfrm>
                          <a:prstGeom prst="rect">
                            <a:avLst/>
                          </a:prstGeom>
                          <a:noFill/>
                          <a:ln>
                            <a:noFill/>
                          </a:ln>
                        </pic:spPr>
                      </pic:pic>
                    </a:graphicData>
                  </a:graphic>
                </wp:inline>
              </w:drawing>
            </w:r>
          </w:p>
        </w:tc>
      </w:tr>
      <w:tr w:rsidR="00FE291A" w:rsidRPr="002E6CD3" w14:paraId="230F4778" w14:textId="77777777" w:rsidTr="00F076DE">
        <w:trPr>
          <w:cantSplit/>
          <w:trHeight w:val="57"/>
          <w:trPrChange w:id="460" w:author="Author">
            <w:trPr>
              <w:cantSplit/>
              <w:trHeight w:val="57"/>
            </w:trPr>
          </w:trPrChange>
        </w:trPr>
        <w:tc>
          <w:tcPr>
            <w:tcW w:w="354" w:type="pct"/>
            <w:tcBorders>
              <w:top w:val="nil"/>
              <w:left w:val="single" w:sz="4" w:space="0" w:color="auto"/>
              <w:bottom w:val="nil"/>
              <w:right w:val="nil"/>
            </w:tcBorders>
            <w:tcMar>
              <w:top w:w="28" w:type="dxa"/>
              <w:left w:w="57" w:type="dxa"/>
              <w:bottom w:w="28" w:type="dxa"/>
              <w:right w:w="57" w:type="dxa"/>
            </w:tcMar>
            <w:tcPrChange w:id="461" w:author="Author">
              <w:tcPr>
                <w:tcW w:w="354" w:type="pct"/>
                <w:tcBorders>
                  <w:top w:val="nil"/>
                  <w:left w:val="single" w:sz="4" w:space="0" w:color="auto"/>
                  <w:bottom w:val="nil"/>
                  <w:right w:val="nil"/>
                </w:tcBorders>
                <w:tcMar>
                  <w:top w:w="28" w:type="dxa"/>
                  <w:left w:w="57" w:type="dxa"/>
                  <w:bottom w:w="28" w:type="dxa"/>
                  <w:right w:w="57" w:type="dxa"/>
                </w:tcMar>
              </w:tcPr>
            </w:tcPrChange>
          </w:tcPr>
          <w:p w14:paraId="137E3339"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6" w:type="pct"/>
            <w:tcBorders>
              <w:top w:val="nil"/>
              <w:left w:val="nil"/>
              <w:bottom w:val="nil"/>
              <w:right w:val="single" w:sz="4" w:space="0" w:color="auto"/>
            </w:tcBorders>
            <w:tcMar>
              <w:top w:w="0" w:type="dxa"/>
              <w:left w:w="0" w:type="dxa"/>
              <w:bottom w:w="0" w:type="dxa"/>
              <w:right w:w="108" w:type="dxa"/>
            </w:tcMar>
            <w:tcPrChange w:id="462" w:author="Author">
              <w:tcPr>
                <w:tcW w:w="4646" w:type="pct"/>
                <w:tcBorders>
                  <w:top w:val="nil"/>
                  <w:left w:val="nil"/>
                  <w:bottom w:val="nil"/>
                  <w:right w:val="single" w:sz="4" w:space="0" w:color="auto"/>
                </w:tcBorders>
                <w:tcMar>
                  <w:top w:w="0" w:type="dxa"/>
                  <w:left w:w="0" w:type="dxa"/>
                  <w:bottom w:w="0" w:type="dxa"/>
                  <w:right w:w="108" w:type="dxa"/>
                </w:tcMar>
              </w:tcPr>
            </w:tcPrChange>
          </w:tcPr>
          <w:p w14:paraId="6B7FDB5C" w14:textId="3F281BCE" w:rsidR="00FE291A" w:rsidRDefault="00C8738F">
            <w:pPr>
              <w:rPr>
                <w:sz w:val="22"/>
                <w:szCs w:val="22"/>
                <w:lang w:val="de-DE"/>
              </w:rPr>
            </w:pPr>
            <w:r>
              <w:rPr>
                <w:sz w:val="22"/>
                <w:szCs w:val="22"/>
                <w:lang w:val="de-DE"/>
              </w:rPr>
              <w:t>D</w:t>
            </w:r>
            <w:ins w:id="463" w:author="Author">
              <w:r w:rsidR="00211AE1">
                <w:rPr>
                  <w:sz w:val="22"/>
                  <w:szCs w:val="22"/>
                  <w:lang w:val="de-DE"/>
                </w:rPr>
                <w:t>i</w:t>
              </w:r>
            </w:ins>
            <w:r>
              <w:rPr>
                <w:sz w:val="22"/>
                <w:szCs w:val="22"/>
                <w:lang w:val="de-DE"/>
              </w:rPr>
              <w:t>e</w:t>
            </w:r>
            <w:del w:id="464" w:author="Author">
              <w:r w:rsidDel="00211AE1">
                <w:rPr>
                  <w:sz w:val="22"/>
                  <w:szCs w:val="22"/>
                  <w:lang w:val="de-DE"/>
                </w:rPr>
                <w:delText>n</w:delText>
              </w:r>
            </w:del>
            <w:r>
              <w:rPr>
                <w:sz w:val="22"/>
                <w:szCs w:val="22"/>
                <w:lang w:val="de-DE"/>
              </w:rPr>
              <w:t xml:space="preserve"> Kolben</w:t>
            </w:r>
            <w:ins w:id="465" w:author="Author">
              <w:r w:rsidR="00211AE1">
                <w:rPr>
                  <w:sz w:val="22"/>
                  <w:szCs w:val="22"/>
                  <w:lang w:val="de-DE"/>
                </w:rPr>
                <w:t>stange</w:t>
              </w:r>
            </w:ins>
            <w:r>
              <w:rPr>
                <w:sz w:val="22"/>
                <w:szCs w:val="22"/>
                <w:lang w:val="de-DE"/>
              </w:rPr>
              <w:t xml:space="preserve"> zu </w:t>
            </w:r>
            <w:r>
              <w:rPr>
                <w:b/>
                <w:bCs/>
                <w:sz w:val="22"/>
                <w:szCs w:val="22"/>
                <w:lang w:val="de-DE"/>
              </w:rPr>
              <w:t>keinem</w:t>
            </w:r>
            <w:r>
              <w:rPr>
                <w:sz w:val="22"/>
                <w:szCs w:val="22"/>
                <w:lang w:val="de-DE"/>
              </w:rPr>
              <w:t xml:space="preserve"> Zeitpunkt zurückziehen.</w:t>
            </w:r>
          </w:p>
        </w:tc>
      </w:tr>
      <w:tr w:rsidR="00FE291A" w:rsidRPr="002E6CD3" w14:paraId="77E00C12" w14:textId="77777777" w:rsidTr="00F076DE">
        <w:trPr>
          <w:cantSplit/>
          <w:trHeight w:val="57"/>
          <w:trPrChange w:id="466" w:author="Author">
            <w:trPr>
              <w:cantSplit/>
              <w:trHeight w:val="57"/>
            </w:trPr>
          </w:trPrChange>
        </w:trPr>
        <w:tc>
          <w:tcPr>
            <w:tcW w:w="354" w:type="pct"/>
            <w:tcBorders>
              <w:top w:val="nil"/>
              <w:left w:val="single" w:sz="4" w:space="0" w:color="auto"/>
              <w:bottom w:val="single" w:sz="4" w:space="0" w:color="auto"/>
              <w:right w:val="nil"/>
            </w:tcBorders>
            <w:tcMar>
              <w:top w:w="28" w:type="dxa"/>
              <w:left w:w="57" w:type="dxa"/>
              <w:bottom w:w="28" w:type="dxa"/>
              <w:right w:w="57" w:type="dxa"/>
            </w:tcMar>
            <w:tcPrChange w:id="467" w:author="Author">
              <w:tcPr>
                <w:tcW w:w="354" w:type="pct"/>
                <w:tcBorders>
                  <w:top w:val="nil"/>
                  <w:left w:val="single" w:sz="4" w:space="0" w:color="auto"/>
                  <w:bottom w:val="single" w:sz="4" w:space="0" w:color="auto"/>
                  <w:right w:val="nil"/>
                </w:tcBorders>
                <w:tcMar>
                  <w:top w:w="28" w:type="dxa"/>
                  <w:left w:w="57" w:type="dxa"/>
                  <w:bottom w:w="28" w:type="dxa"/>
                  <w:right w:w="57" w:type="dxa"/>
                </w:tcMar>
              </w:tcPr>
            </w:tcPrChange>
          </w:tcPr>
          <w:p w14:paraId="1C358191"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46" w:type="pct"/>
            <w:tcBorders>
              <w:top w:val="nil"/>
              <w:left w:val="nil"/>
              <w:bottom w:val="single" w:sz="4" w:space="0" w:color="auto"/>
              <w:right w:val="single" w:sz="4" w:space="0" w:color="auto"/>
            </w:tcBorders>
            <w:tcMar>
              <w:top w:w="0" w:type="dxa"/>
              <w:left w:w="0" w:type="dxa"/>
              <w:bottom w:w="0" w:type="dxa"/>
              <w:right w:w="108" w:type="dxa"/>
            </w:tcMar>
            <w:tcPrChange w:id="468" w:author="Author">
              <w:tcPr>
                <w:tcW w:w="4646" w:type="pct"/>
                <w:tcBorders>
                  <w:top w:val="nil"/>
                  <w:left w:val="nil"/>
                  <w:bottom w:val="single" w:sz="4" w:space="0" w:color="auto"/>
                  <w:right w:val="single" w:sz="4" w:space="0" w:color="auto"/>
                </w:tcBorders>
                <w:tcMar>
                  <w:top w:w="0" w:type="dxa"/>
                  <w:left w:w="0" w:type="dxa"/>
                  <w:bottom w:w="0" w:type="dxa"/>
                  <w:right w:w="108" w:type="dxa"/>
                </w:tcMar>
              </w:tcPr>
            </w:tcPrChange>
          </w:tcPr>
          <w:p w14:paraId="4BB84947" w14:textId="77777777" w:rsidR="00FE291A" w:rsidRDefault="00C8738F">
            <w:pPr>
              <w:tabs>
                <w:tab w:val="left" w:pos="1134"/>
              </w:tabs>
              <w:rPr>
                <w:sz w:val="22"/>
                <w:szCs w:val="22"/>
                <w:lang w:val="de-DE"/>
              </w:rPr>
            </w:pPr>
            <w:r>
              <w:rPr>
                <w:sz w:val="22"/>
                <w:szCs w:val="22"/>
                <w:lang w:val="de-DE"/>
              </w:rPr>
              <w:t xml:space="preserve">Die Nadel </w:t>
            </w:r>
            <w:r>
              <w:rPr>
                <w:b/>
                <w:sz w:val="22"/>
                <w:szCs w:val="22"/>
                <w:lang w:val="de-DE"/>
              </w:rPr>
              <w:t>nicht</w:t>
            </w:r>
            <w:r>
              <w:rPr>
                <w:sz w:val="22"/>
                <w:szCs w:val="22"/>
                <w:lang w:val="de-DE"/>
              </w:rPr>
              <w:t xml:space="preserve"> entfernen, bevor die gesamte Dosis </w:t>
            </w:r>
            <w:del w:id="469" w:author="Author">
              <w:r>
                <w:rPr>
                  <w:sz w:val="22"/>
                  <w:szCs w:val="22"/>
                  <w:lang w:val="de-DE"/>
                </w:rPr>
                <w:delText xml:space="preserve">abgegeben </w:delText>
              </w:r>
            </w:del>
            <w:ins w:id="470" w:author="Author">
              <w:r>
                <w:rPr>
                  <w:sz w:val="22"/>
                  <w:szCs w:val="22"/>
                  <w:lang w:val="de-DE"/>
                </w:rPr>
                <w:t xml:space="preserve">injiziert </w:t>
              </w:r>
            </w:ins>
            <w:r>
              <w:rPr>
                <w:sz w:val="22"/>
                <w:szCs w:val="22"/>
                <w:lang w:val="de-DE"/>
              </w:rPr>
              <w:t>wurde.</w:t>
            </w:r>
          </w:p>
        </w:tc>
      </w:tr>
      <w:tr w:rsidR="00FE291A" w:rsidRPr="002E6CD3" w14:paraId="3E2E564B" w14:textId="77777777" w:rsidTr="00F076DE">
        <w:trPr>
          <w:cantSplit/>
          <w:trHeight w:val="57"/>
          <w:del w:id="471" w:author="Author"/>
          <w:trPrChange w:id="472" w:author="Author">
            <w:trPr>
              <w:cantSplit/>
              <w:trHeight w:val="57"/>
            </w:trPr>
          </w:trPrChange>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473" w:author="Author">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693C023A" w14:textId="5122BB51" w:rsidR="00FE291A" w:rsidRDefault="009C5B62">
            <w:pPr>
              <w:tabs>
                <w:tab w:val="left" w:pos="1134"/>
              </w:tabs>
              <w:rPr>
                <w:del w:id="474" w:author="Author"/>
                <w:b/>
                <w:bCs/>
                <w:sz w:val="22"/>
                <w:szCs w:val="22"/>
                <w:lang w:val="de-DE"/>
              </w:rPr>
            </w:pPr>
            <w:del w:id="475" w:author="Author">
              <w:r>
                <w:rPr>
                  <w:noProof/>
                </w:rPr>
                <mc:AlternateContent>
                  <mc:Choice Requires="wps">
                    <w:drawing>
                      <wp:anchor distT="45720" distB="45720" distL="114300" distR="114300" simplePos="0" relativeHeight="18" behindDoc="0" locked="0" layoutInCell="1" allowOverlap="1" wp14:anchorId="7DC32FDC" wp14:editId="3BD763F6">
                        <wp:simplePos x="0" y="0"/>
                        <wp:positionH relativeFrom="margin">
                          <wp:posOffset>635</wp:posOffset>
                        </wp:positionH>
                        <wp:positionV relativeFrom="paragraph">
                          <wp:posOffset>213360</wp:posOffset>
                        </wp:positionV>
                        <wp:extent cx="5605780" cy="271145"/>
                        <wp:effectExtent l="0" t="0" r="0" b="0"/>
                        <wp:wrapSquare wrapText="bothSides"/>
                        <wp:docPr id="75919906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5780" cy="271145"/>
                                </a:xfrm>
                                <a:prstGeom prst="rect">
                                  <a:avLst/>
                                </a:prstGeom>
                                <a:solidFill>
                                  <a:srgbClr val="FFFFFF"/>
                                </a:solidFill>
                                <a:ln w="19050">
                                  <a:solidFill>
                                    <a:srgbClr val="FF0000"/>
                                  </a:solidFill>
                                  <a:miter lim="800000"/>
                                </a:ln>
                              </wps:spPr>
                              <wps:txbx>
                                <w:txbxContent>
                                  <w:p w14:paraId="63529320" w14:textId="77777777" w:rsidR="00FE291A" w:rsidRDefault="00C8738F">
                                    <w:pPr>
                                      <w:tabs>
                                        <w:tab w:val="left" w:pos="1134"/>
                                      </w:tabs>
                                      <w:rPr>
                                        <w:sz w:val="22"/>
                                        <w:lang w:val="de-DE"/>
                                      </w:rPr>
                                    </w:pPr>
                                    <w:del w:id="476" w:author="Author">
                                      <w:r>
                                        <w:rPr>
                                          <w:b/>
                                          <w:sz w:val="22"/>
                                          <w:lang w:val="de-DE"/>
                                        </w:rPr>
                                        <w:delText>Wichtig:</w:delText>
                                      </w:r>
                                      <w:r>
                                        <w:rPr>
                                          <w:sz w:val="22"/>
                                          <w:lang w:val="de-DE"/>
                                        </w:rPr>
                                        <w:delText xml:space="preserve"> Lassen Sie die Haut so lange zusammengedrückt, bis die Injektion abgeschlossen ist.</w:delText>
                                      </w:r>
                                    </w:del>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7DC32FDC" id="Text Box 14" o:spid="_x0000_s1036" type="#_x0000_t202" style="position:absolute;margin-left:.05pt;margin-top:16.8pt;width:441.4pt;height:21.35pt;z-index:1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" strokecolor="red" strokeweight="1.5pt">
                        <v:textbox style="mso-fit-shape-to-text:t">
                          <w:txbxContent>
                            <w:p w14:paraId="63529320" w14:textId="77777777" w:rsidR="00FE291A" w:rsidRDefault="00C8738F">
                              <w:pPr>
                                <w:tabs>
                                  <w:tab w:val="left" w:pos="1134"/>
                                </w:tabs>
                                <w:rPr>
                                  <w:sz w:val="22"/>
                                  <w:lang w:val="de-DE"/>
                                </w:rPr>
                              </w:pPr>
                              <w:del w:id="477" w:author="Author">
                                <w:r>
                                  <w:rPr>
                                    <w:b/>
                                    <w:sz w:val="22"/>
                                    <w:lang w:val="de-DE"/>
                                  </w:rPr>
                                  <w:delText>Wichtig:</w:delText>
                                </w:r>
                                <w:r>
                                  <w:rPr>
                                    <w:sz w:val="22"/>
                                    <w:lang w:val="de-DE"/>
                                  </w:rPr>
                                  <w:delText xml:space="preserve"> Lassen Sie die Haut so lange zusammengedrückt, bis die Injektion abgeschlossen ist.</w:delText>
                                </w:r>
                              </w:del>
                            </w:p>
                          </w:txbxContent>
                        </v:textbox>
                        <w10:wrap type="square" anchorx="margin"/>
                      </v:shape>
                    </w:pict>
                  </mc:Fallback>
                </mc:AlternateContent>
              </w:r>
              <w:r w:rsidR="00C8738F">
                <w:rPr>
                  <w:b/>
                  <w:bCs/>
                  <w:sz w:val="22"/>
                  <w:szCs w:val="22"/>
                  <w:lang w:val="de-DE"/>
                </w:rPr>
                <w:delText xml:space="preserve"> </w:delText>
              </w:r>
            </w:del>
          </w:p>
        </w:tc>
      </w:tr>
    </w:tbl>
    <w:p w14:paraId="12B15251" w14:textId="77777777" w:rsidR="00FE291A" w:rsidRDefault="00FE291A">
      <w:pPr>
        <w:tabs>
          <w:tab w:val="left" w:pos="1134"/>
        </w:tabs>
        <w:rPr>
          <w:sz w:val="22"/>
          <w:szCs w:val="22"/>
          <w:lang w:val="de-DE"/>
        </w:rPr>
      </w:pPr>
    </w:p>
    <w:tbl>
      <w:tblPr>
        <w:tblW w:w="4964"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626"/>
        <w:gridCol w:w="8370"/>
      </w:tblGrid>
      <w:tr w:rsidR="00FE291A" w:rsidRPr="002E6CD3" w14:paraId="6D377D86" w14:textId="77777777">
        <w:trPr>
          <w:cantSplit/>
          <w:trHeight w:val="57"/>
        </w:trPr>
        <w:tc>
          <w:tcPr>
            <w:tcW w:w="34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AFA373" w14:textId="77777777" w:rsidR="00FE291A" w:rsidRDefault="00C8738F">
            <w:pPr>
              <w:keepNext/>
              <w:widowControl/>
              <w:tabs>
                <w:tab w:val="left" w:pos="1134"/>
              </w:tabs>
              <w:ind w:left="567" w:hanging="567"/>
              <w:rPr>
                <w:sz w:val="22"/>
                <w:szCs w:val="22"/>
                <w:lang w:val="de-DE"/>
              </w:rPr>
            </w:pPr>
            <w:r>
              <w:rPr>
                <w:b/>
                <w:sz w:val="22"/>
                <w:szCs w:val="22"/>
                <w:lang w:val="de-DE"/>
              </w:rPr>
              <w:t>5</w:t>
            </w:r>
          </w:p>
        </w:tc>
        <w:tc>
          <w:tcPr>
            <w:tcW w:w="4652" w:type="pct"/>
            <w:tcBorders>
              <w:top w:val="single" w:sz="4" w:space="0" w:color="auto"/>
              <w:left w:val="single" w:sz="4" w:space="0" w:color="auto"/>
              <w:bottom w:val="single" w:sz="4" w:space="0" w:color="auto"/>
              <w:right w:val="single" w:sz="4" w:space="0" w:color="auto"/>
            </w:tcBorders>
          </w:tcPr>
          <w:p w14:paraId="681E4B31" w14:textId="77777777" w:rsidR="00FE291A" w:rsidRDefault="00C8738F">
            <w:pPr>
              <w:keepNext/>
              <w:widowControl/>
              <w:tabs>
                <w:tab w:val="left" w:pos="1134"/>
              </w:tabs>
              <w:rPr>
                <w:sz w:val="22"/>
                <w:szCs w:val="22"/>
                <w:lang w:val="de-DE"/>
              </w:rPr>
            </w:pPr>
            <w:del w:id="478" w:author="Author">
              <w:r>
                <w:rPr>
                  <w:b/>
                  <w:sz w:val="22"/>
                  <w:szCs w:val="22"/>
                  <w:lang w:val="de-DE"/>
                </w:rPr>
                <w:delText xml:space="preserve">Abschluss und </w:delText>
              </w:r>
            </w:del>
            <w:r>
              <w:rPr>
                <w:b/>
                <w:sz w:val="22"/>
                <w:szCs w:val="22"/>
                <w:lang w:val="de-DE"/>
              </w:rPr>
              <w:t>Entsorgung von AMGEVITA</w:t>
            </w:r>
            <w:ins w:id="479" w:author="Author">
              <w:r>
                <w:rPr>
                  <w:b/>
                  <w:sz w:val="22"/>
                  <w:szCs w:val="22"/>
                  <w:lang w:val="de-DE"/>
                </w:rPr>
                <w:t xml:space="preserve"> und Überprüfung der Injektionsstelle</w:t>
              </w:r>
            </w:ins>
          </w:p>
        </w:tc>
      </w:tr>
      <w:tr w:rsidR="00FE291A" w:rsidRPr="002E6CD3" w14:paraId="5A3036FB" w14:textId="77777777">
        <w:trPr>
          <w:cantSplit/>
          <w:trHeight w:val="57"/>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D77F03" w14:textId="555099E9" w:rsidR="00FE291A" w:rsidRDefault="009C5B62">
            <w:pPr>
              <w:keepNext/>
              <w:widowControl/>
              <w:tabs>
                <w:tab w:val="left" w:pos="1134"/>
              </w:tabs>
              <w:rPr>
                <w:b/>
                <w:bCs/>
                <w:sz w:val="22"/>
                <w:szCs w:val="22"/>
                <w:lang w:val="de-DE"/>
              </w:rPr>
            </w:pPr>
            <w:r>
              <w:rPr>
                <w:noProof/>
              </w:rPr>
              <mc:AlternateContent>
                <mc:Choice Requires="wps">
                  <w:drawing>
                    <wp:anchor distT="45720" distB="45720" distL="114300" distR="114300" simplePos="0" relativeHeight="26" behindDoc="0" locked="0" layoutInCell="1" allowOverlap="1" wp14:anchorId="373595EF" wp14:editId="437AB3CD">
                      <wp:simplePos x="0" y="0"/>
                      <wp:positionH relativeFrom="margin">
                        <wp:posOffset>15240</wp:posOffset>
                      </wp:positionH>
                      <wp:positionV relativeFrom="paragraph">
                        <wp:posOffset>66675</wp:posOffset>
                      </wp:positionV>
                      <wp:extent cx="5549900" cy="271145"/>
                      <wp:effectExtent l="0" t="0" r="0" b="0"/>
                      <wp:wrapSquare wrapText="bothSides"/>
                      <wp:docPr id="152477565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0" cy="271145"/>
                              </a:xfrm>
                              <a:prstGeom prst="rect">
                                <a:avLst/>
                              </a:prstGeom>
                              <a:solidFill>
                                <a:srgbClr val="FFFFFF"/>
                              </a:solidFill>
                              <a:ln w="19050">
                                <a:solidFill>
                                  <a:srgbClr val="FF0000"/>
                                </a:solidFill>
                                <a:miter lim="800000"/>
                              </a:ln>
                            </wps:spPr>
                            <wps:txbx>
                              <w:txbxContent>
                                <w:p w14:paraId="31BA9C5D" w14:textId="77777777" w:rsidR="00FE291A" w:rsidRDefault="00C8738F">
                                  <w:pPr>
                                    <w:tabs>
                                      <w:tab w:val="left" w:pos="1134"/>
                                    </w:tabs>
                                    <w:rPr>
                                      <w:sz w:val="22"/>
                                      <w:lang w:val="de-DE"/>
                                    </w:rPr>
                                  </w:pPr>
                                  <w:r>
                                    <w:rPr>
                                      <w:b/>
                                      <w:sz w:val="22"/>
                                      <w:lang w:val="de-DE"/>
                                    </w:rPr>
                                    <w:t>Wichtig:</w:t>
                                  </w:r>
                                  <w:r>
                                    <w:rPr>
                                      <w:sz w:val="22"/>
                                      <w:lang w:val="de-DE"/>
                                    </w:rPr>
                                    <w:t xml:space="preserve"> Niemals die Nadelschutzkappe wieder aufsetzen.</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373595EF" id="Text Box 13" o:spid="_x0000_s1037" type="#_x0000_t202" style="position:absolute;margin-left:1.2pt;margin-top:5.25pt;width:437pt;height:21.35pt;z-index:2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" strokecolor="red" strokeweight="1.5pt">
                      <v:textbox style="mso-fit-shape-to-text:t">
                        <w:txbxContent>
                          <w:p w14:paraId="31BA9C5D" w14:textId="77777777" w:rsidR="00FE291A" w:rsidRDefault="00C8738F">
                            <w:pPr>
                              <w:tabs>
                                <w:tab w:val="left" w:pos="1134"/>
                              </w:tabs>
                              <w:rPr>
                                <w:sz w:val="22"/>
                                <w:lang w:val="de-DE"/>
                              </w:rPr>
                            </w:pPr>
                            <w:r>
                              <w:rPr>
                                <w:b/>
                                <w:sz w:val="22"/>
                                <w:lang w:val="de-DE"/>
                              </w:rPr>
                              <w:t>Wichtig:</w:t>
                            </w:r>
                            <w:r>
                              <w:rPr>
                                <w:sz w:val="22"/>
                                <w:lang w:val="de-DE"/>
                              </w:rPr>
                              <w:t xml:space="preserve"> Niemals die Nadelschutzkappe wieder aufsetzen.</w:t>
                            </w:r>
                          </w:p>
                        </w:txbxContent>
                      </v:textbox>
                      <w10:wrap type="square" anchorx="margin"/>
                    </v:shape>
                  </w:pict>
                </mc:Fallback>
              </mc:AlternateContent>
            </w:r>
            <w:r w:rsidR="00C8738F">
              <w:rPr>
                <w:b/>
                <w:bCs/>
                <w:sz w:val="22"/>
                <w:szCs w:val="22"/>
                <w:lang w:val="de-DE"/>
              </w:rPr>
              <w:t xml:space="preserve"> </w:t>
            </w:r>
          </w:p>
        </w:tc>
      </w:tr>
      <w:tr w:rsidR="00FE291A" w:rsidRPr="002E6CD3" w14:paraId="0F2D4126" w14:textId="77777777">
        <w:trPr>
          <w:cantSplit/>
          <w:trHeight w:val="57"/>
        </w:trPr>
        <w:tc>
          <w:tcPr>
            <w:tcW w:w="34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6BA316D" w14:textId="77777777" w:rsidR="00FE291A" w:rsidRDefault="00C8738F">
            <w:pPr>
              <w:keepNext/>
              <w:rPr>
                <w:b/>
                <w:bCs/>
                <w:sz w:val="22"/>
                <w:szCs w:val="22"/>
                <w:lang w:val="de-DE"/>
              </w:rPr>
            </w:pPr>
            <w:r>
              <w:rPr>
                <w:b/>
                <w:sz w:val="22"/>
                <w:szCs w:val="22"/>
                <w:lang w:val="de-DE"/>
              </w:rPr>
              <w:t>5a</w:t>
            </w:r>
          </w:p>
        </w:tc>
        <w:tc>
          <w:tcPr>
            <w:tcW w:w="4652"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06C7D7" w14:textId="2A4FCEFD" w:rsidR="00FE291A" w:rsidRDefault="00C8738F">
            <w:pPr>
              <w:pStyle w:val="ListParagraph"/>
              <w:tabs>
                <w:tab w:val="left" w:pos="0"/>
              </w:tabs>
              <w:rPr>
                <w:sz w:val="22"/>
                <w:szCs w:val="22"/>
                <w:lang w:val="de-DE"/>
              </w:rPr>
            </w:pPr>
            <w:del w:id="480" w:author="Author">
              <w:r>
                <w:rPr>
                  <w:b/>
                  <w:sz w:val="22"/>
                  <w:szCs w:val="22"/>
                  <w:lang w:val="de-DE"/>
                </w:rPr>
                <w:delText xml:space="preserve">Entsorgen </w:delText>
              </w:r>
            </w:del>
            <w:ins w:id="481" w:author="Author">
              <w:del w:id="482" w:author="Author">
                <w:r w:rsidDel="003A487A">
                  <w:rPr>
                    <w:b/>
                    <w:sz w:val="22"/>
                    <w:szCs w:val="22"/>
                    <w:lang w:val="de-DE"/>
                  </w:rPr>
                  <w:delText>Geben</w:delText>
                </w:r>
              </w:del>
              <w:r w:rsidR="003A487A">
                <w:rPr>
                  <w:b/>
                  <w:sz w:val="22"/>
                  <w:szCs w:val="22"/>
                  <w:lang w:val="de-DE"/>
                </w:rPr>
                <w:t>Legen</w:t>
              </w:r>
              <w:r>
                <w:rPr>
                  <w:b/>
                  <w:sz w:val="22"/>
                  <w:szCs w:val="22"/>
                  <w:lang w:val="de-DE"/>
                </w:rPr>
                <w:t xml:space="preserve"> </w:t>
              </w:r>
            </w:ins>
            <w:r>
              <w:rPr>
                <w:b/>
                <w:sz w:val="22"/>
                <w:szCs w:val="22"/>
                <w:lang w:val="de-DE"/>
              </w:rPr>
              <w:t>Sie die gebrauchte Fertigspritze und die Nadelschutzkappe</w:t>
            </w:r>
            <w:ins w:id="483" w:author="Author">
              <w:r>
                <w:rPr>
                  <w:b/>
                  <w:sz w:val="22"/>
                  <w:szCs w:val="22"/>
                  <w:lang w:val="de-DE"/>
                </w:rPr>
                <w:t xml:space="preserve"> direkt nach der Anwendung</w:t>
              </w:r>
            </w:ins>
            <w:r>
              <w:rPr>
                <w:b/>
                <w:sz w:val="22"/>
                <w:szCs w:val="22"/>
                <w:lang w:val="de-DE"/>
              </w:rPr>
              <w:t xml:space="preserve"> in </w:t>
            </w:r>
            <w:del w:id="484" w:author="Author">
              <w:r>
                <w:rPr>
                  <w:b/>
                  <w:sz w:val="22"/>
                  <w:szCs w:val="22"/>
                  <w:lang w:val="de-DE"/>
                </w:rPr>
                <w:delText xml:space="preserve">einem </w:delText>
              </w:r>
            </w:del>
            <w:ins w:id="485" w:author="Author">
              <w:r>
                <w:rPr>
                  <w:b/>
                  <w:sz w:val="22"/>
                  <w:szCs w:val="22"/>
                  <w:lang w:val="de-DE"/>
                </w:rPr>
                <w:t xml:space="preserve">einen </w:t>
              </w:r>
            </w:ins>
            <w:r>
              <w:rPr>
                <w:b/>
                <w:sz w:val="22"/>
                <w:szCs w:val="22"/>
                <w:lang w:val="de-DE"/>
              </w:rPr>
              <w:t>durchstichsicheren Behälter.</w:t>
            </w:r>
          </w:p>
        </w:tc>
      </w:tr>
      <w:tr w:rsidR="00FE291A" w14:paraId="0093BB73" w14:textId="77777777">
        <w:trPr>
          <w:cantSplit/>
          <w:trHeight w:val="57"/>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6291191" w14:textId="7F5E2BD9" w:rsidR="00FE291A" w:rsidRDefault="009C5B62">
            <w:pPr>
              <w:pStyle w:val="ListParagraph"/>
              <w:tabs>
                <w:tab w:val="left" w:pos="0"/>
              </w:tabs>
              <w:jc w:val="center"/>
              <w:rPr>
                <w:b/>
                <w:bCs/>
                <w:sz w:val="22"/>
                <w:szCs w:val="22"/>
                <w:lang w:val="de-DE"/>
              </w:rPr>
            </w:pPr>
            <w:r>
              <w:rPr>
                <w:noProof/>
              </w:rPr>
              <w:drawing>
                <wp:inline distT="0" distB="0" distL="0" distR="0" wp14:anchorId="64213C85" wp14:editId="59F3F72C">
                  <wp:extent cx="2131695" cy="1297305"/>
                  <wp:effectExtent l="0" t="0" r="0" b="0"/>
                  <wp:docPr id="65" name="Bild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31695" cy="1297305"/>
                          </a:xfrm>
                          <a:prstGeom prst="rect">
                            <a:avLst/>
                          </a:prstGeom>
                          <a:noFill/>
                          <a:ln>
                            <a:noFill/>
                          </a:ln>
                        </pic:spPr>
                      </pic:pic>
                    </a:graphicData>
                  </a:graphic>
                </wp:inline>
              </w:drawing>
            </w:r>
          </w:p>
        </w:tc>
      </w:tr>
      <w:tr w:rsidR="00FE291A" w14:paraId="70EA705F" w14:textId="77777777">
        <w:trPr>
          <w:cantSplit/>
          <w:trHeight w:val="904"/>
        </w:trPr>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3E8AE11A" w14:textId="5E22C69E" w:rsidR="00FE291A" w:rsidRDefault="009C5B62">
            <w:pPr>
              <w:rPr>
                <w:sz w:val="22"/>
                <w:szCs w:val="22"/>
                <w:lang w:val="de-DE"/>
              </w:rPr>
            </w:pPr>
            <w:r>
              <w:rPr>
                <w:noProof/>
              </w:rPr>
              <mc:AlternateContent>
                <mc:Choice Requires="wps">
                  <w:drawing>
                    <wp:anchor distT="45720" distB="45720" distL="114300" distR="114300" simplePos="0" relativeHeight="23" behindDoc="0" locked="0" layoutInCell="1" allowOverlap="1" wp14:anchorId="2DB04DD8" wp14:editId="66E44472">
                      <wp:simplePos x="0" y="0"/>
                      <wp:positionH relativeFrom="margin">
                        <wp:posOffset>40640</wp:posOffset>
                      </wp:positionH>
                      <wp:positionV relativeFrom="paragraph">
                        <wp:posOffset>53975</wp:posOffset>
                      </wp:positionV>
                      <wp:extent cx="5488940" cy="271145"/>
                      <wp:effectExtent l="0" t="0" r="0" b="0"/>
                      <wp:wrapSquare wrapText="bothSides"/>
                      <wp:docPr id="83713170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8940" cy="271145"/>
                              </a:xfrm>
                              <a:prstGeom prst="rect">
                                <a:avLst/>
                              </a:prstGeom>
                              <a:solidFill>
                                <a:srgbClr val="FFFFFF"/>
                              </a:solidFill>
                              <a:ln w="19050">
                                <a:solidFill>
                                  <a:srgbClr val="FF0000"/>
                                </a:solidFill>
                                <a:miter lim="800000"/>
                              </a:ln>
                            </wps:spPr>
                            <wps:txbx>
                              <w:txbxContent>
                                <w:p w14:paraId="2243CE5A" w14:textId="77777777" w:rsidR="00FE291A" w:rsidRDefault="00C8738F">
                                  <w:pPr>
                                    <w:rPr>
                                      <w:sz w:val="22"/>
                                      <w:lang w:val="de-DE"/>
                                    </w:rPr>
                                  </w:pPr>
                                  <w:r>
                                    <w:rPr>
                                      <w:sz w:val="22"/>
                                      <w:lang w:val="de-DE"/>
                                    </w:rPr>
                                    <w:t xml:space="preserve">Die Fertigspritze </w:t>
                                  </w:r>
                                  <w:r>
                                    <w:rPr>
                                      <w:b/>
                                      <w:sz w:val="22"/>
                                      <w:lang w:val="de-DE"/>
                                    </w:rPr>
                                    <w:t>nicht</w:t>
                                  </w:r>
                                  <w:r>
                                    <w:rPr>
                                      <w:sz w:val="22"/>
                                      <w:lang w:val="de-DE"/>
                                    </w:rPr>
                                    <w:t xml:space="preserve"> recyceln oder in den Haushaltsabfall werfen.</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2DB04DD8" id="Text Box 12" o:spid="_x0000_s1038" type="#_x0000_t202" style="position:absolute;margin-left:3.2pt;margin-top:4.25pt;width:432.2pt;height:21.35pt;z-index:2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" strokecolor="red" strokeweight="1.5pt">
                      <v:textbox style="mso-fit-shape-to-text:t">
                        <w:txbxContent>
                          <w:p w14:paraId="2243CE5A" w14:textId="77777777" w:rsidR="00FE291A" w:rsidRDefault="00C8738F">
                            <w:pPr>
                              <w:rPr>
                                <w:sz w:val="22"/>
                                <w:lang w:val="de-DE"/>
                              </w:rPr>
                            </w:pPr>
                            <w:r>
                              <w:rPr>
                                <w:sz w:val="22"/>
                                <w:lang w:val="de-DE"/>
                              </w:rPr>
                              <w:t xml:space="preserve">Die Fertigspritze </w:t>
                            </w:r>
                            <w:r>
                              <w:rPr>
                                <w:b/>
                                <w:sz w:val="22"/>
                                <w:lang w:val="de-DE"/>
                              </w:rPr>
                              <w:t>nicht</w:t>
                            </w:r>
                            <w:r>
                              <w:rPr>
                                <w:sz w:val="22"/>
                                <w:lang w:val="de-DE"/>
                              </w:rPr>
                              <w:t xml:space="preserve"> recyceln oder in den Haushaltsabfall werfen.</w:t>
                            </w:r>
                          </w:p>
                        </w:txbxContent>
                      </v:textbox>
                      <w10:wrap type="square" anchorx="margin"/>
                    </v:shape>
                  </w:pict>
                </mc:Fallback>
              </mc:AlternateContent>
            </w:r>
            <w:r w:rsidR="00C8738F">
              <w:rPr>
                <w:sz w:val="22"/>
                <w:szCs w:val="22"/>
                <w:lang w:val="de-DE"/>
              </w:rPr>
              <w:t xml:space="preserve"> </w:t>
            </w:r>
          </w:p>
        </w:tc>
      </w:tr>
      <w:tr w:rsidR="00FE291A" w14:paraId="73B52A21" w14:textId="77777777">
        <w:trPr>
          <w:cantSplit/>
          <w:trHeight w:val="57"/>
        </w:trPr>
        <w:tc>
          <w:tcPr>
            <w:tcW w:w="348" w:type="pct"/>
            <w:tcBorders>
              <w:top w:val="nil"/>
              <w:left w:val="single" w:sz="4" w:space="0" w:color="auto"/>
              <w:bottom w:val="nil"/>
              <w:right w:val="nil"/>
            </w:tcBorders>
            <w:tcMar>
              <w:top w:w="28" w:type="dxa"/>
              <w:left w:w="57" w:type="dxa"/>
              <w:bottom w:w="28" w:type="dxa"/>
              <w:right w:w="57" w:type="dxa"/>
            </w:tcMar>
          </w:tcPr>
          <w:p w14:paraId="6CE5CE37"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52" w:type="pct"/>
            <w:tcBorders>
              <w:top w:val="nil"/>
              <w:left w:val="nil"/>
              <w:bottom w:val="nil"/>
              <w:right w:val="single" w:sz="4" w:space="0" w:color="auto"/>
            </w:tcBorders>
            <w:tcMar>
              <w:top w:w="0" w:type="dxa"/>
              <w:left w:w="0" w:type="dxa"/>
              <w:bottom w:w="0" w:type="dxa"/>
              <w:right w:w="108" w:type="dxa"/>
            </w:tcMar>
          </w:tcPr>
          <w:p w14:paraId="47250ECA" w14:textId="77777777" w:rsidR="00FE291A" w:rsidRDefault="00C8738F">
            <w:pPr>
              <w:rPr>
                <w:b/>
                <w:bCs/>
                <w:sz w:val="22"/>
                <w:szCs w:val="22"/>
                <w:lang w:val="de-DE"/>
              </w:rPr>
            </w:pPr>
            <w:r>
              <w:rPr>
                <w:sz w:val="22"/>
                <w:szCs w:val="22"/>
                <w:lang w:val="de-DE"/>
              </w:rPr>
              <w:t xml:space="preserve">Die Fertigspritze </w:t>
            </w:r>
            <w:r>
              <w:rPr>
                <w:b/>
                <w:sz w:val="22"/>
                <w:szCs w:val="22"/>
                <w:lang w:val="de-DE"/>
              </w:rPr>
              <w:t>nicht</w:t>
            </w:r>
            <w:r>
              <w:rPr>
                <w:sz w:val="22"/>
                <w:szCs w:val="22"/>
                <w:lang w:val="de-DE"/>
              </w:rPr>
              <w:t xml:space="preserve"> wiederverwenden.</w:t>
            </w:r>
          </w:p>
        </w:tc>
      </w:tr>
      <w:tr w:rsidR="00FE291A" w:rsidRPr="002E6CD3" w14:paraId="4C2E2F72" w14:textId="77777777">
        <w:trPr>
          <w:cantSplit/>
          <w:trHeight w:val="57"/>
        </w:trPr>
        <w:tc>
          <w:tcPr>
            <w:tcW w:w="348" w:type="pct"/>
            <w:tcBorders>
              <w:top w:val="nil"/>
              <w:left w:val="single" w:sz="4" w:space="0" w:color="auto"/>
              <w:bottom w:val="nil"/>
              <w:right w:val="nil"/>
            </w:tcBorders>
            <w:tcMar>
              <w:top w:w="28" w:type="dxa"/>
              <w:left w:w="57" w:type="dxa"/>
              <w:bottom w:w="28" w:type="dxa"/>
              <w:right w:w="57" w:type="dxa"/>
            </w:tcMar>
          </w:tcPr>
          <w:p w14:paraId="081E3086"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52" w:type="pct"/>
            <w:tcBorders>
              <w:top w:val="nil"/>
              <w:left w:val="nil"/>
              <w:bottom w:val="nil"/>
              <w:right w:val="single" w:sz="4" w:space="0" w:color="auto"/>
            </w:tcBorders>
            <w:tcMar>
              <w:top w:w="0" w:type="dxa"/>
              <w:left w:w="0" w:type="dxa"/>
              <w:bottom w:w="0" w:type="dxa"/>
              <w:right w:w="108" w:type="dxa"/>
            </w:tcMar>
          </w:tcPr>
          <w:p w14:paraId="093833F7" w14:textId="77777777" w:rsidR="00FE291A" w:rsidRDefault="00C8738F">
            <w:pPr>
              <w:rPr>
                <w:b/>
                <w:bCs/>
                <w:sz w:val="22"/>
                <w:szCs w:val="22"/>
                <w:lang w:val="de-DE"/>
              </w:rPr>
            </w:pPr>
            <w:r>
              <w:rPr>
                <w:sz w:val="22"/>
                <w:szCs w:val="22"/>
                <w:lang w:val="de-DE"/>
              </w:rPr>
              <w:t xml:space="preserve">Arzneimittel, das in der gebrauchten </w:t>
            </w:r>
            <w:r>
              <w:rPr>
                <w:color w:val="000000"/>
                <w:sz w:val="22"/>
                <w:szCs w:val="22"/>
                <w:lang w:val="de-DE"/>
              </w:rPr>
              <w:t>Fertigspritze</w:t>
            </w:r>
            <w:r>
              <w:rPr>
                <w:sz w:val="22"/>
                <w:szCs w:val="22"/>
                <w:lang w:val="de-DE"/>
              </w:rPr>
              <w:t xml:space="preserve"> zurückbleibt, </w:t>
            </w:r>
            <w:r>
              <w:rPr>
                <w:b/>
                <w:sz w:val="22"/>
                <w:szCs w:val="22"/>
                <w:lang w:val="de-DE"/>
              </w:rPr>
              <w:t>nicht</w:t>
            </w:r>
            <w:r>
              <w:rPr>
                <w:sz w:val="22"/>
                <w:szCs w:val="22"/>
                <w:lang w:val="de-DE"/>
              </w:rPr>
              <w:t xml:space="preserve"> wiederverwenden.</w:t>
            </w:r>
          </w:p>
        </w:tc>
      </w:tr>
      <w:tr w:rsidR="00FE291A" w:rsidRPr="002E6CD3" w14:paraId="2C76AF47" w14:textId="77777777">
        <w:trPr>
          <w:cantSplit/>
          <w:trHeight w:val="57"/>
        </w:trPr>
        <w:tc>
          <w:tcPr>
            <w:tcW w:w="348" w:type="pct"/>
            <w:tcBorders>
              <w:top w:val="nil"/>
              <w:left w:val="single" w:sz="4" w:space="0" w:color="auto"/>
              <w:bottom w:val="nil"/>
              <w:right w:val="nil"/>
            </w:tcBorders>
            <w:tcMar>
              <w:top w:w="28" w:type="dxa"/>
              <w:left w:w="57" w:type="dxa"/>
              <w:bottom w:w="28" w:type="dxa"/>
              <w:right w:w="57" w:type="dxa"/>
            </w:tcMar>
          </w:tcPr>
          <w:p w14:paraId="22DF0268"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52" w:type="pct"/>
            <w:tcBorders>
              <w:top w:val="nil"/>
              <w:left w:val="nil"/>
              <w:bottom w:val="nil"/>
              <w:right w:val="single" w:sz="4" w:space="0" w:color="auto"/>
            </w:tcBorders>
            <w:tcMar>
              <w:top w:w="0" w:type="dxa"/>
              <w:left w:w="0" w:type="dxa"/>
              <w:bottom w:w="0" w:type="dxa"/>
              <w:right w:w="108" w:type="dxa"/>
            </w:tcMar>
          </w:tcPr>
          <w:p w14:paraId="606C0906" w14:textId="77777777" w:rsidR="00FE291A" w:rsidRDefault="00C8738F">
            <w:pPr>
              <w:rPr>
                <w:rFonts w:eastAsia="Calibri"/>
                <w:sz w:val="22"/>
                <w:szCs w:val="22"/>
                <w:lang w:val="de-DE"/>
              </w:rPr>
            </w:pPr>
            <w:r>
              <w:rPr>
                <w:sz w:val="22"/>
                <w:szCs w:val="22"/>
                <w:lang w:val="de-DE"/>
              </w:rPr>
              <w:t xml:space="preserve">Werfen Sie die gebrauchte AMGEVITA-Spritze sofort nach Anwendung in einen durchstichsicheren Behälter. </w:t>
            </w:r>
          </w:p>
          <w:p w14:paraId="2BA322B1" w14:textId="77777777" w:rsidR="00FE291A" w:rsidRDefault="00C8738F">
            <w:pPr>
              <w:rPr>
                <w:b/>
                <w:bCs/>
                <w:sz w:val="22"/>
                <w:szCs w:val="22"/>
                <w:lang w:val="de-DE"/>
              </w:rPr>
            </w:pPr>
            <w:r>
              <w:rPr>
                <w:sz w:val="22"/>
                <w:szCs w:val="22"/>
                <w:lang w:val="de-DE"/>
              </w:rPr>
              <w:t xml:space="preserve">Werfen oder entsorgen Sie die Spritze </w:t>
            </w:r>
            <w:r>
              <w:rPr>
                <w:b/>
                <w:sz w:val="22"/>
                <w:szCs w:val="22"/>
                <w:lang w:val="de-DE"/>
              </w:rPr>
              <w:t>nicht</w:t>
            </w:r>
            <w:r>
              <w:rPr>
                <w:sz w:val="22"/>
                <w:szCs w:val="22"/>
                <w:lang w:val="de-DE"/>
              </w:rPr>
              <w:t xml:space="preserve"> in Ihren Haushaltsabfall.</w:t>
            </w:r>
          </w:p>
        </w:tc>
      </w:tr>
      <w:tr w:rsidR="00FE291A" w14:paraId="335D90E7" w14:textId="77777777">
        <w:trPr>
          <w:cantSplit/>
          <w:trHeight w:val="57"/>
        </w:trPr>
        <w:tc>
          <w:tcPr>
            <w:tcW w:w="348" w:type="pct"/>
            <w:tcBorders>
              <w:top w:val="nil"/>
              <w:left w:val="single" w:sz="4" w:space="0" w:color="auto"/>
              <w:bottom w:val="nil"/>
              <w:right w:val="nil"/>
            </w:tcBorders>
            <w:tcMar>
              <w:top w:w="28" w:type="dxa"/>
              <w:left w:w="57" w:type="dxa"/>
              <w:bottom w:w="28" w:type="dxa"/>
              <w:right w:w="57" w:type="dxa"/>
            </w:tcMar>
          </w:tcPr>
          <w:p w14:paraId="602EFB80"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52" w:type="pct"/>
            <w:tcBorders>
              <w:top w:val="nil"/>
              <w:left w:val="nil"/>
              <w:bottom w:val="nil"/>
              <w:right w:val="single" w:sz="4" w:space="0" w:color="auto"/>
            </w:tcBorders>
            <w:tcMar>
              <w:top w:w="0" w:type="dxa"/>
              <w:left w:w="0" w:type="dxa"/>
              <w:bottom w:w="0" w:type="dxa"/>
              <w:right w:w="108" w:type="dxa"/>
            </w:tcMar>
          </w:tcPr>
          <w:p w14:paraId="05734CFF" w14:textId="77777777" w:rsidR="00FE291A" w:rsidRDefault="00C8738F">
            <w:pPr>
              <w:rPr>
                <w:b/>
                <w:bCs/>
                <w:sz w:val="22"/>
                <w:szCs w:val="22"/>
                <w:lang w:val="de-DE"/>
              </w:rPr>
            </w:pPr>
            <w:r>
              <w:rPr>
                <w:sz w:val="22"/>
                <w:szCs w:val="22"/>
                <w:lang w:val="de-DE"/>
              </w:rPr>
              <w:t>Sprechen Sie mit Ihrem Arzt oder Apotheker über die ordnungsgemäße Entsorgung. Möglicherweise gibt es nationale Richtlinien für die Entsorgung.</w:t>
            </w:r>
          </w:p>
        </w:tc>
      </w:tr>
      <w:tr w:rsidR="00FE291A" w:rsidRPr="002E6CD3" w14:paraId="289B9F5E" w14:textId="77777777">
        <w:trPr>
          <w:cantSplit/>
          <w:trHeight w:val="57"/>
        </w:trPr>
        <w:tc>
          <w:tcPr>
            <w:tcW w:w="348" w:type="pct"/>
            <w:tcBorders>
              <w:top w:val="nil"/>
              <w:left w:val="single" w:sz="4" w:space="0" w:color="auto"/>
              <w:bottom w:val="nil"/>
              <w:right w:val="nil"/>
            </w:tcBorders>
            <w:tcMar>
              <w:top w:w="28" w:type="dxa"/>
              <w:left w:w="57" w:type="dxa"/>
              <w:bottom w:w="28" w:type="dxa"/>
              <w:right w:w="57" w:type="dxa"/>
            </w:tcMar>
          </w:tcPr>
          <w:p w14:paraId="278CC596" w14:textId="77777777" w:rsidR="00FE291A" w:rsidRDefault="00FE291A">
            <w:pPr>
              <w:widowControl/>
              <w:numPr>
                <w:ilvl w:val="0"/>
                <w:numId w:val="65"/>
              </w:numPr>
              <w:tabs>
                <w:tab w:val="left" w:pos="708"/>
              </w:tabs>
              <w:autoSpaceDE/>
              <w:autoSpaceDN/>
              <w:adjustRightInd/>
              <w:ind w:left="567" w:hanging="567"/>
              <w:rPr>
                <w:sz w:val="22"/>
                <w:szCs w:val="22"/>
                <w:lang w:val="de-DE"/>
              </w:rPr>
            </w:pPr>
          </w:p>
        </w:tc>
        <w:tc>
          <w:tcPr>
            <w:tcW w:w="4652" w:type="pct"/>
            <w:tcBorders>
              <w:top w:val="nil"/>
              <w:left w:val="nil"/>
              <w:bottom w:val="nil"/>
              <w:right w:val="single" w:sz="4" w:space="0" w:color="auto"/>
            </w:tcBorders>
            <w:tcMar>
              <w:top w:w="0" w:type="dxa"/>
              <w:left w:w="0" w:type="dxa"/>
              <w:bottom w:w="0" w:type="dxa"/>
              <w:right w:w="108" w:type="dxa"/>
            </w:tcMar>
          </w:tcPr>
          <w:p w14:paraId="5E84D2E6" w14:textId="77777777" w:rsidR="00FE291A" w:rsidRDefault="00C8738F">
            <w:pPr>
              <w:rPr>
                <w:b/>
                <w:bCs/>
                <w:sz w:val="22"/>
                <w:szCs w:val="22"/>
                <w:lang w:val="de-DE"/>
              </w:rPr>
            </w:pPr>
            <w:r>
              <w:rPr>
                <w:sz w:val="22"/>
                <w:szCs w:val="22"/>
                <w:lang w:val="de-DE"/>
              </w:rPr>
              <w:t xml:space="preserve">Die Spritze oder den durchstichsicheren Behälter </w:t>
            </w:r>
            <w:r>
              <w:rPr>
                <w:b/>
                <w:sz w:val="22"/>
                <w:szCs w:val="22"/>
                <w:lang w:val="de-DE"/>
              </w:rPr>
              <w:t>nicht</w:t>
            </w:r>
            <w:r>
              <w:rPr>
                <w:sz w:val="22"/>
                <w:szCs w:val="22"/>
                <w:lang w:val="de-DE"/>
              </w:rPr>
              <w:t xml:space="preserve"> recyceln oder in den Haushaltsabfall werfen.</w:t>
            </w:r>
          </w:p>
        </w:tc>
      </w:tr>
      <w:tr w:rsidR="00FE291A" w:rsidRPr="002E6CD3" w14:paraId="57AA0C61" w14:textId="77777777">
        <w:trPr>
          <w:cantSplit/>
          <w:trHeight w:val="57"/>
        </w:trPr>
        <w:tc>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tcPr>
          <w:p w14:paraId="753D9C82" w14:textId="004C7CB7" w:rsidR="00FE291A" w:rsidRDefault="009C5B62">
            <w:pPr>
              <w:rPr>
                <w:b/>
                <w:bCs/>
                <w:sz w:val="22"/>
                <w:szCs w:val="22"/>
                <w:lang w:val="de-DE"/>
              </w:rPr>
            </w:pPr>
            <w:ins w:id="486" w:author="Author">
              <w:r>
                <w:rPr>
                  <w:noProof/>
                </w:rPr>
                <mc:AlternateContent>
                  <mc:Choice Requires="wps">
                    <w:drawing>
                      <wp:anchor distT="45720" distB="45720" distL="114300" distR="114300" simplePos="0" relativeHeight="33" behindDoc="0" locked="0" layoutInCell="1" allowOverlap="1" wp14:anchorId="7BA0BA55" wp14:editId="09398FC0">
                        <wp:simplePos x="0" y="0"/>
                        <wp:positionH relativeFrom="margin">
                          <wp:posOffset>24130</wp:posOffset>
                        </wp:positionH>
                        <wp:positionV relativeFrom="paragraph">
                          <wp:posOffset>94615</wp:posOffset>
                        </wp:positionV>
                        <wp:extent cx="5505450" cy="271145"/>
                        <wp:effectExtent l="0" t="0" r="0" b="0"/>
                        <wp:wrapSquare wrapText="bothSides"/>
                        <wp:docPr id="135930887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271145"/>
                                </a:xfrm>
                                <a:prstGeom prst="rect">
                                  <a:avLst/>
                                </a:prstGeom>
                                <a:solidFill>
                                  <a:srgbClr val="FFFFFF"/>
                                </a:solidFill>
                                <a:ln w="19050">
                                  <a:solidFill>
                                    <a:srgbClr val="FF0000"/>
                                  </a:solidFill>
                                  <a:miter lim="800000"/>
                                </a:ln>
                              </wps:spPr>
                              <wps:txbx>
                                <w:txbxContent>
                                  <w:p w14:paraId="00A1C54C" w14:textId="77777777" w:rsidR="00FE291A" w:rsidRPr="00F076DE" w:rsidRDefault="00C8738F">
                                    <w:pPr>
                                      <w:rPr>
                                        <w:sz w:val="22"/>
                                        <w:szCs w:val="22"/>
                                        <w:lang w:val="de-DE"/>
                                        <w:rPrChange w:id="487" w:author="Author">
                                          <w:rPr/>
                                        </w:rPrChange>
                                      </w:rPr>
                                    </w:pPr>
                                    <w:ins w:id="488" w:author="Author">
                                      <w:r>
                                        <w:rPr>
                                          <w:b/>
                                          <w:bCs/>
                                          <w:sz w:val="22"/>
                                          <w:szCs w:val="22"/>
                                          <w:lang w:val="de-DE"/>
                                        </w:rPr>
                                        <w:t xml:space="preserve">Wichtig: </w:t>
                                      </w:r>
                                      <w:r>
                                        <w:rPr>
                                          <w:bCs/>
                                          <w:sz w:val="22"/>
                                          <w:szCs w:val="22"/>
                                          <w:lang w:val="de-DE"/>
                                        </w:rPr>
                                        <w:t>Den durchstichsicheren Behälter immer für Kinder unzugänglich aufbewahren.</w:t>
                                      </w:r>
                                    </w:ins>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7BA0BA55" id="Text Box 11" o:spid="_x0000_s1039" type="#_x0000_t202" style="position:absolute;margin-left:1.9pt;margin-top:7.45pt;width:433.5pt;height:21.35pt;z-index:3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" strokecolor="red" strokeweight="1.5pt">
                        <v:textbox style="mso-fit-shape-to-text:t">
                          <w:txbxContent>
                            <w:p w14:paraId="00A1C54C" w14:textId="77777777" w:rsidR="00FE291A" w:rsidRPr="00F076DE" w:rsidRDefault="00C8738F">
                              <w:pPr>
                                <w:rPr>
                                  <w:sz w:val="22"/>
                                  <w:szCs w:val="22"/>
                                  <w:lang w:val="de-DE"/>
                                  <w:rPrChange w:id="489" w:author="Author">
                                    <w:rPr/>
                                  </w:rPrChange>
                                </w:rPr>
                              </w:pPr>
                              <w:ins w:id="490" w:author="Author">
                                <w:r>
                                  <w:rPr>
                                    <w:b/>
                                    <w:bCs/>
                                    <w:sz w:val="22"/>
                                    <w:szCs w:val="22"/>
                                    <w:lang w:val="de-DE"/>
                                  </w:rPr>
                                  <w:t xml:space="preserve">Wichtig: </w:t>
                                </w:r>
                                <w:r>
                                  <w:rPr>
                                    <w:bCs/>
                                    <w:sz w:val="22"/>
                                    <w:szCs w:val="22"/>
                                    <w:lang w:val="de-DE"/>
                                  </w:rPr>
                                  <w:t>Den durchstichsicheren Behälter immer für Kinder unzugänglich aufbewahren.</w:t>
                                </w:r>
                              </w:ins>
                            </w:p>
                          </w:txbxContent>
                        </v:textbox>
                        <w10:wrap type="square" anchorx="margin"/>
                      </v:shape>
                    </w:pict>
                  </mc:Fallback>
                </mc:AlternateContent>
              </w:r>
            </w:ins>
            <w:del w:id="491" w:author="Author">
              <w:r w:rsidR="00C8738F">
                <w:rPr>
                  <w:b/>
                  <w:sz w:val="22"/>
                  <w:szCs w:val="22"/>
                  <w:lang w:val="de-DE"/>
                </w:rPr>
                <w:delText>Wichtig</w:delText>
              </w:r>
              <w:r w:rsidR="00C8738F">
                <w:rPr>
                  <w:sz w:val="22"/>
                  <w:szCs w:val="22"/>
                  <w:lang w:val="de-DE"/>
                </w:rPr>
                <w:delText>: Den durchstichsicheren Behälter immer für Kinder unzugänglich aufbewahren.</w:delText>
              </w:r>
            </w:del>
          </w:p>
        </w:tc>
      </w:tr>
    </w:tbl>
    <w:p w14:paraId="31A9C778" w14:textId="77777777" w:rsidR="00FE291A" w:rsidRDefault="00FE291A">
      <w:pPr>
        <w:tabs>
          <w:tab w:val="left" w:pos="1134"/>
        </w:tabs>
        <w:rPr>
          <w:sz w:val="22"/>
          <w:szCs w:val="22"/>
          <w:lang w:val="de-DE"/>
        </w:rPr>
      </w:pPr>
    </w:p>
    <w:tbl>
      <w:tblPr>
        <w:tblW w:w="8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8363"/>
      </w:tblGrid>
      <w:tr w:rsidR="00FE291A" w14:paraId="4AA4ADB3" w14:textId="77777777">
        <w:trPr>
          <w:trHeight w:val="345"/>
        </w:trPr>
        <w:tc>
          <w:tcPr>
            <w:tcW w:w="624" w:type="dxa"/>
          </w:tcPr>
          <w:p w14:paraId="59562574" w14:textId="77777777" w:rsidR="00FE291A" w:rsidRDefault="00C8738F">
            <w:pPr>
              <w:pStyle w:val="ListParagraph"/>
              <w:keepNext/>
              <w:keepLines/>
              <w:textAlignment w:val="center"/>
              <w:rPr>
                <w:sz w:val="22"/>
                <w:szCs w:val="22"/>
                <w:lang w:val="de-DE"/>
              </w:rPr>
            </w:pPr>
            <w:r>
              <w:rPr>
                <w:b/>
                <w:sz w:val="22"/>
                <w:szCs w:val="22"/>
                <w:lang w:val="de-DE"/>
              </w:rPr>
              <w:t>5b</w:t>
            </w:r>
          </w:p>
        </w:tc>
        <w:tc>
          <w:tcPr>
            <w:tcW w:w="8363" w:type="dxa"/>
          </w:tcPr>
          <w:p w14:paraId="58E7AB54" w14:textId="77777777" w:rsidR="00FE291A" w:rsidRDefault="00C8738F">
            <w:pPr>
              <w:pStyle w:val="ListParagraph"/>
              <w:keepNext/>
              <w:keepLines/>
              <w:textAlignment w:val="center"/>
              <w:rPr>
                <w:sz w:val="22"/>
                <w:szCs w:val="22"/>
                <w:lang w:val="de-DE"/>
              </w:rPr>
            </w:pPr>
            <w:r>
              <w:rPr>
                <w:b/>
                <w:sz w:val="22"/>
                <w:szCs w:val="22"/>
                <w:lang w:val="de-DE"/>
              </w:rPr>
              <w:t>Überprüfen Sie die Injektionsstelle.</w:t>
            </w:r>
          </w:p>
        </w:tc>
      </w:tr>
      <w:tr w:rsidR="00FE291A" w:rsidRPr="002E6CD3" w14:paraId="7F1F027F" w14:textId="77777777">
        <w:trPr>
          <w:trHeight w:val="325"/>
        </w:trPr>
        <w:tc>
          <w:tcPr>
            <w:tcW w:w="624" w:type="dxa"/>
            <w:tcBorders>
              <w:bottom w:val="nil"/>
              <w:right w:val="nil"/>
            </w:tcBorders>
          </w:tcPr>
          <w:p w14:paraId="2AA8935B" w14:textId="77777777" w:rsidR="00FE291A" w:rsidRDefault="00FE291A">
            <w:pPr>
              <w:pStyle w:val="ListParagraph"/>
              <w:keepNext/>
              <w:keepLines/>
              <w:widowControl/>
              <w:numPr>
                <w:ilvl w:val="0"/>
                <w:numId w:val="69"/>
              </w:numPr>
              <w:ind w:left="0" w:firstLine="0"/>
              <w:contextualSpacing/>
              <w:textAlignment w:val="center"/>
              <w:rPr>
                <w:sz w:val="22"/>
                <w:szCs w:val="22"/>
                <w:lang w:val="de-DE"/>
              </w:rPr>
            </w:pPr>
          </w:p>
        </w:tc>
        <w:tc>
          <w:tcPr>
            <w:tcW w:w="8363" w:type="dxa"/>
            <w:tcBorders>
              <w:left w:val="nil"/>
              <w:bottom w:val="nil"/>
            </w:tcBorders>
          </w:tcPr>
          <w:p w14:paraId="2029D00B" w14:textId="77777777" w:rsidR="00FE291A" w:rsidRDefault="00C8738F">
            <w:pPr>
              <w:pStyle w:val="ListParagraph"/>
              <w:keepNext/>
              <w:keepLines/>
              <w:ind w:right="1414"/>
              <w:textAlignment w:val="center"/>
              <w:rPr>
                <w:sz w:val="22"/>
                <w:szCs w:val="22"/>
                <w:lang w:val="de-DE"/>
              </w:rPr>
            </w:pPr>
            <w:r>
              <w:rPr>
                <w:color w:val="000000"/>
                <w:sz w:val="22"/>
                <w:szCs w:val="22"/>
                <w:lang w:val="de-DE"/>
              </w:rPr>
              <w:t xml:space="preserve">Reiben Sie </w:t>
            </w:r>
            <w:r>
              <w:rPr>
                <w:b/>
                <w:color w:val="000000"/>
                <w:sz w:val="22"/>
                <w:szCs w:val="22"/>
                <w:lang w:val="de-DE"/>
              </w:rPr>
              <w:t>nicht</w:t>
            </w:r>
            <w:r>
              <w:rPr>
                <w:color w:val="000000"/>
                <w:sz w:val="22"/>
                <w:szCs w:val="22"/>
                <w:lang w:val="de-DE"/>
              </w:rPr>
              <w:t xml:space="preserve"> an der Injektionsstelle.</w:t>
            </w:r>
          </w:p>
        </w:tc>
      </w:tr>
      <w:tr w:rsidR="00FE291A" w14:paraId="6079F6B0" w14:textId="77777777">
        <w:trPr>
          <w:trHeight w:val="366"/>
        </w:trPr>
        <w:tc>
          <w:tcPr>
            <w:tcW w:w="624" w:type="dxa"/>
            <w:tcBorders>
              <w:top w:val="nil"/>
              <w:right w:val="nil"/>
            </w:tcBorders>
          </w:tcPr>
          <w:p w14:paraId="63AFAD6F" w14:textId="77777777" w:rsidR="00FE291A" w:rsidRDefault="00FE291A">
            <w:pPr>
              <w:pStyle w:val="ARROWBULLETED"/>
              <w:keepNext/>
              <w:keepLines/>
              <w:widowControl/>
              <w:numPr>
                <w:ilvl w:val="0"/>
                <w:numId w:val="70"/>
              </w:numPr>
              <w:tabs>
                <w:tab w:val="clear" w:pos="567"/>
                <w:tab w:val="clear" w:pos="828"/>
              </w:tabs>
              <w:suppressAutoHyphens w:val="0"/>
              <w:spacing w:before="0" w:line="240" w:lineRule="auto"/>
              <w:ind w:left="0" w:firstLine="0"/>
              <w:rPr>
                <w:sz w:val="22"/>
                <w:szCs w:val="22"/>
              </w:rPr>
            </w:pPr>
          </w:p>
        </w:tc>
        <w:tc>
          <w:tcPr>
            <w:tcW w:w="8363" w:type="dxa"/>
            <w:tcBorders>
              <w:top w:val="nil"/>
              <w:left w:val="nil"/>
            </w:tcBorders>
          </w:tcPr>
          <w:p w14:paraId="659D595B" w14:textId="77777777" w:rsidR="00FE291A" w:rsidRDefault="00C8738F">
            <w:pPr>
              <w:pStyle w:val="ARROWBULLETED"/>
              <w:keepNext/>
              <w:keepLines/>
              <w:widowControl/>
              <w:numPr>
                <w:ilvl w:val="0"/>
                <w:numId w:val="0"/>
              </w:numPr>
              <w:tabs>
                <w:tab w:val="left" w:pos="708"/>
              </w:tabs>
              <w:suppressAutoHyphens w:val="0"/>
              <w:spacing w:before="0" w:line="240" w:lineRule="auto"/>
              <w:rPr>
                <w:sz w:val="22"/>
                <w:szCs w:val="22"/>
              </w:rPr>
            </w:pPr>
            <w:r>
              <w:rPr>
                <w:sz w:val="22"/>
                <w:szCs w:val="22"/>
              </w:rPr>
              <w:t xml:space="preserve">Falls Sie Blut bemerken, drücken Sie einen Wattebausch oder Verbandmull auf die Injektionsstelle. Verwenden Sie bei Bedarf ein Pflaster. </w:t>
            </w:r>
          </w:p>
        </w:tc>
      </w:tr>
    </w:tbl>
    <w:p w14:paraId="41F996BA" w14:textId="77777777" w:rsidR="00FE291A" w:rsidRDefault="00FE291A">
      <w:pPr>
        <w:rPr>
          <w:lang w:val="de-DE"/>
        </w:rPr>
      </w:pPr>
    </w:p>
    <w:p w14:paraId="1F1840C7" w14:textId="77777777" w:rsidR="00FE291A" w:rsidRDefault="00C8738F">
      <w:pPr>
        <w:pStyle w:val="BodyText"/>
        <w:widowControl/>
        <w:kinsoku w:val="0"/>
        <w:overflowPunct w:val="0"/>
        <w:ind w:left="0"/>
        <w:jc w:val="center"/>
        <w:rPr>
          <w:b/>
          <w:bCs/>
          <w:lang w:val="de-DE"/>
        </w:rPr>
      </w:pPr>
      <w:r>
        <w:rPr>
          <w:lang w:val="de-DE"/>
        </w:rPr>
        <w:br w:type="page"/>
      </w:r>
      <w:r>
        <w:rPr>
          <w:b/>
          <w:lang w:val="de-DE"/>
        </w:rPr>
        <w:t>Gebrauchsinformation: Information für den Patienten</w:t>
      </w:r>
    </w:p>
    <w:p w14:paraId="0079D8A8" w14:textId="77777777" w:rsidR="00FE291A" w:rsidRDefault="00FE291A">
      <w:pPr>
        <w:widowControl/>
        <w:kinsoku w:val="0"/>
        <w:overflowPunct w:val="0"/>
        <w:rPr>
          <w:sz w:val="22"/>
          <w:szCs w:val="22"/>
          <w:lang w:val="de-DE"/>
        </w:rPr>
      </w:pPr>
    </w:p>
    <w:p w14:paraId="5D7947A6" w14:textId="77777777" w:rsidR="00FE291A" w:rsidRDefault="00C8738F">
      <w:pPr>
        <w:widowControl/>
        <w:kinsoku w:val="0"/>
        <w:overflowPunct w:val="0"/>
        <w:jc w:val="center"/>
        <w:rPr>
          <w:sz w:val="22"/>
          <w:szCs w:val="22"/>
          <w:lang w:val="de-DE"/>
        </w:rPr>
      </w:pPr>
      <w:r>
        <w:rPr>
          <w:b/>
          <w:bCs/>
          <w:sz w:val="22"/>
          <w:szCs w:val="22"/>
          <w:lang w:val="de-DE"/>
        </w:rPr>
        <w:t>AMGEVITA 40 mg Injektionslösung im Fertigpen</w:t>
      </w:r>
    </w:p>
    <w:p w14:paraId="10BE8200" w14:textId="77777777" w:rsidR="00FE291A" w:rsidRDefault="00C8738F">
      <w:pPr>
        <w:pStyle w:val="BodyText"/>
        <w:widowControl/>
        <w:kinsoku w:val="0"/>
        <w:overflowPunct w:val="0"/>
        <w:ind w:left="0"/>
        <w:jc w:val="center"/>
        <w:rPr>
          <w:lang w:val="de-DE"/>
        </w:rPr>
      </w:pPr>
      <w:r>
        <w:rPr>
          <w:lang w:val="de-DE"/>
        </w:rPr>
        <w:t>Adalimumab</w:t>
      </w:r>
    </w:p>
    <w:p w14:paraId="778DFF02" w14:textId="77777777" w:rsidR="00FE291A" w:rsidRDefault="00FE291A">
      <w:pPr>
        <w:pStyle w:val="BodyText"/>
        <w:widowControl/>
        <w:kinsoku w:val="0"/>
        <w:overflowPunct w:val="0"/>
        <w:ind w:left="0"/>
        <w:jc w:val="center"/>
        <w:rPr>
          <w:lang w:val="de-DE"/>
        </w:rPr>
      </w:pPr>
    </w:p>
    <w:p w14:paraId="1D7CD4BB" w14:textId="77777777" w:rsidR="00FE291A" w:rsidRDefault="00FE291A">
      <w:pPr>
        <w:widowControl/>
        <w:kinsoku w:val="0"/>
        <w:overflowPunct w:val="0"/>
        <w:rPr>
          <w:sz w:val="22"/>
          <w:szCs w:val="22"/>
          <w:lang w:val="de-DE"/>
        </w:rPr>
      </w:pPr>
    </w:p>
    <w:p w14:paraId="58F9DE14" w14:textId="77777777" w:rsidR="00FE291A" w:rsidRDefault="00C8738F">
      <w:pPr>
        <w:pStyle w:val="Heading1"/>
        <w:widowControl/>
        <w:kinsoku w:val="0"/>
        <w:overflowPunct w:val="0"/>
        <w:ind w:left="0"/>
        <w:rPr>
          <w:b w:val="0"/>
          <w:bCs w:val="0"/>
          <w:lang w:val="de-DE"/>
        </w:rPr>
      </w:pPr>
      <w:r>
        <w:rPr>
          <w:lang w:val="de-DE"/>
        </w:rPr>
        <w:t>Lesen Sie die gesamte Packungsbeilage sorgfältig durch, bevor Sie mit der Anwendung dieses Arzneimittels beginnen, denn sie enthält wichtige Informationen.</w:t>
      </w:r>
    </w:p>
    <w:p w14:paraId="04C97E6F"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Heben Sie die Packungsbeilage auf. Vielleicht möchten Sie diese später nochmals lesen.</w:t>
      </w:r>
    </w:p>
    <w:p w14:paraId="410421A5"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 xml:space="preserve">Ihr Arzt wird Ihnen auch einen </w:t>
      </w:r>
      <w:r>
        <w:rPr>
          <w:b/>
          <w:lang w:val="de-DE"/>
        </w:rPr>
        <w:t>Patientenpass</w:t>
      </w:r>
      <w:r>
        <w:rPr>
          <w:lang w:val="de-DE"/>
        </w:rPr>
        <w:t xml:space="preserve"> aushändigen, der wichtige Informationen zur Sicherheit enthält, die Sie vor und während der Behandlung mit AMGEVITA beachten sollten. Führen Sie diesen </w:t>
      </w:r>
      <w:r>
        <w:rPr>
          <w:b/>
          <w:lang w:val="de-DE"/>
        </w:rPr>
        <w:t>Patientenpass</w:t>
      </w:r>
      <w:r>
        <w:rPr>
          <w:lang w:val="de-DE"/>
        </w:rPr>
        <w:t xml:space="preserve"> mit sich.</w:t>
      </w:r>
    </w:p>
    <w:p w14:paraId="568B8F0E"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Wenn Sie weitere Fragen haben, wenden Sie sich an Ihren Arzt oder Apotheker.</w:t>
      </w:r>
    </w:p>
    <w:p w14:paraId="42FBFD4D"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Dieses Arzneimittel wurde Ihnen persönlich verschrieben. Geben Sie es nicht an Dritte weiter. Es kann anderen Menschen schaden, auch wenn diese die gleichen Beschwerden haben wie Sie.</w:t>
      </w:r>
    </w:p>
    <w:p w14:paraId="58315E6B"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Wenn Sie Nebenwirkungen bemerken, wenden Sie sich an Ihren Arzt oder Apotheker. Dies gilt auch für Nebenwirkungen, die nicht in dieser Packungsbeilage angegeben sind (siehe Abschnitt 4).</w:t>
      </w:r>
    </w:p>
    <w:p w14:paraId="79001AD7" w14:textId="77777777" w:rsidR="00FE291A" w:rsidRDefault="00FE291A">
      <w:pPr>
        <w:widowControl/>
        <w:kinsoku w:val="0"/>
        <w:overflowPunct w:val="0"/>
        <w:rPr>
          <w:sz w:val="22"/>
          <w:szCs w:val="26"/>
          <w:lang w:val="de-DE"/>
        </w:rPr>
      </w:pPr>
    </w:p>
    <w:p w14:paraId="1412A07F" w14:textId="77777777" w:rsidR="00FE291A" w:rsidRDefault="00C8738F">
      <w:pPr>
        <w:pStyle w:val="Heading1"/>
        <w:widowControl/>
        <w:kinsoku w:val="0"/>
        <w:overflowPunct w:val="0"/>
        <w:ind w:left="0"/>
        <w:rPr>
          <w:lang w:val="de-DE"/>
        </w:rPr>
      </w:pPr>
      <w:r>
        <w:rPr>
          <w:lang w:val="de-DE"/>
        </w:rPr>
        <w:t>Diese Packungsbeilage beinhaltet</w:t>
      </w:r>
    </w:p>
    <w:p w14:paraId="29A3DB50" w14:textId="77777777" w:rsidR="00FE291A" w:rsidRDefault="00FE291A">
      <w:pPr>
        <w:widowControl/>
        <w:rPr>
          <w:sz w:val="22"/>
          <w:lang w:val="de-DE"/>
        </w:rPr>
      </w:pPr>
    </w:p>
    <w:p w14:paraId="0E21683A" w14:textId="77777777" w:rsidR="00FE291A" w:rsidRDefault="00C8738F">
      <w:pPr>
        <w:pStyle w:val="BodyText"/>
        <w:widowControl/>
        <w:tabs>
          <w:tab w:val="left" w:pos="567"/>
        </w:tabs>
        <w:kinsoku w:val="0"/>
        <w:overflowPunct w:val="0"/>
        <w:ind w:left="567" w:hanging="567"/>
        <w:rPr>
          <w:lang w:val="de-DE"/>
        </w:rPr>
      </w:pPr>
      <w:r>
        <w:rPr>
          <w:lang w:val="de-DE"/>
        </w:rPr>
        <w:t>1.</w:t>
      </w:r>
      <w:r>
        <w:rPr>
          <w:lang w:val="de-DE"/>
        </w:rPr>
        <w:tab/>
        <w:t>Was ist AMGEVITA und wofür wird es angewendet?</w:t>
      </w:r>
    </w:p>
    <w:p w14:paraId="32A83C95" w14:textId="77777777" w:rsidR="00FE291A" w:rsidRDefault="00C8738F">
      <w:pPr>
        <w:pStyle w:val="BodyText"/>
        <w:widowControl/>
        <w:tabs>
          <w:tab w:val="left" w:pos="567"/>
        </w:tabs>
        <w:kinsoku w:val="0"/>
        <w:overflowPunct w:val="0"/>
        <w:ind w:left="0"/>
        <w:rPr>
          <w:lang w:val="de-DE"/>
        </w:rPr>
      </w:pPr>
      <w:r>
        <w:rPr>
          <w:lang w:val="de-DE"/>
        </w:rPr>
        <w:t>2.</w:t>
      </w:r>
      <w:r>
        <w:rPr>
          <w:lang w:val="de-DE"/>
        </w:rPr>
        <w:tab/>
        <w:t>Was sollten Sie vor der Anwendung von AMGEVITA beachten?</w:t>
      </w:r>
    </w:p>
    <w:p w14:paraId="7B28ECDA" w14:textId="77777777" w:rsidR="00FE291A" w:rsidRDefault="00C8738F">
      <w:pPr>
        <w:pStyle w:val="BodyText"/>
        <w:widowControl/>
        <w:tabs>
          <w:tab w:val="left" w:pos="567"/>
        </w:tabs>
        <w:kinsoku w:val="0"/>
        <w:overflowPunct w:val="0"/>
        <w:ind w:left="0"/>
        <w:rPr>
          <w:lang w:val="de-DE"/>
        </w:rPr>
      </w:pPr>
      <w:r>
        <w:rPr>
          <w:lang w:val="de-DE"/>
        </w:rPr>
        <w:t>3.</w:t>
      </w:r>
      <w:r>
        <w:rPr>
          <w:lang w:val="de-DE"/>
        </w:rPr>
        <w:tab/>
        <w:t>Wie ist AMGEVITA anzuwenden?</w:t>
      </w:r>
    </w:p>
    <w:p w14:paraId="6C136765" w14:textId="77777777" w:rsidR="00FE291A" w:rsidRDefault="00C8738F">
      <w:pPr>
        <w:pStyle w:val="BodyText"/>
        <w:widowControl/>
        <w:tabs>
          <w:tab w:val="left" w:pos="567"/>
        </w:tabs>
        <w:kinsoku w:val="0"/>
        <w:overflowPunct w:val="0"/>
        <w:ind w:left="0"/>
        <w:rPr>
          <w:lang w:val="de-DE"/>
        </w:rPr>
      </w:pPr>
      <w:r>
        <w:rPr>
          <w:lang w:val="de-DE"/>
        </w:rPr>
        <w:t>4.</w:t>
      </w:r>
      <w:r>
        <w:rPr>
          <w:lang w:val="de-DE"/>
        </w:rPr>
        <w:tab/>
        <w:t>Welche Nebenwirkungen sind möglich?</w:t>
      </w:r>
    </w:p>
    <w:p w14:paraId="3F7285CD" w14:textId="77777777" w:rsidR="00FE291A" w:rsidRDefault="00C8738F">
      <w:pPr>
        <w:pStyle w:val="BodyText"/>
        <w:widowControl/>
        <w:tabs>
          <w:tab w:val="left" w:pos="567"/>
        </w:tabs>
        <w:kinsoku w:val="0"/>
        <w:overflowPunct w:val="0"/>
        <w:ind w:left="0"/>
        <w:rPr>
          <w:lang w:val="de-DE"/>
        </w:rPr>
      </w:pPr>
      <w:r>
        <w:rPr>
          <w:lang w:val="de-DE"/>
        </w:rPr>
        <w:t>5.</w:t>
      </w:r>
      <w:r>
        <w:rPr>
          <w:lang w:val="de-DE"/>
        </w:rPr>
        <w:tab/>
        <w:t>Wie ist AMGEVITA aufzubewahren?</w:t>
      </w:r>
    </w:p>
    <w:p w14:paraId="2783E9E8" w14:textId="77777777" w:rsidR="00FE291A" w:rsidRDefault="00C8738F">
      <w:pPr>
        <w:pStyle w:val="BodyText"/>
        <w:widowControl/>
        <w:tabs>
          <w:tab w:val="left" w:pos="567"/>
        </w:tabs>
        <w:kinsoku w:val="0"/>
        <w:overflowPunct w:val="0"/>
        <w:ind w:left="0"/>
        <w:rPr>
          <w:lang w:val="de-DE"/>
        </w:rPr>
      </w:pPr>
      <w:r>
        <w:rPr>
          <w:lang w:val="de-DE"/>
        </w:rPr>
        <w:t>6.</w:t>
      </w:r>
      <w:r>
        <w:rPr>
          <w:lang w:val="de-DE"/>
        </w:rPr>
        <w:tab/>
        <w:t>Inhalt der Packung und weitere Informationen</w:t>
      </w:r>
    </w:p>
    <w:p w14:paraId="0AB13A5B" w14:textId="77777777" w:rsidR="00FE291A" w:rsidRDefault="00FE291A">
      <w:pPr>
        <w:widowControl/>
        <w:kinsoku w:val="0"/>
        <w:overflowPunct w:val="0"/>
        <w:rPr>
          <w:sz w:val="22"/>
          <w:szCs w:val="20"/>
          <w:lang w:val="de-DE"/>
        </w:rPr>
      </w:pPr>
    </w:p>
    <w:p w14:paraId="4C187D10" w14:textId="77777777" w:rsidR="00FE291A" w:rsidRDefault="00FE291A">
      <w:pPr>
        <w:widowControl/>
        <w:kinsoku w:val="0"/>
        <w:overflowPunct w:val="0"/>
        <w:rPr>
          <w:sz w:val="22"/>
          <w:szCs w:val="20"/>
          <w:lang w:val="de-DE"/>
        </w:rPr>
      </w:pPr>
    </w:p>
    <w:p w14:paraId="6282BE01" w14:textId="77777777" w:rsidR="00FE291A" w:rsidRDefault="00C8738F">
      <w:pPr>
        <w:pStyle w:val="Heading1"/>
        <w:widowControl/>
        <w:tabs>
          <w:tab w:val="left" w:pos="567"/>
        </w:tabs>
        <w:kinsoku w:val="0"/>
        <w:overflowPunct w:val="0"/>
        <w:ind w:left="0"/>
        <w:rPr>
          <w:b w:val="0"/>
          <w:bCs w:val="0"/>
          <w:lang w:val="de-DE"/>
        </w:rPr>
      </w:pPr>
      <w:r>
        <w:rPr>
          <w:lang w:val="de-DE"/>
        </w:rPr>
        <w:t>1.</w:t>
      </w:r>
      <w:r>
        <w:rPr>
          <w:lang w:val="de-DE"/>
        </w:rPr>
        <w:tab/>
        <w:t>Was ist AMGEVITA und wofür wird es angewendet?</w:t>
      </w:r>
    </w:p>
    <w:p w14:paraId="4CC01B7B" w14:textId="77777777" w:rsidR="00FE291A" w:rsidRDefault="00FE291A">
      <w:pPr>
        <w:widowControl/>
        <w:kinsoku w:val="0"/>
        <w:overflowPunct w:val="0"/>
        <w:rPr>
          <w:sz w:val="22"/>
          <w:szCs w:val="22"/>
          <w:lang w:val="de-DE"/>
        </w:rPr>
      </w:pPr>
    </w:p>
    <w:p w14:paraId="00EB25D7" w14:textId="77777777" w:rsidR="00FE291A" w:rsidRDefault="00C8738F">
      <w:pPr>
        <w:pStyle w:val="BodyText"/>
        <w:widowControl/>
        <w:kinsoku w:val="0"/>
        <w:overflowPunct w:val="0"/>
        <w:ind w:left="0"/>
        <w:rPr>
          <w:lang w:val="de-DE"/>
        </w:rPr>
      </w:pPr>
      <w:r>
        <w:rPr>
          <w:lang w:val="de-DE"/>
        </w:rPr>
        <w:t>AMGEVITA enthält den Wirkstoff Adalimumab, ein Arzneimittel, das auf das Immunsystem (das körpereigene Abwehrsystem) Ihres Körpers wirkt.</w:t>
      </w:r>
    </w:p>
    <w:p w14:paraId="581748A6" w14:textId="77777777" w:rsidR="00FE291A" w:rsidRDefault="00FE291A">
      <w:pPr>
        <w:pStyle w:val="BodyText"/>
        <w:widowControl/>
        <w:kinsoku w:val="0"/>
        <w:overflowPunct w:val="0"/>
        <w:ind w:left="0"/>
        <w:rPr>
          <w:lang w:val="de-DE"/>
        </w:rPr>
      </w:pPr>
    </w:p>
    <w:p w14:paraId="104AF435" w14:textId="77777777" w:rsidR="00FE291A" w:rsidRDefault="00C8738F">
      <w:pPr>
        <w:pStyle w:val="BodyText"/>
        <w:widowControl/>
        <w:kinsoku w:val="0"/>
        <w:overflowPunct w:val="0"/>
        <w:ind w:left="0"/>
        <w:rPr>
          <w:lang w:val="de-DE"/>
        </w:rPr>
      </w:pPr>
      <w:r>
        <w:rPr>
          <w:lang w:val="de-DE"/>
        </w:rPr>
        <w:t>AMGEVITA ist für die Behandlung folgender entzündlicher Erkrankungen vorgesehen:</w:t>
      </w:r>
    </w:p>
    <w:p w14:paraId="26874369"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Rheumatoide Arthritis</w:t>
      </w:r>
    </w:p>
    <w:p w14:paraId="2E31E8CA"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Polyartikuläre juvenile idiopathische Arthritis</w:t>
      </w:r>
    </w:p>
    <w:p w14:paraId="4BBC5876"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Enthesitis-assoziierte Arthritis</w:t>
      </w:r>
    </w:p>
    <w:p w14:paraId="139A80DC"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Ankylosierende Spondylitis</w:t>
      </w:r>
    </w:p>
    <w:p w14:paraId="294E312B"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Axiale Spondyloarthritis, bei der im Röntgenbild noch keine Verknöcherung nachweisbar ist</w:t>
      </w:r>
    </w:p>
    <w:p w14:paraId="37C10FC5"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Psoriasis-Arthritis</w:t>
      </w:r>
    </w:p>
    <w:p w14:paraId="0486C78B"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Plaque-Psoriasis</w:t>
      </w:r>
    </w:p>
    <w:p w14:paraId="41A1E435"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Hidradenitis suppurativa (Acne inversa)</w:t>
      </w:r>
    </w:p>
    <w:p w14:paraId="7ABC8E61"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Morbus Crohn</w:t>
      </w:r>
    </w:p>
    <w:p w14:paraId="2EAF2A3B"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 xml:space="preserve">Colitis ulcerosa </w:t>
      </w:r>
    </w:p>
    <w:p w14:paraId="10F3F12E"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Nicht-infektiöse Uveitis</w:t>
      </w:r>
    </w:p>
    <w:p w14:paraId="797819B8" w14:textId="77777777" w:rsidR="00FE291A" w:rsidRDefault="00FE291A">
      <w:pPr>
        <w:pStyle w:val="BodyText"/>
        <w:widowControl/>
        <w:kinsoku w:val="0"/>
        <w:overflowPunct w:val="0"/>
        <w:ind w:left="0"/>
        <w:rPr>
          <w:lang w:val="de-DE"/>
        </w:rPr>
      </w:pPr>
    </w:p>
    <w:p w14:paraId="0F7FA7E6" w14:textId="77777777" w:rsidR="00FE291A" w:rsidRDefault="00C8738F">
      <w:pPr>
        <w:pStyle w:val="BodyText"/>
        <w:widowControl/>
        <w:kinsoku w:val="0"/>
        <w:overflowPunct w:val="0"/>
        <w:ind w:left="0"/>
        <w:rPr>
          <w:lang w:val="de-DE"/>
        </w:rPr>
      </w:pPr>
      <w:r>
        <w:rPr>
          <w:lang w:val="de-DE"/>
        </w:rPr>
        <w:t>Der Wirkstoff von AMGEVITA, Adalimumab, ist ein humaner monoklonaler Antikörper. Monoklonale Antikörper sind Eiweiße, die sich an ein bestimmtes Ziel anheften.</w:t>
      </w:r>
    </w:p>
    <w:p w14:paraId="2F58E65E" w14:textId="77777777" w:rsidR="00FE291A" w:rsidRDefault="00FE291A">
      <w:pPr>
        <w:pStyle w:val="BodyText"/>
        <w:widowControl/>
        <w:kinsoku w:val="0"/>
        <w:overflowPunct w:val="0"/>
        <w:ind w:left="0"/>
        <w:rPr>
          <w:lang w:val="de-DE"/>
        </w:rPr>
      </w:pPr>
    </w:p>
    <w:p w14:paraId="008A6664" w14:textId="77777777" w:rsidR="00FE291A" w:rsidRDefault="00C8738F">
      <w:pPr>
        <w:pStyle w:val="BodyText"/>
        <w:widowControl/>
        <w:kinsoku w:val="0"/>
        <w:overflowPunct w:val="0"/>
        <w:ind w:left="0"/>
        <w:rPr>
          <w:lang w:val="de-DE"/>
        </w:rPr>
      </w:pPr>
      <w:r>
        <w:rPr>
          <w:lang w:val="de-DE"/>
        </w:rPr>
        <w:t>Das Ziel von Adalimumab ist das Eiweiß Tumornekrosefaktor-alpha (TNFα). TNFα ist beteiligt an Abwehrreaktionen des Körpers. Bei den oben genannten Erkrankungen ist die Menge an TNFα erhöht. AMGEVITA heftet sich an TNFα und verringert dadurch die entzündlichen Vorgänge bei diesen Erkrankungen.</w:t>
      </w:r>
    </w:p>
    <w:p w14:paraId="5886AD52" w14:textId="77777777" w:rsidR="00FE291A" w:rsidRDefault="00FE291A">
      <w:pPr>
        <w:widowControl/>
        <w:kinsoku w:val="0"/>
        <w:overflowPunct w:val="0"/>
        <w:rPr>
          <w:sz w:val="22"/>
          <w:szCs w:val="22"/>
          <w:lang w:val="de-DE"/>
        </w:rPr>
      </w:pPr>
    </w:p>
    <w:p w14:paraId="41B3F5F6" w14:textId="77777777" w:rsidR="00FE291A" w:rsidRDefault="00C8738F">
      <w:pPr>
        <w:pStyle w:val="BodyText"/>
        <w:keepNext/>
        <w:widowControl/>
        <w:kinsoku w:val="0"/>
        <w:overflowPunct w:val="0"/>
        <w:ind w:left="0"/>
        <w:rPr>
          <w:lang w:val="de-DE"/>
        </w:rPr>
      </w:pPr>
      <w:r>
        <w:rPr>
          <w:u w:val="single"/>
          <w:lang w:val="de-DE"/>
        </w:rPr>
        <w:t>Rheumatoide Arthritis</w:t>
      </w:r>
    </w:p>
    <w:p w14:paraId="2FEFB523" w14:textId="77777777" w:rsidR="00FE291A" w:rsidRDefault="00FE291A">
      <w:pPr>
        <w:keepNext/>
        <w:widowControl/>
        <w:kinsoku w:val="0"/>
        <w:overflowPunct w:val="0"/>
        <w:rPr>
          <w:sz w:val="22"/>
          <w:szCs w:val="22"/>
          <w:lang w:val="de-DE"/>
        </w:rPr>
      </w:pPr>
    </w:p>
    <w:p w14:paraId="1A04C03B" w14:textId="77777777" w:rsidR="00FE291A" w:rsidRDefault="00C8738F">
      <w:pPr>
        <w:pStyle w:val="BodyText"/>
        <w:widowControl/>
        <w:kinsoku w:val="0"/>
        <w:overflowPunct w:val="0"/>
        <w:ind w:left="0"/>
        <w:rPr>
          <w:lang w:val="de-DE"/>
        </w:rPr>
      </w:pPr>
      <w:r>
        <w:rPr>
          <w:lang w:val="de-DE"/>
        </w:rPr>
        <w:t>Die rheumatoide Arthritis ist eine entzündliche Erkrankung der Gelenke.</w:t>
      </w:r>
    </w:p>
    <w:p w14:paraId="434F59F8" w14:textId="77777777" w:rsidR="00FE291A" w:rsidRDefault="00FE291A">
      <w:pPr>
        <w:widowControl/>
        <w:kinsoku w:val="0"/>
        <w:overflowPunct w:val="0"/>
        <w:rPr>
          <w:sz w:val="22"/>
          <w:szCs w:val="22"/>
          <w:lang w:val="de-DE"/>
        </w:rPr>
      </w:pPr>
    </w:p>
    <w:p w14:paraId="563B6452" w14:textId="77777777" w:rsidR="00FE291A" w:rsidRDefault="00C8738F">
      <w:pPr>
        <w:pStyle w:val="BodyText"/>
        <w:widowControl/>
        <w:kinsoku w:val="0"/>
        <w:overflowPunct w:val="0"/>
        <w:ind w:left="0"/>
        <w:rPr>
          <w:lang w:val="de-DE"/>
        </w:rPr>
      </w:pPr>
      <w:r>
        <w:rPr>
          <w:lang w:val="de-DE"/>
        </w:rPr>
        <w:t>AMGEVITA wird angewendet, um die rheumatoide Arthritis bei Erwachsenen zu behandeln. Wenn Sie eine mäßige bis schwere aktive rheumatoide Arthritis haben, werden Ihnen möglicherweise zunächst andere Arzneimittel (Basistherapeutika wie Methotrexat) verabreicht. Wenn Sie nicht ausreichend auf diese Arzneimittel ansprechen, erhalten Sie AMGEVITA, um Ihre rheumatoide Arthritis zu behandeln.</w:t>
      </w:r>
    </w:p>
    <w:p w14:paraId="3F8486D7" w14:textId="77777777" w:rsidR="00FE291A" w:rsidRDefault="00FE291A">
      <w:pPr>
        <w:pStyle w:val="BodyText"/>
        <w:widowControl/>
        <w:kinsoku w:val="0"/>
        <w:overflowPunct w:val="0"/>
        <w:ind w:left="0"/>
        <w:rPr>
          <w:lang w:val="de-DE"/>
        </w:rPr>
      </w:pPr>
    </w:p>
    <w:p w14:paraId="5A35B2E8" w14:textId="77777777" w:rsidR="00FE291A" w:rsidRDefault="00C8738F">
      <w:pPr>
        <w:pStyle w:val="BodyText"/>
        <w:widowControl/>
        <w:kinsoku w:val="0"/>
        <w:overflowPunct w:val="0"/>
        <w:ind w:left="0"/>
        <w:rPr>
          <w:lang w:val="de-DE"/>
        </w:rPr>
      </w:pPr>
      <w:r>
        <w:rPr>
          <w:lang w:val="de-DE"/>
        </w:rPr>
        <w:t>AMGEVITA kann auch zur Behandlung einer schweren aktiven und fortschreitenden (progressiven) rheumatoiden Arthritis ohne vorherige Methotrexat-Behandlung eingesetzt werden.</w:t>
      </w:r>
    </w:p>
    <w:p w14:paraId="591D4F16" w14:textId="77777777" w:rsidR="00FE291A" w:rsidRDefault="00FE291A">
      <w:pPr>
        <w:widowControl/>
        <w:kinsoku w:val="0"/>
        <w:overflowPunct w:val="0"/>
        <w:rPr>
          <w:sz w:val="22"/>
          <w:szCs w:val="22"/>
          <w:lang w:val="de-DE"/>
        </w:rPr>
      </w:pPr>
    </w:p>
    <w:p w14:paraId="546FF2E8" w14:textId="77777777" w:rsidR="00FE291A" w:rsidRDefault="00C8738F">
      <w:pPr>
        <w:pStyle w:val="BodyText"/>
        <w:widowControl/>
        <w:kinsoku w:val="0"/>
        <w:overflowPunct w:val="0"/>
        <w:ind w:left="0"/>
        <w:rPr>
          <w:lang w:val="de-DE"/>
        </w:rPr>
      </w:pPr>
      <w:r>
        <w:rPr>
          <w:lang w:val="de-DE"/>
        </w:rPr>
        <w:t>AMGEVITA verlangsamt das Fortschreiten der durch die Erkrankung verursachten Knorpel- und Knochenschädigungen der Gelenke. AMGEVITA verbessert die körperliche Funktionsfähigkeit.</w:t>
      </w:r>
    </w:p>
    <w:p w14:paraId="65C6880B" w14:textId="77777777" w:rsidR="00FE291A" w:rsidRDefault="00FE291A">
      <w:pPr>
        <w:widowControl/>
        <w:kinsoku w:val="0"/>
        <w:overflowPunct w:val="0"/>
        <w:rPr>
          <w:sz w:val="22"/>
          <w:szCs w:val="22"/>
          <w:lang w:val="de-DE"/>
        </w:rPr>
      </w:pPr>
    </w:p>
    <w:p w14:paraId="0C5DFF11" w14:textId="77777777" w:rsidR="00FE291A" w:rsidRDefault="00C8738F">
      <w:pPr>
        <w:pStyle w:val="BodyText"/>
        <w:widowControl/>
        <w:kinsoku w:val="0"/>
        <w:overflowPunct w:val="0"/>
        <w:ind w:left="0"/>
        <w:rPr>
          <w:lang w:val="de-DE"/>
        </w:rPr>
      </w:pPr>
      <w:r>
        <w:rPr>
          <w:lang w:val="de-DE"/>
        </w:rPr>
        <w:t>AMGEVITA wird üblicherweise mit Methotrexat verwendet. Sollte Ihr Arzt die Gabe von Methotrexat als nicht geeignet erachten, kann AMGEVITA auch alleine angewendet werden.</w:t>
      </w:r>
    </w:p>
    <w:p w14:paraId="0D0EE654" w14:textId="77777777" w:rsidR="00FE291A" w:rsidRDefault="00FE291A">
      <w:pPr>
        <w:widowControl/>
        <w:kinsoku w:val="0"/>
        <w:overflowPunct w:val="0"/>
        <w:rPr>
          <w:sz w:val="22"/>
          <w:szCs w:val="22"/>
          <w:lang w:val="de-DE"/>
        </w:rPr>
      </w:pPr>
    </w:p>
    <w:p w14:paraId="0FA6CC02" w14:textId="77777777" w:rsidR="00FE291A" w:rsidRDefault="00C8738F">
      <w:pPr>
        <w:pStyle w:val="BodyText"/>
        <w:widowControl/>
        <w:kinsoku w:val="0"/>
        <w:overflowPunct w:val="0"/>
        <w:ind w:left="0"/>
        <w:rPr>
          <w:lang w:val="de-DE"/>
        </w:rPr>
      </w:pPr>
      <w:r>
        <w:rPr>
          <w:u w:val="single"/>
          <w:lang w:val="de-DE"/>
        </w:rPr>
        <w:t>Polyartikuläre juvenile idiopathische Arthritis und Enthesitis-assoziierte Arthritis</w:t>
      </w:r>
    </w:p>
    <w:p w14:paraId="0CED11A4" w14:textId="77777777" w:rsidR="00FE291A" w:rsidRDefault="00FE291A">
      <w:pPr>
        <w:widowControl/>
        <w:kinsoku w:val="0"/>
        <w:overflowPunct w:val="0"/>
        <w:rPr>
          <w:sz w:val="22"/>
          <w:szCs w:val="22"/>
          <w:lang w:val="de-DE"/>
        </w:rPr>
      </w:pPr>
    </w:p>
    <w:p w14:paraId="7DCA7ACB" w14:textId="77777777" w:rsidR="00FE291A" w:rsidRDefault="00C8738F">
      <w:pPr>
        <w:pStyle w:val="BodyText"/>
        <w:widowControl/>
        <w:kinsoku w:val="0"/>
        <w:overflowPunct w:val="0"/>
        <w:ind w:left="0"/>
        <w:rPr>
          <w:lang w:val="de-DE"/>
        </w:rPr>
      </w:pPr>
      <w:r>
        <w:rPr>
          <w:lang w:val="de-DE"/>
        </w:rPr>
        <w:t>Die polyartikuläre juvenile idiopathische Arthritis und die Enthesitis-assoziierte Arthritis sind entzündliche Erkrankungen der Gelenke, die üblicherweise das erste Mal in der Kindheit auftreten.</w:t>
      </w:r>
    </w:p>
    <w:p w14:paraId="5BD5C31E" w14:textId="77777777" w:rsidR="00FE291A" w:rsidRDefault="00FE291A">
      <w:pPr>
        <w:pStyle w:val="BodyText"/>
        <w:widowControl/>
        <w:kinsoku w:val="0"/>
        <w:overflowPunct w:val="0"/>
        <w:ind w:left="0"/>
        <w:rPr>
          <w:lang w:val="de-DE"/>
        </w:rPr>
      </w:pPr>
    </w:p>
    <w:p w14:paraId="32AB3C07" w14:textId="77777777" w:rsidR="00FE291A" w:rsidRDefault="00C8738F">
      <w:pPr>
        <w:pStyle w:val="BodyText"/>
        <w:widowControl/>
        <w:kinsoku w:val="0"/>
        <w:overflowPunct w:val="0"/>
        <w:ind w:left="0"/>
        <w:rPr>
          <w:lang w:val="de-DE"/>
        </w:rPr>
      </w:pPr>
      <w:r>
        <w:rPr>
          <w:lang w:val="de-DE"/>
        </w:rPr>
        <w:t>AMGEVITA wird angewendet, um die polyartikuläre idiopathische Arthritis bei Patienten ab 2 Jahren bzw. die Enthesitis-assoziierte Arthritis bei Patienten ab 6 Jahren zu behandeln. Es werden Ihnen möglicherweise zunächst andere Arzneimittel (Basistherapeutika wie Methotrexat) verabreicht. Wenn Sie nicht ausreichend auf diese Arzneimittel ansprechen, erhalten Sie AMGEVITA, um Ihre polyartikuläre juvenile idiopathische Arthritis oder Enthesitis-assoziierte Arthritis zu behandeln.</w:t>
      </w:r>
    </w:p>
    <w:p w14:paraId="6E2AA21F" w14:textId="77777777" w:rsidR="00FE291A" w:rsidRDefault="00FE291A">
      <w:pPr>
        <w:widowControl/>
        <w:kinsoku w:val="0"/>
        <w:overflowPunct w:val="0"/>
        <w:rPr>
          <w:sz w:val="22"/>
          <w:szCs w:val="22"/>
          <w:lang w:val="de-DE"/>
        </w:rPr>
      </w:pPr>
    </w:p>
    <w:p w14:paraId="749A6756" w14:textId="77777777" w:rsidR="00FE291A" w:rsidRDefault="00C8738F">
      <w:pPr>
        <w:pStyle w:val="BodyText"/>
        <w:keepNext/>
        <w:widowControl/>
        <w:kinsoku w:val="0"/>
        <w:overflowPunct w:val="0"/>
        <w:ind w:left="0"/>
        <w:rPr>
          <w:lang w:val="de-DE"/>
        </w:rPr>
      </w:pPr>
      <w:r>
        <w:rPr>
          <w:u w:val="single"/>
          <w:lang w:val="de-DE"/>
        </w:rPr>
        <w:t>Ankylosierende Spondylitis und axiale Spondyloarthritis, bei der im Röntgenbild noch keine</w:t>
      </w:r>
      <w:r>
        <w:rPr>
          <w:lang w:val="de-DE"/>
        </w:rPr>
        <w:t xml:space="preserve"> </w:t>
      </w:r>
      <w:r>
        <w:rPr>
          <w:u w:val="single"/>
          <w:lang w:val="de-DE"/>
        </w:rPr>
        <w:t>Verknöcherung nachweisbar ist</w:t>
      </w:r>
    </w:p>
    <w:p w14:paraId="627B339E" w14:textId="77777777" w:rsidR="00FE291A" w:rsidRDefault="00FE291A">
      <w:pPr>
        <w:keepNext/>
        <w:widowControl/>
        <w:kinsoku w:val="0"/>
        <w:overflowPunct w:val="0"/>
        <w:rPr>
          <w:sz w:val="22"/>
          <w:szCs w:val="22"/>
          <w:lang w:val="de-DE"/>
        </w:rPr>
      </w:pPr>
    </w:p>
    <w:p w14:paraId="2B782B76" w14:textId="77777777" w:rsidR="00FE291A" w:rsidRDefault="00C8738F">
      <w:pPr>
        <w:pStyle w:val="BodyText"/>
        <w:widowControl/>
        <w:kinsoku w:val="0"/>
        <w:overflowPunct w:val="0"/>
        <w:ind w:left="0"/>
        <w:rPr>
          <w:lang w:val="de-DE"/>
        </w:rPr>
      </w:pPr>
      <w:r>
        <w:rPr>
          <w:lang w:val="de-DE"/>
        </w:rPr>
        <w:t>Die ankylosierende Spondylitis und axiale Spondyloarthritis, bei der im Röntgenbild noch keine Verknöcherung nachweisbar ist, sind entzündliche Erkrankungen der Wirbelsäule.</w:t>
      </w:r>
    </w:p>
    <w:p w14:paraId="3C281965" w14:textId="77777777" w:rsidR="00FE291A" w:rsidRDefault="00FE291A">
      <w:pPr>
        <w:widowControl/>
        <w:kinsoku w:val="0"/>
        <w:overflowPunct w:val="0"/>
        <w:rPr>
          <w:sz w:val="22"/>
          <w:szCs w:val="22"/>
          <w:lang w:val="de-DE"/>
        </w:rPr>
      </w:pPr>
    </w:p>
    <w:p w14:paraId="69631520" w14:textId="77777777" w:rsidR="00FE291A" w:rsidRDefault="00C8738F">
      <w:pPr>
        <w:pStyle w:val="BodyText"/>
        <w:widowControl/>
        <w:kinsoku w:val="0"/>
        <w:overflowPunct w:val="0"/>
        <w:ind w:left="0"/>
        <w:rPr>
          <w:lang w:val="de-DE"/>
        </w:rPr>
      </w:pPr>
      <w:r>
        <w:rPr>
          <w:lang w:val="de-DE"/>
        </w:rPr>
        <w:t>AMGEVITA wird angewendet, um die ankylosierende Spondylitis und axiale Spondyloarthritis, bei der im Röntgenbild noch keine Verknöcherung nachweisbar ist, bei Erwachsenen zu behandeln. Wenn Sie eine ankylosierende Spondylitis oder axiale Spondyloarthritis, bei der im Röntgenbild noch keine Verknöcherung nachweisbar ist, haben, werden Sie zunächst mit anderen Arzneimitteln behandelt. Wenn Sie nicht ausreichend auf diese Arzneimittel ansprechen, erhalten Sie AMGEVITA, um die Anzeichen und Beschwerden Ihrer Erkrankung zu vermindern.</w:t>
      </w:r>
    </w:p>
    <w:p w14:paraId="192E59E0" w14:textId="77777777" w:rsidR="00FE291A" w:rsidRDefault="00FE291A">
      <w:pPr>
        <w:widowControl/>
        <w:kinsoku w:val="0"/>
        <w:overflowPunct w:val="0"/>
        <w:rPr>
          <w:sz w:val="22"/>
          <w:szCs w:val="22"/>
          <w:lang w:val="de-DE"/>
        </w:rPr>
      </w:pPr>
    </w:p>
    <w:p w14:paraId="223A9369" w14:textId="77777777" w:rsidR="00FE291A" w:rsidRDefault="00C8738F">
      <w:pPr>
        <w:pStyle w:val="BodyText"/>
        <w:keepNext/>
        <w:widowControl/>
        <w:kinsoku w:val="0"/>
        <w:overflowPunct w:val="0"/>
        <w:ind w:left="0"/>
        <w:rPr>
          <w:lang w:val="de-DE"/>
        </w:rPr>
      </w:pPr>
      <w:r>
        <w:rPr>
          <w:u w:val="single"/>
          <w:lang w:val="de-DE"/>
        </w:rPr>
        <w:t>Psoriasis-Arthritis</w:t>
      </w:r>
    </w:p>
    <w:p w14:paraId="3C35DCFD" w14:textId="77777777" w:rsidR="00FE291A" w:rsidRDefault="00FE291A">
      <w:pPr>
        <w:keepNext/>
        <w:widowControl/>
        <w:kinsoku w:val="0"/>
        <w:overflowPunct w:val="0"/>
        <w:rPr>
          <w:sz w:val="22"/>
          <w:szCs w:val="22"/>
          <w:lang w:val="de-DE"/>
        </w:rPr>
      </w:pPr>
    </w:p>
    <w:p w14:paraId="796BB870" w14:textId="77777777" w:rsidR="00FE291A" w:rsidRDefault="00C8738F">
      <w:pPr>
        <w:pStyle w:val="BodyText"/>
        <w:widowControl/>
        <w:kinsoku w:val="0"/>
        <w:overflowPunct w:val="0"/>
        <w:ind w:left="0"/>
        <w:rPr>
          <w:lang w:val="de-DE"/>
        </w:rPr>
      </w:pPr>
      <w:r>
        <w:rPr>
          <w:lang w:val="de-DE"/>
        </w:rPr>
        <w:t>Die Psoriasis-Arthritis ist eine Entzündung der Gelenke, die in Verbindung mit Schuppenflechte (Psoriasis) auftritt.</w:t>
      </w:r>
    </w:p>
    <w:p w14:paraId="348F9B6C" w14:textId="77777777" w:rsidR="00FE291A" w:rsidRDefault="00FE291A">
      <w:pPr>
        <w:widowControl/>
        <w:kinsoku w:val="0"/>
        <w:overflowPunct w:val="0"/>
        <w:rPr>
          <w:sz w:val="22"/>
          <w:szCs w:val="22"/>
          <w:lang w:val="de-DE"/>
        </w:rPr>
      </w:pPr>
    </w:p>
    <w:p w14:paraId="044A4618" w14:textId="77777777" w:rsidR="00FE291A" w:rsidRDefault="00C8738F">
      <w:pPr>
        <w:pStyle w:val="BodyText"/>
        <w:widowControl/>
        <w:kinsoku w:val="0"/>
        <w:overflowPunct w:val="0"/>
        <w:ind w:left="0"/>
        <w:rPr>
          <w:lang w:val="de-DE"/>
        </w:rPr>
      </w:pPr>
      <w:r>
        <w:rPr>
          <w:lang w:val="de-DE"/>
        </w:rPr>
        <w:t>AMGEVITA wird angewendet, um die Psoriasis-Arthritis bei Erwachsenen zu behandeln. AMGEVITA verlangsamt das Fortschreiten der durch die Erkrankung verursachten Knorpel- und Knochenschädigungen der Gelenke. AMGEVITA verbessert die körperliche Funktionsfähigkeit.</w:t>
      </w:r>
    </w:p>
    <w:p w14:paraId="306FC19D" w14:textId="77777777" w:rsidR="00FE291A" w:rsidRDefault="00FE291A">
      <w:pPr>
        <w:widowControl/>
        <w:kinsoku w:val="0"/>
        <w:overflowPunct w:val="0"/>
        <w:rPr>
          <w:sz w:val="22"/>
          <w:szCs w:val="22"/>
          <w:lang w:val="de-DE"/>
        </w:rPr>
      </w:pPr>
    </w:p>
    <w:p w14:paraId="4A637508" w14:textId="77777777" w:rsidR="00FE291A" w:rsidRDefault="00C8738F">
      <w:pPr>
        <w:pStyle w:val="BodyText"/>
        <w:keepNext/>
        <w:widowControl/>
        <w:kinsoku w:val="0"/>
        <w:overflowPunct w:val="0"/>
        <w:ind w:left="0"/>
        <w:rPr>
          <w:lang w:val="de-DE"/>
        </w:rPr>
      </w:pPr>
      <w:r>
        <w:rPr>
          <w:u w:val="single"/>
          <w:lang w:val="de-DE"/>
        </w:rPr>
        <w:t>Plaque-Psoriasis bei Erwachsenen, Kindern und Jugendlichen</w:t>
      </w:r>
    </w:p>
    <w:p w14:paraId="648D9B4E" w14:textId="77777777" w:rsidR="00FE291A" w:rsidRDefault="00FE291A">
      <w:pPr>
        <w:keepNext/>
        <w:widowControl/>
        <w:kinsoku w:val="0"/>
        <w:overflowPunct w:val="0"/>
        <w:rPr>
          <w:sz w:val="22"/>
          <w:szCs w:val="22"/>
          <w:lang w:val="de-DE"/>
        </w:rPr>
      </w:pPr>
    </w:p>
    <w:p w14:paraId="278BF2A7" w14:textId="77777777" w:rsidR="00FE291A" w:rsidRDefault="00C8738F">
      <w:pPr>
        <w:pStyle w:val="BodyText"/>
        <w:widowControl/>
        <w:kinsoku w:val="0"/>
        <w:overflowPunct w:val="0"/>
        <w:ind w:left="0"/>
        <w:rPr>
          <w:lang w:val="de-DE"/>
        </w:rPr>
      </w:pPr>
      <w:r>
        <w:rPr>
          <w:lang w:val="de-DE"/>
        </w:rPr>
        <w:t>Plaque-Psoriasis (Schuppenflechte mit klar abgegrenzten Hautstellen) ist ein Hautzustand, der rote, schuppige, verkrustete Stellen auf der Haut verursacht, die mit silbrigen Schuppen bedeckt sind. Plaque</w:t>
      </w:r>
      <w:r>
        <w:rPr>
          <w:lang w:val="de-DE"/>
        </w:rPr>
        <w:noBreakHyphen/>
        <w:t>Psoriasis kann auch die Nägel befallen, sodass diese spröde werden, sich verdicken und sich vom Nagelbett abheben, was schmerzhaft sein kann. Es wird angenommen, dass die Schuppenflechte durch ein Problem mit dem körpereigenen Abwehrsystem verursacht wird. Dadurch kommt es zu einer vermehrten Produktion von Hautzellen.</w:t>
      </w:r>
    </w:p>
    <w:p w14:paraId="3EE8B90D" w14:textId="77777777" w:rsidR="00FE291A" w:rsidRDefault="00FE291A">
      <w:pPr>
        <w:widowControl/>
        <w:kinsoku w:val="0"/>
        <w:overflowPunct w:val="0"/>
        <w:rPr>
          <w:sz w:val="22"/>
          <w:szCs w:val="22"/>
          <w:lang w:val="de-DE"/>
        </w:rPr>
      </w:pPr>
    </w:p>
    <w:p w14:paraId="010FED09" w14:textId="77777777" w:rsidR="00FE291A" w:rsidRDefault="00C8738F">
      <w:pPr>
        <w:pStyle w:val="BodyText"/>
        <w:widowControl/>
        <w:kinsoku w:val="0"/>
        <w:overflowPunct w:val="0"/>
        <w:ind w:left="0"/>
        <w:rPr>
          <w:lang w:val="de-DE"/>
        </w:rPr>
      </w:pPr>
      <w:r>
        <w:rPr>
          <w:lang w:val="de-DE"/>
        </w:rPr>
        <w:t>AMGEVITA wird angewendet, um die mittelschwere bis schwere Plaque-Psoriasis bei Erwachsenen zu behandeln. AMGEVITA wird auch angewendet, um schwere Plaque-Psoriasis bei Kindern und Jugendlichen zwischen 4 und 17 Jahren zu behandeln, bei denen eine äußerliche, örtliche Behandlung und Behandlungen mit Licht (Phototherapien) nicht sehr gut gewirkt haben oder nicht geeignet sind.</w:t>
      </w:r>
    </w:p>
    <w:p w14:paraId="5B05266B" w14:textId="77777777" w:rsidR="00FE291A" w:rsidRDefault="00FE291A">
      <w:pPr>
        <w:pStyle w:val="BodyText"/>
        <w:widowControl/>
        <w:kinsoku w:val="0"/>
        <w:overflowPunct w:val="0"/>
        <w:ind w:left="0"/>
        <w:rPr>
          <w:lang w:val="de-DE"/>
        </w:rPr>
      </w:pPr>
    </w:p>
    <w:p w14:paraId="6F9FC0E5" w14:textId="77777777" w:rsidR="00FE291A" w:rsidRDefault="00C8738F">
      <w:pPr>
        <w:pStyle w:val="BodyText"/>
        <w:widowControl/>
        <w:kinsoku w:val="0"/>
        <w:overflowPunct w:val="0"/>
        <w:ind w:left="0"/>
        <w:rPr>
          <w:lang w:val="de-DE"/>
        </w:rPr>
      </w:pPr>
      <w:r>
        <w:rPr>
          <w:u w:val="single"/>
          <w:lang w:val="de-DE"/>
        </w:rPr>
        <w:t>Hidradenitis suppurativa (Acne inversa) bei Erwachsenen und Jugendlichen</w:t>
      </w:r>
    </w:p>
    <w:p w14:paraId="5EB7F751" w14:textId="77777777" w:rsidR="00FE291A" w:rsidRDefault="00FE291A">
      <w:pPr>
        <w:widowControl/>
        <w:kinsoku w:val="0"/>
        <w:overflowPunct w:val="0"/>
        <w:rPr>
          <w:sz w:val="22"/>
          <w:szCs w:val="22"/>
          <w:lang w:val="de-DE"/>
        </w:rPr>
      </w:pPr>
    </w:p>
    <w:p w14:paraId="5297CE71" w14:textId="77777777" w:rsidR="00FE291A" w:rsidRDefault="00C8738F">
      <w:pPr>
        <w:pStyle w:val="BodyText"/>
        <w:widowControl/>
        <w:kinsoku w:val="0"/>
        <w:overflowPunct w:val="0"/>
        <w:ind w:left="0"/>
        <w:rPr>
          <w:lang w:val="de-DE"/>
        </w:rPr>
      </w:pPr>
      <w:r>
        <w:rPr>
          <w:lang w:val="de-DE"/>
        </w:rPr>
        <w:t>Hidradenitis suppurativa (auch Acne inversa genannt) ist eine chronische und oft schmerzhafte entzündliche Hauterkrankung. Zu den Beschwerden gehören unter anderem druckempfindliche Knötchen und Eiteransammlungen (Abszesse), aus denen Eiter austreten kann. Am häufigsten sind bestimmte Bereiche der Haut betroffen, wie z. B. unter den Brüsten, unter den Achseln, an den Innenseiten der Oberschenkel, in der Leistengegend und am Gesäß. An den betroffenen Stellen kann es auch zu Vernarbungen kommen.</w:t>
      </w:r>
    </w:p>
    <w:p w14:paraId="24D7B419" w14:textId="77777777" w:rsidR="00FE291A" w:rsidRDefault="00FE291A">
      <w:pPr>
        <w:widowControl/>
        <w:kinsoku w:val="0"/>
        <w:overflowPunct w:val="0"/>
        <w:rPr>
          <w:sz w:val="22"/>
          <w:szCs w:val="22"/>
          <w:lang w:val="de-DE"/>
        </w:rPr>
      </w:pPr>
    </w:p>
    <w:p w14:paraId="0224DDE8" w14:textId="77777777" w:rsidR="00FE291A" w:rsidRDefault="00C8738F">
      <w:pPr>
        <w:pStyle w:val="BodyText"/>
        <w:widowControl/>
        <w:kinsoku w:val="0"/>
        <w:overflowPunct w:val="0"/>
        <w:ind w:left="0"/>
        <w:rPr>
          <w:lang w:val="de-DE"/>
        </w:rPr>
      </w:pPr>
      <w:r>
        <w:rPr>
          <w:lang w:val="de-DE"/>
        </w:rPr>
        <w:t xml:space="preserve">AMGEVITA wird zur Behandlung der Hidradenitis suppurativa bei Erwachsenen </w:t>
      </w:r>
      <w:r>
        <w:rPr>
          <w:lang w:val="de-DE" w:eastAsia="de-DE"/>
        </w:rPr>
        <w:t>und Jugendlichen ab einem Alter von 12 Jahren</w:t>
      </w:r>
      <w:r>
        <w:rPr>
          <w:lang w:val="de-DE"/>
        </w:rPr>
        <w:t xml:space="preserve"> angewendet. AMGEVITA kann die Anzahl Ihrer Knötchen und Eiteransammlungen verringern und kann die Schmerzen, die oft mit dieser Erkrankung einhergehen, lindern. Möglicherweise bekommen Sie zunächst andere Arzneimittel. </w:t>
      </w:r>
      <w:r>
        <w:rPr>
          <w:lang w:val="de-DE" w:eastAsia="de-DE"/>
        </w:rPr>
        <w:t>Wenn Sie nicht ausreichend auf diese Arzneimittel ansprechen, erhalten Sie AMGEVITA.</w:t>
      </w:r>
    </w:p>
    <w:p w14:paraId="5B61B0F2" w14:textId="77777777" w:rsidR="00FE291A" w:rsidRDefault="00FE291A">
      <w:pPr>
        <w:widowControl/>
        <w:kinsoku w:val="0"/>
        <w:overflowPunct w:val="0"/>
        <w:rPr>
          <w:sz w:val="22"/>
          <w:szCs w:val="22"/>
          <w:lang w:val="de-DE"/>
        </w:rPr>
      </w:pPr>
    </w:p>
    <w:p w14:paraId="4DCE1F70" w14:textId="77777777" w:rsidR="00FE291A" w:rsidRDefault="00C8738F">
      <w:pPr>
        <w:pStyle w:val="BodyText"/>
        <w:widowControl/>
        <w:kinsoku w:val="0"/>
        <w:overflowPunct w:val="0"/>
        <w:ind w:left="0"/>
        <w:rPr>
          <w:lang w:val="de-DE"/>
        </w:rPr>
      </w:pPr>
      <w:r>
        <w:rPr>
          <w:u w:val="single"/>
          <w:lang w:val="de-DE"/>
        </w:rPr>
        <w:t>Morbus Crohn bei Erwachsenen, Kindern und Jugendlichen</w:t>
      </w:r>
    </w:p>
    <w:p w14:paraId="7798EF44" w14:textId="77777777" w:rsidR="00FE291A" w:rsidRDefault="00FE291A">
      <w:pPr>
        <w:widowControl/>
        <w:kinsoku w:val="0"/>
        <w:overflowPunct w:val="0"/>
        <w:rPr>
          <w:sz w:val="22"/>
          <w:szCs w:val="22"/>
          <w:lang w:val="de-DE"/>
        </w:rPr>
      </w:pPr>
    </w:p>
    <w:p w14:paraId="411FECE7" w14:textId="77777777" w:rsidR="00FE291A" w:rsidRDefault="00C8738F">
      <w:pPr>
        <w:pStyle w:val="BodyText"/>
        <w:widowControl/>
        <w:kinsoku w:val="0"/>
        <w:overflowPunct w:val="0"/>
        <w:ind w:left="0"/>
        <w:rPr>
          <w:lang w:val="de-DE"/>
        </w:rPr>
      </w:pPr>
      <w:r>
        <w:rPr>
          <w:lang w:val="de-DE"/>
        </w:rPr>
        <w:t>Morbus Crohn ist eine entzündliche Erkrankung des Verdauungstraktes.</w:t>
      </w:r>
    </w:p>
    <w:p w14:paraId="00D034A9" w14:textId="77777777" w:rsidR="00FE291A" w:rsidRDefault="00FE291A">
      <w:pPr>
        <w:widowControl/>
        <w:kinsoku w:val="0"/>
        <w:overflowPunct w:val="0"/>
        <w:rPr>
          <w:sz w:val="22"/>
          <w:szCs w:val="22"/>
          <w:lang w:val="de-DE"/>
        </w:rPr>
      </w:pPr>
    </w:p>
    <w:p w14:paraId="4E80E999" w14:textId="77777777" w:rsidR="00FE291A" w:rsidRDefault="00C8738F">
      <w:pPr>
        <w:pStyle w:val="BodyText"/>
        <w:widowControl/>
        <w:kinsoku w:val="0"/>
        <w:overflowPunct w:val="0"/>
        <w:ind w:left="0"/>
        <w:rPr>
          <w:lang w:val="de-DE"/>
        </w:rPr>
      </w:pPr>
      <w:r>
        <w:rPr>
          <w:lang w:val="de-DE"/>
        </w:rPr>
        <w:t>AMGEVITA wird angewendet zur Behandlung von Morbus Crohn bei Erwachsenen, Kindern und Jugendlichen zwischen 6 und 17 Jahren. Wenn Sie an Morbus Crohn erkrankt sind, werden Sie zunächst mit anderen Arzneimitteln behandelt. Wenn Sie nicht ausreichend auf diese Arzneimittel ansprechen, erhalten Sie AMGEVITA, um die Anzeichen und Beschwerden von Morbus Crohn zu vermindern.</w:t>
      </w:r>
    </w:p>
    <w:p w14:paraId="428E60E2" w14:textId="77777777" w:rsidR="00FE291A" w:rsidRDefault="00FE291A">
      <w:pPr>
        <w:widowControl/>
        <w:kinsoku w:val="0"/>
        <w:overflowPunct w:val="0"/>
        <w:rPr>
          <w:sz w:val="22"/>
          <w:szCs w:val="22"/>
          <w:lang w:val="de-DE"/>
        </w:rPr>
      </w:pPr>
    </w:p>
    <w:p w14:paraId="6B279C49" w14:textId="77777777" w:rsidR="00FE291A" w:rsidRDefault="00C8738F">
      <w:pPr>
        <w:pStyle w:val="BodyText"/>
        <w:widowControl/>
        <w:kinsoku w:val="0"/>
        <w:overflowPunct w:val="0"/>
        <w:ind w:left="0"/>
        <w:rPr>
          <w:lang w:val="de-DE"/>
        </w:rPr>
      </w:pPr>
      <w:r>
        <w:rPr>
          <w:u w:val="single"/>
          <w:lang w:val="de-DE"/>
        </w:rPr>
        <w:t>Colitis ulcerosa bei Erwachsenen, Kindern und Jugendlichen</w:t>
      </w:r>
    </w:p>
    <w:p w14:paraId="69A382B8" w14:textId="77777777" w:rsidR="00FE291A" w:rsidRDefault="00FE291A">
      <w:pPr>
        <w:widowControl/>
        <w:kinsoku w:val="0"/>
        <w:overflowPunct w:val="0"/>
        <w:rPr>
          <w:sz w:val="22"/>
          <w:szCs w:val="22"/>
          <w:lang w:val="de-DE"/>
        </w:rPr>
      </w:pPr>
    </w:p>
    <w:p w14:paraId="40DAC3C1" w14:textId="77777777" w:rsidR="00FE291A" w:rsidRDefault="00C8738F">
      <w:pPr>
        <w:pStyle w:val="BodyText"/>
        <w:widowControl/>
        <w:kinsoku w:val="0"/>
        <w:overflowPunct w:val="0"/>
        <w:ind w:left="0"/>
        <w:rPr>
          <w:lang w:val="de-DE"/>
        </w:rPr>
      </w:pPr>
      <w:r>
        <w:rPr>
          <w:lang w:val="de-DE"/>
        </w:rPr>
        <w:t>Colitis ulcerosa ist eine entzündliche Erkrankung des Dickdarms.</w:t>
      </w:r>
    </w:p>
    <w:p w14:paraId="2394A712" w14:textId="77777777" w:rsidR="00FE291A" w:rsidRDefault="00FE291A">
      <w:pPr>
        <w:widowControl/>
        <w:kinsoku w:val="0"/>
        <w:overflowPunct w:val="0"/>
        <w:rPr>
          <w:sz w:val="22"/>
          <w:szCs w:val="22"/>
          <w:lang w:val="de-DE"/>
        </w:rPr>
      </w:pPr>
    </w:p>
    <w:p w14:paraId="18DA1CDB" w14:textId="77777777" w:rsidR="00FE291A" w:rsidRDefault="00C8738F">
      <w:pPr>
        <w:pStyle w:val="BodyText"/>
        <w:widowControl/>
        <w:kinsoku w:val="0"/>
        <w:overflowPunct w:val="0"/>
        <w:ind w:left="0"/>
        <w:rPr>
          <w:lang w:val="de-DE"/>
        </w:rPr>
      </w:pPr>
      <w:r>
        <w:rPr>
          <w:lang w:val="de-DE"/>
        </w:rPr>
        <w:t>AMGEVITA wird angewendet, um mittelschwere bis schwere Colitis ulcerosa bei Erwachsenen und bei Kindern und Jugendlichen zwischen 6 und 17 Jahren zu behandeln. Wenn Sie an Colitis ulcerosa erkrankt sind, erhalten Sie möglicherweise zuerst andere Arzneimittel. Wenn Sie nicht ausreichend auf diese Arzneimittel ansprechen, erhalten Sie AMGEVITA, um die Anzeichen und Beschwerden Ihrer Erkrankung zu vermindern.</w:t>
      </w:r>
    </w:p>
    <w:p w14:paraId="0291C3B2" w14:textId="77777777" w:rsidR="00FE291A" w:rsidRDefault="00FE291A">
      <w:pPr>
        <w:widowControl/>
        <w:kinsoku w:val="0"/>
        <w:overflowPunct w:val="0"/>
        <w:rPr>
          <w:sz w:val="22"/>
          <w:szCs w:val="22"/>
          <w:lang w:val="de-DE"/>
        </w:rPr>
      </w:pPr>
    </w:p>
    <w:p w14:paraId="2D0D37BE" w14:textId="77777777" w:rsidR="00FE291A" w:rsidRDefault="00C8738F">
      <w:pPr>
        <w:pStyle w:val="BodyText"/>
        <w:widowControl/>
        <w:kinsoku w:val="0"/>
        <w:overflowPunct w:val="0"/>
        <w:ind w:left="0"/>
        <w:rPr>
          <w:lang w:val="de-DE"/>
        </w:rPr>
      </w:pPr>
      <w:r>
        <w:rPr>
          <w:u w:val="single"/>
          <w:lang w:val="de-DE"/>
        </w:rPr>
        <w:t>Nicht infektiöse Uveitis bei Erwachsenen, Kindern und Jugendlichen</w:t>
      </w:r>
    </w:p>
    <w:p w14:paraId="6F2030B7" w14:textId="77777777" w:rsidR="00FE291A" w:rsidRDefault="00FE291A">
      <w:pPr>
        <w:pStyle w:val="BodyText"/>
        <w:widowControl/>
        <w:kinsoku w:val="0"/>
        <w:overflowPunct w:val="0"/>
        <w:ind w:left="0"/>
        <w:rPr>
          <w:lang w:val="de-DE"/>
        </w:rPr>
      </w:pPr>
    </w:p>
    <w:p w14:paraId="40F9D245" w14:textId="77777777" w:rsidR="00FE291A" w:rsidRDefault="00C8738F">
      <w:pPr>
        <w:pStyle w:val="BodyText"/>
        <w:widowControl/>
        <w:kinsoku w:val="0"/>
        <w:overflowPunct w:val="0"/>
        <w:ind w:left="0"/>
        <w:rPr>
          <w:lang w:val="de-DE"/>
        </w:rPr>
      </w:pPr>
      <w:r>
        <w:rPr>
          <w:lang w:val="de-DE"/>
        </w:rPr>
        <w:t xml:space="preserve">Die nicht infektiöse Uveitis ist eine entzündliche Erkrankung, die bestimmte Teile des Auges betrifft. </w:t>
      </w:r>
    </w:p>
    <w:p w14:paraId="4B046939" w14:textId="77777777" w:rsidR="00FE291A" w:rsidRDefault="00FE291A">
      <w:pPr>
        <w:pStyle w:val="BodyText"/>
        <w:widowControl/>
        <w:kinsoku w:val="0"/>
        <w:overflowPunct w:val="0"/>
        <w:ind w:left="0"/>
        <w:rPr>
          <w:lang w:val="de-DE"/>
        </w:rPr>
      </w:pPr>
    </w:p>
    <w:p w14:paraId="0345867A" w14:textId="77777777" w:rsidR="00FE291A" w:rsidRDefault="00C8738F">
      <w:pPr>
        <w:pStyle w:val="BodyText"/>
        <w:widowControl/>
        <w:kinsoku w:val="0"/>
        <w:overflowPunct w:val="0"/>
        <w:ind w:left="0"/>
        <w:rPr>
          <w:lang w:val="de-DE"/>
        </w:rPr>
      </w:pPr>
      <w:r>
        <w:rPr>
          <w:lang w:val="de-DE"/>
        </w:rPr>
        <w:t>AMGEVITA wird angewendet zur Behandlung von</w:t>
      </w:r>
    </w:p>
    <w:p w14:paraId="1D44B6D6"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 xml:space="preserve">Erwachsenen mit nicht infektiöser Uveitis mit einer Entzündung im hinteren Bereich des Auges </w:t>
      </w:r>
    </w:p>
    <w:p w14:paraId="7026F247"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rFonts w:cs="Calibri"/>
          <w:sz w:val="22"/>
          <w:szCs w:val="22"/>
          <w:lang w:val="de-DE"/>
        </w:rPr>
        <w:t>Kindern ab 2 Jahren mit chronischer nicht infektiöser Uveitis mit einer Entzündung im vorderen Bereich des Auges.</w:t>
      </w:r>
    </w:p>
    <w:p w14:paraId="21298A07" w14:textId="77777777" w:rsidR="00FE291A" w:rsidRDefault="00FE291A">
      <w:pPr>
        <w:pStyle w:val="BodyText"/>
        <w:widowControl/>
        <w:kinsoku w:val="0"/>
        <w:overflowPunct w:val="0"/>
        <w:ind w:left="0"/>
        <w:rPr>
          <w:lang w:val="de-DE"/>
        </w:rPr>
      </w:pPr>
    </w:p>
    <w:p w14:paraId="51A0E850" w14:textId="77777777" w:rsidR="00FE291A" w:rsidRDefault="00C8738F">
      <w:pPr>
        <w:pStyle w:val="BodyText"/>
        <w:widowControl/>
        <w:kinsoku w:val="0"/>
        <w:overflowPunct w:val="0"/>
        <w:ind w:left="0"/>
        <w:rPr>
          <w:lang w:val="de-DE"/>
        </w:rPr>
      </w:pPr>
      <w:r>
        <w:rPr>
          <w:lang w:val="de-DE"/>
        </w:rPr>
        <w:t>Diese Entzündung kann dazu führen, dass man schlechter sieht und/oder dass man Schwebeteile sieht (schwarze Punkte oder Schlieren, die sich durch das Blickfeld bewegen). AMGEVITA wirkt, indem es die Entzündung verringert.</w:t>
      </w:r>
    </w:p>
    <w:p w14:paraId="24FD20A0" w14:textId="77777777" w:rsidR="00FE291A" w:rsidRDefault="00FE291A">
      <w:pPr>
        <w:pStyle w:val="BodyText"/>
        <w:widowControl/>
        <w:kinsoku w:val="0"/>
        <w:overflowPunct w:val="0"/>
        <w:ind w:left="0"/>
        <w:rPr>
          <w:lang w:val="de-DE"/>
        </w:rPr>
      </w:pPr>
    </w:p>
    <w:p w14:paraId="1DD9729E" w14:textId="77777777" w:rsidR="00FE291A" w:rsidRDefault="00FE291A">
      <w:pPr>
        <w:pStyle w:val="BodyText"/>
        <w:widowControl/>
        <w:kinsoku w:val="0"/>
        <w:overflowPunct w:val="0"/>
        <w:ind w:left="0"/>
        <w:rPr>
          <w:lang w:val="de-DE"/>
        </w:rPr>
      </w:pPr>
    </w:p>
    <w:p w14:paraId="3A0EDEBB" w14:textId="77777777" w:rsidR="00FE291A" w:rsidRDefault="00C8738F">
      <w:pPr>
        <w:pStyle w:val="Heading1"/>
        <w:keepNext/>
        <w:widowControl/>
        <w:tabs>
          <w:tab w:val="left" w:pos="567"/>
        </w:tabs>
        <w:kinsoku w:val="0"/>
        <w:overflowPunct w:val="0"/>
        <w:ind w:left="567" w:hanging="567"/>
        <w:rPr>
          <w:b w:val="0"/>
          <w:bCs w:val="0"/>
          <w:lang w:val="de-DE"/>
        </w:rPr>
      </w:pPr>
      <w:r>
        <w:rPr>
          <w:lang w:val="de-DE"/>
        </w:rPr>
        <w:t>2.</w:t>
      </w:r>
      <w:r>
        <w:rPr>
          <w:lang w:val="de-DE"/>
        </w:rPr>
        <w:tab/>
        <w:t>Was sollten Sie vor der Anwendung von AMGEVITA beachten?</w:t>
      </w:r>
    </w:p>
    <w:p w14:paraId="678382C6" w14:textId="77777777" w:rsidR="00FE291A" w:rsidRDefault="00FE291A">
      <w:pPr>
        <w:pStyle w:val="BodyText"/>
        <w:keepNext/>
        <w:widowControl/>
        <w:kinsoku w:val="0"/>
        <w:overflowPunct w:val="0"/>
        <w:ind w:left="0"/>
        <w:rPr>
          <w:lang w:val="de-DE"/>
        </w:rPr>
      </w:pPr>
    </w:p>
    <w:p w14:paraId="3B3CD3C6" w14:textId="77777777" w:rsidR="00FE291A" w:rsidRDefault="00C8738F">
      <w:pPr>
        <w:pStyle w:val="Heading1"/>
        <w:keepNext/>
        <w:widowControl/>
        <w:tabs>
          <w:tab w:val="left" w:pos="567"/>
        </w:tabs>
        <w:kinsoku w:val="0"/>
        <w:overflowPunct w:val="0"/>
        <w:ind w:left="0"/>
        <w:rPr>
          <w:lang w:val="de-DE"/>
        </w:rPr>
      </w:pPr>
      <w:r>
        <w:rPr>
          <w:lang w:val="de-DE"/>
        </w:rPr>
        <w:t>AMGEVITA darf nicht angewendet werden:</w:t>
      </w:r>
    </w:p>
    <w:p w14:paraId="279537B6" w14:textId="77777777" w:rsidR="00FE291A" w:rsidRDefault="00FE291A">
      <w:pPr>
        <w:keepNext/>
        <w:widowControl/>
        <w:rPr>
          <w:sz w:val="22"/>
          <w:lang w:val="de-DE"/>
        </w:rPr>
      </w:pPr>
    </w:p>
    <w:p w14:paraId="2287005C" w14:textId="77777777" w:rsidR="00FE291A" w:rsidRDefault="00C8738F">
      <w:pPr>
        <w:pStyle w:val="BodyText"/>
        <w:keepNext/>
        <w:widowControl/>
        <w:numPr>
          <w:ilvl w:val="0"/>
          <w:numId w:val="52"/>
        </w:numPr>
        <w:tabs>
          <w:tab w:val="left" w:pos="567"/>
        </w:tabs>
        <w:kinsoku w:val="0"/>
        <w:overflowPunct w:val="0"/>
        <w:ind w:left="567"/>
        <w:rPr>
          <w:lang w:val="de-DE"/>
        </w:rPr>
      </w:pPr>
      <w:r>
        <w:rPr>
          <w:lang w:val="de-DE"/>
        </w:rPr>
        <w:t>Wenn Sie allergisch gegenüber dem Wirkstoff Adalimumab oder einem der sonstigen Bestandteile dieses Arzneimittels sind (aufgelistet in Abschnitt 6).</w:t>
      </w:r>
    </w:p>
    <w:p w14:paraId="30258896" w14:textId="77777777" w:rsidR="00FE291A" w:rsidRDefault="00C8738F">
      <w:pPr>
        <w:pStyle w:val="BodyText"/>
        <w:widowControl/>
        <w:numPr>
          <w:ilvl w:val="0"/>
          <w:numId w:val="52"/>
        </w:numPr>
        <w:tabs>
          <w:tab w:val="left" w:pos="567"/>
        </w:tabs>
        <w:kinsoku w:val="0"/>
        <w:overflowPunct w:val="0"/>
        <w:ind w:left="567"/>
        <w:rPr>
          <w:lang w:val="de-DE"/>
        </w:rPr>
      </w:pPr>
      <w:r>
        <w:rPr>
          <w:lang w:val="de-DE"/>
        </w:rPr>
        <w:t>Wenn Sie an einer schweren Infektion, einschließlich aktiver Tuberkulose, einer Sepsis (Blutvergiftung) oder an anderen opportunistischen Infektionen (ungewöhnlichen Infektionen, die auf ein geschwächtes Immunsystem zurückzuführen sind) erkrankt sind (siehe „Warnhinweise und Vorsichtsmaßnahmen“). Es ist wichtig, dass Sie Ihren Arzt informieren, wenn bei Ihnen Anzeichen von Infektionen, z. B. Fieber, Wunden, Abgeschlagenheit, Zahnprobleme, vorliegen.</w:t>
      </w:r>
    </w:p>
    <w:p w14:paraId="2AF5C10E" w14:textId="77777777" w:rsidR="00FE291A" w:rsidRDefault="00C8738F">
      <w:pPr>
        <w:pStyle w:val="BodyText"/>
        <w:widowControl/>
        <w:numPr>
          <w:ilvl w:val="0"/>
          <w:numId w:val="52"/>
        </w:numPr>
        <w:tabs>
          <w:tab w:val="left" w:pos="567"/>
        </w:tabs>
        <w:kinsoku w:val="0"/>
        <w:overflowPunct w:val="0"/>
        <w:ind w:left="567"/>
        <w:rPr>
          <w:lang w:val="de-DE"/>
        </w:rPr>
      </w:pPr>
      <w:r>
        <w:rPr>
          <w:lang w:val="de-DE"/>
        </w:rPr>
        <w:t>Wenn Sie an mäßiger bis schwerer Herzschwäche (Herzinsuffizienz) erkrankt sind. Es ist wichtig, dass Sie Ihrem Arzt über zurückliegende oder bestehende ernsthafte Herzbeschwerden berichten (siehe „Warnhinweise und Vorsichtsmaßnahmen“).</w:t>
      </w:r>
    </w:p>
    <w:p w14:paraId="30FBF268" w14:textId="77777777" w:rsidR="00FE291A" w:rsidRDefault="00FE291A">
      <w:pPr>
        <w:widowControl/>
        <w:kinsoku w:val="0"/>
        <w:overflowPunct w:val="0"/>
        <w:rPr>
          <w:sz w:val="22"/>
          <w:szCs w:val="26"/>
          <w:lang w:val="de-DE"/>
        </w:rPr>
      </w:pPr>
    </w:p>
    <w:p w14:paraId="4C8F3BB9" w14:textId="77777777" w:rsidR="00FE291A" w:rsidRDefault="00C8738F">
      <w:pPr>
        <w:pStyle w:val="Heading1"/>
        <w:keepNext/>
        <w:keepLines/>
        <w:widowControl/>
        <w:kinsoku w:val="0"/>
        <w:overflowPunct w:val="0"/>
        <w:ind w:left="0"/>
        <w:rPr>
          <w:b w:val="0"/>
          <w:bCs w:val="0"/>
          <w:lang w:val="de-DE"/>
        </w:rPr>
      </w:pPr>
      <w:r>
        <w:rPr>
          <w:lang w:val="de-DE"/>
        </w:rPr>
        <w:t>Warnhinweise und Vorsichtsmaßnahmen</w:t>
      </w:r>
    </w:p>
    <w:p w14:paraId="2DF30E09" w14:textId="77777777" w:rsidR="00FE291A" w:rsidRDefault="00FE291A">
      <w:pPr>
        <w:keepNext/>
        <w:keepLines/>
        <w:widowControl/>
        <w:kinsoku w:val="0"/>
        <w:overflowPunct w:val="0"/>
        <w:rPr>
          <w:sz w:val="22"/>
          <w:szCs w:val="22"/>
          <w:lang w:val="de-DE"/>
        </w:rPr>
      </w:pPr>
    </w:p>
    <w:p w14:paraId="606E4356" w14:textId="77777777" w:rsidR="00FE291A" w:rsidRDefault="00C8738F">
      <w:pPr>
        <w:pStyle w:val="BodyText"/>
        <w:keepNext/>
        <w:keepLines/>
        <w:widowControl/>
        <w:tabs>
          <w:tab w:val="left" w:pos="567"/>
        </w:tabs>
        <w:kinsoku w:val="0"/>
        <w:overflowPunct w:val="0"/>
        <w:ind w:left="0"/>
        <w:rPr>
          <w:lang w:val="de-DE"/>
        </w:rPr>
      </w:pPr>
      <w:r>
        <w:rPr>
          <w:lang w:val="de-DE"/>
        </w:rPr>
        <w:t>Bitte sprechen Sie mit Ihrem Arzt oder Apotheker, bevor Sie AMGEVITA anwenden:</w:t>
      </w:r>
    </w:p>
    <w:p w14:paraId="011A32CE" w14:textId="77777777" w:rsidR="00FE291A" w:rsidRDefault="00FE291A">
      <w:pPr>
        <w:widowControl/>
        <w:tabs>
          <w:tab w:val="left" w:pos="567"/>
        </w:tabs>
        <w:kinsoku w:val="0"/>
        <w:overflowPunct w:val="0"/>
        <w:ind w:left="567" w:hanging="567"/>
        <w:rPr>
          <w:sz w:val="22"/>
          <w:szCs w:val="22"/>
          <w:lang w:val="de-DE"/>
        </w:rPr>
      </w:pPr>
    </w:p>
    <w:p w14:paraId="651BC646" w14:textId="77777777" w:rsidR="00FE291A" w:rsidRDefault="00C8738F">
      <w:pPr>
        <w:widowControl/>
        <w:tabs>
          <w:tab w:val="left" w:pos="567"/>
        </w:tabs>
        <w:kinsoku w:val="0"/>
        <w:overflowPunct w:val="0"/>
        <w:ind w:left="567" w:hanging="567"/>
        <w:rPr>
          <w:sz w:val="22"/>
          <w:szCs w:val="22"/>
          <w:lang w:val="de-DE"/>
        </w:rPr>
      </w:pPr>
      <w:r>
        <w:rPr>
          <w:sz w:val="22"/>
          <w:szCs w:val="22"/>
          <w:lang w:val="de-DE"/>
        </w:rPr>
        <w:t>Allergische Reaktionen</w:t>
      </w:r>
    </w:p>
    <w:p w14:paraId="75926988" w14:textId="77777777" w:rsidR="00FE291A" w:rsidRDefault="00FE291A">
      <w:pPr>
        <w:widowControl/>
        <w:tabs>
          <w:tab w:val="left" w:pos="567"/>
        </w:tabs>
        <w:kinsoku w:val="0"/>
        <w:overflowPunct w:val="0"/>
        <w:ind w:left="567" w:hanging="567"/>
        <w:rPr>
          <w:sz w:val="22"/>
          <w:szCs w:val="22"/>
          <w:lang w:val="de-DE"/>
        </w:rPr>
      </w:pPr>
    </w:p>
    <w:p w14:paraId="0CE7869D"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Sollten bei Ihnen allergische Reaktionen auftreten mit Anzeichen wie Engegefühl in der Brust, pfeifende Atemgeräusche, Benommenheit/Schwindel, Schwellungen oder Hautausschlag, spritzen Sie sich kein weiteres AMGEVITA mehr und setzen Sie sich unverzüglich mit Ihrem Arzt in Verbindung, da diese Reaktionen in seltenen Fällen lebensbedrohlich sein können.</w:t>
      </w:r>
    </w:p>
    <w:p w14:paraId="2923E06C" w14:textId="77777777" w:rsidR="00FE291A" w:rsidRDefault="00FE291A">
      <w:pPr>
        <w:widowControl/>
        <w:tabs>
          <w:tab w:val="left" w:pos="567"/>
        </w:tabs>
        <w:kinsoku w:val="0"/>
        <w:overflowPunct w:val="0"/>
        <w:ind w:left="567" w:hanging="567"/>
        <w:rPr>
          <w:sz w:val="22"/>
          <w:szCs w:val="22"/>
          <w:lang w:val="de-DE"/>
        </w:rPr>
      </w:pPr>
    </w:p>
    <w:p w14:paraId="6065493A" w14:textId="77777777" w:rsidR="00FE291A" w:rsidRDefault="00C8738F">
      <w:pPr>
        <w:widowControl/>
        <w:tabs>
          <w:tab w:val="left" w:pos="567"/>
        </w:tabs>
        <w:kinsoku w:val="0"/>
        <w:overflowPunct w:val="0"/>
        <w:ind w:left="567" w:hanging="567"/>
        <w:rPr>
          <w:sz w:val="22"/>
          <w:szCs w:val="22"/>
          <w:lang w:val="de-DE"/>
        </w:rPr>
      </w:pPr>
      <w:r>
        <w:rPr>
          <w:sz w:val="22"/>
          <w:szCs w:val="22"/>
          <w:lang w:val="de-DE"/>
        </w:rPr>
        <w:t>Infektionen</w:t>
      </w:r>
    </w:p>
    <w:p w14:paraId="28B7268A" w14:textId="77777777" w:rsidR="00FE291A" w:rsidRDefault="00FE291A">
      <w:pPr>
        <w:widowControl/>
        <w:tabs>
          <w:tab w:val="left" w:pos="567"/>
        </w:tabs>
        <w:kinsoku w:val="0"/>
        <w:overflowPunct w:val="0"/>
        <w:ind w:left="567" w:hanging="567"/>
        <w:rPr>
          <w:sz w:val="22"/>
          <w:szCs w:val="22"/>
          <w:lang w:val="de-DE"/>
        </w:rPr>
      </w:pPr>
    </w:p>
    <w:p w14:paraId="154E4843"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Wenn Sie an einer Infektion erkrankt sind, sprechen Sie mit Ihrem Arzt, bevor Sie mit der AMGEVITA-Behandlung beginnen. Auch dann, wenn Sie die Infektion schon länger haben, oder die Infektion örtlich begrenzt ist (z. B. ein Unterschenkelgeschwür). Wenn Sie unsicher sind, fragen Sie Ihren Arzt.</w:t>
      </w:r>
    </w:p>
    <w:p w14:paraId="7736FACB"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Während der Behandlung mit AMGEVITA können Sie leichter an Infektionen erkranken. Das Risiko kann sich zusätzlich erhöhen, wenn Ihre Lungenfunktion beeinträchtigt ist. Diese Infektionen können schwer sein und umfassen Tuberkulose, Infektionen, die durch Viren, Pilze, Parasiten oder Bakterien verursacht werden, oder andere Infektionen, die auftreten, wenn die Widerstandskraft gegenüber Krankheiten vermindert ist (opportunistische Infektionen), sowie Blutvergiftung. Schwere Infektionen können in seltenen Fällen lebensbedrohlich sein. Es ist wichtig, dass Sie Ihren Arzt informieren, wenn bei Ihnen Anzeichen wie Fieber, Wunden, Abgeschlagenheit oder Zahnprobleme auftreten. Ihr Arzt kann eine kurzzeitige Unterbrechung der AMGEVITA-Behandlung empfehlen.</w:t>
      </w:r>
    </w:p>
    <w:p w14:paraId="13403064" w14:textId="77777777" w:rsidR="00FE291A" w:rsidRDefault="00FE291A">
      <w:pPr>
        <w:widowControl/>
        <w:tabs>
          <w:tab w:val="left" w:pos="567"/>
        </w:tabs>
        <w:kinsoku w:val="0"/>
        <w:overflowPunct w:val="0"/>
        <w:ind w:left="567" w:hanging="567"/>
        <w:rPr>
          <w:sz w:val="22"/>
          <w:szCs w:val="22"/>
          <w:lang w:val="de-DE"/>
        </w:rPr>
      </w:pPr>
    </w:p>
    <w:p w14:paraId="208D1C82" w14:textId="77777777" w:rsidR="00FE291A" w:rsidRDefault="00C8738F">
      <w:pPr>
        <w:widowControl/>
        <w:tabs>
          <w:tab w:val="left" w:pos="567"/>
        </w:tabs>
        <w:kinsoku w:val="0"/>
        <w:overflowPunct w:val="0"/>
        <w:ind w:left="567" w:hanging="567"/>
        <w:rPr>
          <w:sz w:val="22"/>
          <w:szCs w:val="22"/>
          <w:lang w:val="de-DE"/>
        </w:rPr>
      </w:pPr>
      <w:r>
        <w:rPr>
          <w:sz w:val="22"/>
          <w:szCs w:val="22"/>
          <w:lang w:val="de-DE"/>
        </w:rPr>
        <w:t>Tuberkulose</w:t>
      </w:r>
    </w:p>
    <w:p w14:paraId="608B7932" w14:textId="77777777" w:rsidR="00FE291A" w:rsidRDefault="00FE291A">
      <w:pPr>
        <w:widowControl/>
        <w:tabs>
          <w:tab w:val="left" w:pos="567"/>
        </w:tabs>
        <w:kinsoku w:val="0"/>
        <w:overflowPunct w:val="0"/>
        <w:ind w:left="567" w:hanging="567"/>
        <w:rPr>
          <w:sz w:val="22"/>
          <w:szCs w:val="22"/>
          <w:lang w:val="de-DE"/>
        </w:rPr>
      </w:pPr>
    </w:p>
    <w:p w14:paraId="61B5686D"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 xml:space="preserve">Ihr Arzt wird Sie vor Beginn der Behandlung mit AMGEVITA auf Anzeichen und Krankheitserscheinungen einer Tuberkulose untersuchen, da bei mit Adalimumab behandelten Patienten von Tuberkulosefällen berichtet wurde. Zu dieser gründlichen Untersuchung gehören die Aufnahme einer umfassenden medizinischen Vorgeschichte und geeignete Tests (z. B. eine Röntgen-Aufnahme des Brustkorbs und ein Tuberkulintest). Die Durchführung und Ergebnisse dieser Tests sollten in Ihrem </w:t>
      </w:r>
      <w:r>
        <w:rPr>
          <w:b/>
          <w:lang w:val="de-DE"/>
        </w:rPr>
        <w:t>Patientenpass</w:t>
      </w:r>
      <w:r>
        <w:rPr>
          <w:lang w:val="de-DE"/>
        </w:rPr>
        <w:t xml:space="preserve"> dokumentiert werden. Es ist sehr wichtig, dass Sie Ihrem Arzt mitteilen, wenn Sie jemals Tuberkulose hatten oder wenn Sie in engem Kontakt zu jemandem standen, der Tuberkulose hatte.</w:t>
      </w:r>
    </w:p>
    <w:p w14:paraId="077401B5"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Tuberkulose kann sich während der Behandlung entwickeln, sogar dann, wenn Sie eine vorbeugende Behandlung gegen Tuberkulose bekommen haben.</w:t>
      </w:r>
    </w:p>
    <w:p w14:paraId="087223A5"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Sollten Anzeichen einer Tuberkulose (anhaltender Husten, Gewichtsverlust, Teilnahmslosigkeit, leichtes Fieber) oder einer anderen Infektion während oder nach der Behandlung auftreten, benachrichtigen Sie unverzüglich Ihren Arzt.</w:t>
      </w:r>
    </w:p>
    <w:p w14:paraId="1DCE2ED6" w14:textId="77777777" w:rsidR="00FE291A" w:rsidRDefault="00FE291A">
      <w:pPr>
        <w:widowControl/>
        <w:tabs>
          <w:tab w:val="left" w:pos="567"/>
        </w:tabs>
        <w:kinsoku w:val="0"/>
        <w:overflowPunct w:val="0"/>
        <w:ind w:left="567" w:hanging="567"/>
        <w:rPr>
          <w:sz w:val="22"/>
          <w:szCs w:val="22"/>
          <w:lang w:val="de-DE"/>
        </w:rPr>
      </w:pPr>
    </w:p>
    <w:p w14:paraId="09E77C92" w14:textId="77777777" w:rsidR="00FE291A" w:rsidRDefault="00C8738F">
      <w:pPr>
        <w:widowControl/>
        <w:tabs>
          <w:tab w:val="left" w:pos="567"/>
        </w:tabs>
        <w:kinsoku w:val="0"/>
        <w:overflowPunct w:val="0"/>
        <w:ind w:left="567" w:hanging="567"/>
        <w:rPr>
          <w:sz w:val="22"/>
          <w:szCs w:val="22"/>
          <w:lang w:val="de-DE"/>
        </w:rPr>
      </w:pPr>
      <w:r>
        <w:rPr>
          <w:sz w:val="22"/>
          <w:szCs w:val="22"/>
          <w:lang w:val="de-DE"/>
        </w:rPr>
        <w:t>Reisen/wiederkehrende Infektionen</w:t>
      </w:r>
    </w:p>
    <w:p w14:paraId="10A2A2B1" w14:textId="77777777" w:rsidR="00FE291A" w:rsidRDefault="00FE291A">
      <w:pPr>
        <w:widowControl/>
        <w:tabs>
          <w:tab w:val="left" w:pos="567"/>
        </w:tabs>
        <w:kinsoku w:val="0"/>
        <w:overflowPunct w:val="0"/>
        <w:ind w:left="567" w:hanging="567"/>
        <w:rPr>
          <w:sz w:val="22"/>
          <w:szCs w:val="22"/>
          <w:lang w:val="de-DE"/>
        </w:rPr>
      </w:pPr>
    </w:p>
    <w:p w14:paraId="4A4815E0"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Fragen Sie Ihren Arzt um Rat, wenn Sie sich in Regionen aufhalten oder in Regionen reisen, in denen Pilzinfektionen häufig vorkommen (z. B. Histoplasmose, Kokzidioidomykose oder Blastomykose).</w:t>
      </w:r>
    </w:p>
    <w:p w14:paraId="4A7C0758"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Informieren Sie Ihren Arzt, wenn Sie in der Vergangenheit unter wiederkehrenden Infektionen oder anderen Krankheiten litten, die das Risiko einer Infektion erhöhen.</w:t>
      </w:r>
    </w:p>
    <w:p w14:paraId="13329410" w14:textId="77777777" w:rsidR="00FE291A" w:rsidRDefault="00FE291A">
      <w:pPr>
        <w:widowControl/>
        <w:tabs>
          <w:tab w:val="left" w:pos="567"/>
        </w:tabs>
        <w:kinsoku w:val="0"/>
        <w:overflowPunct w:val="0"/>
        <w:ind w:left="567" w:hanging="567"/>
        <w:rPr>
          <w:sz w:val="22"/>
          <w:szCs w:val="22"/>
          <w:lang w:val="de-DE"/>
        </w:rPr>
      </w:pPr>
    </w:p>
    <w:p w14:paraId="1666DC2B" w14:textId="77777777" w:rsidR="00FE291A" w:rsidRDefault="00C8738F">
      <w:pPr>
        <w:widowControl/>
        <w:tabs>
          <w:tab w:val="left" w:pos="567"/>
        </w:tabs>
        <w:kinsoku w:val="0"/>
        <w:overflowPunct w:val="0"/>
        <w:ind w:left="567" w:hanging="567"/>
        <w:rPr>
          <w:sz w:val="22"/>
          <w:szCs w:val="22"/>
          <w:lang w:val="de-DE"/>
        </w:rPr>
      </w:pPr>
      <w:r>
        <w:rPr>
          <w:sz w:val="22"/>
          <w:szCs w:val="22"/>
          <w:lang w:val="de-DE"/>
        </w:rPr>
        <w:t>Hepatitis-B-Virus</w:t>
      </w:r>
    </w:p>
    <w:p w14:paraId="03191380" w14:textId="77777777" w:rsidR="00FE291A" w:rsidRDefault="00FE291A">
      <w:pPr>
        <w:widowControl/>
        <w:tabs>
          <w:tab w:val="left" w:pos="567"/>
        </w:tabs>
        <w:kinsoku w:val="0"/>
        <w:overflowPunct w:val="0"/>
        <w:ind w:left="567" w:hanging="567"/>
        <w:rPr>
          <w:sz w:val="22"/>
          <w:szCs w:val="22"/>
          <w:lang w:val="de-DE"/>
        </w:rPr>
      </w:pPr>
    </w:p>
    <w:p w14:paraId="740DB99D" w14:textId="77777777" w:rsidR="00FE291A" w:rsidRDefault="00C8738F">
      <w:pPr>
        <w:pStyle w:val="BodyText"/>
        <w:widowControl/>
        <w:numPr>
          <w:ilvl w:val="0"/>
          <w:numId w:val="53"/>
        </w:numPr>
        <w:tabs>
          <w:tab w:val="left" w:pos="567"/>
          <w:tab w:val="left" w:pos="686"/>
        </w:tabs>
        <w:kinsoku w:val="0"/>
        <w:overflowPunct w:val="0"/>
        <w:ind w:left="567"/>
        <w:rPr>
          <w:lang w:val="de-DE"/>
        </w:rPr>
      </w:pPr>
      <w:r>
        <w:rPr>
          <w:lang w:val="de-DE"/>
        </w:rPr>
        <w:t>Informieren Sie Ihren Arzt, wenn Sie Träger des Hepatitis-B-Virus (HBV) sind, wenn Sie eine aktive HBV-Infektion haben oder wenn Sie ein erhöhtes Risiko für eine HBV-Infektion aufweisen. Ihr Arzt sollte Sie auf HBV untersuchen. AMGEVITA kann zu einem erneuten Ausbruch einer HBV-Infektion bei Personen führen, die dieses Virus tragen. In einigen seltenen Fällen, besonders bei der zusätzlichen Anwendung von weiteren Arzneimitteln, die das körpereigene Abwehrsystem unterdrücken, kann der erneute Ausbruch einer HBV-Infektion lebensbedrohend sein.</w:t>
      </w:r>
    </w:p>
    <w:p w14:paraId="4D96AB01" w14:textId="77777777" w:rsidR="00FE291A" w:rsidRDefault="00FE291A">
      <w:pPr>
        <w:pStyle w:val="BodyText"/>
        <w:widowControl/>
        <w:tabs>
          <w:tab w:val="left" w:pos="567"/>
          <w:tab w:val="left" w:pos="686"/>
        </w:tabs>
        <w:kinsoku w:val="0"/>
        <w:overflowPunct w:val="0"/>
        <w:ind w:left="0"/>
        <w:rPr>
          <w:lang w:val="de-DE"/>
        </w:rPr>
      </w:pPr>
    </w:p>
    <w:p w14:paraId="282B3695" w14:textId="77777777" w:rsidR="00FE291A" w:rsidRDefault="00C8738F">
      <w:pPr>
        <w:pStyle w:val="BodyText"/>
        <w:widowControl/>
        <w:tabs>
          <w:tab w:val="left" w:pos="567"/>
          <w:tab w:val="left" w:pos="686"/>
        </w:tabs>
        <w:kinsoku w:val="0"/>
        <w:overflowPunct w:val="0"/>
        <w:ind w:left="0"/>
        <w:rPr>
          <w:lang w:val="de-DE"/>
        </w:rPr>
      </w:pPr>
      <w:r>
        <w:rPr>
          <w:lang w:val="de-DE"/>
        </w:rPr>
        <w:t>Alter über 65 Jahre</w:t>
      </w:r>
    </w:p>
    <w:p w14:paraId="1CD9B737" w14:textId="77777777" w:rsidR="00FE291A" w:rsidRDefault="00FE291A">
      <w:pPr>
        <w:pStyle w:val="BodyText"/>
        <w:widowControl/>
        <w:tabs>
          <w:tab w:val="left" w:pos="567"/>
          <w:tab w:val="left" w:pos="686"/>
        </w:tabs>
        <w:kinsoku w:val="0"/>
        <w:overflowPunct w:val="0"/>
        <w:ind w:left="0"/>
        <w:rPr>
          <w:lang w:val="de-DE"/>
        </w:rPr>
      </w:pPr>
    </w:p>
    <w:p w14:paraId="67567E96"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Wenn Sie über 65 Jahre alt sind, können Sie für Infektionen anfälliger sein, während Sie AMGEVITA nehmen. Sie und Ihr Arzt sollten besonders auf Anzeichen einer Infektion achten, während Sie mit AMGEVITA behandelt werden. Es ist wichtig, dass Sie Ihren Arzt informieren, wenn Sie Anzeichen von Infektionen wie Fieber, Wunden, Gefühl der Müdigkeit oder Zahnprobleme bekommen.</w:t>
      </w:r>
    </w:p>
    <w:p w14:paraId="7C4336E0" w14:textId="77777777" w:rsidR="00FE291A" w:rsidRDefault="00FE291A">
      <w:pPr>
        <w:widowControl/>
        <w:tabs>
          <w:tab w:val="left" w:pos="567"/>
        </w:tabs>
        <w:kinsoku w:val="0"/>
        <w:overflowPunct w:val="0"/>
        <w:ind w:left="567" w:hanging="567"/>
        <w:rPr>
          <w:sz w:val="22"/>
          <w:szCs w:val="22"/>
          <w:lang w:val="de-DE"/>
        </w:rPr>
      </w:pPr>
    </w:p>
    <w:p w14:paraId="399D2F47" w14:textId="77777777" w:rsidR="00FE291A" w:rsidRDefault="00C8738F">
      <w:pPr>
        <w:widowControl/>
        <w:tabs>
          <w:tab w:val="left" w:pos="567"/>
        </w:tabs>
        <w:kinsoku w:val="0"/>
        <w:overflowPunct w:val="0"/>
        <w:ind w:left="567" w:hanging="567"/>
        <w:rPr>
          <w:sz w:val="22"/>
          <w:szCs w:val="22"/>
          <w:lang w:val="de-DE"/>
        </w:rPr>
      </w:pPr>
      <w:r>
        <w:rPr>
          <w:sz w:val="22"/>
          <w:szCs w:val="22"/>
          <w:lang w:val="de-DE"/>
        </w:rPr>
        <w:t>Operationen oder Zahnbehandlungen</w:t>
      </w:r>
    </w:p>
    <w:p w14:paraId="5E2B9307" w14:textId="77777777" w:rsidR="00FE291A" w:rsidRDefault="00FE291A">
      <w:pPr>
        <w:widowControl/>
        <w:tabs>
          <w:tab w:val="left" w:pos="567"/>
        </w:tabs>
        <w:kinsoku w:val="0"/>
        <w:overflowPunct w:val="0"/>
        <w:ind w:left="567" w:hanging="567"/>
        <w:rPr>
          <w:sz w:val="22"/>
          <w:szCs w:val="22"/>
          <w:lang w:val="de-DE"/>
        </w:rPr>
      </w:pPr>
    </w:p>
    <w:p w14:paraId="48B46463"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Informieren Sie bitte Ihren Arzt vor einer Operation oder einer Zahnbehandlung über Ihre Behandlung mit AMGEVITA. Ihr Arzt kann eine kurzzeitige Unterbrechung der AMGEVITA</w:t>
      </w:r>
      <w:r>
        <w:rPr>
          <w:lang w:val="de-DE"/>
        </w:rPr>
        <w:noBreakHyphen/>
        <w:t>Behandlung empfehlen.</w:t>
      </w:r>
    </w:p>
    <w:p w14:paraId="4B7BF292" w14:textId="77777777" w:rsidR="00FE291A" w:rsidRDefault="00FE291A">
      <w:pPr>
        <w:widowControl/>
        <w:kinsoku w:val="0"/>
        <w:overflowPunct w:val="0"/>
        <w:rPr>
          <w:sz w:val="22"/>
          <w:szCs w:val="22"/>
          <w:lang w:val="de-DE"/>
        </w:rPr>
      </w:pPr>
    </w:p>
    <w:p w14:paraId="6D15A540" w14:textId="77777777" w:rsidR="00FE291A" w:rsidRDefault="00C8738F">
      <w:pPr>
        <w:widowControl/>
        <w:kinsoku w:val="0"/>
        <w:overflowPunct w:val="0"/>
        <w:rPr>
          <w:sz w:val="22"/>
          <w:szCs w:val="22"/>
          <w:lang w:val="de-DE"/>
        </w:rPr>
      </w:pPr>
      <w:r>
        <w:rPr>
          <w:sz w:val="22"/>
          <w:szCs w:val="22"/>
          <w:lang w:val="de-DE"/>
        </w:rPr>
        <w:t>Demyelinisierende Erkrankung</w:t>
      </w:r>
    </w:p>
    <w:p w14:paraId="72717CC3" w14:textId="77777777" w:rsidR="00FE291A" w:rsidRDefault="00FE291A">
      <w:pPr>
        <w:widowControl/>
        <w:kinsoku w:val="0"/>
        <w:overflowPunct w:val="0"/>
        <w:rPr>
          <w:sz w:val="22"/>
          <w:szCs w:val="22"/>
          <w:lang w:val="de-DE"/>
        </w:rPr>
      </w:pPr>
    </w:p>
    <w:p w14:paraId="06CC3011"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Wenn Sie eine demyelinisierende Erkrankung wie z. B. multiple Sklerose haben oder entwickeln, wird Ihr Arzt entscheiden, ob Sie AMGEVITA erhalten bzw. weiter anwenden sollten. Informieren Sie bitte umgehend Ihren Arzt, wenn es bei Ihnen zu Anzeichen wie verändertem Sehvermögen oder Kraftlosigkeit in den Armen oder Beinen kommt oder wenn sich Körperteile taub oder kribbelig anfühlen.</w:t>
      </w:r>
    </w:p>
    <w:p w14:paraId="625CACF4" w14:textId="77777777" w:rsidR="00FE291A" w:rsidRDefault="00FE291A">
      <w:pPr>
        <w:widowControl/>
        <w:tabs>
          <w:tab w:val="left" w:pos="567"/>
        </w:tabs>
        <w:kinsoku w:val="0"/>
        <w:overflowPunct w:val="0"/>
        <w:ind w:left="567" w:hanging="567"/>
        <w:rPr>
          <w:sz w:val="22"/>
          <w:szCs w:val="22"/>
          <w:lang w:val="de-DE"/>
        </w:rPr>
      </w:pPr>
    </w:p>
    <w:p w14:paraId="1863F000" w14:textId="77777777" w:rsidR="00FE291A" w:rsidRDefault="00C8738F">
      <w:pPr>
        <w:widowControl/>
        <w:tabs>
          <w:tab w:val="left" w:pos="567"/>
        </w:tabs>
        <w:kinsoku w:val="0"/>
        <w:overflowPunct w:val="0"/>
        <w:ind w:left="567" w:hanging="567"/>
        <w:rPr>
          <w:sz w:val="22"/>
          <w:szCs w:val="22"/>
          <w:lang w:val="de-DE"/>
        </w:rPr>
      </w:pPr>
      <w:r>
        <w:rPr>
          <w:sz w:val="22"/>
          <w:szCs w:val="22"/>
          <w:lang w:val="de-DE"/>
        </w:rPr>
        <w:t>Impfungen</w:t>
      </w:r>
    </w:p>
    <w:p w14:paraId="4CFADDEE" w14:textId="77777777" w:rsidR="00FE291A" w:rsidRDefault="00FE291A">
      <w:pPr>
        <w:widowControl/>
        <w:tabs>
          <w:tab w:val="left" w:pos="567"/>
        </w:tabs>
        <w:kinsoku w:val="0"/>
        <w:overflowPunct w:val="0"/>
        <w:ind w:left="567" w:hanging="567"/>
        <w:rPr>
          <w:sz w:val="22"/>
          <w:szCs w:val="22"/>
          <w:lang w:val="de-DE"/>
        </w:rPr>
      </w:pPr>
    </w:p>
    <w:p w14:paraId="4F20DA90"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Gewisse Impfstoffe enthalten lebende, aber abgeschwächte Formen von krankheitserregenden Bakterien oder Viren, die Infektionen verursachen können und während der Behandlung mit AMGEVITA nicht verwendet werden sollen. Bitte besprechen Sie jede Impfung vorher mit Ihrem Arzt. Bei Kindern und Jugendlichen wird empfohlen, nach Möglichkeit vor Behandlungsbeginn mit AMGEVITA alle Impfungen in Übereinstimmung mit den gegenwärtigen Richtlinien auf den aktuellen Stand zu bringen.</w:t>
      </w:r>
    </w:p>
    <w:p w14:paraId="3A6D9DC1"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Wenn Sie AMGEVITA während der Schwangerschaft erhalten haben, hat Ihr Säugling eventuell ein erhöhtes Risiko während der ersten 5 Monate nach der letzten AMGEVITA-Dosis, die Sie während der Schwangerschaft erhalten hatten, eine Infektion zu bekommen. Es ist wichtig, dass Sie den Ärzten des Kindes und anderem Fachpersonal im Gesundheitswesen mitteilen, dass Sie AMGEVITA während der Schwangerschaft angewendet haben, sodass diese darüber entscheiden können, ob Ihr Säugling eine Impfung erhalten sollte.</w:t>
      </w:r>
    </w:p>
    <w:p w14:paraId="1A49CDFB" w14:textId="77777777" w:rsidR="00FE291A" w:rsidRDefault="00FE291A">
      <w:pPr>
        <w:widowControl/>
        <w:tabs>
          <w:tab w:val="left" w:pos="567"/>
        </w:tabs>
        <w:kinsoku w:val="0"/>
        <w:overflowPunct w:val="0"/>
        <w:ind w:left="567" w:hanging="567"/>
        <w:rPr>
          <w:sz w:val="22"/>
          <w:szCs w:val="22"/>
          <w:lang w:val="de-DE"/>
        </w:rPr>
      </w:pPr>
    </w:p>
    <w:p w14:paraId="1C6FD9FF" w14:textId="77777777" w:rsidR="00FE291A" w:rsidRDefault="00C8738F">
      <w:pPr>
        <w:keepNext/>
        <w:keepLines/>
        <w:widowControl/>
        <w:tabs>
          <w:tab w:val="left" w:pos="567"/>
        </w:tabs>
        <w:kinsoku w:val="0"/>
        <w:overflowPunct w:val="0"/>
        <w:ind w:left="567" w:hanging="567"/>
        <w:rPr>
          <w:sz w:val="22"/>
          <w:szCs w:val="22"/>
          <w:lang w:val="de-DE"/>
        </w:rPr>
      </w:pPr>
      <w:r>
        <w:rPr>
          <w:sz w:val="22"/>
          <w:szCs w:val="22"/>
          <w:lang w:val="de-DE"/>
        </w:rPr>
        <w:t>Herzschwäche</w:t>
      </w:r>
    </w:p>
    <w:p w14:paraId="0A0ACDE0" w14:textId="77777777" w:rsidR="00FE291A" w:rsidRDefault="00FE291A">
      <w:pPr>
        <w:widowControl/>
        <w:tabs>
          <w:tab w:val="left" w:pos="567"/>
        </w:tabs>
        <w:kinsoku w:val="0"/>
        <w:overflowPunct w:val="0"/>
        <w:ind w:left="567" w:hanging="567"/>
        <w:rPr>
          <w:sz w:val="22"/>
          <w:szCs w:val="22"/>
          <w:lang w:val="de-DE"/>
        </w:rPr>
      </w:pPr>
    </w:p>
    <w:p w14:paraId="5B88D3BA"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Wenn Sie eine leichte Herzschwäche (Herzinsuffizienz) haben und mit AMGEVITA behandelt werden, muss Ihre Herzschwäche sorgfältig durch Ihren Arzt überwacht werden. Es ist wichtig, dass Sie Ihren Arzt darüber informieren, wenn Sie schwerwiegende Herzprobleme haben oder gehabt haben. Entwickeln Sie neue oder sich verschlechternde Symptome einer Herzschwäche (z. B. Kurzatmigkeit oder Anschwellen der Füße), müssen Sie sofort mit Ihrem Arzt sprechen. Ihr Arzt wird dann entscheiden, ob Sie AMGEVITA weiterhin erhalten sollten.</w:t>
      </w:r>
    </w:p>
    <w:p w14:paraId="2B2F801B" w14:textId="77777777" w:rsidR="00FE291A" w:rsidRDefault="00FE291A">
      <w:pPr>
        <w:widowControl/>
        <w:tabs>
          <w:tab w:val="left" w:pos="567"/>
        </w:tabs>
        <w:kinsoku w:val="0"/>
        <w:overflowPunct w:val="0"/>
        <w:ind w:left="567" w:hanging="567"/>
        <w:rPr>
          <w:sz w:val="22"/>
          <w:szCs w:val="22"/>
          <w:lang w:val="de-DE"/>
        </w:rPr>
      </w:pPr>
    </w:p>
    <w:p w14:paraId="5852571C" w14:textId="77777777" w:rsidR="00FE291A" w:rsidRDefault="00C8738F">
      <w:pPr>
        <w:widowControl/>
        <w:tabs>
          <w:tab w:val="left" w:pos="567"/>
        </w:tabs>
        <w:kinsoku w:val="0"/>
        <w:overflowPunct w:val="0"/>
        <w:ind w:left="567" w:hanging="567"/>
        <w:rPr>
          <w:sz w:val="22"/>
          <w:szCs w:val="22"/>
          <w:lang w:val="de-DE"/>
        </w:rPr>
      </w:pPr>
      <w:r>
        <w:rPr>
          <w:sz w:val="22"/>
          <w:szCs w:val="22"/>
          <w:lang w:val="de-DE"/>
        </w:rPr>
        <w:t>Fieber, blaue Flecke, Blutungen oder blasses Aussehen</w:t>
      </w:r>
    </w:p>
    <w:p w14:paraId="69E4BC10" w14:textId="77777777" w:rsidR="00FE291A" w:rsidRDefault="00FE291A">
      <w:pPr>
        <w:widowControl/>
        <w:tabs>
          <w:tab w:val="left" w:pos="567"/>
        </w:tabs>
        <w:kinsoku w:val="0"/>
        <w:overflowPunct w:val="0"/>
        <w:ind w:left="567" w:hanging="567"/>
        <w:rPr>
          <w:sz w:val="22"/>
          <w:szCs w:val="22"/>
          <w:lang w:val="de-DE"/>
        </w:rPr>
      </w:pPr>
    </w:p>
    <w:p w14:paraId="070FAB6D"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Die körpereigene Produktion von Blutzellen, die Ihrem Körper bei der Bekämpfung von Infektionen oder beim Stoppen von Blutungen helfen, kann bei einigen Patienten vermindert sein. Wenn Sie anhaltendes Fieber bekommen, sehr leicht blaue Flecken entwickeln oder bluten oder sehr blass aussehen, benachrichtigen Sie umgehend Ihren Arzt. Ihr Arzt wird möglicherweise entscheiden, die Behandlung zu beenden.</w:t>
      </w:r>
    </w:p>
    <w:p w14:paraId="7F302081" w14:textId="77777777" w:rsidR="00FE291A" w:rsidRDefault="00FE291A">
      <w:pPr>
        <w:widowControl/>
        <w:tabs>
          <w:tab w:val="left" w:pos="567"/>
        </w:tabs>
        <w:kinsoku w:val="0"/>
        <w:overflowPunct w:val="0"/>
        <w:ind w:left="567" w:hanging="567"/>
        <w:rPr>
          <w:sz w:val="22"/>
          <w:szCs w:val="22"/>
          <w:lang w:val="de-DE"/>
        </w:rPr>
      </w:pPr>
    </w:p>
    <w:p w14:paraId="745BDFA2" w14:textId="77777777" w:rsidR="00FE291A" w:rsidRDefault="00C8738F">
      <w:pPr>
        <w:widowControl/>
        <w:tabs>
          <w:tab w:val="left" w:pos="567"/>
        </w:tabs>
        <w:kinsoku w:val="0"/>
        <w:overflowPunct w:val="0"/>
        <w:ind w:left="567" w:hanging="567"/>
        <w:rPr>
          <w:sz w:val="22"/>
          <w:szCs w:val="22"/>
          <w:lang w:val="de-DE"/>
        </w:rPr>
      </w:pPr>
      <w:r>
        <w:rPr>
          <w:sz w:val="22"/>
          <w:szCs w:val="22"/>
          <w:lang w:val="de-DE"/>
        </w:rPr>
        <w:t>Krebs</w:t>
      </w:r>
    </w:p>
    <w:p w14:paraId="039F43EA" w14:textId="77777777" w:rsidR="00FE291A" w:rsidRDefault="00FE291A">
      <w:pPr>
        <w:widowControl/>
        <w:tabs>
          <w:tab w:val="left" w:pos="567"/>
        </w:tabs>
        <w:kinsoku w:val="0"/>
        <w:overflowPunct w:val="0"/>
        <w:ind w:left="567" w:hanging="567"/>
        <w:rPr>
          <w:sz w:val="22"/>
          <w:szCs w:val="22"/>
          <w:lang w:val="de-DE"/>
        </w:rPr>
      </w:pPr>
    </w:p>
    <w:p w14:paraId="0FFD1771"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 xml:space="preserve">Es gab sehr selten Fälle bestimmter Krebsarten bei Patienten (Kindern und Erwachsenen), die Adalimumab oder andere TNF-Blocker erhielten. Patienten mit schwereren Verlaufsformen der rheumatoiden Arthritis und langjährig bestehender Erkrankung können ein im Vergleich zum Durchschnitt erhöhtes Risiko aufweisen für die Entwicklung eines Lymphoms (Krebs, der das Lymphsystem betrifft) und von Leukämie (Krebs, der das Blut und das Knochenmark betrifft). </w:t>
      </w:r>
    </w:p>
    <w:p w14:paraId="7B78FCB3"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Wenn Sie AMGEVITA anwenden, kann sich Ihr Risiko, Lymphome, Leukämie oder andere Krebsformen zu entwickeln, möglicherweise erhöhen. In seltenen Fällen wurde bei Patienten, die mit Adalimumab behandelt wurden, eine besondere und schwere Form des Lymphoms beobachtet. Einige dieser Patienten wurden gleichzeitig mit dem Wirkstoff Azathioprin oder 6</w:t>
      </w:r>
      <w:r>
        <w:rPr>
          <w:lang w:val="de-DE"/>
        </w:rPr>
        <w:noBreakHyphen/>
        <w:t>Mercaptopurin behandelt. Teilen Sie Ihrem Arzt mit, wenn Sie Azathioprin oder 6</w:t>
      </w:r>
      <w:r>
        <w:rPr>
          <w:lang w:val="de-DE"/>
        </w:rPr>
        <w:noBreakHyphen/>
        <w:t xml:space="preserve">Mercaptopurin zusammen mit AMGEVITA einnehmen. </w:t>
      </w:r>
    </w:p>
    <w:p w14:paraId="6B835723"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Darüber hinaus wurden bei Patienten unter Adalimumab-Therapie Fälle mit Hauttumoren, die keine Melanome waren, beobachtet. Falls während oder nach der Behandlung neue Hautveränderungen auftreten oder sich das Aussehen bereits bestehender Hautverletzungen verändert, informieren Sie bitte Ihren Arzt.</w:t>
      </w:r>
    </w:p>
    <w:p w14:paraId="28B2BA26"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Bei Patienten mit einer besonderen Art von Lungenerkrankung, der chronischen obstruktiven Lungenerkrankung (COPD), sind unter Behandlung mit einem anderen TNF-Blocker Krebsarten aufgetreten. Unter diesen Krebsarten waren keine Lymphome. Wenn Sie COPD haben oder wenn Sie stark rauchen, sollten Sie mit Ihrem Arzt besprechen, ob die Behandlung mit einem TNF</w:t>
      </w:r>
      <w:r>
        <w:rPr>
          <w:lang w:val="de-DE"/>
        </w:rPr>
        <w:noBreakHyphen/>
        <w:t>Blocker für Sie geeignet ist.</w:t>
      </w:r>
    </w:p>
    <w:p w14:paraId="6B9C14F3" w14:textId="77777777" w:rsidR="00FE291A" w:rsidRDefault="00FE291A">
      <w:pPr>
        <w:pStyle w:val="ListParagraph"/>
        <w:rPr>
          <w:sz w:val="22"/>
          <w:lang w:val="de-DE"/>
        </w:rPr>
      </w:pPr>
    </w:p>
    <w:p w14:paraId="5DDCA39D" w14:textId="77777777" w:rsidR="00FE291A" w:rsidRDefault="00C8738F">
      <w:pPr>
        <w:pStyle w:val="ListParagraph"/>
        <w:rPr>
          <w:sz w:val="22"/>
          <w:lang w:val="de-DE"/>
        </w:rPr>
      </w:pPr>
      <w:r>
        <w:rPr>
          <w:sz w:val="22"/>
          <w:lang w:val="de-DE"/>
        </w:rPr>
        <w:t>Autoimmunerkrankung</w:t>
      </w:r>
      <w:del w:id="492" w:author="Author">
        <w:r w:rsidDel="00723069">
          <w:rPr>
            <w:sz w:val="22"/>
            <w:lang w:val="de-DE"/>
          </w:rPr>
          <w:delText>en</w:delText>
        </w:r>
      </w:del>
    </w:p>
    <w:p w14:paraId="747DA941" w14:textId="77777777" w:rsidR="00FE291A" w:rsidRDefault="00FE291A">
      <w:pPr>
        <w:pStyle w:val="ListParagraph"/>
        <w:rPr>
          <w:sz w:val="22"/>
          <w:lang w:val="de-DE"/>
        </w:rPr>
      </w:pPr>
    </w:p>
    <w:p w14:paraId="13D3200C"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In seltenen Fällen kann die Behandlung mit AMGEVITA ein lupusähnliches Syndrom auslösen. Kontaktieren Sie Ihren Arzt, falls Symptome wie ein anhaltender, nicht erklärbarer Hautausschlag, Fieber, Gelenkschmerzen oder Müdigkeit auftreten.</w:t>
      </w:r>
    </w:p>
    <w:p w14:paraId="25812289" w14:textId="77777777" w:rsidR="00FE291A" w:rsidRDefault="00FE291A">
      <w:pPr>
        <w:widowControl/>
        <w:kinsoku w:val="0"/>
        <w:overflowPunct w:val="0"/>
        <w:rPr>
          <w:sz w:val="22"/>
          <w:szCs w:val="22"/>
          <w:lang w:val="de-DE"/>
        </w:rPr>
      </w:pPr>
    </w:p>
    <w:p w14:paraId="6616A1C2" w14:textId="77777777" w:rsidR="00FE291A" w:rsidRDefault="00C8738F">
      <w:pPr>
        <w:pStyle w:val="BodyText"/>
        <w:widowControl/>
        <w:kinsoku w:val="0"/>
        <w:overflowPunct w:val="0"/>
        <w:ind w:left="0"/>
        <w:rPr>
          <w:lang w:val="de-DE"/>
        </w:rPr>
      </w:pPr>
      <w:r>
        <w:rPr>
          <w:lang w:val="de-DE"/>
        </w:rPr>
        <w:t>Um die Nachverfolgbarkeit dieses Arzneimittels zu verbessern, sollte Ihr Arzt oder Apotheker den Namen und die Chargenbezeichnung des bei Ihnen angewendeten Arzneimittels in Ihrer Krankenakte dokumentieren. Möglicherweise möchten Sie sich diese Informationen ebenfalls für den Fall notieren, dass Sie später danach gefragt werden.</w:t>
      </w:r>
    </w:p>
    <w:p w14:paraId="0D486DF7" w14:textId="77777777" w:rsidR="00FE291A" w:rsidRDefault="00FE291A">
      <w:pPr>
        <w:pStyle w:val="BodyText"/>
        <w:widowControl/>
        <w:kinsoku w:val="0"/>
        <w:overflowPunct w:val="0"/>
        <w:ind w:left="0"/>
        <w:rPr>
          <w:lang w:val="de-DE"/>
        </w:rPr>
      </w:pPr>
    </w:p>
    <w:p w14:paraId="2EAF5215" w14:textId="77777777" w:rsidR="00FE291A" w:rsidRDefault="00C8738F">
      <w:pPr>
        <w:pStyle w:val="Heading1"/>
        <w:keepNext/>
        <w:keepLines/>
        <w:widowControl/>
        <w:kinsoku w:val="0"/>
        <w:overflowPunct w:val="0"/>
        <w:ind w:left="0"/>
        <w:rPr>
          <w:b w:val="0"/>
          <w:bCs w:val="0"/>
          <w:lang w:val="de-DE"/>
        </w:rPr>
      </w:pPr>
      <w:r>
        <w:rPr>
          <w:lang w:val="de-DE"/>
        </w:rPr>
        <w:t>Kinder und Jugendliche</w:t>
      </w:r>
    </w:p>
    <w:p w14:paraId="16ECAFB2" w14:textId="77777777" w:rsidR="00FE291A" w:rsidRDefault="00FE291A">
      <w:pPr>
        <w:keepNext/>
        <w:widowControl/>
        <w:kinsoku w:val="0"/>
        <w:overflowPunct w:val="0"/>
        <w:rPr>
          <w:sz w:val="22"/>
          <w:szCs w:val="22"/>
          <w:lang w:val="de-DE"/>
        </w:rPr>
      </w:pPr>
    </w:p>
    <w:p w14:paraId="111CFEC2" w14:textId="77777777" w:rsidR="00FE291A" w:rsidRDefault="00C8738F">
      <w:pPr>
        <w:pStyle w:val="BodyText"/>
        <w:widowControl/>
        <w:numPr>
          <w:ilvl w:val="0"/>
          <w:numId w:val="54"/>
        </w:numPr>
        <w:tabs>
          <w:tab w:val="left" w:pos="567"/>
        </w:tabs>
        <w:kinsoku w:val="0"/>
        <w:overflowPunct w:val="0"/>
        <w:ind w:left="567"/>
        <w:rPr>
          <w:lang w:val="de-DE"/>
        </w:rPr>
      </w:pPr>
      <w:r>
        <w:rPr>
          <w:lang w:val="de-DE"/>
        </w:rPr>
        <w:t>Impfungen: Wenn möglich, sollten Kinder und Jugendliche vor Anwendung von AMGEVITA auf dem neuesten Stand mit allen Impfungen sein.</w:t>
      </w:r>
    </w:p>
    <w:p w14:paraId="206609B5" w14:textId="77777777" w:rsidR="00FE291A" w:rsidRDefault="00FE291A">
      <w:pPr>
        <w:widowControl/>
        <w:tabs>
          <w:tab w:val="left" w:pos="567"/>
        </w:tabs>
        <w:kinsoku w:val="0"/>
        <w:overflowPunct w:val="0"/>
        <w:ind w:left="567" w:hanging="567"/>
        <w:rPr>
          <w:sz w:val="22"/>
          <w:szCs w:val="22"/>
          <w:lang w:val="de-DE"/>
        </w:rPr>
      </w:pPr>
    </w:p>
    <w:p w14:paraId="058F2532" w14:textId="77777777" w:rsidR="00FE291A" w:rsidRDefault="00C8738F">
      <w:pPr>
        <w:pStyle w:val="BodyText"/>
        <w:widowControl/>
        <w:numPr>
          <w:ilvl w:val="0"/>
          <w:numId w:val="54"/>
        </w:numPr>
        <w:tabs>
          <w:tab w:val="left" w:pos="567"/>
        </w:tabs>
        <w:kinsoku w:val="0"/>
        <w:overflowPunct w:val="0"/>
        <w:ind w:left="567"/>
        <w:rPr>
          <w:lang w:val="de-DE"/>
        </w:rPr>
      </w:pPr>
      <w:r>
        <w:rPr>
          <w:lang w:val="de-DE"/>
        </w:rPr>
        <w:t>Wenden Sie AMGEVITA nicht bei Kleinkindern mit polyartikulärer juveniler idiopathischer Arthritis an, die jünger als 2 Jahre sind.</w:t>
      </w:r>
    </w:p>
    <w:p w14:paraId="5F92AABB" w14:textId="77777777" w:rsidR="00FE291A" w:rsidRDefault="00FE291A">
      <w:pPr>
        <w:pStyle w:val="ListParagraph"/>
        <w:rPr>
          <w:lang w:val="de-DE"/>
        </w:rPr>
      </w:pPr>
    </w:p>
    <w:p w14:paraId="18ACB149" w14:textId="77777777" w:rsidR="00FE291A" w:rsidRDefault="00C8738F">
      <w:pPr>
        <w:pStyle w:val="BodyText"/>
        <w:widowControl/>
        <w:numPr>
          <w:ilvl w:val="0"/>
          <w:numId w:val="54"/>
        </w:numPr>
        <w:tabs>
          <w:tab w:val="left" w:pos="567"/>
        </w:tabs>
        <w:kinsoku w:val="0"/>
        <w:overflowPunct w:val="0"/>
        <w:ind w:left="567"/>
        <w:rPr>
          <w:lang w:val="de-DE"/>
        </w:rPr>
      </w:pPr>
      <w:r>
        <w:rPr>
          <w:lang w:val="de-DE"/>
        </w:rPr>
        <w:t>Wenden Sie AMGEVITA nicht bei Kindern mit Plaque-Psoriasis an, die jünger als 4 Jahre sind.</w:t>
      </w:r>
    </w:p>
    <w:p w14:paraId="3419FFD5" w14:textId="77777777" w:rsidR="00FE291A" w:rsidRDefault="00FE291A">
      <w:pPr>
        <w:pStyle w:val="ListParagraph"/>
        <w:rPr>
          <w:lang w:val="de-DE"/>
        </w:rPr>
      </w:pPr>
    </w:p>
    <w:p w14:paraId="64785EB3" w14:textId="77777777" w:rsidR="00FE291A" w:rsidRDefault="00C8738F">
      <w:pPr>
        <w:pStyle w:val="BodyText"/>
        <w:widowControl/>
        <w:numPr>
          <w:ilvl w:val="0"/>
          <w:numId w:val="54"/>
        </w:numPr>
        <w:tabs>
          <w:tab w:val="left" w:pos="567"/>
        </w:tabs>
        <w:kinsoku w:val="0"/>
        <w:overflowPunct w:val="0"/>
        <w:ind w:left="567"/>
        <w:rPr>
          <w:lang w:val="de-DE"/>
        </w:rPr>
      </w:pPr>
      <w:r>
        <w:rPr>
          <w:lang w:val="de-DE"/>
        </w:rPr>
        <w:t>Wenden Sie AMGEVITA nicht bei Kindern mit Morbus Crohn oder Colitis ulcerosa an, die jünger als 6 Jahre sind.</w:t>
      </w:r>
    </w:p>
    <w:p w14:paraId="78D5EE70" w14:textId="77777777" w:rsidR="00FE291A" w:rsidRDefault="00FE291A">
      <w:pPr>
        <w:pStyle w:val="BodyText"/>
        <w:widowControl/>
        <w:tabs>
          <w:tab w:val="left" w:pos="567"/>
        </w:tabs>
        <w:kinsoku w:val="0"/>
        <w:overflowPunct w:val="0"/>
        <w:ind w:left="0"/>
        <w:rPr>
          <w:lang w:val="de-DE"/>
        </w:rPr>
      </w:pPr>
    </w:p>
    <w:p w14:paraId="422930BB" w14:textId="77777777" w:rsidR="00FE291A" w:rsidRDefault="00C8738F">
      <w:pPr>
        <w:pStyle w:val="Heading1"/>
        <w:widowControl/>
        <w:kinsoku w:val="0"/>
        <w:overflowPunct w:val="0"/>
        <w:ind w:left="0"/>
        <w:rPr>
          <w:b w:val="0"/>
          <w:bCs w:val="0"/>
          <w:lang w:val="de-DE"/>
        </w:rPr>
      </w:pPr>
      <w:r>
        <w:rPr>
          <w:lang w:val="de-DE"/>
        </w:rPr>
        <w:t>Anwendung von AMGEVITA zusammen mit anderen Arzneimitteln</w:t>
      </w:r>
    </w:p>
    <w:p w14:paraId="413F3B18" w14:textId="77777777" w:rsidR="00FE291A" w:rsidRDefault="00FE291A">
      <w:pPr>
        <w:widowControl/>
        <w:kinsoku w:val="0"/>
        <w:overflowPunct w:val="0"/>
        <w:rPr>
          <w:sz w:val="22"/>
          <w:szCs w:val="22"/>
          <w:lang w:val="de-DE"/>
        </w:rPr>
      </w:pPr>
    </w:p>
    <w:p w14:paraId="31CAD44C" w14:textId="77777777" w:rsidR="00FE291A" w:rsidRDefault="00C8738F">
      <w:pPr>
        <w:pStyle w:val="BodyText"/>
        <w:widowControl/>
        <w:kinsoku w:val="0"/>
        <w:overflowPunct w:val="0"/>
        <w:ind w:left="0"/>
        <w:rPr>
          <w:lang w:val="de-DE"/>
        </w:rPr>
      </w:pPr>
      <w:r>
        <w:rPr>
          <w:lang w:val="de-DE"/>
        </w:rPr>
        <w:t>Informieren Sie Ihren Arzt oder Apotheker, wenn Sie andere Arzneimittel einnehmen, kürzlich andere Arzneimittel eingenommen haben oder Sie beabsichtigen, andere Arzneimittel einzunehmen.</w:t>
      </w:r>
    </w:p>
    <w:p w14:paraId="4D3F3383" w14:textId="77777777" w:rsidR="00FE291A" w:rsidRDefault="00FE291A">
      <w:pPr>
        <w:widowControl/>
        <w:kinsoku w:val="0"/>
        <w:overflowPunct w:val="0"/>
        <w:rPr>
          <w:sz w:val="22"/>
          <w:szCs w:val="22"/>
          <w:lang w:val="de-DE"/>
        </w:rPr>
      </w:pPr>
    </w:p>
    <w:p w14:paraId="0CA80282" w14:textId="77777777" w:rsidR="00FE291A" w:rsidRDefault="00C8738F">
      <w:pPr>
        <w:pStyle w:val="BodyText"/>
        <w:widowControl/>
        <w:kinsoku w:val="0"/>
        <w:overflowPunct w:val="0"/>
        <w:ind w:left="0"/>
        <w:rPr>
          <w:lang w:val="de-DE"/>
        </w:rPr>
      </w:pPr>
      <w:r>
        <w:rPr>
          <w:lang w:val="de-DE"/>
        </w:rPr>
        <w:t>AMGEVITA kann zusammen mit Basistherapeutika (wie Methotrexat, Sulfasalazin, Hydroxychloroquin, Leflunomid und injizierbaren Goldzubereitungen) und mit Kortikosteroiden oder Schmerzmitteln, einschließlich nicht steroidhaltiger entzündungshemmender Antirheumatika (NSAR), verwendet werden.</w:t>
      </w:r>
    </w:p>
    <w:p w14:paraId="2474E781" w14:textId="77777777" w:rsidR="00FE291A" w:rsidRDefault="00FE291A">
      <w:pPr>
        <w:widowControl/>
        <w:kinsoku w:val="0"/>
        <w:overflowPunct w:val="0"/>
        <w:rPr>
          <w:sz w:val="22"/>
          <w:szCs w:val="22"/>
          <w:lang w:val="de-DE"/>
        </w:rPr>
      </w:pPr>
    </w:p>
    <w:p w14:paraId="33E21522" w14:textId="77777777" w:rsidR="00FE291A" w:rsidRDefault="00C8738F">
      <w:pPr>
        <w:pStyle w:val="BodyText"/>
        <w:widowControl/>
        <w:kinsoku w:val="0"/>
        <w:overflowPunct w:val="0"/>
        <w:ind w:left="0"/>
        <w:rPr>
          <w:lang w:val="de-DE"/>
        </w:rPr>
      </w:pPr>
      <w:r>
        <w:rPr>
          <w:lang w:val="de-DE"/>
        </w:rPr>
        <w:t>Sie dürfen AMGEVITA nicht zusammen mit Arzneimitteln verwenden, die als Wirkstoff Anakinra oder Abatacept enthalten, da ein erhöhtes Risiko einer schwerwiegenden Infektion besteht. Sollten Sie Fragen haben, wenden Sie sich bitte an Ihren Arzt.</w:t>
      </w:r>
    </w:p>
    <w:p w14:paraId="035187F5" w14:textId="77777777" w:rsidR="00FE291A" w:rsidRDefault="00FE291A">
      <w:pPr>
        <w:widowControl/>
        <w:kinsoku w:val="0"/>
        <w:overflowPunct w:val="0"/>
        <w:rPr>
          <w:sz w:val="22"/>
          <w:szCs w:val="22"/>
          <w:lang w:val="de-DE"/>
        </w:rPr>
      </w:pPr>
    </w:p>
    <w:p w14:paraId="69D963DF" w14:textId="77777777" w:rsidR="00FE291A" w:rsidRDefault="00C8738F">
      <w:pPr>
        <w:pStyle w:val="Heading1"/>
        <w:keepNext/>
        <w:widowControl/>
        <w:kinsoku w:val="0"/>
        <w:overflowPunct w:val="0"/>
        <w:ind w:left="0"/>
        <w:rPr>
          <w:b w:val="0"/>
          <w:bCs w:val="0"/>
          <w:lang w:val="de-DE"/>
        </w:rPr>
      </w:pPr>
      <w:r>
        <w:rPr>
          <w:lang w:val="de-DE"/>
        </w:rPr>
        <w:t>Schwangerschaft und Stillzeit</w:t>
      </w:r>
    </w:p>
    <w:p w14:paraId="53D93FC0" w14:textId="77777777" w:rsidR="00FE291A" w:rsidRDefault="00FE291A">
      <w:pPr>
        <w:pStyle w:val="BodyText"/>
        <w:keepNext/>
        <w:widowControl/>
        <w:kinsoku w:val="0"/>
        <w:overflowPunct w:val="0"/>
        <w:ind w:left="0"/>
        <w:rPr>
          <w:lang w:val="de-DE"/>
        </w:rPr>
      </w:pPr>
    </w:p>
    <w:p w14:paraId="506F7C25" w14:textId="77777777" w:rsidR="00FE291A" w:rsidRDefault="00C8738F">
      <w:pPr>
        <w:keepNext/>
        <w:widowControl/>
        <w:numPr>
          <w:ilvl w:val="0"/>
          <w:numId w:val="61"/>
        </w:numPr>
        <w:tabs>
          <w:tab w:val="clear" w:pos="360"/>
        </w:tabs>
        <w:autoSpaceDE/>
        <w:autoSpaceDN/>
        <w:adjustRightInd/>
        <w:ind w:left="567" w:hanging="567"/>
        <w:rPr>
          <w:sz w:val="22"/>
          <w:szCs w:val="22"/>
          <w:lang w:val="de-DE"/>
        </w:rPr>
      </w:pPr>
      <w:r>
        <w:rPr>
          <w:sz w:val="22"/>
          <w:szCs w:val="22"/>
          <w:lang w:val="de-DE"/>
        </w:rPr>
        <w:t xml:space="preserve">Sie sollten eine geeignete Verhütungsmethode in Erwägung ziehen, um nicht schwanger zu werden, und bis mindestens 5 Monate nach der letzten Dosis von AMGEVITA verhüten. </w:t>
      </w:r>
    </w:p>
    <w:p w14:paraId="5FFA77A6" w14:textId="77777777" w:rsidR="00FE291A" w:rsidRDefault="00C8738F">
      <w:pPr>
        <w:widowControl/>
        <w:numPr>
          <w:ilvl w:val="0"/>
          <w:numId w:val="61"/>
        </w:numPr>
        <w:tabs>
          <w:tab w:val="clear" w:pos="360"/>
        </w:tabs>
        <w:autoSpaceDE/>
        <w:autoSpaceDN/>
        <w:adjustRightInd/>
        <w:ind w:left="567" w:hanging="567"/>
        <w:rPr>
          <w:sz w:val="22"/>
          <w:szCs w:val="22"/>
          <w:lang w:val="de-DE"/>
        </w:rPr>
      </w:pPr>
      <w:r>
        <w:rPr>
          <w:sz w:val="22"/>
          <w:szCs w:val="22"/>
          <w:lang w:val="de-DE"/>
        </w:rPr>
        <w:t>Wenn Sie schwanger sind, vermuten, schwanger zu sein, oder beabsichtigen, schwanger zu werden, fragen Sie Ihren Arzt zur Anwendung dieses Arzneimittels um Rat.</w:t>
      </w:r>
    </w:p>
    <w:p w14:paraId="26CCFDD6" w14:textId="77777777" w:rsidR="00FE291A" w:rsidRDefault="00C8738F">
      <w:pPr>
        <w:widowControl/>
        <w:numPr>
          <w:ilvl w:val="0"/>
          <w:numId w:val="61"/>
        </w:numPr>
        <w:tabs>
          <w:tab w:val="clear" w:pos="360"/>
        </w:tabs>
        <w:autoSpaceDE/>
        <w:autoSpaceDN/>
        <w:adjustRightInd/>
        <w:ind w:left="567" w:hanging="567"/>
        <w:rPr>
          <w:sz w:val="22"/>
          <w:szCs w:val="22"/>
          <w:lang w:val="de-DE"/>
        </w:rPr>
      </w:pPr>
      <w:r>
        <w:rPr>
          <w:sz w:val="22"/>
          <w:szCs w:val="22"/>
          <w:lang w:val="de-DE"/>
        </w:rPr>
        <w:t>AMGEVITA sollte während einer Schwangerschaft nur angewendet werden, wenn dies erforderlich ist.</w:t>
      </w:r>
    </w:p>
    <w:p w14:paraId="2132CF1D" w14:textId="77777777" w:rsidR="00FE291A" w:rsidRDefault="00C8738F">
      <w:pPr>
        <w:widowControl/>
        <w:numPr>
          <w:ilvl w:val="0"/>
          <w:numId w:val="61"/>
        </w:numPr>
        <w:tabs>
          <w:tab w:val="clear" w:pos="360"/>
        </w:tabs>
        <w:autoSpaceDE/>
        <w:autoSpaceDN/>
        <w:adjustRightInd/>
        <w:ind w:left="567" w:hanging="567"/>
        <w:rPr>
          <w:sz w:val="22"/>
          <w:szCs w:val="22"/>
          <w:lang w:val="de-DE"/>
        </w:rPr>
      </w:pPr>
      <w:r>
        <w:rPr>
          <w:sz w:val="22"/>
          <w:szCs w:val="22"/>
          <w:lang w:val="de-DE"/>
        </w:rPr>
        <w:t>Laut einer Studie mit Schwangeren bestand bei Kindern von Müttern, die während der Schwangerschaft mit AMGEVITA behandelt wurden, kein höheres Risiko für Geburtsfehler als bei Kindern von Müttern mit der gleichen Erkrankung, die nicht mit AMGEVITA behandelt wurden.</w:t>
      </w:r>
    </w:p>
    <w:p w14:paraId="3540533E" w14:textId="77777777" w:rsidR="00FE291A" w:rsidRDefault="00C8738F">
      <w:pPr>
        <w:pStyle w:val="BodyText"/>
        <w:widowControl/>
        <w:numPr>
          <w:ilvl w:val="0"/>
          <w:numId w:val="62"/>
        </w:numPr>
        <w:kinsoku w:val="0"/>
        <w:overflowPunct w:val="0"/>
        <w:ind w:left="567" w:hanging="567"/>
        <w:rPr>
          <w:lang w:val="de-DE"/>
        </w:rPr>
      </w:pPr>
      <w:r>
        <w:rPr>
          <w:lang w:val="de-DE"/>
        </w:rPr>
        <w:t>AMGEVITA kann während der Stillzeit angewendet werden.</w:t>
      </w:r>
    </w:p>
    <w:p w14:paraId="7FC644D7" w14:textId="77777777" w:rsidR="00FE291A" w:rsidRDefault="00C8738F">
      <w:pPr>
        <w:pStyle w:val="BodyText"/>
        <w:widowControl/>
        <w:numPr>
          <w:ilvl w:val="0"/>
          <w:numId w:val="62"/>
        </w:numPr>
        <w:kinsoku w:val="0"/>
        <w:overflowPunct w:val="0"/>
        <w:ind w:left="567" w:hanging="567"/>
        <w:rPr>
          <w:lang w:val="de-DE"/>
        </w:rPr>
      </w:pPr>
      <w:r>
        <w:rPr>
          <w:lang w:val="de-DE"/>
        </w:rPr>
        <w:t>Wenn Sie AMGEVITA während Ihrer Schwangerschaft erhalten haben, hat Ihr Säugling eventuell ein erhöhtes Risiko, eine Infektion zu bekommen.</w:t>
      </w:r>
    </w:p>
    <w:p w14:paraId="744BEBB5" w14:textId="77777777" w:rsidR="00FE291A" w:rsidRDefault="00C8738F">
      <w:pPr>
        <w:pStyle w:val="BodyText"/>
        <w:widowControl/>
        <w:numPr>
          <w:ilvl w:val="0"/>
          <w:numId w:val="62"/>
        </w:numPr>
        <w:kinsoku w:val="0"/>
        <w:overflowPunct w:val="0"/>
        <w:ind w:left="567" w:hanging="567"/>
        <w:rPr>
          <w:lang w:val="de-DE"/>
        </w:rPr>
      </w:pPr>
      <w:r>
        <w:rPr>
          <w:lang w:val="de-DE"/>
        </w:rPr>
        <w:t>Es ist wichtig, dass Sie den Ärzten des Kindes und anderem Fachpersonal im Gesundheitswesen mitteilen, dass Sie AMGEVITA während der Schwangerschaft angewendet haben, bevor Ihr Säugling eine Impfung bekommt. Weitere Information siehe im Abschnitt zu Impfungen unter „Warnhinweise und Vorsichtsmaßnahmen“.</w:t>
      </w:r>
    </w:p>
    <w:p w14:paraId="1F9E657C" w14:textId="77777777" w:rsidR="00FE291A" w:rsidRDefault="00FE291A">
      <w:pPr>
        <w:pStyle w:val="Heading1"/>
        <w:widowControl/>
        <w:kinsoku w:val="0"/>
        <w:overflowPunct w:val="0"/>
        <w:ind w:left="0"/>
        <w:rPr>
          <w:b w:val="0"/>
          <w:lang w:val="de-DE"/>
        </w:rPr>
      </w:pPr>
    </w:p>
    <w:p w14:paraId="1AA7FAB9" w14:textId="77777777" w:rsidR="00FE291A" w:rsidRDefault="00C8738F">
      <w:pPr>
        <w:pStyle w:val="Heading1"/>
        <w:keepNext/>
        <w:widowControl/>
        <w:kinsoku w:val="0"/>
        <w:overflowPunct w:val="0"/>
        <w:ind w:left="0"/>
        <w:rPr>
          <w:b w:val="0"/>
          <w:bCs w:val="0"/>
          <w:lang w:val="de-DE"/>
        </w:rPr>
      </w:pPr>
      <w:r>
        <w:rPr>
          <w:lang w:val="de-DE"/>
        </w:rPr>
        <w:t>Verkehrstüchtigkeit und Fähigkeit zum Bedienen von Maschinen</w:t>
      </w:r>
    </w:p>
    <w:p w14:paraId="394A5948" w14:textId="77777777" w:rsidR="00FE291A" w:rsidRDefault="00FE291A">
      <w:pPr>
        <w:keepNext/>
        <w:widowControl/>
        <w:kinsoku w:val="0"/>
        <w:overflowPunct w:val="0"/>
        <w:rPr>
          <w:sz w:val="22"/>
          <w:szCs w:val="22"/>
          <w:lang w:val="de-DE"/>
        </w:rPr>
      </w:pPr>
    </w:p>
    <w:p w14:paraId="74500355" w14:textId="77777777" w:rsidR="00FE291A" w:rsidRDefault="00C8738F">
      <w:pPr>
        <w:pStyle w:val="BodyText"/>
        <w:widowControl/>
        <w:kinsoku w:val="0"/>
        <w:overflowPunct w:val="0"/>
        <w:ind w:left="0"/>
        <w:rPr>
          <w:lang w:val="de-DE"/>
        </w:rPr>
      </w:pPr>
      <w:r>
        <w:rPr>
          <w:lang w:val="de-DE"/>
        </w:rPr>
        <w:t>AMGEVITA kann einen geringen Einfluss auf Ihre Verkehrstüchtigkeit und das Bedienen von Maschinen haben. Bei der Anwendung von AMGEVITA kann das Sehvermögen beeinträchtigt sein und es kann das Gefühl auftreten, dass sich der Raum dreht (Schwindel).</w:t>
      </w:r>
    </w:p>
    <w:p w14:paraId="3C9CCE76" w14:textId="77777777" w:rsidR="00FE291A" w:rsidRDefault="00FE291A">
      <w:pPr>
        <w:widowControl/>
        <w:kinsoku w:val="0"/>
        <w:overflowPunct w:val="0"/>
        <w:rPr>
          <w:sz w:val="22"/>
          <w:szCs w:val="22"/>
          <w:lang w:val="de-DE"/>
        </w:rPr>
      </w:pPr>
    </w:p>
    <w:p w14:paraId="66A96500" w14:textId="77777777" w:rsidR="00FE291A" w:rsidRDefault="00C8738F">
      <w:pPr>
        <w:pStyle w:val="Heading1"/>
        <w:keepNext/>
        <w:keepLines/>
        <w:widowControl/>
        <w:kinsoku w:val="0"/>
        <w:overflowPunct w:val="0"/>
        <w:ind w:left="0"/>
        <w:rPr>
          <w:lang w:val="de-DE"/>
        </w:rPr>
      </w:pPr>
      <w:r>
        <w:rPr>
          <w:lang w:val="de-DE"/>
        </w:rPr>
        <w:t>AMGEVITA enthält Natrium</w:t>
      </w:r>
    </w:p>
    <w:p w14:paraId="0B948C91" w14:textId="77777777" w:rsidR="00FE291A" w:rsidRDefault="00FE291A">
      <w:pPr>
        <w:keepNext/>
        <w:keepLines/>
        <w:widowControl/>
        <w:kinsoku w:val="0"/>
        <w:overflowPunct w:val="0"/>
        <w:rPr>
          <w:sz w:val="22"/>
          <w:szCs w:val="22"/>
          <w:lang w:val="de-DE"/>
        </w:rPr>
      </w:pPr>
    </w:p>
    <w:p w14:paraId="5CE148CD" w14:textId="77777777" w:rsidR="00FE291A" w:rsidRDefault="00C8738F">
      <w:pPr>
        <w:pStyle w:val="BodyText"/>
        <w:widowControl/>
        <w:kinsoku w:val="0"/>
        <w:overflowPunct w:val="0"/>
        <w:ind w:left="0"/>
        <w:rPr>
          <w:lang w:val="de-DE"/>
        </w:rPr>
      </w:pPr>
      <w:r>
        <w:rPr>
          <w:lang w:val="de-DE"/>
        </w:rPr>
        <w:t>Dieses Arzneimittel enthält weniger als 1 mmol Natrium (23 mg) pro 0,8 ml Dosis, d. h., es ist nahezu „natriumfrei“.</w:t>
      </w:r>
    </w:p>
    <w:p w14:paraId="49B2CE2B" w14:textId="77777777" w:rsidR="00FE291A" w:rsidRDefault="00FE291A">
      <w:pPr>
        <w:widowControl/>
        <w:kinsoku w:val="0"/>
        <w:overflowPunct w:val="0"/>
        <w:rPr>
          <w:sz w:val="22"/>
          <w:szCs w:val="22"/>
          <w:lang w:val="de-DE"/>
        </w:rPr>
      </w:pPr>
    </w:p>
    <w:p w14:paraId="6B9C1E76" w14:textId="77777777" w:rsidR="00FE291A" w:rsidRDefault="00FE291A">
      <w:pPr>
        <w:widowControl/>
        <w:kinsoku w:val="0"/>
        <w:overflowPunct w:val="0"/>
        <w:rPr>
          <w:sz w:val="22"/>
          <w:szCs w:val="22"/>
          <w:lang w:val="de-DE"/>
        </w:rPr>
      </w:pPr>
    </w:p>
    <w:p w14:paraId="5F4982B6" w14:textId="77777777" w:rsidR="00FE291A" w:rsidRDefault="00C8738F">
      <w:pPr>
        <w:pStyle w:val="Heading1"/>
        <w:keepNext/>
        <w:widowControl/>
        <w:tabs>
          <w:tab w:val="left" w:pos="567"/>
        </w:tabs>
        <w:kinsoku w:val="0"/>
        <w:overflowPunct w:val="0"/>
        <w:ind w:left="0"/>
        <w:rPr>
          <w:b w:val="0"/>
          <w:bCs w:val="0"/>
          <w:lang w:val="de-DE"/>
        </w:rPr>
      </w:pPr>
      <w:r>
        <w:rPr>
          <w:lang w:val="de-DE"/>
        </w:rPr>
        <w:t>3.</w:t>
      </w:r>
      <w:r>
        <w:rPr>
          <w:lang w:val="de-DE"/>
        </w:rPr>
        <w:tab/>
        <w:t>Wie ist AMGEVITA anzuwenden?</w:t>
      </w:r>
    </w:p>
    <w:p w14:paraId="2228650C" w14:textId="77777777" w:rsidR="00FE291A" w:rsidRDefault="00FE291A">
      <w:pPr>
        <w:keepNext/>
        <w:widowControl/>
        <w:kinsoku w:val="0"/>
        <w:overflowPunct w:val="0"/>
        <w:rPr>
          <w:sz w:val="22"/>
          <w:szCs w:val="22"/>
          <w:lang w:val="de-DE"/>
        </w:rPr>
      </w:pPr>
    </w:p>
    <w:p w14:paraId="02B94A8A" w14:textId="77777777" w:rsidR="00FE291A" w:rsidRDefault="00C8738F">
      <w:pPr>
        <w:pStyle w:val="BodyText"/>
        <w:widowControl/>
        <w:kinsoku w:val="0"/>
        <w:overflowPunct w:val="0"/>
        <w:ind w:left="0"/>
        <w:rPr>
          <w:lang w:val="de-DE"/>
        </w:rPr>
      </w:pPr>
      <w:r>
        <w:rPr>
          <w:lang w:val="de-DE"/>
        </w:rPr>
        <w:t>Wenden Sie dieses Arzneimittel immer genau nach Absprache mit Ihrem Arzt oder Apotheker an. Fragen Sie bei Ihrem Arzt oder Apotheker nach, wenn Sie sich nicht sicher sind.</w:t>
      </w:r>
    </w:p>
    <w:p w14:paraId="196D470F" w14:textId="77777777" w:rsidR="00FE291A" w:rsidRDefault="00FE291A">
      <w:pPr>
        <w:widowControl/>
        <w:kinsoku w:val="0"/>
        <w:overflowPunct w:val="0"/>
        <w:rPr>
          <w:sz w:val="22"/>
          <w:szCs w:val="22"/>
          <w:lang w:val="de-DE"/>
        </w:rPr>
      </w:pPr>
    </w:p>
    <w:p w14:paraId="104BC366" w14:textId="77777777" w:rsidR="00FE291A" w:rsidRDefault="00C8738F">
      <w:pPr>
        <w:pStyle w:val="BodyText"/>
        <w:keepNext/>
        <w:widowControl/>
        <w:kinsoku w:val="0"/>
        <w:overflowPunct w:val="0"/>
        <w:ind w:left="0"/>
        <w:rPr>
          <w:lang w:val="de-DE"/>
        </w:rPr>
      </w:pPr>
      <w:r>
        <w:rPr>
          <w:u w:val="single"/>
          <w:lang w:val="de-DE"/>
        </w:rPr>
        <w:t>Erwachsene mit rheumatoider Arthritis, Psoriasis-Arthritis, ankylosierender Spondylitis oder axialer</w:t>
      </w:r>
      <w:r>
        <w:rPr>
          <w:lang w:val="de-DE"/>
        </w:rPr>
        <w:t xml:space="preserve"> </w:t>
      </w:r>
      <w:r>
        <w:rPr>
          <w:u w:val="single"/>
          <w:lang w:val="de-DE"/>
        </w:rPr>
        <w:t>Spondyloarthritis, bei der im Röntgenbild noch keine Verknöcherung nachweisbar ist</w:t>
      </w:r>
    </w:p>
    <w:p w14:paraId="4593EC55" w14:textId="77777777" w:rsidR="00FE291A" w:rsidRDefault="00FE291A">
      <w:pPr>
        <w:keepNext/>
        <w:widowControl/>
        <w:kinsoku w:val="0"/>
        <w:overflowPunct w:val="0"/>
        <w:rPr>
          <w:sz w:val="22"/>
          <w:szCs w:val="22"/>
          <w:lang w:val="de-DE"/>
        </w:rPr>
      </w:pPr>
    </w:p>
    <w:p w14:paraId="56DE4F45" w14:textId="77777777" w:rsidR="00FE291A" w:rsidRDefault="00C8738F">
      <w:pPr>
        <w:pStyle w:val="BodyText"/>
        <w:widowControl/>
        <w:kinsoku w:val="0"/>
        <w:overflowPunct w:val="0"/>
        <w:ind w:left="0"/>
        <w:rPr>
          <w:lang w:val="de-DE"/>
        </w:rPr>
      </w:pPr>
      <w:r>
        <w:rPr>
          <w:lang w:val="de-DE"/>
        </w:rPr>
        <w:t>AMGEVITA wird unter die Haut gespritzt (subkutane Anwendung). Die übliche Dosis für Erwachsene mit rheumatoider Arthritis, ankylosierender Spondylitis, axialer Spondyloarthritis, bei der im Röntgenbild noch keine Verknöcherung nachweisbar ist, und für Patienten mit Psoriasis-Arthritis beträgt 40 mg, die alle zwei Wochen als Einzeldosis verabreicht wird.</w:t>
      </w:r>
    </w:p>
    <w:p w14:paraId="2993F477" w14:textId="77777777" w:rsidR="00FE291A" w:rsidRDefault="00FE291A">
      <w:pPr>
        <w:widowControl/>
        <w:kinsoku w:val="0"/>
        <w:overflowPunct w:val="0"/>
        <w:rPr>
          <w:sz w:val="22"/>
          <w:szCs w:val="22"/>
          <w:lang w:val="de-DE"/>
        </w:rPr>
      </w:pPr>
    </w:p>
    <w:p w14:paraId="2C165060" w14:textId="77777777" w:rsidR="00FE291A" w:rsidRDefault="00C8738F">
      <w:pPr>
        <w:pStyle w:val="BodyText"/>
        <w:widowControl/>
        <w:kinsoku w:val="0"/>
        <w:overflowPunct w:val="0"/>
        <w:ind w:left="0"/>
        <w:rPr>
          <w:lang w:val="de-DE"/>
        </w:rPr>
      </w:pPr>
      <w:r>
        <w:rPr>
          <w:lang w:val="de-DE"/>
        </w:rPr>
        <w:t>Während Sie AMGEVITA bei rheumatoider Arthritis anwenden, wird die Gabe von Methotrexat fortgesetzt. Sollte Ihr Arzt die Gabe von Methotrexat als nicht geeignet erachten, kann AMGEVITA auch alleine angewendet werden.</w:t>
      </w:r>
    </w:p>
    <w:p w14:paraId="6F162FDD" w14:textId="77777777" w:rsidR="00FE291A" w:rsidRDefault="00FE291A">
      <w:pPr>
        <w:widowControl/>
        <w:kinsoku w:val="0"/>
        <w:overflowPunct w:val="0"/>
        <w:rPr>
          <w:sz w:val="22"/>
          <w:szCs w:val="22"/>
          <w:lang w:val="de-DE"/>
        </w:rPr>
      </w:pPr>
    </w:p>
    <w:p w14:paraId="41372BF1" w14:textId="77777777" w:rsidR="00FE291A" w:rsidRDefault="00C8738F">
      <w:pPr>
        <w:pStyle w:val="BodyText"/>
        <w:widowControl/>
        <w:kinsoku w:val="0"/>
        <w:overflowPunct w:val="0"/>
        <w:ind w:left="0"/>
        <w:rPr>
          <w:lang w:val="de-DE"/>
        </w:rPr>
      </w:pPr>
      <w:r>
        <w:rPr>
          <w:lang w:val="de-DE"/>
        </w:rPr>
        <w:t>Falls Sie an rheumatoider Arthritis erkrankt sind und kein Methotrexat begleitend zu Ihrer Behandlung mit AMGEVITA erhalten, kann Ihr Arzt sich für eine Gabe von 40 mg jede Woche oder 80 mg jede zweite Woche entscheiden.</w:t>
      </w:r>
    </w:p>
    <w:p w14:paraId="7C9DA3B9" w14:textId="77777777" w:rsidR="00FE291A" w:rsidRDefault="00FE291A">
      <w:pPr>
        <w:widowControl/>
        <w:kinsoku w:val="0"/>
        <w:overflowPunct w:val="0"/>
        <w:rPr>
          <w:sz w:val="22"/>
          <w:szCs w:val="22"/>
          <w:lang w:val="de-DE"/>
        </w:rPr>
      </w:pPr>
    </w:p>
    <w:p w14:paraId="469EF4FB" w14:textId="77777777" w:rsidR="00FE291A" w:rsidRDefault="00C8738F">
      <w:pPr>
        <w:pStyle w:val="BodyText"/>
        <w:keepNext/>
        <w:widowControl/>
        <w:kinsoku w:val="0"/>
        <w:overflowPunct w:val="0"/>
        <w:ind w:left="0"/>
        <w:rPr>
          <w:lang w:val="de-DE"/>
        </w:rPr>
      </w:pPr>
      <w:r>
        <w:rPr>
          <w:u w:val="single"/>
          <w:lang w:val="de-DE"/>
        </w:rPr>
        <w:t>Kinder, Jugendliche und Erwachsene mit polyartikulärer juveniler idiopathischer Arthritis</w:t>
      </w:r>
    </w:p>
    <w:p w14:paraId="5B2915ED" w14:textId="77777777" w:rsidR="00FE291A" w:rsidRDefault="00FE291A">
      <w:pPr>
        <w:keepNext/>
        <w:widowControl/>
        <w:kinsoku w:val="0"/>
        <w:overflowPunct w:val="0"/>
        <w:rPr>
          <w:sz w:val="22"/>
          <w:szCs w:val="22"/>
          <w:lang w:val="de-DE"/>
        </w:rPr>
      </w:pPr>
    </w:p>
    <w:p w14:paraId="523B0FA5" w14:textId="77777777" w:rsidR="00FE291A" w:rsidRDefault="00C8738F">
      <w:pPr>
        <w:keepNext/>
        <w:rPr>
          <w:i/>
          <w:sz w:val="22"/>
          <w:szCs w:val="22"/>
          <w:lang w:val="de-DE"/>
        </w:rPr>
      </w:pPr>
      <w:r>
        <w:rPr>
          <w:i/>
          <w:sz w:val="22"/>
          <w:szCs w:val="22"/>
          <w:lang w:val="de-DE"/>
        </w:rPr>
        <w:t>Kinder ab 2 Jahren, Jugendliche und Erwachsene mit einem Körpergewicht von 30 kg oder mehr</w:t>
      </w:r>
    </w:p>
    <w:p w14:paraId="3ED41205" w14:textId="77777777" w:rsidR="00FE291A" w:rsidRDefault="00FE291A">
      <w:pPr>
        <w:keepNext/>
        <w:widowControl/>
        <w:kinsoku w:val="0"/>
        <w:overflowPunct w:val="0"/>
        <w:rPr>
          <w:sz w:val="22"/>
          <w:szCs w:val="22"/>
          <w:lang w:val="de-DE"/>
        </w:rPr>
      </w:pPr>
    </w:p>
    <w:p w14:paraId="68C424ED" w14:textId="77777777" w:rsidR="00FE291A" w:rsidRDefault="00C8738F">
      <w:pPr>
        <w:pStyle w:val="BodyText"/>
        <w:widowControl/>
        <w:kinsoku w:val="0"/>
        <w:overflowPunct w:val="0"/>
        <w:ind w:left="0"/>
        <w:rPr>
          <w:lang w:val="de-DE"/>
        </w:rPr>
      </w:pPr>
      <w:r>
        <w:rPr>
          <w:lang w:val="de-DE"/>
        </w:rPr>
        <w:t>Die empfohlene Dosierung von AMGEVITA beträgt 40 mg jede zweite Woche.</w:t>
      </w:r>
    </w:p>
    <w:p w14:paraId="47C99381" w14:textId="77777777" w:rsidR="00FE291A" w:rsidRDefault="00FE291A">
      <w:pPr>
        <w:pStyle w:val="BodyText"/>
        <w:widowControl/>
        <w:kinsoku w:val="0"/>
        <w:overflowPunct w:val="0"/>
        <w:ind w:left="0"/>
        <w:rPr>
          <w:lang w:val="de-DE"/>
        </w:rPr>
      </w:pPr>
    </w:p>
    <w:p w14:paraId="1B2C9BED" w14:textId="77777777" w:rsidR="00FE291A" w:rsidRDefault="00C8738F">
      <w:pPr>
        <w:pStyle w:val="BodyText"/>
        <w:keepNext/>
        <w:widowControl/>
        <w:kinsoku w:val="0"/>
        <w:overflowPunct w:val="0"/>
        <w:ind w:left="0"/>
        <w:rPr>
          <w:lang w:val="de-DE"/>
        </w:rPr>
      </w:pPr>
      <w:r>
        <w:rPr>
          <w:u w:val="single"/>
          <w:lang w:val="de-DE"/>
        </w:rPr>
        <w:t>Kinder, Jugendliche und Erwachsene mit Enthesitis-assoziierter Arthritis</w:t>
      </w:r>
    </w:p>
    <w:p w14:paraId="19668155" w14:textId="77777777" w:rsidR="00FE291A" w:rsidRDefault="00FE291A">
      <w:pPr>
        <w:keepNext/>
        <w:rPr>
          <w:sz w:val="22"/>
          <w:szCs w:val="22"/>
          <w:lang w:val="de-DE"/>
        </w:rPr>
      </w:pPr>
    </w:p>
    <w:p w14:paraId="0C7C5021" w14:textId="77777777" w:rsidR="00FE291A" w:rsidRDefault="00C8738F">
      <w:pPr>
        <w:keepNext/>
        <w:rPr>
          <w:i/>
          <w:sz w:val="22"/>
          <w:szCs w:val="22"/>
          <w:lang w:val="de-DE"/>
        </w:rPr>
      </w:pPr>
      <w:r>
        <w:rPr>
          <w:i/>
          <w:sz w:val="22"/>
          <w:szCs w:val="22"/>
          <w:lang w:val="de-DE"/>
        </w:rPr>
        <w:t>Kinder ab 6 Jahren, Jugendliche und Erwachsene mit einem Körpergewicht von 30 kg oder mehr</w:t>
      </w:r>
    </w:p>
    <w:p w14:paraId="181AC8F3" w14:textId="77777777" w:rsidR="00FE291A" w:rsidRDefault="00FE291A">
      <w:pPr>
        <w:keepNext/>
        <w:rPr>
          <w:i/>
          <w:sz w:val="22"/>
          <w:szCs w:val="22"/>
          <w:lang w:val="de-DE"/>
        </w:rPr>
      </w:pPr>
    </w:p>
    <w:p w14:paraId="569BC647" w14:textId="77777777" w:rsidR="00FE291A" w:rsidRDefault="00C8738F">
      <w:pPr>
        <w:keepNext/>
        <w:rPr>
          <w:sz w:val="22"/>
          <w:szCs w:val="22"/>
          <w:lang w:val="de-DE"/>
        </w:rPr>
      </w:pPr>
      <w:r>
        <w:rPr>
          <w:sz w:val="22"/>
          <w:szCs w:val="22"/>
          <w:lang w:val="de-DE"/>
        </w:rPr>
        <w:t>Die empfohlene Dosierung von AMGEVITA beträgt 40 mg jede zweite Woche.</w:t>
      </w:r>
    </w:p>
    <w:p w14:paraId="31126DE2" w14:textId="77777777" w:rsidR="00FE291A" w:rsidRDefault="00FE291A">
      <w:pPr>
        <w:pStyle w:val="BodyText"/>
        <w:widowControl/>
        <w:kinsoku w:val="0"/>
        <w:overflowPunct w:val="0"/>
        <w:ind w:left="0"/>
        <w:rPr>
          <w:lang w:val="de-DE"/>
        </w:rPr>
      </w:pPr>
    </w:p>
    <w:p w14:paraId="2B0E33A5" w14:textId="77777777" w:rsidR="00FE291A" w:rsidRDefault="00C8738F">
      <w:pPr>
        <w:pStyle w:val="BodyText"/>
        <w:keepNext/>
        <w:widowControl/>
        <w:kinsoku w:val="0"/>
        <w:overflowPunct w:val="0"/>
        <w:ind w:left="0"/>
        <w:rPr>
          <w:lang w:val="de-DE"/>
        </w:rPr>
      </w:pPr>
      <w:r>
        <w:rPr>
          <w:u w:val="single"/>
          <w:lang w:val="de-DE"/>
        </w:rPr>
        <w:t>Erwachsene mit Plaque-Psoriasis</w:t>
      </w:r>
    </w:p>
    <w:p w14:paraId="5AE011CA" w14:textId="77777777" w:rsidR="00FE291A" w:rsidRDefault="00FE291A">
      <w:pPr>
        <w:keepNext/>
        <w:widowControl/>
        <w:kinsoku w:val="0"/>
        <w:overflowPunct w:val="0"/>
        <w:rPr>
          <w:sz w:val="22"/>
          <w:szCs w:val="22"/>
          <w:lang w:val="de-DE"/>
        </w:rPr>
      </w:pPr>
    </w:p>
    <w:p w14:paraId="61174BD8" w14:textId="77777777" w:rsidR="00FE291A" w:rsidRDefault="00C8738F">
      <w:pPr>
        <w:pStyle w:val="BodyText"/>
        <w:widowControl/>
        <w:kinsoku w:val="0"/>
        <w:overflowPunct w:val="0"/>
        <w:ind w:left="0"/>
        <w:rPr>
          <w:lang w:val="de-DE"/>
        </w:rPr>
      </w:pPr>
      <w:r>
        <w:rPr>
          <w:lang w:val="de-DE"/>
        </w:rPr>
        <w:t>Die übliche Dosierung für erwachsene Plaque-Psoriasispatienten beträgt 80 mg als Anfangsdosis (als zwei Injektionen von 40 mg an einem Tag), gefolgt von 40 mg jede zweite Woche, beginnend eine Woche nach der Anfangsdosis. Sie sollten AMGEVITA so lange spritzen, wie Sie dies mit Ihrem Arzt besprochen haben. Je nachdem, wie Sie auf die Behandlung ansprechen, kann Ihr Arzt die Dosis auf 40 mg jede Woche oder 80 mg jede zweite Woche erhöhen.</w:t>
      </w:r>
    </w:p>
    <w:p w14:paraId="55C59906" w14:textId="77777777" w:rsidR="00FE291A" w:rsidRDefault="00FE291A">
      <w:pPr>
        <w:widowControl/>
        <w:kinsoku w:val="0"/>
        <w:overflowPunct w:val="0"/>
        <w:rPr>
          <w:sz w:val="22"/>
          <w:szCs w:val="22"/>
          <w:lang w:val="de-DE"/>
        </w:rPr>
      </w:pPr>
    </w:p>
    <w:p w14:paraId="188C692D" w14:textId="77777777" w:rsidR="00FE291A" w:rsidRDefault="00C8738F">
      <w:pPr>
        <w:pStyle w:val="BodyText"/>
        <w:keepNext/>
        <w:widowControl/>
        <w:kinsoku w:val="0"/>
        <w:overflowPunct w:val="0"/>
        <w:ind w:left="0"/>
        <w:rPr>
          <w:lang w:val="de-DE"/>
        </w:rPr>
      </w:pPr>
      <w:r>
        <w:rPr>
          <w:u w:val="single"/>
          <w:lang w:val="de-DE"/>
        </w:rPr>
        <w:t>Kinder und Jugendliche mit Plaque-Psoriasis</w:t>
      </w:r>
    </w:p>
    <w:p w14:paraId="5DABAFB3" w14:textId="77777777" w:rsidR="00FE291A" w:rsidRDefault="00FE291A">
      <w:pPr>
        <w:pStyle w:val="BodyText"/>
        <w:keepNext/>
        <w:widowControl/>
        <w:kinsoku w:val="0"/>
        <w:overflowPunct w:val="0"/>
        <w:ind w:left="0"/>
        <w:rPr>
          <w:lang w:val="de-DE"/>
        </w:rPr>
      </w:pPr>
    </w:p>
    <w:p w14:paraId="1E804364" w14:textId="77777777" w:rsidR="00FE291A" w:rsidRDefault="00C8738F">
      <w:pPr>
        <w:keepNext/>
        <w:rPr>
          <w:i/>
          <w:sz w:val="22"/>
          <w:szCs w:val="22"/>
          <w:lang w:val="de-DE"/>
        </w:rPr>
      </w:pPr>
      <w:r>
        <w:rPr>
          <w:i/>
          <w:sz w:val="22"/>
          <w:szCs w:val="22"/>
          <w:lang w:val="de-DE"/>
        </w:rPr>
        <w:t>Kinder und Jugendliche zwischen 4 und 17 Jahren und einem Körpergewicht von 30 kg oder mehr</w:t>
      </w:r>
    </w:p>
    <w:p w14:paraId="39A6133E" w14:textId="77777777" w:rsidR="00FE291A" w:rsidRDefault="00FE291A">
      <w:pPr>
        <w:keepNext/>
        <w:rPr>
          <w:sz w:val="22"/>
          <w:szCs w:val="22"/>
          <w:lang w:val="de-DE"/>
        </w:rPr>
      </w:pPr>
    </w:p>
    <w:p w14:paraId="333D090A" w14:textId="77777777" w:rsidR="00FE291A" w:rsidRDefault="00C8738F">
      <w:pPr>
        <w:pStyle w:val="BodyText"/>
        <w:keepNext/>
        <w:widowControl/>
        <w:kinsoku w:val="0"/>
        <w:overflowPunct w:val="0"/>
        <w:ind w:left="0"/>
        <w:rPr>
          <w:lang w:val="de-DE"/>
        </w:rPr>
      </w:pPr>
      <w:r>
        <w:rPr>
          <w:lang w:val="de-DE"/>
        </w:rPr>
        <w:t>Die empfohlene Anfangsdosis von AMGEVITA beträgt 40 mg, gefolgt von 40 mg eine Woche später. Danach werden üblicherweise 40 mg jede zweite Woche verabreicht.</w:t>
      </w:r>
    </w:p>
    <w:p w14:paraId="4790A477" w14:textId="77777777" w:rsidR="00FE291A" w:rsidRDefault="00FE291A">
      <w:pPr>
        <w:widowControl/>
        <w:kinsoku w:val="0"/>
        <w:overflowPunct w:val="0"/>
        <w:rPr>
          <w:sz w:val="22"/>
          <w:szCs w:val="22"/>
          <w:lang w:val="de-DE"/>
        </w:rPr>
      </w:pPr>
    </w:p>
    <w:p w14:paraId="13024F49" w14:textId="77777777" w:rsidR="00FE291A" w:rsidRDefault="00C8738F">
      <w:pPr>
        <w:pStyle w:val="BodyText"/>
        <w:keepNext/>
        <w:widowControl/>
        <w:kinsoku w:val="0"/>
        <w:overflowPunct w:val="0"/>
        <w:ind w:left="0"/>
        <w:rPr>
          <w:lang w:val="de-DE"/>
        </w:rPr>
      </w:pPr>
      <w:r>
        <w:rPr>
          <w:u w:val="single"/>
          <w:lang w:val="de-DE"/>
        </w:rPr>
        <w:t>Erwachsene mit Hidradenitis suppurativa (Acne inversa)</w:t>
      </w:r>
    </w:p>
    <w:p w14:paraId="5AA86621" w14:textId="77777777" w:rsidR="00FE291A" w:rsidRDefault="00FE291A">
      <w:pPr>
        <w:keepNext/>
        <w:widowControl/>
        <w:kinsoku w:val="0"/>
        <w:overflowPunct w:val="0"/>
        <w:rPr>
          <w:sz w:val="22"/>
          <w:szCs w:val="22"/>
          <w:lang w:val="de-DE"/>
        </w:rPr>
      </w:pPr>
    </w:p>
    <w:p w14:paraId="0962EC30" w14:textId="77777777" w:rsidR="00FE291A" w:rsidRDefault="00C8738F">
      <w:pPr>
        <w:pStyle w:val="BodyText"/>
        <w:widowControl/>
        <w:kinsoku w:val="0"/>
        <w:overflowPunct w:val="0"/>
        <w:ind w:left="0"/>
        <w:rPr>
          <w:lang w:val="de-DE"/>
        </w:rPr>
      </w:pPr>
      <w:r>
        <w:rPr>
          <w:lang w:val="de-DE"/>
        </w:rPr>
        <w:t>Die übliche Dosierung für Hidradenitis suppurativa ist eine Anfangsdosis von 160 mg (in Form von vier 40 mg-Injektionen innerhalb eines Tages oder von zwei 40 mg-Injektionen pro Tag an zwei aufeinanderfolgenden Tagen), gefolgt von einer Dosis von 80 mg (als zwei 40 mg-Injektionen an einem Tag) zwei Wochen später. Nach zwei weiteren Wochen wird die Behandlung mit einer Dosis von 40 mg jede Woche oder 80 mg jede zweite Woche nach Anweisung Ihres Arztes fortgesetzt. Es wird empfohlen, dass Sie an den betroffenen Stellen täglich eine antiseptische Waschlösung anwenden.</w:t>
      </w:r>
    </w:p>
    <w:p w14:paraId="330BAC01" w14:textId="77777777" w:rsidR="00FE291A" w:rsidRDefault="00FE291A">
      <w:pPr>
        <w:widowControl/>
        <w:kinsoku w:val="0"/>
        <w:overflowPunct w:val="0"/>
        <w:rPr>
          <w:sz w:val="22"/>
          <w:szCs w:val="22"/>
          <w:lang w:val="de-DE"/>
        </w:rPr>
      </w:pPr>
    </w:p>
    <w:p w14:paraId="61D26F8A" w14:textId="77777777" w:rsidR="00FE291A" w:rsidRDefault="00C8738F">
      <w:pPr>
        <w:numPr>
          <w:ilvl w:val="12"/>
          <w:numId w:val="0"/>
        </w:numPr>
        <w:ind w:right="-2"/>
        <w:rPr>
          <w:sz w:val="22"/>
          <w:szCs w:val="22"/>
          <w:u w:val="single"/>
          <w:lang w:val="de-DE"/>
        </w:rPr>
      </w:pPr>
      <w:r>
        <w:rPr>
          <w:sz w:val="22"/>
          <w:szCs w:val="22"/>
          <w:u w:val="single"/>
          <w:lang w:val="de-DE"/>
        </w:rPr>
        <w:t>Jugendliche mit Hidradenitis suppurativa (Acne inversa) zwischen 12 und 17 Jahren und einem Körpergewicht von 30 kg oder mehr</w:t>
      </w:r>
    </w:p>
    <w:p w14:paraId="610DDE6B" w14:textId="77777777" w:rsidR="00FE291A" w:rsidRDefault="00FE291A">
      <w:pPr>
        <w:numPr>
          <w:ilvl w:val="12"/>
          <w:numId w:val="0"/>
        </w:numPr>
        <w:ind w:right="-2"/>
        <w:rPr>
          <w:sz w:val="22"/>
          <w:szCs w:val="22"/>
          <w:lang w:val="de-DE"/>
        </w:rPr>
      </w:pPr>
    </w:p>
    <w:p w14:paraId="6C1A8E2D" w14:textId="77777777" w:rsidR="00FE291A" w:rsidRDefault="00C8738F">
      <w:pPr>
        <w:numPr>
          <w:ilvl w:val="12"/>
          <w:numId w:val="0"/>
        </w:numPr>
        <w:ind w:right="-2"/>
        <w:rPr>
          <w:sz w:val="22"/>
          <w:szCs w:val="22"/>
          <w:lang w:val="de-DE"/>
        </w:rPr>
      </w:pPr>
      <w:r>
        <w:rPr>
          <w:sz w:val="22"/>
          <w:szCs w:val="22"/>
          <w:lang w:val="de-DE"/>
        </w:rPr>
        <w:t>Die empfohlene Anfangsdosis von AMGEVITA beträgt 80 mg (als zwei Injektionen von 40 mg an einem Tag). Nach einer Woche werden 40 mg jede zweite Woche verabreicht. Wenn der Patient unzureichend auf die Behandlung mit AMGEVITA 40 mg jede zweite Woche anspricht, kann der Arzt die Dosis auf 40 mg jede Woche oder 80 mg jede zweite Woche erhöhen.</w:t>
      </w:r>
    </w:p>
    <w:p w14:paraId="51CD5659" w14:textId="77777777" w:rsidR="00FE291A" w:rsidRDefault="00FE291A">
      <w:pPr>
        <w:numPr>
          <w:ilvl w:val="12"/>
          <w:numId w:val="0"/>
        </w:numPr>
        <w:ind w:right="-2"/>
        <w:rPr>
          <w:sz w:val="22"/>
          <w:szCs w:val="22"/>
          <w:lang w:val="de-DE"/>
        </w:rPr>
      </w:pPr>
    </w:p>
    <w:p w14:paraId="4D7673DD" w14:textId="77777777" w:rsidR="00FE291A" w:rsidRDefault="00C8738F">
      <w:pPr>
        <w:widowControl/>
        <w:kinsoku w:val="0"/>
        <w:overflowPunct w:val="0"/>
        <w:rPr>
          <w:sz w:val="22"/>
          <w:szCs w:val="22"/>
          <w:lang w:val="de-DE"/>
        </w:rPr>
      </w:pPr>
      <w:r>
        <w:rPr>
          <w:sz w:val="22"/>
          <w:szCs w:val="22"/>
          <w:lang w:val="de-DE"/>
        </w:rPr>
        <w:t>Es wird empfohlen, dass der Patient an den betroffenen Stellen täglich eine antiseptische Waschlösung anwendet.</w:t>
      </w:r>
    </w:p>
    <w:p w14:paraId="5447D5D4" w14:textId="77777777" w:rsidR="00FE291A" w:rsidRDefault="00FE291A">
      <w:pPr>
        <w:widowControl/>
        <w:kinsoku w:val="0"/>
        <w:overflowPunct w:val="0"/>
        <w:rPr>
          <w:sz w:val="22"/>
          <w:szCs w:val="22"/>
          <w:lang w:val="de-DE"/>
        </w:rPr>
      </w:pPr>
    </w:p>
    <w:p w14:paraId="62E2F91C" w14:textId="77777777" w:rsidR="00FE291A" w:rsidRDefault="00C8738F">
      <w:pPr>
        <w:pStyle w:val="BodyText"/>
        <w:keepNext/>
        <w:keepLines/>
        <w:widowControl/>
        <w:kinsoku w:val="0"/>
        <w:overflowPunct w:val="0"/>
        <w:ind w:left="0"/>
        <w:rPr>
          <w:lang w:val="de-DE"/>
        </w:rPr>
      </w:pPr>
      <w:r>
        <w:rPr>
          <w:u w:val="single"/>
          <w:lang w:val="de-DE"/>
        </w:rPr>
        <w:t>Erwachsene mit Morbus Crohn</w:t>
      </w:r>
    </w:p>
    <w:p w14:paraId="387B91DF" w14:textId="77777777" w:rsidR="00FE291A" w:rsidRDefault="00FE291A">
      <w:pPr>
        <w:keepNext/>
        <w:keepLines/>
        <w:widowControl/>
        <w:kinsoku w:val="0"/>
        <w:overflowPunct w:val="0"/>
        <w:rPr>
          <w:sz w:val="22"/>
          <w:szCs w:val="22"/>
          <w:lang w:val="de-DE"/>
        </w:rPr>
      </w:pPr>
    </w:p>
    <w:p w14:paraId="7797E4A9" w14:textId="77777777" w:rsidR="00FE291A" w:rsidRDefault="00C8738F">
      <w:pPr>
        <w:pStyle w:val="BodyText"/>
        <w:widowControl/>
        <w:kinsoku w:val="0"/>
        <w:overflowPunct w:val="0"/>
        <w:ind w:left="0"/>
        <w:rPr>
          <w:lang w:val="de-DE"/>
        </w:rPr>
      </w:pPr>
      <w:r>
        <w:rPr>
          <w:lang w:val="de-DE"/>
        </w:rPr>
        <w:t>Die übliche Dosierung für Morbus Crohn ist zu Beginn 80 mg (als zwei Injektionen von 40 mg an einem Tag), zwei Wochen später 40 mg und danach 40 mg alle zwei Wochen. Wenn ein schnelleres Eintreten der Wirkung erforderlich ist, kann Ihnen Ihr Arzt eine Anfangsdosis von 160 mg (vier 40 mg-Injektionen an einem Tag oder zwei 40 mg-Injektionen pro Tag an zwei aufeinanderfolgenden Tagen) verschreiben, gefolgt von 80 mg (als zwei Injektionen von 40 mg an einem Tag) zwei Wochen später und danach 40 mg jede zweite Woche. Abhängig davon, wie Sie auf die Behandlung ansprechen, kann Ihr Arzt die Dosis auf 40 mg jede Woche oder 80 mg jede zweite Woche erhöhen.</w:t>
      </w:r>
    </w:p>
    <w:p w14:paraId="192C20A2" w14:textId="77777777" w:rsidR="00FE291A" w:rsidRDefault="00FE291A">
      <w:pPr>
        <w:widowControl/>
        <w:kinsoku w:val="0"/>
        <w:overflowPunct w:val="0"/>
        <w:rPr>
          <w:sz w:val="22"/>
          <w:szCs w:val="22"/>
          <w:lang w:val="de-DE"/>
        </w:rPr>
      </w:pPr>
    </w:p>
    <w:p w14:paraId="4CEC966E" w14:textId="77777777" w:rsidR="00FE291A" w:rsidRDefault="00C8738F">
      <w:pPr>
        <w:pStyle w:val="BodyText"/>
        <w:keepNext/>
        <w:widowControl/>
        <w:kinsoku w:val="0"/>
        <w:overflowPunct w:val="0"/>
        <w:ind w:left="0"/>
        <w:rPr>
          <w:lang w:val="de-DE"/>
        </w:rPr>
      </w:pPr>
      <w:r>
        <w:rPr>
          <w:u w:val="single"/>
          <w:lang w:val="de-DE"/>
        </w:rPr>
        <w:t>Kinder und Jugendliche mit Morbus Crohn</w:t>
      </w:r>
    </w:p>
    <w:p w14:paraId="2B53E0EA" w14:textId="77777777" w:rsidR="00FE291A" w:rsidRDefault="00FE291A">
      <w:pPr>
        <w:keepNext/>
        <w:widowControl/>
        <w:kinsoku w:val="0"/>
        <w:overflowPunct w:val="0"/>
        <w:rPr>
          <w:sz w:val="22"/>
          <w:szCs w:val="22"/>
          <w:lang w:val="de-DE"/>
        </w:rPr>
      </w:pPr>
    </w:p>
    <w:p w14:paraId="4BE83A83" w14:textId="77777777" w:rsidR="00FE291A" w:rsidRDefault="00C8738F">
      <w:pPr>
        <w:pStyle w:val="BodyText"/>
        <w:keepNext/>
        <w:widowControl/>
        <w:kinsoku w:val="0"/>
        <w:overflowPunct w:val="0"/>
        <w:ind w:left="0"/>
        <w:rPr>
          <w:i/>
          <w:lang w:val="de-DE"/>
        </w:rPr>
      </w:pPr>
      <w:r>
        <w:rPr>
          <w:i/>
          <w:lang w:val="de-DE"/>
        </w:rPr>
        <w:t xml:space="preserve">Kinder und Jugendliche </w:t>
      </w:r>
      <w:r>
        <w:rPr>
          <w:bCs/>
          <w:i/>
          <w:lang w:val="de-DE"/>
        </w:rPr>
        <w:t xml:space="preserve">zwischen 6 und 17 Jahren und </w:t>
      </w:r>
      <w:r>
        <w:rPr>
          <w:i/>
          <w:lang w:val="de-DE"/>
        </w:rPr>
        <w:t>einem Körpergewicht unter 40 kg</w:t>
      </w:r>
    </w:p>
    <w:p w14:paraId="271994B3" w14:textId="77777777" w:rsidR="00FE291A" w:rsidRDefault="00FE291A">
      <w:pPr>
        <w:keepNext/>
        <w:widowControl/>
        <w:kinsoku w:val="0"/>
        <w:overflowPunct w:val="0"/>
        <w:rPr>
          <w:sz w:val="22"/>
          <w:szCs w:val="22"/>
          <w:lang w:val="de-DE"/>
        </w:rPr>
      </w:pPr>
    </w:p>
    <w:p w14:paraId="1B6A5A17" w14:textId="77777777" w:rsidR="00FE291A" w:rsidRDefault="00C8738F">
      <w:pPr>
        <w:pStyle w:val="BodyText"/>
        <w:widowControl/>
        <w:kinsoku w:val="0"/>
        <w:overflowPunct w:val="0"/>
        <w:ind w:left="0"/>
        <w:rPr>
          <w:lang w:val="de-DE"/>
        </w:rPr>
      </w:pPr>
      <w:r>
        <w:rPr>
          <w:lang w:val="de-DE"/>
        </w:rPr>
        <w:t>Die übliche Dosierung beträgt zu Beginn 40 mg, gefolgt von 20 mg zwei Wochen später. Wenn ein schnelleres Eintreten der Wirkung erforderlich ist, kann der Arzt des Kindes eine Anfangsdosis von 80 mg (als zwei 40 mg-Injektionen an einem Tag) verschreiben, gefolgt von 40 mg zwei Wochen später.</w:t>
      </w:r>
    </w:p>
    <w:p w14:paraId="5A0EEDA2" w14:textId="77777777" w:rsidR="00FE291A" w:rsidRDefault="00FE291A">
      <w:pPr>
        <w:widowControl/>
        <w:kinsoku w:val="0"/>
        <w:overflowPunct w:val="0"/>
        <w:rPr>
          <w:sz w:val="22"/>
          <w:szCs w:val="22"/>
          <w:lang w:val="de-DE"/>
        </w:rPr>
      </w:pPr>
    </w:p>
    <w:p w14:paraId="09BF526C" w14:textId="77777777" w:rsidR="00FE291A" w:rsidRDefault="00C8738F">
      <w:pPr>
        <w:pStyle w:val="BodyText"/>
        <w:widowControl/>
        <w:kinsoku w:val="0"/>
        <w:overflowPunct w:val="0"/>
        <w:ind w:left="0"/>
        <w:rPr>
          <w:lang w:val="de-DE"/>
        </w:rPr>
      </w:pPr>
      <w:r>
        <w:rPr>
          <w:lang w:val="de-DE"/>
        </w:rPr>
        <w:t>Danach beträgt die übliche Dosierung 20 mg jede zweite Woche. Je nachdem, wie das Kind anspricht, kann der Arzt die Dosishäufigkeit auf 20 mg jede Woche erhöhen.</w:t>
      </w:r>
    </w:p>
    <w:p w14:paraId="0BC9A24C" w14:textId="77777777" w:rsidR="00FE291A" w:rsidRDefault="00FE291A">
      <w:pPr>
        <w:pStyle w:val="BodyText"/>
        <w:widowControl/>
        <w:kinsoku w:val="0"/>
        <w:overflowPunct w:val="0"/>
        <w:ind w:left="0"/>
        <w:rPr>
          <w:lang w:val="de-DE"/>
        </w:rPr>
      </w:pPr>
    </w:p>
    <w:p w14:paraId="516405C4" w14:textId="77777777" w:rsidR="00FE291A" w:rsidRDefault="00C8738F">
      <w:pPr>
        <w:widowControl/>
        <w:kinsoku w:val="0"/>
        <w:overflowPunct w:val="0"/>
        <w:rPr>
          <w:sz w:val="22"/>
          <w:szCs w:val="22"/>
          <w:lang w:val="de-DE"/>
        </w:rPr>
      </w:pPr>
      <w:r>
        <w:rPr>
          <w:sz w:val="22"/>
          <w:szCs w:val="22"/>
          <w:lang w:val="de-DE"/>
        </w:rPr>
        <w:t>Der 40 mg Fertigpen kann nicht für die 20 mg Dosierung angewendet werden. Eine AMGEVITA 20 mg </w:t>
      </w:r>
      <w:r>
        <w:rPr>
          <w:i/>
          <w:sz w:val="22"/>
          <w:szCs w:val="22"/>
          <w:lang w:val="de-DE"/>
        </w:rPr>
        <w:t>Fertigspritze</w:t>
      </w:r>
      <w:r>
        <w:rPr>
          <w:sz w:val="22"/>
          <w:szCs w:val="22"/>
          <w:lang w:val="de-DE"/>
        </w:rPr>
        <w:t xml:space="preserve"> ist allerdings für die 20 mg Dosierung erhältlich.</w:t>
      </w:r>
    </w:p>
    <w:p w14:paraId="053E06F9" w14:textId="77777777" w:rsidR="00FE291A" w:rsidRDefault="00FE291A">
      <w:pPr>
        <w:widowControl/>
        <w:kinsoku w:val="0"/>
        <w:overflowPunct w:val="0"/>
        <w:rPr>
          <w:sz w:val="22"/>
          <w:szCs w:val="22"/>
          <w:lang w:val="de-DE"/>
        </w:rPr>
      </w:pPr>
    </w:p>
    <w:p w14:paraId="379E3EF9" w14:textId="77777777" w:rsidR="00FE291A" w:rsidRDefault="00C8738F">
      <w:pPr>
        <w:pStyle w:val="BodyText"/>
        <w:keepNext/>
        <w:widowControl/>
        <w:kinsoku w:val="0"/>
        <w:overflowPunct w:val="0"/>
        <w:ind w:left="0"/>
        <w:rPr>
          <w:i/>
          <w:lang w:val="de-DE"/>
        </w:rPr>
      </w:pPr>
      <w:r>
        <w:rPr>
          <w:i/>
          <w:lang w:val="de-DE"/>
        </w:rPr>
        <w:t xml:space="preserve">Kinder und Jugendliche </w:t>
      </w:r>
      <w:r>
        <w:rPr>
          <w:bCs/>
          <w:i/>
          <w:lang w:val="de-DE"/>
        </w:rPr>
        <w:t xml:space="preserve">zwischen 6 und 17 Jahren und </w:t>
      </w:r>
      <w:r>
        <w:rPr>
          <w:i/>
          <w:lang w:val="de-DE"/>
        </w:rPr>
        <w:t>einem Körpergewicht von 40 kg oder mehr</w:t>
      </w:r>
    </w:p>
    <w:p w14:paraId="4CE298FE" w14:textId="77777777" w:rsidR="00FE291A" w:rsidRDefault="00FE291A">
      <w:pPr>
        <w:keepNext/>
        <w:widowControl/>
        <w:kinsoku w:val="0"/>
        <w:overflowPunct w:val="0"/>
        <w:rPr>
          <w:sz w:val="22"/>
          <w:szCs w:val="22"/>
          <w:lang w:val="de-DE"/>
        </w:rPr>
      </w:pPr>
    </w:p>
    <w:p w14:paraId="2C142D81" w14:textId="77777777" w:rsidR="00FE291A" w:rsidRDefault="00C8738F">
      <w:pPr>
        <w:pStyle w:val="BodyText"/>
        <w:keepNext/>
        <w:widowControl/>
        <w:kinsoku w:val="0"/>
        <w:overflowPunct w:val="0"/>
        <w:ind w:left="0"/>
        <w:rPr>
          <w:lang w:val="de-DE"/>
        </w:rPr>
      </w:pPr>
      <w:r>
        <w:rPr>
          <w:lang w:val="de-DE"/>
        </w:rPr>
        <w:t xml:space="preserve">Die übliche Dosierung beträgt zu Beginn 80 mg </w:t>
      </w:r>
      <w:r>
        <w:rPr>
          <w:bCs/>
          <w:lang w:val="de-DE"/>
        </w:rPr>
        <w:t>(als zwei Injektionen von 40 mg an einem Tag)</w:t>
      </w:r>
      <w:r>
        <w:rPr>
          <w:lang w:val="de-DE"/>
        </w:rPr>
        <w:t>, gefolgt von 40 mg zwei Wochen später. Wenn ein schnelleres Eintreten der Wirkung erforderlich ist, kann der Arzt des Kindes eine Anfangsdosis von 160 mg (als vier 40 mg-Injektionen an einem Tag oder als zwei 40 mg-Injektionen pro Tag an zwei aufeinanderfolgenden Tagen) verschreiben, gefolgt von 80 mg (als zwei Injektionen von 40 mg an einem Tag) zwei Wochen später.</w:t>
      </w:r>
    </w:p>
    <w:p w14:paraId="1D22708D" w14:textId="77777777" w:rsidR="00FE291A" w:rsidRDefault="00FE291A">
      <w:pPr>
        <w:widowControl/>
        <w:kinsoku w:val="0"/>
        <w:overflowPunct w:val="0"/>
        <w:rPr>
          <w:sz w:val="22"/>
          <w:szCs w:val="22"/>
          <w:lang w:val="de-DE"/>
        </w:rPr>
      </w:pPr>
    </w:p>
    <w:p w14:paraId="4D449E06" w14:textId="77777777" w:rsidR="00FE291A" w:rsidRDefault="00C8738F">
      <w:pPr>
        <w:pStyle w:val="BodyText"/>
        <w:widowControl/>
        <w:kinsoku w:val="0"/>
        <w:overflowPunct w:val="0"/>
        <w:ind w:left="0"/>
        <w:rPr>
          <w:lang w:val="de-DE"/>
        </w:rPr>
      </w:pPr>
      <w:r>
        <w:rPr>
          <w:lang w:val="de-DE"/>
        </w:rPr>
        <w:t xml:space="preserve">Danach beträgt die übliche Dosis 40 mg jede zweite Woche. Je nachdem, wie das Kind anspricht, kann der Arzt die Dosis auf 40 mg jede Woche </w:t>
      </w:r>
      <w:r>
        <w:rPr>
          <w:bCs/>
          <w:lang w:val="de-DE"/>
        </w:rPr>
        <w:t>oder 80 mg jede zweite Woche</w:t>
      </w:r>
      <w:r>
        <w:rPr>
          <w:lang w:val="de-DE"/>
        </w:rPr>
        <w:t xml:space="preserve"> erhöhen.</w:t>
      </w:r>
    </w:p>
    <w:p w14:paraId="5C6F2CFC" w14:textId="77777777" w:rsidR="00FE291A" w:rsidRDefault="00FE291A">
      <w:pPr>
        <w:widowControl/>
        <w:kinsoku w:val="0"/>
        <w:overflowPunct w:val="0"/>
        <w:rPr>
          <w:sz w:val="22"/>
          <w:szCs w:val="22"/>
          <w:lang w:val="de-DE"/>
        </w:rPr>
      </w:pPr>
    </w:p>
    <w:p w14:paraId="301DB376" w14:textId="77777777" w:rsidR="00FE291A" w:rsidRDefault="00C8738F">
      <w:pPr>
        <w:pStyle w:val="BodyText"/>
        <w:keepNext/>
        <w:widowControl/>
        <w:kinsoku w:val="0"/>
        <w:overflowPunct w:val="0"/>
        <w:ind w:left="0"/>
        <w:rPr>
          <w:lang w:val="de-DE"/>
        </w:rPr>
      </w:pPr>
      <w:r>
        <w:rPr>
          <w:u w:val="single"/>
          <w:lang w:val="de-DE"/>
        </w:rPr>
        <w:t>Erwachsene mit Colitis ulcerosa</w:t>
      </w:r>
    </w:p>
    <w:p w14:paraId="7E7A8FA1" w14:textId="77777777" w:rsidR="00FE291A" w:rsidRDefault="00FE291A">
      <w:pPr>
        <w:keepNext/>
        <w:widowControl/>
        <w:kinsoku w:val="0"/>
        <w:overflowPunct w:val="0"/>
        <w:rPr>
          <w:sz w:val="22"/>
          <w:szCs w:val="22"/>
          <w:lang w:val="de-DE"/>
        </w:rPr>
      </w:pPr>
    </w:p>
    <w:p w14:paraId="3EE5048E" w14:textId="77777777" w:rsidR="00FE291A" w:rsidRDefault="00C8738F">
      <w:pPr>
        <w:pStyle w:val="BodyText"/>
        <w:keepNext/>
        <w:widowControl/>
        <w:kinsoku w:val="0"/>
        <w:overflowPunct w:val="0"/>
        <w:ind w:left="0"/>
        <w:rPr>
          <w:lang w:val="de-DE"/>
        </w:rPr>
      </w:pPr>
      <w:r>
        <w:rPr>
          <w:lang w:val="de-DE"/>
        </w:rPr>
        <w:t>Die übliche Dosis von AMGEVITA beträgt für Erwachsene mit Colitis ulcerosa zu Beginn 160 mg (als vier 40 mg-Injektionen an einem Tag oder als zwei 40 mg-Injektionen pro Tag an zwei aufeinanderfolgenden Tagen), gefolgt von 80 mg (als zwei Injektionen von 40 mg an einem Tag) zwei Wochen später und danach 40 mg jede zweite Woche. Je nachdem, wie Sie ansprechen, kann Ihr Arzt die Dosis auf 40 mg jede Woche oder 80 mg jede zweite Woche erhöhen.</w:t>
      </w:r>
    </w:p>
    <w:p w14:paraId="72EC992B" w14:textId="77777777" w:rsidR="00FE291A" w:rsidRDefault="00FE291A">
      <w:pPr>
        <w:pStyle w:val="BodyText"/>
        <w:kinsoku w:val="0"/>
        <w:overflowPunct w:val="0"/>
        <w:ind w:left="0"/>
        <w:rPr>
          <w:lang w:val="de-DE"/>
        </w:rPr>
      </w:pPr>
    </w:p>
    <w:p w14:paraId="79BD01CD" w14:textId="77777777" w:rsidR="00FE291A" w:rsidRDefault="00C8738F">
      <w:pPr>
        <w:keepNext/>
        <w:keepLines/>
        <w:widowControl/>
        <w:rPr>
          <w:color w:val="000000"/>
          <w:sz w:val="22"/>
          <w:szCs w:val="22"/>
          <w:u w:val="single"/>
          <w:lang w:val="de-DE"/>
        </w:rPr>
      </w:pPr>
      <w:r>
        <w:rPr>
          <w:color w:val="000000"/>
          <w:sz w:val="22"/>
          <w:szCs w:val="22"/>
          <w:u w:val="single"/>
          <w:lang w:val="de-DE"/>
        </w:rPr>
        <w:t>Kinder und Jugendliche mit Colitis ulcerosa</w:t>
      </w:r>
    </w:p>
    <w:p w14:paraId="62FB06FD" w14:textId="77777777" w:rsidR="00FE291A" w:rsidRDefault="00FE291A">
      <w:pPr>
        <w:keepNext/>
        <w:keepLines/>
        <w:widowControl/>
        <w:rPr>
          <w:color w:val="000000"/>
          <w:sz w:val="22"/>
          <w:szCs w:val="22"/>
          <w:lang w:val="de-DE"/>
        </w:rPr>
      </w:pPr>
    </w:p>
    <w:p w14:paraId="5347F8F1" w14:textId="77777777" w:rsidR="00FE291A" w:rsidRDefault="00C8738F">
      <w:pPr>
        <w:widowControl/>
        <w:rPr>
          <w:i/>
          <w:iCs/>
          <w:color w:val="000000"/>
          <w:sz w:val="22"/>
          <w:szCs w:val="22"/>
          <w:lang w:val="de-DE"/>
        </w:rPr>
      </w:pPr>
      <w:r>
        <w:rPr>
          <w:i/>
          <w:iCs/>
          <w:color w:val="000000"/>
          <w:sz w:val="22"/>
          <w:szCs w:val="22"/>
          <w:lang w:val="de-DE"/>
        </w:rPr>
        <w:t>Kinder und Jugendliche ab 6 Jahren mit einem Körpergewicht unter 40 kg</w:t>
      </w:r>
    </w:p>
    <w:p w14:paraId="0B261803" w14:textId="77777777" w:rsidR="00FE291A" w:rsidRDefault="00FE291A">
      <w:pPr>
        <w:widowControl/>
        <w:rPr>
          <w:color w:val="000000"/>
          <w:sz w:val="22"/>
          <w:szCs w:val="22"/>
          <w:lang w:val="de-DE"/>
        </w:rPr>
      </w:pPr>
    </w:p>
    <w:p w14:paraId="4F73D220" w14:textId="77777777" w:rsidR="00FE291A" w:rsidRDefault="00C8738F">
      <w:pPr>
        <w:pStyle w:val="BodyText"/>
        <w:widowControl/>
        <w:kinsoku w:val="0"/>
        <w:overflowPunct w:val="0"/>
        <w:ind w:left="0"/>
        <w:rPr>
          <w:color w:val="000000"/>
          <w:lang w:val="de-DE"/>
        </w:rPr>
      </w:pPr>
      <w:r>
        <w:rPr>
          <w:color w:val="000000"/>
          <w:lang w:val="de-DE"/>
        </w:rPr>
        <w:t>Die übliche Dosierung von AMGEVITA beträgt zu Beginn 80 mg (als zwei Injektionen von 40 mg an einem Tag), gefolgt von 40 mg (als eine Injektion von 40 mg) zwei Wochen später. Danach beträgt die übliche Dosierung 40 mg jede zweite Woche.</w:t>
      </w:r>
    </w:p>
    <w:p w14:paraId="295107D1" w14:textId="77777777" w:rsidR="00FE291A" w:rsidRDefault="00FE291A">
      <w:pPr>
        <w:pStyle w:val="BodyText"/>
        <w:widowControl/>
        <w:kinsoku w:val="0"/>
        <w:overflowPunct w:val="0"/>
        <w:ind w:left="0"/>
        <w:rPr>
          <w:color w:val="000000"/>
          <w:lang w:val="de-DE"/>
        </w:rPr>
      </w:pPr>
    </w:p>
    <w:p w14:paraId="24A5AFE0" w14:textId="77777777" w:rsidR="00FE291A" w:rsidRDefault="00C8738F">
      <w:pPr>
        <w:widowControl/>
        <w:rPr>
          <w:color w:val="000000"/>
          <w:sz w:val="22"/>
          <w:szCs w:val="22"/>
          <w:lang w:val="de-DE"/>
        </w:rPr>
      </w:pPr>
      <w:r>
        <w:rPr>
          <w:color w:val="000000"/>
          <w:sz w:val="22"/>
          <w:szCs w:val="22"/>
          <w:lang w:val="de-DE"/>
        </w:rPr>
        <w:t xml:space="preserve">Patienten, die 18 Jahre alt werden, während sie jede zweite Woche 40 mg erhalten, sollten die verschriebene Dosis weiterhin spritzen. </w:t>
      </w:r>
    </w:p>
    <w:p w14:paraId="0358DAC7" w14:textId="77777777" w:rsidR="00FE291A" w:rsidRDefault="00FE291A">
      <w:pPr>
        <w:widowControl/>
        <w:rPr>
          <w:color w:val="000000"/>
          <w:sz w:val="22"/>
          <w:szCs w:val="22"/>
          <w:lang w:val="de-DE"/>
        </w:rPr>
      </w:pPr>
    </w:p>
    <w:p w14:paraId="02CDB2D4" w14:textId="77777777" w:rsidR="00FE291A" w:rsidRDefault="00C8738F">
      <w:pPr>
        <w:widowControl/>
        <w:rPr>
          <w:i/>
          <w:iCs/>
          <w:color w:val="000000"/>
          <w:sz w:val="22"/>
          <w:szCs w:val="22"/>
          <w:lang w:val="de-DE"/>
        </w:rPr>
      </w:pPr>
      <w:r>
        <w:rPr>
          <w:i/>
          <w:iCs/>
          <w:color w:val="000000"/>
          <w:sz w:val="22"/>
          <w:szCs w:val="22"/>
          <w:lang w:val="de-DE"/>
        </w:rPr>
        <w:t>Kinder und Jugendliche ab 6 Jahren mit einem Körpergewicht von 40 kg oder mehr</w:t>
      </w:r>
    </w:p>
    <w:p w14:paraId="28521AC7" w14:textId="77777777" w:rsidR="00FE291A" w:rsidRDefault="00FE291A">
      <w:pPr>
        <w:widowControl/>
        <w:rPr>
          <w:color w:val="000000"/>
          <w:sz w:val="22"/>
          <w:szCs w:val="22"/>
          <w:lang w:val="de-DE"/>
        </w:rPr>
      </w:pPr>
    </w:p>
    <w:p w14:paraId="70D9FAC4" w14:textId="77777777" w:rsidR="00FE291A" w:rsidRDefault="00C8738F">
      <w:pPr>
        <w:widowControl/>
        <w:rPr>
          <w:color w:val="000000"/>
          <w:sz w:val="22"/>
          <w:szCs w:val="22"/>
          <w:lang w:val="de-DE"/>
        </w:rPr>
      </w:pPr>
      <w:r>
        <w:rPr>
          <w:color w:val="000000"/>
          <w:sz w:val="22"/>
          <w:szCs w:val="22"/>
          <w:lang w:val="de-DE"/>
        </w:rPr>
        <w:t xml:space="preserve">Die übliche Dosierung von AMGEVITA beträgt zu Beginn 160 mg (als vier Injektionen von 40 mg an einem Tag oder als zwei Injektionen von 40 mg pro Tag an zwei aufeinanderfolgenden Tagen), gefolgt von 80 mg (als zwei Injektionen von 40 mg an einem Tag) zwei Wochen später. Danach beträgt die übliche Dosierung 80 mg jede zweite Woche. </w:t>
      </w:r>
    </w:p>
    <w:p w14:paraId="75762411" w14:textId="77777777" w:rsidR="00FE291A" w:rsidRDefault="00FE291A">
      <w:pPr>
        <w:widowControl/>
        <w:rPr>
          <w:color w:val="000000"/>
          <w:sz w:val="22"/>
          <w:szCs w:val="22"/>
          <w:lang w:val="de-DE"/>
        </w:rPr>
      </w:pPr>
    </w:p>
    <w:p w14:paraId="50528B8C" w14:textId="77777777" w:rsidR="00FE291A" w:rsidRDefault="00C8738F">
      <w:pPr>
        <w:pStyle w:val="BodyText"/>
        <w:widowControl/>
        <w:kinsoku w:val="0"/>
        <w:overflowPunct w:val="0"/>
        <w:ind w:left="0"/>
        <w:rPr>
          <w:lang w:val="de-DE"/>
        </w:rPr>
      </w:pPr>
      <w:r>
        <w:rPr>
          <w:color w:val="000000"/>
          <w:lang w:val="de-DE"/>
        </w:rPr>
        <w:t>Patienten, die 18 Jahre alt werden, während sie jede zweite Woche 80 mg erhalten, sollten die verschriebene Dosis weiterhin spritzen.</w:t>
      </w:r>
    </w:p>
    <w:p w14:paraId="09C05EF1" w14:textId="77777777" w:rsidR="00FE291A" w:rsidRDefault="00FE291A">
      <w:pPr>
        <w:pStyle w:val="BodyText"/>
        <w:widowControl/>
        <w:kinsoku w:val="0"/>
        <w:overflowPunct w:val="0"/>
        <w:ind w:left="0"/>
        <w:rPr>
          <w:lang w:val="de-DE"/>
        </w:rPr>
      </w:pPr>
    </w:p>
    <w:p w14:paraId="3406F84D" w14:textId="77777777" w:rsidR="00FE291A" w:rsidRDefault="00C8738F">
      <w:pPr>
        <w:pStyle w:val="BodyText"/>
        <w:keepNext/>
        <w:widowControl/>
        <w:kinsoku w:val="0"/>
        <w:overflowPunct w:val="0"/>
        <w:ind w:left="0"/>
        <w:rPr>
          <w:lang w:val="de-DE"/>
        </w:rPr>
      </w:pPr>
      <w:r>
        <w:rPr>
          <w:u w:val="single"/>
          <w:lang w:val="de-DE"/>
        </w:rPr>
        <w:t>Erwachsene mit nicht infektiöser Uveitis</w:t>
      </w:r>
    </w:p>
    <w:p w14:paraId="0A707705" w14:textId="77777777" w:rsidR="00FE291A" w:rsidRDefault="00FE291A">
      <w:pPr>
        <w:keepNext/>
        <w:widowControl/>
        <w:kinsoku w:val="0"/>
        <w:overflowPunct w:val="0"/>
        <w:rPr>
          <w:sz w:val="22"/>
          <w:szCs w:val="22"/>
          <w:lang w:val="de-DE"/>
        </w:rPr>
      </w:pPr>
    </w:p>
    <w:p w14:paraId="1792B484" w14:textId="77777777" w:rsidR="00FE291A" w:rsidRDefault="00C8738F">
      <w:pPr>
        <w:pStyle w:val="BodyText"/>
        <w:widowControl/>
        <w:kinsoku w:val="0"/>
        <w:overflowPunct w:val="0"/>
        <w:ind w:left="0"/>
        <w:rPr>
          <w:lang w:val="de-DE"/>
        </w:rPr>
      </w:pPr>
      <w:r>
        <w:rPr>
          <w:lang w:val="de-DE"/>
        </w:rPr>
        <w:t>Die übliche Dosierung für Erwachsene mit nicht infektiöser Uveitis beträgt 80 mg (als zwei 40 mg-Injektionen an einem Tag) als Anfangsdosis, gefolgt von 40 mg eine Woche später und danach 40 mg alle zwei Wochen. Sie sollten AMGEVITA so lange anwenden, wie Ihr Arzt es Ihnen gesagt hat.</w:t>
      </w:r>
    </w:p>
    <w:p w14:paraId="7223DA2E" w14:textId="77777777" w:rsidR="00FE291A" w:rsidRDefault="00FE291A">
      <w:pPr>
        <w:widowControl/>
        <w:kinsoku w:val="0"/>
        <w:overflowPunct w:val="0"/>
        <w:rPr>
          <w:sz w:val="22"/>
          <w:szCs w:val="22"/>
          <w:lang w:val="de-DE"/>
        </w:rPr>
      </w:pPr>
    </w:p>
    <w:p w14:paraId="647619AF" w14:textId="77777777" w:rsidR="00FE291A" w:rsidRDefault="00C8738F">
      <w:pPr>
        <w:pStyle w:val="BodyText"/>
        <w:widowControl/>
        <w:kinsoku w:val="0"/>
        <w:overflowPunct w:val="0"/>
        <w:ind w:left="0"/>
        <w:rPr>
          <w:lang w:val="de-DE"/>
        </w:rPr>
      </w:pPr>
      <w:r>
        <w:rPr>
          <w:lang w:val="de-DE"/>
        </w:rPr>
        <w:t>Bei nicht infektiöser Uveitis können Kortikosteroide oder andere Arzneimittel, die das körpereigene Abwehrsystem beeinflussen, während der Behandlung mit AMGEVITA weiter genommen werden. AMGEVITA kann auch alleine angewendet werden.</w:t>
      </w:r>
    </w:p>
    <w:p w14:paraId="21C43BE6" w14:textId="77777777" w:rsidR="00FE291A" w:rsidRDefault="00FE291A">
      <w:pPr>
        <w:pStyle w:val="BodyText"/>
        <w:widowControl/>
        <w:kinsoku w:val="0"/>
        <w:overflowPunct w:val="0"/>
        <w:ind w:left="0"/>
        <w:rPr>
          <w:lang w:val="de-DE"/>
        </w:rPr>
      </w:pPr>
    </w:p>
    <w:p w14:paraId="003A9A8F" w14:textId="77777777" w:rsidR="00FE291A" w:rsidRDefault="00C8738F">
      <w:pPr>
        <w:keepNext/>
        <w:rPr>
          <w:rFonts w:cs="Calibri"/>
          <w:sz w:val="22"/>
          <w:szCs w:val="22"/>
          <w:u w:val="single"/>
          <w:lang w:val="de-DE"/>
        </w:rPr>
      </w:pPr>
      <w:r>
        <w:rPr>
          <w:rFonts w:cs="Calibri"/>
          <w:sz w:val="22"/>
          <w:szCs w:val="22"/>
          <w:u w:val="single"/>
          <w:lang w:val="de-DE"/>
        </w:rPr>
        <w:t>Kinder ab 2 Jahren und Jugendliche mit chronischer nicht infektiöser Uveitis</w:t>
      </w:r>
    </w:p>
    <w:p w14:paraId="634815AC" w14:textId="77777777" w:rsidR="00FE291A" w:rsidRDefault="00FE291A">
      <w:pPr>
        <w:keepNext/>
        <w:rPr>
          <w:rFonts w:cs="Calibri"/>
          <w:sz w:val="22"/>
          <w:szCs w:val="22"/>
          <w:u w:val="single"/>
          <w:lang w:val="de-DE"/>
        </w:rPr>
      </w:pPr>
    </w:p>
    <w:p w14:paraId="5F744A64" w14:textId="77777777" w:rsidR="00FE291A" w:rsidRDefault="00C8738F">
      <w:pPr>
        <w:keepNext/>
        <w:rPr>
          <w:rFonts w:cs="Calibri"/>
          <w:i/>
          <w:sz w:val="22"/>
          <w:szCs w:val="22"/>
          <w:lang w:val="de-DE"/>
        </w:rPr>
      </w:pPr>
      <w:r>
        <w:rPr>
          <w:rFonts w:cs="Calibri"/>
          <w:i/>
          <w:sz w:val="22"/>
          <w:szCs w:val="22"/>
          <w:lang w:val="de-DE"/>
        </w:rPr>
        <w:t>Kinder ab 2 Jahren und Jugendliche mit einem Körpergewicht unter 30 kg</w:t>
      </w:r>
    </w:p>
    <w:p w14:paraId="0B56BD91" w14:textId="77777777" w:rsidR="00FE291A" w:rsidRDefault="00FE291A">
      <w:pPr>
        <w:keepNext/>
        <w:rPr>
          <w:rFonts w:cs="Calibri"/>
          <w:sz w:val="22"/>
          <w:szCs w:val="22"/>
          <w:lang w:val="de-DE"/>
        </w:rPr>
      </w:pPr>
    </w:p>
    <w:p w14:paraId="19B311FC" w14:textId="77777777" w:rsidR="00FE291A" w:rsidRDefault="00C8738F">
      <w:pPr>
        <w:rPr>
          <w:rFonts w:cs="Calibri"/>
          <w:sz w:val="22"/>
          <w:szCs w:val="22"/>
          <w:lang w:val="de-DE"/>
        </w:rPr>
      </w:pPr>
      <w:r>
        <w:rPr>
          <w:rFonts w:cs="Calibri"/>
          <w:sz w:val="22"/>
          <w:szCs w:val="22"/>
          <w:lang w:val="de-DE"/>
        </w:rPr>
        <w:t>Die übliche Dosierung von AMGEVITA beträgt 20 mg alle 2 Wochen gemeinsam mit Methotrexat.</w:t>
      </w:r>
    </w:p>
    <w:p w14:paraId="05C5ADC4" w14:textId="77777777" w:rsidR="00FE291A" w:rsidRDefault="00FE291A">
      <w:pPr>
        <w:rPr>
          <w:rFonts w:cs="Calibri"/>
          <w:sz w:val="22"/>
          <w:szCs w:val="22"/>
          <w:lang w:val="de-DE"/>
        </w:rPr>
      </w:pPr>
    </w:p>
    <w:p w14:paraId="0BA7FB0B" w14:textId="77777777" w:rsidR="00FE291A" w:rsidRDefault="00C8738F">
      <w:pPr>
        <w:rPr>
          <w:rFonts w:cs="Calibri"/>
          <w:sz w:val="22"/>
          <w:szCs w:val="22"/>
          <w:lang w:val="de-DE"/>
        </w:rPr>
      </w:pPr>
      <w:r>
        <w:rPr>
          <w:rFonts w:cs="Calibri"/>
          <w:sz w:val="22"/>
          <w:szCs w:val="22"/>
          <w:lang w:val="de-DE"/>
        </w:rPr>
        <w:t>Ihr Arzt kann auch eine Anfangsdosis von 40 mg verschreiben, die eine Woche vor Beginn der üblichen Dosis verabreicht werden kann.</w:t>
      </w:r>
    </w:p>
    <w:p w14:paraId="4656895F" w14:textId="77777777" w:rsidR="00FE291A" w:rsidRDefault="00FE291A">
      <w:pPr>
        <w:rPr>
          <w:rFonts w:cs="Calibri"/>
          <w:sz w:val="22"/>
          <w:szCs w:val="22"/>
          <w:lang w:val="de-DE"/>
        </w:rPr>
      </w:pPr>
    </w:p>
    <w:p w14:paraId="00E0DA15" w14:textId="77777777" w:rsidR="00FE291A" w:rsidRDefault="00C8738F">
      <w:pPr>
        <w:rPr>
          <w:rFonts w:cs="Calibri"/>
          <w:sz w:val="22"/>
          <w:szCs w:val="22"/>
          <w:lang w:val="de-DE"/>
        </w:rPr>
      </w:pPr>
      <w:r>
        <w:rPr>
          <w:sz w:val="22"/>
          <w:szCs w:val="22"/>
          <w:lang w:val="de-DE"/>
        </w:rPr>
        <w:t>Der 40 mg Fertigpen kann nicht für die 20 mg Dosierung angewendet werden. Eine AMGEVITA 20 mg </w:t>
      </w:r>
      <w:r>
        <w:rPr>
          <w:i/>
          <w:sz w:val="22"/>
          <w:szCs w:val="22"/>
          <w:lang w:val="de-DE"/>
        </w:rPr>
        <w:t>Fertigspritze</w:t>
      </w:r>
      <w:r>
        <w:rPr>
          <w:sz w:val="22"/>
          <w:szCs w:val="22"/>
          <w:lang w:val="de-DE"/>
        </w:rPr>
        <w:t xml:space="preserve"> ist allerdings für die 20 mg Dosierung erhältlich.</w:t>
      </w:r>
    </w:p>
    <w:p w14:paraId="4D1AFF91" w14:textId="77777777" w:rsidR="00FE291A" w:rsidRDefault="00FE291A">
      <w:pPr>
        <w:rPr>
          <w:rFonts w:cs="Calibri"/>
          <w:sz w:val="22"/>
          <w:szCs w:val="22"/>
          <w:lang w:val="de-DE"/>
        </w:rPr>
      </w:pPr>
    </w:p>
    <w:p w14:paraId="1FCB3066" w14:textId="77777777" w:rsidR="00FE291A" w:rsidRDefault="00C8738F">
      <w:pPr>
        <w:keepNext/>
        <w:rPr>
          <w:i/>
          <w:sz w:val="22"/>
          <w:szCs w:val="22"/>
          <w:u w:val="single"/>
          <w:lang w:val="de-DE"/>
        </w:rPr>
      </w:pPr>
      <w:r>
        <w:rPr>
          <w:i/>
          <w:sz w:val="22"/>
          <w:szCs w:val="22"/>
          <w:lang w:val="de-DE"/>
        </w:rPr>
        <w:t>Kinder ab 2 Jahren und Jugendliche mit einem Körpergewicht von 30 kg oder mehr</w:t>
      </w:r>
    </w:p>
    <w:p w14:paraId="510C8C60" w14:textId="77777777" w:rsidR="00FE291A" w:rsidRDefault="00FE291A">
      <w:pPr>
        <w:keepNext/>
        <w:rPr>
          <w:rFonts w:cs="Calibri"/>
          <w:sz w:val="22"/>
          <w:szCs w:val="22"/>
          <w:lang w:val="de-DE"/>
        </w:rPr>
      </w:pPr>
    </w:p>
    <w:p w14:paraId="6972181D" w14:textId="77777777" w:rsidR="00FE291A" w:rsidRDefault="00C8738F">
      <w:pPr>
        <w:keepNext/>
        <w:rPr>
          <w:rFonts w:cs="Calibri"/>
          <w:sz w:val="22"/>
          <w:szCs w:val="22"/>
          <w:lang w:val="de-DE"/>
        </w:rPr>
      </w:pPr>
      <w:r>
        <w:rPr>
          <w:rFonts w:cs="Calibri"/>
          <w:sz w:val="22"/>
          <w:szCs w:val="22"/>
          <w:lang w:val="de-DE"/>
        </w:rPr>
        <w:t>Die übliche Dosierung von AMGEVITA beträgt 40 mg alle 2 Wochen gemeinsam mit Methotrexat.</w:t>
      </w:r>
    </w:p>
    <w:p w14:paraId="5913F730" w14:textId="77777777" w:rsidR="00FE291A" w:rsidRDefault="00FE291A">
      <w:pPr>
        <w:rPr>
          <w:rFonts w:cs="Calibri"/>
          <w:sz w:val="22"/>
          <w:szCs w:val="22"/>
          <w:lang w:val="de-DE"/>
        </w:rPr>
      </w:pPr>
    </w:p>
    <w:p w14:paraId="6DFEC06E" w14:textId="77777777" w:rsidR="00FE291A" w:rsidRDefault="00C8738F">
      <w:pPr>
        <w:pStyle w:val="BodyText"/>
        <w:widowControl/>
        <w:kinsoku w:val="0"/>
        <w:overflowPunct w:val="0"/>
        <w:ind w:left="0"/>
        <w:rPr>
          <w:lang w:val="de-DE"/>
        </w:rPr>
      </w:pPr>
      <w:r>
        <w:rPr>
          <w:rFonts w:cs="Calibri"/>
          <w:lang w:val="de-DE"/>
        </w:rPr>
        <w:t>Ihr Arzt kann auch eine Anfangsdosis von 80 mg verschreiben, die eine Woche vor Beginn der üblichen Dosis verabreicht werden kann.</w:t>
      </w:r>
    </w:p>
    <w:p w14:paraId="61292D8D" w14:textId="77777777" w:rsidR="00FE291A" w:rsidRDefault="00FE291A">
      <w:pPr>
        <w:pStyle w:val="BodyText"/>
        <w:widowControl/>
        <w:kinsoku w:val="0"/>
        <w:overflowPunct w:val="0"/>
        <w:ind w:left="0"/>
        <w:rPr>
          <w:lang w:val="de-DE"/>
        </w:rPr>
      </w:pPr>
    </w:p>
    <w:p w14:paraId="03C56227" w14:textId="77777777" w:rsidR="00FE291A" w:rsidRDefault="00C8738F">
      <w:pPr>
        <w:pStyle w:val="Heading1"/>
        <w:widowControl/>
        <w:kinsoku w:val="0"/>
        <w:overflowPunct w:val="0"/>
        <w:ind w:left="0"/>
        <w:rPr>
          <w:b w:val="0"/>
          <w:bCs w:val="0"/>
          <w:lang w:val="de-DE"/>
        </w:rPr>
      </w:pPr>
      <w:r>
        <w:rPr>
          <w:lang w:val="de-DE"/>
        </w:rPr>
        <w:t>Art der Anwendung</w:t>
      </w:r>
    </w:p>
    <w:p w14:paraId="4653232C" w14:textId="77777777" w:rsidR="00FE291A" w:rsidRDefault="00FE291A">
      <w:pPr>
        <w:widowControl/>
        <w:kinsoku w:val="0"/>
        <w:overflowPunct w:val="0"/>
        <w:rPr>
          <w:sz w:val="22"/>
          <w:szCs w:val="22"/>
          <w:lang w:val="de-DE"/>
        </w:rPr>
      </w:pPr>
    </w:p>
    <w:p w14:paraId="7E7920E1" w14:textId="77777777" w:rsidR="00FE291A" w:rsidRDefault="00C8738F">
      <w:pPr>
        <w:pStyle w:val="BodyText"/>
        <w:widowControl/>
        <w:kinsoku w:val="0"/>
        <w:overflowPunct w:val="0"/>
        <w:ind w:left="0"/>
        <w:rPr>
          <w:lang w:val="de-DE"/>
        </w:rPr>
      </w:pPr>
      <w:r>
        <w:rPr>
          <w:lang w:val="de-DE"/>
        </w:rPr>
        <w:t>AMGEVITA wird unter die Haut gespritzt (subkutane Injektion).</w:t>
      </w:r>
    </w:p>
    <w:p w14:paraId="07EF4609" w14:textId="77777777" w:rsidR="00FE291A" w:rsidRDefault="00FE291A">
      <w:pPr>
        <w:pStyle w:val="BodyText"/>
        <w:widowControl/>
        <w:kinsoku w:val="0"/>
        <w:overflowPunct w:val="0"/>
        <w:ind w:left="0"/>
        <w:rPr>
          <w:lang w:val="de-DE"/>
        </w:rPr>
      </w:pPr>
    </w:p>
    <w:p w14:paraId="015E8923" w14:textId="77777777" w:rsidR="00FE291A" w:rsidRDefault="00C8738F">
      <w:pPr>
        <w:pStyle w:val="BodyText"/>
        <w:widowControl/>
        <w:kinsoku w:val="0"/>
        <w:overflowPunct w:val="0"/>
        <w:ind w:left="0"/>
        <w:rPr>
          <w:lang w:val="de-DE"/>
        </w:rPr>
      </w:pPr>
      <w:r>
        <w:rPr>
          <w:lang w:val="de-DE"/>
        </w:rPr>
        <w:t>Eine genaue Anleitung wie AMGEVITA gespritzt wird, finden Sie im Abschnitt „Gebrauchsanleitung“.</w:t>
      </w:r>
    </w:p>
    <w:p w14:paraId="22BFAA3B" w14:textId="77777777" w:rsidR="00FE291A" w:rsidRDefault="00FE291A">
      <w:pPr>
        <w:widowControl/>
        <w:kinsoku w:val="0"/>
        <w:overflowPunct w:val="0"/>
        <w:rPr>
          <w:sz w:val="22"/>
          <w:szCs w:val="22"/>
          <w:lang w:val="de-DE"/>
        </w:rPr>
      </w:pPr>
    </w:p>
    <w:p w14:paraId="2DF25AD9" w14:textId="77777777" w:rsidR="00FE291A" w:rsidRDefault="00C8738F">
      <w:pPr>
        <w:pStyle w:val="Heading1"/>
        <w:keepNext/>
        <w:keepLines/>
        <w:widowControl/>
        <w:kinsoku w:val="0"/>
        <w:overflowPunct w:val="0"/>
        <w:ind w:left="0"/>
        <w:rPr>
          <w:b w:val="0"/>
          <w:bCs w:val="0"/>
          <w:lang w:val="de-DE"/>
        </w:rPr>
      </w:pPr>
      <w:r>
        <w:rPr>
          <w:lang w:val="de-DE"/>
        </w:rPr>
        <w:t>Wenn Sie eine größere Menge von AMGEVITA gespritzt haben, als Sie sollten</w:t>
      </w:r>
    </w:p>
    <w:p w14:paraId="45940BC3" w14:textId="77777777" w:rsidR="00FE291A" w:rsidRDefault="00FE291A">
      <w:pPr>
        <w:widowControl/>
        <w:kinsoku w:val="0"/>
        <w:overflowPunct w:val="0"/>
        <w:rPr>
          <w:sz w:val="22"/>
          <w:szCs w:val="22"/>
          <w:lang w:val="de-DE"/>
        </w:rPr>
      </w:pPr>
    </w:p>
    <w:p w14:paraId="5B9420A0" w14:textId="77777777" w:rsidR="00FE291A" w:rsidRDefault="00C8738F">
      <w:pPr>
        <w:pStyle w:val="BodyText"/>
        <w:widowControl/>
        <w:kinsoku w:val="0"/>
        <w:overflowPunct w:val="0"/>
        <w:ind w:left="0"/>
        <w:rPr>
          <w:lang w:val="de-DE"/>
        </w:rPr>
      </w:pPr>
      <w:r>
        <w:rPr>
          <w:lang w:val="de-DE"/>
        </w:rPr>
        <w:t>Falls Sie AMGEVITA versehentlich häufiger gespritzt haben, als der Arzt Ihnen verordnet hat, informieren Sie Ihren Arzt oder Apotheker darüber. Nehmen Sie immer die Faltschachtel des Arzneimittels mit, auch wenn sie leer ist.</w:t>
      </w:r>
    </w:p>
    <w:p w14:paraId="5CB4881E" w14:textId="77777777" w:rsidR="00FE291A" w:rsidRDefault="00FE291A">
      <w:pPr>
        <w:widowControl/>
        <w:kinsoku w:val="0"/>
        <w:overflowPunct w:val="0"/>
        <w:rPr>
          <w:sz w:val="22"/>
          <w:szCs w:val="22"/>
          <w:lang w:val="de-DE"/>
        </w:rPr>
      </w:pPr>
    </w:p>
    <w:p w14:paraId="14D6D99E" w14:textId="77777777" w:rsidR="00FE291A" w:rsidRDefault="00C8738F">
      <w:pPr>
        <w:pStyle w:val="Heading1"/>
        <w:widowControl/>
        <w:kinsoku w:val="0"/>
        <w:overflowPunct w:val="0"/>
        <w:ind w:left="0"/>
        <w:rPr>
          <w:b w:val="0"/>
          <w:bCs w:val="0"/>
          <w:lang w:val="de-DE"/>
        </w:rPr>
      </w:pPr>
      <w:r>
        <w:rPr>
          <w:lang w:val="de-DE"/>
        </w:rPr>
        <w:t>Wenn Sie die Injektion von AMGEVITA vergessen haben</w:t>
      </w:r>
    </w:p>
    <w:p w14:paraId="11673966" w14:textId="77777777" w:rsidR="00FE291A" w:rsidRDefault="00FE291A">
      <w:pPr>
        <w:widowControl/>
        <w:kinsoku w:val="0"/>
        <w:overflowPunct w:val="0"/>
        <w:rPr>
          <w:sz w:val="22"/>
          <w:szCs w:val="22"/>
          <w:lang w:val="de-DE"/>
        </w:rPr>
      </w:pPr>
    </w:p>
    <w:p w14:paraId="4011BDF8" w14:textId="77777777" w:rsidR="00FE291A" w:rsidRDefault="00C8738F">
      <w:pPr>
        <w:pStyle w:val="BodyText"/>
        <w:widowControl/>
        <w:kinsoku w:val="0"/>
        <w:overflowPunct w:val="0"/>
        <w:ind w:left="0"/>
        <w:rPr>
          <w:lang w:val="de-DE"/>
        </w:rPr>
      </w:pPr>
      <w:r>
        <w:rPr>
          <w:lang w:val="de-DE"/>
        </w:rPr>
        <w:t>Wenn Sie einmal eine Injektion vergessen haben, sollten Sie die nächste AMGEVITA-Dosis spritzen, sobald Ihnen dies auffällt. Spritzen Sie Ihre darauffolgende Dosis an dem ursprünglich vorgesehenen Tag, wie Sie es getan hätten, wenn Sie die Injektion nicht vergessen hätten.</w:t>
      </w:r>
    </w:p>
    <w:p w14:paraId="03B1AA9D" w14:textId="77777777" w:rsidR="00FE291A" w:rsidRDefault="00FE291A">
      <w:pPr>
        <w:widowControl/>
        <w:kinsoku w:val="0"/>
        <w:overflowPunct w:val="0"/>
        <w:rPr>
          <w:sz w:val="22"/>
          <w:szCs w:val="22"/>
          <w:lang w:val="de-DE"/>
        </w:rPr>
      </w:pPr>
    </w:p>
    <w:p w14:paraId="51EB0281" w14:textId="77777777" w:rsidR="00FE291A" w:rsidRDefault="00C8738F">
      <w:pPr>
        <w:pStyle w:val="Heading1"/>
        <w:keepNext/>
        <w:keepLines/>
        <w:widowControl/>
        <w:kinsoku w:val="0"/>
        <w:overflowPunct w:val="0"/>
        <w:ind w:left="0"/>
        <w:rPr>
          <w:b w:val="0"/>
          <w:bCs w:val="0"/>
          <w:lang w:val="de-DE"/>
        </w:rPr>
      </w:pPr>
      <w:r>
        <w:rPr>
          <w:lang w:val="de-DE"/>
        </w:rPr>
        <w:t>Wenn Sie die Anwendung von AMGEVITA abbrechen</w:t>
      </w:r>
    </w:p>
    <w:p w14:paraId="3FCBF4EA" w14:textId="77777777" w:rsidR="00FE291A" w:rsidRDefault="00FE291A">
      <w:pPr>
        <w:widowControl/>
        <w:kinsoku w:val="0"/>
        <w:overflowPunct w:val="0"/>
        <w:rPr>
          <w:sz w:val="22"/>
          <w:szCs w:val="22"/>
          <w:lang w:val="de-DE"/>
        </w:rPr>
      </w:pPr>
    </w:p>
    <w:p w14:paraId="0E7F9DFC" w14:textId="77777777" w:rsidR="00FE291A" w:rsidRDefault="00C8738F">
      <w:pPr>
        <w:pStyle w:val="BodyText"/>
        <w:widowControl/>
        <w:kinsoku w:val="0"/>
        <w:overflowPunct w:val="0"/>
        <w:ind w:left="0"/>
        <w:rPr>
          <w:lang w:val="de-DE"/>
        </w:rPr>
      </w:pPr>
      <w:r>
        <w:rPr>
          <w:lang w:val="de-DE"/>
        </w:rPr>
        <w:t>Die Entscheidung, die Anwendung von AMGEVITA abzubrechen, müssen Sie mit Ihrem Arzt besprechen. Die Anzeichen Ihrer Erkrankung können nach Abbruch der Behandlung zurückkehren.</w:t>
      </w:r>
    </w:p>
    <w:p w14:paraId="50DC9261" w14:textId="77777777" w:rsidR="00FE291A" w:rsidRDefault="00FE291A">
      <w:pPr>
        <w:widowControl/>
        <w:kinsoku w:val="0"/>
        <w:overflowPunct w:val="0"/>
        <w:rPr>
          <w:sz w:val="22"/>
          <w:szCs w:val="22"/>
          <w:lang w:val="de-DE"/>
        </w:rPr>
      </w:pPr>
    </w:p>
    <w:p w14:paraId="38E8782B" w14:textId="77777777" w:rsidR="00FE291A" w:rsidRDefault="00C8738F">
      <w:pPr>
        <w:pStyle w:val="BodyText"/>
        <w:widowControl/>
        <w:kinsoku w:val="0"/>
        <w:overflowPunct w:val="0"/>
        <w:ind w:left="0"/>
        <w:rPr>
          <w:lang w:val="de-DE"/>
        </w:rPr>
      </w:pPr>
      <w:r>
        <w:rPr>
          <w:lang w:val="de-DE"/>
        </w:rPr>
        <w:t>Sollten Sie weitere Fragen zur Anwendung dieses Arzneimittels haben, fragen Sie Ihren Arzt oder Apotheker.</w:t>
      </w:r>
    </w:p>
    <w:p w14:paraId="4956D6CC" w14:textId="77777777" w:rsidR="00FE291A" w:rsidRDefault="00FE291A">
      <w:pPr>
        <w:widowControl/>
        <w:kinsoku w:val="0"/>
        <w:overflowPunct w:val="0"/>
        <w:rPr>
          <w:sz w:val="22"/>
          <w:szCs w:val="22"/>
          <w:lang w:val="de-DE"/>
        </w:rPr>
      </w:pPr>
    </w:p>
    <w:p w14:paraId="237B2D66" w14:textId="77777777" w:rsidR="00FE291A" w:rsidRDefault="00FE291A">
      <w:pPr>
        <w:widowControl/>
        <w:kinsoku w:val="0"/>
        <w:overflowPunct w:val="0"/>
        <w:rPr>
          <w:sz w:val="22"/>
          <w:szCs w:val="22"/>
          <w:lang w:val="de-DE"/>
        </w:rPr>
      </w:pPr>
    </w:p>
    <w:p w14:paraId="47895B00" w14:textId="77777777" w:rsidR="00FE291A" w:rsidRDefault="00C8738F">
      <w:pPr>
        <w:pStyle w:val="Heading1"/>
        <w:keepNext/>
        <w:widowControl/>
        <w:tabs>
          <w:tab w:val="left" w:pos="567"/>
        </w:tabs>
        <w:kinsoku w:val="0"/>
        <w:overflowPunct w:val="0"/>
        <w:ind w:left="0"/>
        <w:rPr>
          <w:b w:val="0"/>
          <w:bCs w:val="0"/>
          <w:lang w:val="de-DE"/>
        </w:rPr>
      </w:pPr>
      <w:r>
        <w:rPr>
          <w:lang w:val="de-DE"/>
        </w:rPr>
        <w:t>4.</w:t>
      </w:r>
      <w:r>
        <w:rPr>
          <w:lang w:val="de-DE"/>
        </w:rPr>
        <w:tab/>
        <w:t>Welche Nebenwirkungen sind möglich?</w:t>
      </w:r>
    </w:p>
    <w:p w14:paraId="7B74EAA2" w14:textId="77777777" w:rsidR="00FE291A" w:rsidRDefault="00FE291A">
      <w:pPr>
        <w:keepNext/>
        <w:widowControl/>
        <w:kinsoku w:val="0"/>
        <w:overflowPunct w:val="0"/>
        <w:rPr>
          <w:sz w:val="22"/>
          <w:szCs w:val="26"/>
          <w:lang w:val="de-DE"/>
        </w:rPr>
      </w:pPr>
    </w:p>
    <w:p w14:paraId="4F5A4EAC" w14:textId="77777777" w:rsidR="00FE291A" w:rsidRDefault="00C8738F">
      <w:pPr>
        <w:pStyle w:val="BodyText"/>
        <w:widowControl/>
        <w:kinsoku w:val="0"/>
        <w:overflowPunct w:val="0"/>
        <w:ind w:left="0"/>
        <w:rPr>
          <w:lang w:val="de-DE"/>
        </w:rPr>
      </w:pPr>
      <w:r>
        <w:rPr>
          <w:lang w:val="de-DE"/>
        </w:rPr>
        <w:t>Wie alle Arzneimittel kann dieses Arzneimittel Nebenwirkungen haben, die aber nicht bei jedem auftreten müssen. Die meisten Nebenwirkungen sind leicht bis mäßig ausgeprägt. Einige können jedoch auch schwerwiegend sein und müssen behandelt werden. Nebenwirkungen können mindestens bis vier Monate nach der letzten Injektion von AMGEVITA auftreten.</w:t>
      </w:r>
    </w:p>
    <w:p w14:paraId="56890635" w14:textId="77777777" w:rsidR="00FE291A" w:rsidRDefault="00FE291A">
      <w:pPr>
        <w:widowControl/>
        <w:kinsoku w:val="0"/>
        <w:overflowPunct w:val="0"/>
        <w:rPr>
          <w:sz w:val="22"/>
          <w:lang w:val="de-DE"/>
        </w:rPr>
      </w:pPr>
    </w:p>
    <w:p w14:paraId="61C00468" w14:textId="77777777" w:rsidR="00FE291A" w:rsidRDefault="00C8738F">
      <w:pPr>
        <w:pStyle w:val="BodyText"/>
        <w:widowControl/>
        <w:kinsoku w:val="0"/>
        <w:overflowPunct w:val="0"/>
        <w:ind w:left="0"/>
        <w:rPr>
          <w:lang w:val="de-DE"/>
        </w:rPr>
      </w:pPr>
      <w:r>
        <w:rPr>
          <w:lang w:val="de-DE"/>
        </w:rPr>
        <w:t>Benachrichtigen Sie unverzüglich Ihren Arzt, wenn Sie eines der folgenden Anzeichen einer allergischen Reaktion oder einer Herzschwäche bemerken:</w:t>
      </w:r>
    </w:p>
    <w:p w14:paraId="1E75EBDD" w14:textId="77777777" w:rsidR="00FE291A" w:rsidRDefault="00C8738F">
      <w:pPr>
        <w:pStyle w:val="BodyText"/>
        <w:widowControl/>
        <w:numPr>
          <w:ilvl w:val="0"/>
          <w:numId w:val="56"/>
        </w:numPr>
        <w:kinsoku w:val="0"/>
        <w:overflowPunct w:val="0"/>
        <w:ind w:left="567"/>
        <w:rPr>
          <w:lang w:val="de-DE"/>
        </w:rPr>
      </w:pPr>
      <w:r>
        <w:rPr>
          <w:lang w:val="de-DE"/>
        </w:rPr>
        <w:t>Starker Hautausschlag, Nesselsucht oder andere Anzeichen einer allergischen Reaktion;</w:t>
      </w:r>
    </w:p>
    <w:p w14:paraId="2CE64E36" w14:textId="77777777" w:rsidR="00FE291A" w:rsidRDefault="00C8738F">
      <w:pPr>
        <w:pStyle w:val="BodyText"/>
        <w:widowControl/>
        <w:numPr>
          <w:ilvl w:val="0"/>
          <w:numId w:val="56"/>
        </w:numPr>
        <w:kinsoku w:val="0"/>
        <w:overflowPunct w:val="0"/>
        <w:ind w:left="567"/>
        <w:rPr>
          <w:lang w:val="de-DE"/>
        </w:rPr>
      </w:pPr>
      <w:r>
        <w:rPr>
          <w:lang w:val="de-DE"/>
        </w:rPr>
        <w:t>Schwellung im Gesicht, an Händen oder Füßen;</w:t>
      </w:r>
    </w:p>
    <w:p w14:paraId="1A5327B0" w14:textId="77777777" w:rsidR="00FE291A" w:rsidRDefault="00C8738F">
      <w:pPr>
        <w:pStyle w:val="BodyText"/>
        <w:widowControl/>
        <w:numPr>
          <w:ilvl w:val="0"/>
          <w:numId w:val="56"/>
        </w:numPr>
        <w:kinsoku w:val="0"/>
        <w:overflowPunct w:val="0"/>
        <w:ind w:left="567"/>
        <w:rPr>
          <w:lang w:val="de-DE"/>
        </w:rPr>
      </w:pPr>
      <w:r>
        <w:rPr>
          <w:lang w:val="de-DE"/>
        </w:rPr>
        <w:t>Schwierigkeiten beim Atmen oder Schlucken;</w:t>
      </w:r>
    </w:p>
    <w:p w14:paraId="03265C04" w14:textId="77777777" w:rsidR="00FE291A" w:rsidRDefault="00C8738F">
      <w:pPr>
        <w:pStyle w:val="BodyText"/>
        <w:widowControl/>
        <w:numPr>
          <w:ilvl w:val="0"/>
          <w:numId w:val="56"/>
        </w:numPr>
        <w:kinsoku w:val="0"/>
        <w:overflowPunct w:val="0"/>
        <w:ind w:left="567"/>
        <w:rPr>
          <w:lang w:val="de-DE"/>
        </w:rPr>
      </w:pPr>
      <w:r>
        <w:rPr>
          <w:lang w:val="de-DE"/>
        </w:rPr>
        <w:t>Kurzatmigkeit bei Belastung oder im Liegen oder Schwellung der Füße.</w:t>
      </w:r>
    </w:p>
    <w:p w14:paraId="71A4A718" w14:textId="77777777" w:rsidR="00FE291A" w:rsidRDefault="00FE291A">
      <w:pPr>
        <w:widowControl/>
        <w:kinsoku w:val="0"/>
        <w:overflowPunct w:val="0"/>
        <w:rPr>
          <w:sz w:val="22"/>
          <w:szCs w:val="26"/>
          <w:lang w:val="de-DE"/>
        </w:rPr>
      </w:pPr>
    </w:p>
    <w:p w14:paraId="54AB32EA" w14:textId="77777777" w:rsidR="00FE291A" w:rsidRDefault="00C8738F">
      <w:pPr>
        <w:pStyle w:val="BodyText"/>
        <w:widowControl/>
        <w:kinsoku w:val="0"/>
        <w:overflowPunct w:val="0"/>
        <w:ind w:left="0"/>
        <w:rPr>
          <w:lang w:val="de-DE"/>
        </w:rPr>
      </w:pPr>
      <w:r>
        <w:rPr>
          <w:lang w:val="de-DE"/>
        </w:rPr>
        <w:t>Benachrichtigen Sie so bald wie möglich Ihren Arzt, wenn Sie eines der folgenden Anzeichen bemerken:</w:t>
      </w:r>
    </w:p>
    <w:p w14:paraId="46CD1AD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Anzeichen einer Infektion wie Fieber, Krankheitsgefühl, Wunden, Zahnprobleme, Brennen beim Wasserlassen;</w:t>
      </w:r>
    </w:p>
    <w:p w14:paraId="458B902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Gefühl der Schwäche oder Müdigkeit;</w:t>
      </w:r>
    </w:p>
    <w:p w14:paraId="1626378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Husten;</w:t>
      </w:r>
    </w:p>
    <w:p w14:paraId="532C3C0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Kribbeln;</w:t>
      </w:r>
    </w:p>
    <w:p w14:paraId="6308F06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Taubheit;</w:t>
      </w:r>
    </w:p>
    <w:p w14:paraId="68FA866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Doppeltsehen;</w:t>
      </w:r>
    </w:p>
    <w:p w14:paraId="6E036DC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Schwäche in Armen oder Beinen;</w:t>
      </w:r>
    </w:p>
    <w:p w14:paraId="1497E40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Anzeichen für eine Hautkrebserkrankung wie eine Beule oder offene Stellen, die nicht abheilen;</w:t>
      </w:r>
    </w:p>
    <w:p w14:paraId="2214C8B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Anzeichen und Krankheitserscheinungen, die auf eine mögliche Erkrankung des blutbildenden Systems hinweisen, wie anhaltendes Fieber, Blutergüsse, Blutungen, Blässe.</w:t>
      </w:r>
    </w:p>
    <w:p w14:paraId="126540AB" w14:textId="77777777" w:rsidR="00FE291A" w:rsidRDefault="00FE291A">
      <w:pPr>
        <w:pStyle w:val="BodyText"/>
        <w:widowControl/>
        <w:kinsoku w:val="0"/>
        <w:overflowPunct w:val="0"/>
        <w:ind w:left="0"/>
        <w:rPr>
          <w:lang w:val="de-DE"/>
        </w:rPr>
      </w:pPr>
    </w:p>
    <w:p w14:paraId="516EA355" w14:textId="77777777" w:rsidR="00FE291A" w:rsidRDefault="00C8738F">
      <w:pPr>
        <w:pStyle w:val="BodyText"/>
        <w:widowControl/>
        <w:kinsoku w:val="0"/>
        <w:overflowPunct w:val="0"/>
        <w:ind w:left="0"/>
        <w:rPr>
          <w:lang w:val="de-DE"/>
        </w:rPr>
      </w:pPr>
      <w:r>
        <w:rPr>
          <w:lang w:val="de-DE"/>
        </w:rPr>
        <w:t>Die oben beschriebenen Anzeichen können ein Hinweis sein auf die nachfolgend aufgelisteten Nebenwirkungen, die mit Adalimumab beobachtet wurden:</w:t>
      </w:r>
    </w:p>
    <w:p w14:paraId="1C7CCB19" w14:textId="77777777" w:rsidR="00FE291A" w:rsidRDefault="00FE291A">
      <w:pPr>
        <w:widowControl/>
        <w:kinsoku w:val="0"/>
        <w:overflowPunct w:val="0"/>
        <w:rPr>
          <w:sz w:val="22"/>
          <w:szCs w:val="22"/>
          <w:lang w:val="de-DE"/>
        </w:rPr>
      </w:pPr>
    </w:p>
    <w:p w14:paraId="7A88420A" w14:textId="77777777" w:rsidR="00FE291A" w:rsidRDefault="00C8738F">
      <w:pPr>
        <w:pStyle w:val="BodyText"/>
        <w:widowControl/>
        <w:kinsoku w:val="0"/>
        <w:overflowPunct w:val="0"/>
        <w:ind w:left="0"/>
        <w:rPr>
          <w:lang w:val="de-DE"/>
        </w:rPr>
      </w:pPr>
      <w:r>
        <w:rPr>
          <w:lang w:val="de-DE"/>
        </w:rPr>
        <w:t>Sehr häufig (kann mehr als 1 von 10 Behandelten betreffen):</w:t>
      </w:r>
    </w:p>
    <w:p w14:paraId="585A702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Reaktionen an der Injektionsstelle (einschließlich Schmerz, Schwellung, Rötung oder Juckreiz);</w:t>
      </w:r>
    </w:p>
    <w:p w14:paraId="208E094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der Atemwege (einschließlich Erkältung, Fließschnupfen, Infektion der Nasennebenhöhlen, Lungenentzündung);</w:t>
      </w:r>
    </w:p>
    <w:p w14:paraId="040597B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Kopfschmerzen;</w:t>
      </w:r>
    </w:p>
    <w:p w14:paraId="659B366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Bauchschmerzen;</w:t>
      </w:r>
    </w:p>
    <w:p w14:paraId="0E82FA3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Übelkeit und Erbrechen;</w:t>
      </w:r>
    </w:p>
    <w:p w14:paraId="51C5DFE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Hautausschlag;</w:t>
      </w:r>
    </w:p>
    <w:p w14:paraId="2F2C800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Schmerzen in Muskeln und Knochen.</w:t>
      </w:r>
    </w:p>
    <w:p w14:paraId="59389330" w14:textId="77777777" w:rsidR="00FE291A" w:rsidRDefault="00FE291A">
      <w:pPr>
        <w:widowControl/>
        <w:kinsoku w:val="0"/>
        <w:overflowPunct w:val="0"/>
        <w:rPr>
          <w:sz w:val="22"/>
          <w:szCs w:val="26"/>
          <w:lang w:val="de-DE"/>
        </w:rPr>
      </w:pPr>
    </w:p>
    <w:p w14:paraId="6A7381EF" w14:textId="77777777" w:rsidR="00FE291A" w:rsidRDefault="00C8738F">
      <w:pPr>
        <w:pStyle w:val="BodyText"/>
        <w:widowControl/>
        <w:kinsoku w:val="0"/>
        <w:overflowPunct w:val="0"/>
        <w:ind w:left="0"/>
        <w:rPr>
          <w:lang w:val="de-DE"/>
        </w:rPr>
      </w:pPr>
      <w:r>
        <w:rPr>
          <w:lang w:val="de-DE"/>
        </w:rPr>
        <w:t>Häufig (kann bis zu 1 von 10 Behandelten betreffen):</w:t>
      </w:r>
    </w:p>
    <w:p w14:paraId="6C4CA46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Schwere Infektionen (einschließlich Blutvergiftung und Virusgrippe);</w:t>
      </w:r>
    </w:p>
    <w:p w14:paraId="534D24C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Darminfektionen (einschließlich Magen-Darm-Grippe);</w:t>
      </w:r>
    </w:p>
    <w:p w14:paraId="5188698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der Haut (einschließlich Entzündung des Unterhautzellgewebes und Gürtelrose);</w:t>
      </w:r>
    </w:p>
    <w:p w14:paraId="7944BF8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des Ohres;</w:t>
      </w:r>
    </w:p>
    <w:p w14:paraId="5D7457F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des Mundes (einschließlich Zahninfektionen und Fieberbläschen);</w:t>
      </w:r>
    </w:p>
    <w:p w14:paraId="535F61F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der Fortpflanzungsorgane;</w:t>
      </w:r>
    </w:p>
    <w:p w14:paraId="0D3D31C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Harnwegsinfektion;</w:t>
      </w:r>
    </w:p>
    <w:p w14:paraId="7FAB168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Pilzinfektionen;</w:t>
      </w:r>
    </w:p>
    <w:p w14:paraId="618C093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Gelenkinfektionen;</w:t>
      </w:r>
    </w:p>
    <w:p w14:paraId="544A6A9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Gutartige Tumoren;</w:t>
      </w:r>
    </w:p>
    <w:p w14:paraId="45E89E2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Hautkrebs;</w:t>
      </w:r>
    </w:p>
    <w:p w14:paraId="080893A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Allergische Reaktionen (einschließlich durch Jahreszeiten bedingte Allergie);</w:t>
      </w:r>
    </w:p>
    <w:p w14:paraId="4C14C10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Flüssigkeitsverlust (Dehydratation);</w:t>
      </w:r>
    </w:p>
    <w:p w14:paraId="533D600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Stimmungsschwankungen (einschließlich Depression);</w:t>
      </w:r>
    </w:p>
    <w:p w14:paraId="749A323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Angstgefühl;</w:t>
      </w:r>
    </w:p>
    <w:p w14:paraId="5A84D52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Schlafstörungen;</w:t>
      </w:r>
    </w:p>
    <w:p w14:paraId="34F2E28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Empfindungsstörungen (einschließlich Kribbeln, Prickeln oder Taubheitsgefühl);</w:t>
      </w:r>
    </w:p>
    <w:p w14:paraId="64EA5F2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Migräne;</w:t>
      </w:r>
    </w:p>
    <w:p w14:paraId="0E51B89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Nervenwurzelkompression (Hexenschuss, einschließlich Rückenschmerzen und Beinschmerzen);</w:t>
      </w:r>
    </w:p>
    <w:p w14:paraId="7022FC4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Sehstörungen;</w:t>
      </w:r>
    </w:p>
    <w:p w14:paraId="0935FD7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Augenentzündung;</w:t>
      </w:r>
    </w:p>
    <w:p w14:paraId="7748F8C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des Augenlides und Anschwellen des Auges;</w:t>
      </w:r>
    </w:p>
    <w:p w14:paraId="457C8F2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Schwindel (Schwindelgefühl oder Gefühl, dass sich der Raum dreht);</w:t>
      </w:r>
    </w:p>
    <w:p w14:paraId="568CD97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Herzrasen;</w:t>
      </w:r>
    </w:p>
    <w:p w14:paraId="747F34D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Hoher Blutdruck;</w:t>
      </w:r>
    </w:p>
    <w:p w14:paraId="4F1C20E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Hitzegefühl;</w:t>
      </w:r>
    </w:p>
    <w:p w14:paraId="052752A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Blutergüsse;</w:t>
      </w:r>
    </w:p>
    <w:p w14:paraId="509A997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Husten;</w:t>
      </w:r>
    </w:p>
    <w:p w14:paraId="55FF8C4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Asthma;</w:t>
      </w:r>
    </w:p>
    <w:p w14:paraId="47B481C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Kurzatmigkeit;</w:t>
      </w:r>
    </w:p>
    <w:p w14:paraId="72E3021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Magen-Darm-Blutungen;</w:t>
      </w:r>
    </w:p>
    <w:p w14:paraId="09D4D81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Verdauungsstörung (Magenverstimmung, Blähungen, Sodbrennen);</w:t>
      </w:r>
    </w:p>
    <w:p w14:paraId="4571F39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Saures Aufstoßen;</w:t>
      </w:r>
    </w:p>
    <w:p w14:paraId="3F9AEBE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Sicca-Syndrom (einschließlich trockener Augen und trockenem Mund);</w:t>
      </w:r>
    </w:p>
    <w:p w14:paraId="3557F28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Juckreiz;</w:t>
      </w:r>
    </w:p>
    <w:p w14:paraId="09FFEC1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Juckender Hautausschlag;</w:t>
      </w:r>
    </w:p>
    <w:p w14:paraId="3A10763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Blaue Flecken;</w:t>
      </w:r>
    </w:p>
    <w:p w14:paraId="2494B3C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der Haut (wie z. B. Ekzeme);</w:t>
      </w:r>
    </w:p>
    <w:p w14:paraId="77C1231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Brüchige Finger- und Fußnägel;</w:t>
      </w:r>
    </w:p>
    <w:p w14:paraId="476D299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Vermehrtes Schwitzen;</w:t>
      </w:r>
    </w:p>
    <w:p w14:paraId="41E14AB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Haarausfall;</w:t>
      </w:r>
    </w:p>
    <w:p w14:paraId="7AFC258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Neuer Ausbruch oder Verschlechterung von Schuppenflechte (Psoriasis);</w:t>
      </w:r>
    </w:p>
    <w:p w14:paraId="3639483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Muskelkrämpfe;</w:t>
      </w:r>
    </w:p>
    <w:p w14:paraId="4E95716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Blut im Urin;</w:t>
      </w:r>
    </w:p>
    <w:p w14:paraId="562B5D9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Nierenprobleme;</w:t>
      </w:r>
    </w:p>
    <w:p w14:paraId="58B180E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Schmerzen im Brustraum;</w:t>
      </w:r>
    </w:p>
    <w:p w14:paraId="2CAA259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Wasseransammlungen (Ödeme);</w:t>
      </w:r>
    </w:p>
    <w:p w14:paraId="1670A9E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Fieber;</w:t>
      </w:r>
    </w:p>
    <w:p w14:paraId="7B330EE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Verringerung der Blutplättchen, dadurch erhöhtes Risiko für Blutungen oder blaue Flecken;</w:t>
      </w:r>
    </w:p>
    <w:p w14:paraId="70CED9A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Verzögerte Wundheilung.</w:t>
      </w:r>
    </w:p>
    <w:p w14:paraId="4A7FD41F" w14:textId="77777777" w:rsidR="00FE291A" w:rsidRDefault="00FE291A">
      <w:pPr>
        <w:widowControl/>
        <w:kinsoku w:val="0"/>
        <w:overflowPunct w:val="0"/>
        <w:rPr>
          <w:sz w:val="22"/>
          <w:szCs w:val="26"/>
          <w:lang w:val="de-DE"/>
        </w:rPr>
      </w:pPr>
    </w:p>
    <w:p w14:paraId="24F992FD" w14:textId="77777777" w:rsidR="00FE291A" w:rsidRDefault="00C8738F">
      <w:pPr>
        <w:pStyle w:val="BodyText"/>
        <w:widowControl/>
        <w:kinsoku w:val="0"/>
        <w:overflowPunct w:val="0"/>
        <w:ind w:left="0"/>
        <w:rPr>
          <w:lang w:val="de-DE"/>
        </w:rPr>
      </w:pPr>
      <w:r>
        <w:rPr>
          <w:lang w:val="de-DE"/>
        </w:rPr>
        <w:t>Gelegentlich (kann bis zu 1 von 100 Behandelten betreffen):</w:t>
      </w:r>
    </w:p>
    <w:p w14:paraId="1588B2B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Tuberkulose und andere Infektionen, die auftreten, wenn die Widerstandskraft gegenüber Krankheiten vermindert ist (opportunistische Infektionen);</w:t>
      </w:r>
    </w:p>
    <w:p w14:paraId="383C5F1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Neurologische Infekte (einschließlich viraler Hirnhautentzündung);</w:t>
      </w:r>
    </w:p>
    <w:p w14:paraId="7F19861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Augeninfektionen;</w:t>
      </w:r>
    </w:p>
    <w:p w14:paraId="113A272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Bakterielle Infektionen;</w:t>
      </w:r>
    </w:p>
    <w:p w14:paraId="7EFCD45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und Infektion des Dickdarms (Divertikulitis);</w:t>
      </w:r>
    </w:p>
    <w:p w14:paraId="4469F66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Krebs, einschließlich Krebs, der das Lymphsystem betrifft (Lymphom), und Melanom (Hautkrebs);</w:t>
      </w:r>
    </w:p>
    <w:p w14:paraId="301E924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Immunstörungen, welche die Lunge, Haut und Lymphknoten betreffen können (kommen am häufigsten als Sarkoidose vor);</w:t>
      </w:r>
    </w:p>
    <w:p w14:paraId="1FDE84D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Vaskulitis (Entzündung der Blutgefäße);</w:t>
      </w:r>
    </w:p>
    <w:p w14:paraId="369BC84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Zittern (Tremor);</w:t>
      </w:r>
    </w:p>
    <w:p w14:paraId="1160571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Nervenerkrankungen (Neuropathie);</w:t>
      </w:r>
    </w:p>
    <w:p w14:paraId="37FADA4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Schlaganfall;</w:t>
      </w:r>
    </w:p>
    <w:p w14:paraId="2D94174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Hörverlust, Ohrensausen;</w:t>
      </w:r>
    </w:p>
    <w:p w14:paraId="254ED27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Unregelmäßiger Herzschlag, wie z. B. übersprungene Schläge;</w:t>
      </w:r>
    </w:p>
    <w:p w14:paraId="5BEC215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Herzprobleme, die zu Kurzatmigkeit und Anschwellen der Fußknöchel führen können;</w:t>
      </w:r>
    </w:p>
    <w:p w14:paraId="0CC84D8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Herzinfarkt;</w:t>
      </w:r>
    </w:p>
    <w:p w14:paraId="7B538AC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Eine Ausbuchtung in der Wand einer Hauptarterie, Entzündung und Blutgerinnsel in einer Vene, Verstopfung eines Blutgefäßes;</w:t>
      </w:r>
    </w:p>
    <w:p w14:paraId="4F00313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Lungenerkrankungen, die sich in Kurzatmigkeit äußern (einschließlich Entzündung);</w:t>
      </w:r>
    </w:p>
    <w:p w14:paraId="556BD52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Lungenembolie (Verschluss in einer Lungenarterie);</w:t>
      </w:r>
    </w:p>
    <w:p w14:paraId="24DC32E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Nicht normale Ansammlung von Flüssigkeit in der Umgebung der Lunge (Pleuraerguss);</w:t>
      </w:r>
    </w:p>
    <w:p w14:paraId="2E99683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der Bauchspeicheldrüse, die starke Schmerzen im Bauchraum und Rücken verursacht;</w:t>
      </w:r>
    </w:p>
    <w:p w14:paraId="4E3FC47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Schluckstörungen;</w:t>
      </w:r>
    </w:p>
    <w:p w14:paraId="7F611C2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Gesichtsschwellung;</w:t>
      </w:r>
    </w:p>
    <w:p w14:paraId="4B8258A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Gallenblasenentzündung, Gallensteine;</w:t>
      </w:r>
    </w:p>
    <w:p w14:paraId="629050B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Fettleber;</w:t>
      </w:r>
    </w:p>
    <w:p w14:paraId="5574757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Nächtliches Schwitzen;</w:t>
      </w:r>
    </w:p>
    <w:p w14:paraId="6FCAFD9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Narbenbildung;</w:t>
      </w:r>
    </w:p>
    <w:p w14:paraId="596E8B6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Abnormaler Muskelabbau;</w:t>
      </w:r>
    </w:p>
    <w:p w14:paraId="00E5CAB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Systemischer Lupus erythematodes (einschließlich Entzündung von Haut, Herz, Lunge, Gelenken und anderen Organsystemen);</w:t>
      </w:r>
    </w:p>
    <w:p w14:paraId="0A9E134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Schlafstörungen;</w:t>
      </w:r>
    </w:p>
    <w:p w14:paraId="6D56C4B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Impotenz;</w:t>
      </w:r>
    </w:p>
    <w:p w14:paraId="34C4923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Entzündungen.</w:t>
      </w:r>
    </w:p>
    <w:p w14:paraId="742AAE15" w14:textId="77777777" w:rsidR="00FE291A" w:rsidRDefault="00FE291A">
      <w:pPr>
        <w:pStyle w:val="BodyText"/>
        <w:widowControl/>
        <w:kinsoku w:val="0"/>
        <w:overflowPunct w:val="0"/>
        <w:ind w:left="0"/>
        <w:rPr>
          <w:lang w:val="de-DE"/>
        </w:rPr>
      </w:pPr>
    </w:p>
    <w:p w14:paraId="246554DD" w14:textId="77777777" w:rsidR="00FE291A" w:rsidRDefault="00C8738F">
      <w:pPr>
        <w:pStyle w:val="BodyText"/>
        <w:widowControl/>
        <w:kinsoku w:val="0"/>
        <w:overflowPunct w:val="0"/>
        <w:ind w:left="0"/>
        <w:rPr>
          <w:lang w:val="de-DE"/>
        </w:rPr>
      </w:pPr>
      <w:r>
        <w:rPr>
          <w:lang w:val="de-DE"/>
        </w:rPr>
        <w:t>Selten (kann bis zu 1 von 1 000 Behandelten betreffen):</w:t>
      </w:r>
    </w:p>
    <w:p w14:paraId="5E75783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Leukämie (Krebs, der das Blut und das Knochenmark betrifft);</w:t>
      </w:r>
    </w:p>
    <w:p w14:paraId="5B92300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Schwere allergische Reaktionen mit Schock;</w:t>
      </w:r>
    </w:p>
    <w:p w14:paraId="12491FB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Multiple Sklerose;</w:t>
      </w:r>
    </w:p>
    <w:p w14:paraId="1A515DA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Nervenerkrankungen (z. B. Entzündung des Augennervs und Guillain-Barré-Syndrom, das zu Muskelschwäche, gestörten Sinnesempfindungen, Kribbeln in Armen und Oberkörper führen kann);</w:t>
      </w:r>
    </w:p>
    <w:p w14:paraId="3E83C5A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Herzstillstand;</w:t>
      </w:r>
    </w:p>
    <w:p w14:paraId="6041C77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Lungenfibrose (Narbenbildung in der Lunge);</w:t>
      </w:r>
    </w:p>
    <w:p w14:paraId="568F1F5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Darmwanddurchbruch (Loch in der Darmwand);</w:t>
      </w:r>
    </w:p>
    <w:p w14:paraId="4BB21C0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Hepatitis (Leberentzündung);</w:t>
      </w:r>
    </w:p>
    <w:p w14:paraId="0AEA271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Erneuter Ausbruch von Hepatitis B;</w:t>
      </w:r>
    </w:p>
    <w:p w14:paraId="53E9679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der Leber, die durch das körpereigene Abwehrsystem ausgelöst wird (Autoimmunhepatitis);</w:t>
      </w:r>
    </w:p>
    <w:p w14:paraId="3C377FA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der Blutgefäße der Haut (kutane Vaskulitis);</w:t>
      </w:r>
    </w:p>
    <w:p w14:paraId="38289F7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Stevens-Johnson-Syndrom (lebensbedrohliche Reaktion mit grippeähnlichen Symptomen und blasenbildendem Ausschlag);</w:t>
      </w:r>
    </w:p>
    <w:p w14:paraId="097AF08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Gesichtsschwellung (Ödem) in Verbindung mit allergischen Reaktionen;</w:t>
      </w:r>
    </w:p>
    <w:p w14:paraId="4C6B13E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Entzündlicher Hautausschlag (Erythema multiforme);</w:t>
      </w:r>
    </w:p>
    <w:p w14:paraId="42E79E7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Lupusähnliches Syndrom;</w:t>
      </w:r>
    </w:p>
    <w:p w14:paraId="4AB65C39" w14:textId="77777777" w:rsidR="00FE291A" w:rsidRDefault="00C8738F">
      <w:pPr>
        <w:widowControl/>
        <w:numPr>
          <w:ilvl w:val="0"/>
          <w:numId w:val="56"/>
        </w:numPr>
        <w:autoSpaceDE/>
        <w:autoSpaceDN/>
        <w:adjustRightInd/>
        <w:ind w:left="567"/>
        <w:rPr>
          <w:sz w:val="22"/>
          <w:szCs w:val="22"/>
          <w:lang w:val="de-DE"/>
        </w:rPr>
      </w:pPr>
      <w:r>
        <w:rPr>
          <w:sz w:val="22"/>
          <w:szCs w:val="22"/>
          <w:lang w:val="de-DE"/>
        </w:rPr>
        <w:t>Angioödem (lokalisierte Schwellung der Haut);</w:t>
      </w:r>
    </w:p>
    <w:p w14:paraId="50FCC442" w14:textId="77777777" w:rsidR="00FE291A" w:rsidRDefault="00C8738F">
      <w:pPr>
        <w:widowControl/>
        <w:numPr>
          <w:ilvl w:val="0"/>
          <w:numId w:val="56"/>
        </w:numPr>
        <w:autoSpaceDE/>
        <w:autoSpaceDN/>
        <w:adjustRightInd/>
        <w:ind w:left="567"/>
        <w:rPr>
          <w:sz w:val="22"/>
          <w:szCs w:val="22"/>
          <w:lang w:val="de-DE"/>
        </w:rPr>
      </w:pPr>
      <w:r>
        <w:rPr>
          <w:sz w:val="22"/>
          <w:szCs w:val="22"/>
          <w:lang w:val="de-DE"/>
        </w:rPr>
        <w:t>Lichenoide Hautreaktion (juckender, rötlicher bis violetter Hautausschlag).</w:t>
      </w:r>
    </w:p>
    <w:p w14:paraId="0C01F1BF" w14:textId="77777777" w:rsidR="00FE291A" w:rsidRDefault="00FE291A">
      <w:pPr>
        <w:widowControl/>
        <w:kinsoku w:val="0"/>
        <w:overflowPunct w:val="0"/>
        <w:rPr>
          <w:sz w:val="22"/>
          <w:szCs w:val="26"/>
          <w:lang w:val="de-DE"/>
        </w:rPr>
      </w:pPr>
    </w:p>
    <w:p w14:paraId="41A3D0BA" w14:textId="77777777" w:rsidR="00FE291A" w:rsidRDefault="00C8738F">
      <w:pPr>
        <w:pStyle w:val="BodyText"/>
        <w:keepNext/>
        <w:keepLines/>
        <w:widowControl/>
        <w:kinsoku w:val="0"/>
        <w:overflowPunct w:val="0"/>
        <w:ind w:left="0"/>
        <w:rPr>
          <w:lang w:val="de-DE"/>
        </w:rPr>
      </w:pPr>
      <w:r>
        <w:rPr>
          <w:lang w:val="de-DE"/>
        </w:rPr>
        <w:t>Nicht bekannt (Häufigkeit auf Grundlage der vorliegenden Daten nicht abschätzbar):</w:t>
      </w:r>
    </w:p>
    <w:p w14:paraId="448B4D1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Hepatosplenales T-Zell-Lymphom (ein selten auftretender Blutkrebs, der oft tödlich ist);</w:t>
      </w:r>
    </w:p>
    <w:p w14:paraId="2F18EC7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Merkelzellkarzinom (eine Art von Hautkrebs);</w:t>
      </w:r>
    </w:p>
    <w:p w14:paraId="6A34F9F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Kaposi-Sarkom, eine seltene Krebserkrankung, die mit einer Infektion mit dem humanen Herpesvirus 8 assoziiert ist. Das Kaposi-Sarkom tritt am häufigsten in Form von violetten Hautläsionen auf.</w:t>
      </w:r>
    </w:p>
    <w:p w14:paraId="0D660C9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Leberversagen;</w:t>
      </w:r>
    </w:p>
    <w:p w14:paraId="1EFDB581" w14:textId="77777777" w:rsidR="00FE291A" w:rsidRDefault="00C8738F">
      <w:pPr>
        <w:pStyle w:val="BodyText"/>
        <w:keepNext/>
        <w:widowControl/>
        <w:numPr>
          <w:ilvl w:val="0"/>
          <w:numId w:val="56"/>
        </w:numPr>
        <w:tabs>
          <w:tab w:val="left" w:pos="567"/>
        </w:tabs>
        <w:kinsoku w:val="0"/>
        <w:overflowPunct w:val="0"/>
        <w:ind w:left="567"/>
        <w:rPr>
          <w:lang w:val="de-DE"/>
        </w:rPr>
      </w:pPr>
      <w:r>
        <w:rPr>
          <w:lang w:val="de-DE"/>
        </w:rPr>
        <w:t>Verschlechterung einer sogenannten Dermatomyositis (tritt als Hautausschlag in Verbindung mit Muskelschwäche in Erscheinung);</w:t>
      </w:r>
    </w:p>
    <w:p w14:paraId="0628D5A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Gewichtszunahme (bei den meisten Patienten war die Gewichtszunahme gering).</w:t>
      </w:r>
    </w:p>
    <w:p w14:paraId="67984B11" w14:textId="77777777" w:rsidR="00FE291A" w:rsidRDefault="00FE291A">
      <w:pPr>
        <w:widowControl/>
        <w:kinsoku w:val="0"/>
        <w:overflowPunct w:val="0"/>
        <w:rPr>
          <w:sz w:val="22"/>
          <w:lang w:val="de-DE"/>
        </w:rPr>
      </w:pPr>
    </w:p>
    <w:p w14:paraId="5884B340" w14:textId="77777777" w:rsidR="00FE291A" w:rsidRDefault="00C8738F">
      <w:pPr>
        <w:pStyle w:val="BodyText"/>
        <w:widowControl/>
        <w:kinsoku w:val="0"/>
        <w:overflowPunct w:val="0"/>
        <w:ind w:left="0"/>
        <w:rPr>
          <w:lang w:val="de-DE"/>
        </w:rPr>
      </w:pPr>
      <w:r>
        <w:rPr>
          <w:lang w:val="de-DE"/>
        </w:rPr>
        <w:t>Mit Adalimumab wurden einige Nebenwirkungen beobachtet, die keine Anzeichen haben und nur durch Bluttests erkannt werden können. Dazu gehören:</w:t>
      </w:r>
    </w:p>
    <w:p w14:paraId="75DD838D" w14:textId="77777777" w:rsidR="00FE291A" w:rsidRDefault="00FE291A">
      <w:pPr>
        <w:widowControl/>
        <w:kinsoku w:val="0"/>
        <w:overflowPunct w:val="0"/>
        <w:rPr>
          <w:sz w:val="22"/>
          <w:szCs w:val="26"/>
          <w:lang w:val="de-DE"/>
        </w:rPr>
      </w:pPr>
    </w:p>
    <w:p w14:paraId="4E0CA83D" w14:textId="77777777" w:rsidR="00FE291A" w:rsidRDefault="00C8738F">
      <w:pPr>
        <w:pStyle w:val="BodyText"/>
        <w:widowControl/>
        <w:kinsoku w:val="0"/>
        <w:overflowPunct w:val="0"/>
        <w:ind w:left="0"/>
        <w:rPr>
          <w:lang w:val="de-DE"/>
        </w:rPr>
      </w:pPr>
      <w:r>
        <w:rPr>
          <w:lang w:val="de-DE"/>
        </w:rPr>
        <w:t>Sehr häufig (kann mehr als 1 von 10 Behandelten betreffen):</w:t>
      </w:r>
    </w:p>
    <w:p w14:paraId="569F1B4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Verringerte Anzahl weißer Blutkörperchen;</w:t>
      </w:r>
    </w:p>
    <w:p w14:paraId="30E65AF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Verringerte Anzahl roter Blutkörperchen;</w:t>
      </w:r>
    </w:p>
    <w:p w14:paraId="103BBBD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Erhöhte Blutfettwerte;</w:t>
      </w:r>
    </w:p>
    <w:p w14:paraId="5EA1532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Erhöhte Werte für Leberenzyme.</w:t>
      </w:r>
    </w:p>
    <w:p w14:paraId="6E01217D" w14:textId="77777777" w:rsidR="00FE291A" w:rsidRDefault="00FE291A">
      <w:pPr>
        <w:widowControl/>
        <w:kinsoku w:val="0"/>
        <w:overflowPunct w:val="0"/>
        <w:rPr>
          <w:sz w:val="22"/>
          <w:szCs w:val="26"/>
          <w:lang w:val="de-DE"/>
        </w:rPr>
      </w:pPr>
    </w:p>
    <w:p w14:paraId="3C6EBC6F" w14:textId="77777777" w:rsidR="00FE291A" w:rsidRDefault="00C8738F">
      <w:pPr>
        <w:pStyle w:val="BodyText"/>
        <w:widowControl/>
        <w:kinsoku w:val="0"/>
        <w:overflowPunct w:val="0"/>
        <w:ind w:left="0"/>
        <w:rPr>
          <w:lang w:val="de-DE"/>
        </w:rPr>
      </w:pPr>
      <w:r>
        <w:rPr>
          <w:lang w:val="de-DE"/>
        </w:rPr>
        <w:t>Häufig (kann bis zu 1 von 10 Behandelten betreffen):</w:t>
      </w:r>
    </w:p>
    <w:p w14:paraId="7F3FCA4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Erhöhte Anzahl weißer Blutkörperchen;</w:t>
      </w:r>
    </w:p>
    <w:p w14:paraId="4D3F414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Verringerte Anzahl von Blutplättchen;</w:t>
      </w:r>
    </w:p>
    <w:p w14:paraId="0EB94CF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Erhöhte Harnsäurewerte;</w:t>
      </w:r>
    </w:p>
    <w:p w14:paraId="75C979D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Abnormale Blutwerte für Natrium;</w:t>
      </w:r>
    </w:p>
    <w:p w14:paraId="4D54011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Niedrige Blutwerte für Kalzium;</w:t>
      </w:r>
    </w:p>
    <w:p w14:paraId="2ABB0DC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Niedrige Blutwerte für Phosphat;</w:t>
      </w:r>
    </w:p>
    <w:p w14:paraId="650B474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Hohe Blutzuckerwerte;</w:t>
      </w:r>
    </w:p>
    <w:p w14:paraId="7CBA686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Hohe Blutwerte für Lactatdehydrogenase;</w:t>
      </w:r>
    </w:p>
    <w:p w14:paraId="164409B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Nachweis von Autoantikörpern im Blut;</w:t>
      </w:r>
    </w:p>
    <w:p w14:paraId="4B348FD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Hypokaliämie (Kaliummangel im Blut).</w:t>
      </w:r>
    </w:p>
    <w:p w14:paraId="3A7FCC7B" w14:textId="77777777" w:rsidR="00FE291A" w:rsidRDefault="00FE291A">
      <w:pPr>
        <w:widowControl/>
        <w:kinsoku w:val="0"/>
        <w:overflowPunct w:val="0"/>
        <w:rPr>
          <w:sz w:val="22"/>
          <w:szCs w:val="26"/>
          <w:lang w:val="de-DE"/>
        </w:rPr>
      </w:pPr>
    </w:p>
    <w:p w14:paraId="53D45131" w14:textId="77777777" w:rsidR="00FE291A" w:rsidRDefault="00C8738F">
      <w:pPr>
        <w:keepNext/>
        <w:rPr>
          <w:sz w:val="22"/>
          <w:szCs w:val="22"/>
          <w:lang w:val="de-DE"/>
        </w:rPr>
      </w:pPr>
      <w:r>
        <w:rPr>
          <w:sz w:val="22"/>
          <w:szCs w:val="22"/>
          <w:lang w:val="de-DE"/>
        </w:rPr>
        <w:t>Gelegentlich (kann bis zu 1 von 100 Behandelten betreffen):</w:t>
      </w:r>
    </w:p>
    <w:p w14:paraId="133B9BB8" w14:textId="77777777" w:rsidR="00FE291A" w:rsidRDefault="00C8738F">
      <w:pPr>
        <w:keepNext/>
        <w:widowControl/>
        <w:numPr>
          <w:ilvl w:val="0"/>
          <w:numId w:val="57"/>
        </w:numPr>
        <w:tabs>
          <w:tab w:val="left" w:pos="567"/>
        </w:tabs>
        <w:autoSpaceDE/>
        <w:autoSpaceDN/>
        <w:adjustRightInd/>
        <w:ind w:hanging="720"/>
        <w:rPr>
          <w:sz w:val="22"/>
          <w:szCs w:val="22"/>
          <w:lang w:val="de-DE"/>
        </w:rPr>
      </w:pPr>
      <w:r>
        <w:rPr>
          <w:sz w:val="22"/>
          <w:szCs w:val="22"/>
          <w:lang w:val="de-DE"/>
        </w:rPr>
        <w:t>Erhöhte Bilirubin-Konzentration im Blut (Leberwerte).</w:t>
      </w:r>
    </w:p>
    <w:p w14:paraId="70D1B04B" w14:textId="77777777" w:rsidR="00FE291A" w:rsidRDefault="00FE291A">
      <w:pPr>
        <w:widowControl/>
        <w:kinsoku w:val="0"/>
        <w:overflowPunct w:val="0"/>
        <w:rPr>
          <w:sz w:val="22"/>
          <w:szCs w:val="26"/>
          <w:lang w:val="de-DE"/>
        </w:rPr>
      </w:pPr>
    </w:p>
    <w:p w14:paraId="37650DE8" w14:textId="77777777" w:rsidR="00FE291A" w:rsidRDefault="00C8738F">
      <w:pPr>
        <w:pStyle w:val="BodyText"/>
        <w:keepNext/>
        <w:widowControl/>
        <w:kinsoku w:val="0"/>
        <w:overflowPunct w:val="0"/>
        <w:ind w:left="0"/>
        <w:rPr>
          <w:lang w:val="de-DE"/>
        </w:rPr>
      </w:pPr>
      <w:r>
        <w:rPr>
          <w:lang w:val="de-DE"/>
        </w:rPr>
        <w:t>Selten (kann bis zu 1 von 1 000 Behandelten betreffen):</w:t>
      </w:r>
    </w:p>
    <w:p w14:paraId="3AD33D0C" w14:textId="77777777" w:rsidR="00FE291A" w:rsidRDefault="00C8738F">
      <w:pPr>
        <w:pStyle w:val="BodyText"/>
        <w:keepNext/>
        <w:widowControl/>
        <w:numPr>
          <w:ilvl w:val="0"/>
          <w:numId w:val="56"/>
        </w:numPr>
        <w:tabs>
          <w:tab w:val="left" w:pos="567"/>
        </w:tabs>
        <w:kinsoku w:val="0"/>
        <w:overflowPunct w:val="0"/>
        <w:ind w:left="0" w:firstLine="0"/>
        <w:rPr>
          <w:lang w:val="de-DE"/>
        </w:rPr>
      </w:pPr>
      <w:r>
        <w:rPr>
          <w:lang w:val="de-DE"/>
        </w:rPr>
        <w:t xml:space="preserve">Verringerte Anzahl von weißen und roten Blutkörperchen sowie von Blutplättchen. </w:t>
      </w:r>
    </w:p>
    <w:p w14:paraId="54D9BEF0" w14:textId="77777777" w:rsidR="00FE291A" w:rsidRDefault="00FE291A">
      <w:pPr>
        <w:pStyle w:val="BodyText"/>
        <w:widowControl/>
        <w:tabs>
          <w:tab w:val="left" w:pos="690"/>
        </w:tabs>
        <w:kinsoku w:val="0"/>
        <w:overflowPunct w:val="0"/>
        <w:ind w:left="0"/>
        <w:rPr>
          <w:lang w:val="de-DE"/>
        </w:rPr>
      </w:pPr>
    </w:p>
    <w:p w14:paraId="407EE543" w14:textId="77777777" w:rsidR="00FE291A" w:rsidRDefault="00C8738F">
      <w:pPr>
        <w:pStyle w:val="Heading1"/>
        <w:widowControl/>
        <w:kinsoku w:val="0"/>
        <w:overflowPunct w:val="0"/>
        <w:ind w:left="0"/>
        <w:rPr>
          <w:b w:val="0"/>
          <w:bCs w:val="0"/>
          <w:lang w:val="de-DE"/>
        </w:rPr>
      </w:pPr>
      <w:r>
        <w:rPr>
          <w:lang w:val="de-DE"/>
        </w:rPr>
        <w:t>Meldung von Nebenwirkungen</w:t>
      </w:r>
    </w:p>
    <w:p w14:paraId="5F2E20A4" w14:textId="77777777" w:rsidR="00FE291A" w:rsidRDefault="00FE291A">
      <w:pPr>
        <w:widowControl/>
        <w:kinsoku w:val="0"/>
        <w:overflowPunct w:val="0"/>
        <w:rPr>
          <w:sz w:val="22"/>
          <w:szCs w:val="22"/>
          <w:lang w:val="de-DE"/>
        </w:rPr>
      </w:pPr>
    </w:p>
    <w:p w14:paraId="07A7239A" w14:textId="77777777" w:rsidR="00FE291A" w:rsidRDefault="00C8738F">
      <w:pPr>
        <w:pStyle w:val="BodyText"/>
        <w:widowControl/>
        <w:kinsoku w:val="0"/>
        <w:overflowPunct w:val="0"/>
        <w:ind w:left="0"/>
        <w:rPr>
          <w:color w:val="000000"/>
          <w:lang w:val="de-DE"/>
        </w:rPr>
      </w:pPr>
      <w:r>
        <w:rPr>
          <w:lang w:val="de-DE"/>
        </w:rPr>
        <w:t xml:space="preserve">Wenn Sie Nebenwirkungen bemerken, wenden Sie sich an Ihren Arzt oder Apotheker. Dies gilt auch für Nebenwirkungen, die nicht in dieser Packungsbeilage angegeben sind. Sie können Nebenwirkungen auch direkt über </w:t>
      </w:r>
      <w:r>
        <w:rPr>
          <w:highlight w:val="lightGray"/>
          <w:lang w:val="de-DE"/>
        </w:rPr>
        <w:t xml:space="preserve">das in </w:t>
      </w:r>
      <w:r>
        <w:fldChar w:fldCharType="begin"/>
      </w:r>
      <w:r w:rsidRPr="00F076DE">
        <w:rPr>
          <w:lang w:val="de-DE"/>
          <w:rPrChange w:id="493" w:author="Author">
            <w:rPr/>
          </w:rPrChange>
        </w:rPr>
        <w:instrText>HYPERLINK "https://www.ema.europa.eu/en/documents/template-form/qrd-appendix-v-adverse-drug-reaction-reporting-details_en.docx" \h</w:instrText>
      </w:r>
      <w:r>
        <w:fldChar w:fldCharType="separate"/>
      </w:r>
      <w:r>
        <w:rPr>
          <w:rStyle w:val="Hyperlink"/>
          <w:rFonts w:eastAsia="Times New Roman"/>
          <w:color w:val="0000FF"/>
          <w:szCs w:val="20"/>
          <w:highlight w:val="lightGray"/>
          <w:lang w:val="de-DE" w:eastAsia="de-DE" w:bidi="de-DE"/>
        </w:rPr>
        <w:t>Anhang V</w:t>
      </w:r>
      <w:r>
        <w:fldChar w:fldCharType="end"/>
      </w:r>
      <w:r>
        <w:rPr>
          <w:rStyle w:val="Hyperlink"/>
          <w:color w:val="auto"/>
          <w:highlight w:val="lightGray"/>
          <w:u w:val="none"/>
          <w:lang w:val="de-DE"/>
        </w:rPr>
        <w:t xml:space="preserve"> </w:t>
      </w:r>
      <w:r>
        <w:rPr>
          <w:color w:val="000000"/>
          <w:highlight w:val="lightGray"/>
          <w:lang w:val="de-DE"/>
        </w:rPr>
        <w:t>aufgeführte nationale Meldesystem</w:t>
      </w:r>
      <w:r>
        <w:rPr>
          <w:color w:val="000000"/>
          <w:lang w:val="de-DE"/>
        </w:rPr>
        <w:t xml:space="preserve"> anzeigen. Indem Sie Nebenwirkungen melden, können Sie dazu beitragen, dass mehr Informationen über die Sicherheit dieses Arzneimittels zur Verfügung gestellt werden.</w:t>
      </w:r>
    </w:p>
    <w:p w14:paraId="320D6D43" w14:textId="77777777" w:rsidR="00FE291A" w:rsidRDefault="00FE291A">
      <w:pPr>
        <w:widowControl/>
        <w:kinsoku w:val="0"/>
        <w:overflowPunct w:val="0"/>
        <w:rPr>
          <w:sz w:val="22"/>
          <w:szCs w:val="22"/>
          <w:lang w:val="de-DE"/>
        </w:rPr>
      </w:pPr>
    </w:p>
    <w:p w14:paraId="48258486" w14:textId="77777777" w:rsidR="00FE291A" w:rsidRDefault="00FE291A">
      <w:pPr>
        <w:widowControl/>
        <w:kinsoku w:val="0"/>
        <w:overflowPunct w:val="0"/>
        <w:rPr>
          <w:sz w:val="22"/>
          <w:szCs w:val="22"/>
          <w:lang w:val="de-DE"/>
        </w:rPr>
      </w:pPr>
    </w:p>
    <w:p w14:paraId="6259D2B5" w14:textId="77777777" w:rsidR="00FE291A" w:rsidRDefault="00C8738F">
      <w:pPr>
        <w:pStyle w:val="Heading1"/>
        <w:keepNext/>
        <w:widowControl/>
        <w:tabs>
          <w:tab w:val="left" w:pos="567"/>
        </w:tabs>
        <w:kinsoku w:val="0"/>
        <w:overflowPunct w:val="0"/>
        <w:ind w:left="0"/>
        <w:rPr>
          <w:b w:val="0"/>
          <w:bCs w:val="0"/>
          <w:lang w:val="de-DE"/>
        </w:rPr>
      </w:pPr>
      <w:r>
        <w:rPr>
          <w:lang w:val="de-DE"/>
        </w:rPr>
        <w:t>5.</w:t>
      </w:r>
      <w:r>
        <w:rPr>
          <w:lang w:val="de-DE"/>
        </w:rPr>
        <w:tab/>
        <w:t>Wie ist AMGEVITA aufzubewahren?</w:t>
      </w:r>
    </w:p>
    <w:p w14:paraId="2AF55547" w14:textId="77777777" w:rsidR="00FE291A" w:rsidRDefault="00FE291A">
      <w:pPr>
        <w:keepNext/>
        <w:widowControl/>
        <w:kinsoku w:val="0"/>
        <w:overflowPunct w:val="0"/>
        <w:rPr>
          <w:sz w:val="22"/>
          <w:szCs w:val="22"/>
          <w:lang w:val="de-DE"/>
        </w:rPr>
      </w:pPr>
    </w:p>
    <w:p w14:paraId="20D5515F" w14:textId="77777777" w:rsidR="00FE291A" w:rsidRDefault="00C8738F">
      <w:pPr>
        <w:pStyle w:val="BodyText"/>
        <w:widowControl/>
        <w:kinsoku w:val="0"/>
        <w:overflowPunct w:val="0"/>
        <w:ind w:left="0"/>
        <w:rPr>
          <w:lang w:val="de-DE"/>
        </w:rPr>
      </w:pPr>
      <w:r>
        <w:rPr>
          <w:lang w:val="de-DE"/>
        </w:rPr>
        <w:t>Für Kinder unzugänglich aufbewahren.</w:t>
      </w:r>
    </w:p>
    <w:p w14:paraId="329F756A" w14:textId="77777777" w:rsidR="00FE291A" w:rsidRDefault="00FE291A">
      <w:pPr>
        <w:widowControl/>
        <w:kinsoku w:val="0"/>
        <w:overflowPunct w:val="0"/>
        <w:rPr>
          <w:sz w:val="22"/>
          <w:szCs w:val="22"/>
          <w:lang w:val="de-DE"/>
        </w:rPr>
      </w:pPr>
    </w:p>
    <w:p w14:paraId="2A683D6C" w14:textId="77777777" w:rsidR="00FE291A" w:rsidRDefault="00C8738F">
      <w:pPr>
        <w:pStyle w:val="BodyText"/>
        <w:widowControl/>
        <w:kinsoku w:val="0"/>
        <w:overflowPunct w:val="0"/>
        <w:ind w:left="0"/>
        <w:rPr>
          <w:lang w:val="de-DE"/>
        </w:rPr>
      </w:pPr>
      <w:r>
        <w:rPr>
          <w:lang w:val="de-DE"/>
        </w:rPr>
        <w:t>Sie dürfen dieses Arzneimittel nach dem auf dem Etikett und Umkarton nach „EXP“ bzw. „verwendbar bis“ angegebenen Verfalldatum nicht mehr verwenden. Das Verfalldatum bezieht sich auf den letzten Tag des angegebenen Monats.</w:t>
      </w:r>
    </w:p>
    <w:p w14:paraId="7C0930DF" w14:textId="77777777" w:rsidR="00FE291A" w:rsidRDefault="00FE291A">
      <w:pPr>
        <w:widowControl/>
        <w:kinsoku w:val="0"/>
        <w:overflowPunct w:val="0"/>
        <w:rPr>
          <w:sz w:val="22"/>
          <w:szCs w:val="22"/>
          <w:lang w:val="de-DE"/>
        </w:rPr>
      </w:pPr>
    </w:p>
    <w:p w14:paraId="07A4D6A6" w14:textId="77777777" w:rsidR="00FE291A" w:rsidRDefault="00C8738F">
      <w:pPr>
        <w:pStyle w:val="BodyText"/>
        <w:widowControl/>
        <w:kinsoku w:val="0"/>
        <w:overflowPunct w:val="0"/>
        <w:ind w:left="0"/>
        <w:rPr>
          <w:lang w:val="de-DE"/>
        </w:rPr>
      </w:pPr>
      <w:r>
        <w:rPr>
          <w:lang w:val="de-DE"/>
        </w:rPr>
        <w:t>Im Kühlschrank lagern (2 °C – 8 °C). Nicht einfrieren.</w:t>
      </w:r>
    </w:p>
    <w:p w14:paraId="59CB46B1" w14:textId="77777777" w:rsidR="00FE291A" w:rsidRDefault="00FE291A">
      <w:pPr>
        <w:pStyle w:val="BodyText"/>
        <w:widowControl/>
        <w:kinsoku w:val="0"/>
        <w:overflowPunct w:val="0"/>
        <w:ind w:left="0"/>
        <w:rPr>
          <w:lang w:val="de-DE"/>
        </w:rPr>
      </w:pPr>
    </w:p>
    <w:p w14:paraId="6663CA77" w14:textId="77777777" w:rsidR="00FE291A" w:rsidRDefault="00C8738F">
      <w:pPr>
        <w:pStyle w:val="BodyText"/>
        <w:widowControl/>
        <w:kinsoku w:val="0"/>
        <w:overflowPunct w:val="0"/>
        <w:ind w:left="0"/>
        <w:rPr>
          <w:lang w:val="de-DE"/>
        </w:rPr>
      </w:pPr>
      <w:r>
        <w:rPr>
          <w:lang w:val="de-DE"/>
        </w:rPr>
        <w:t xml:space="preserve">In der Originalverpackung aufbewahren, um den Inhalt vor Licht zu schützen. </w:t>
      </w:r>
    </w:p>
    <w:p w14:paraId="1D5B3317" w14:textId="77777777" w:rsidR="00FE291A" w:rsidRDefault="00FE291A">
      <w:pPr>
        <w:pStyle w:val="BodyText"/>
        <w:widowControl/>
        <w:kinsoku w:val="0"/>
        <w:overflowPunct w:val="0"/>
        <w:ind w:left="0"/>
        <w:rPr>
          <w:lang w:val="de-DE"/>
        </w:rPr>
      </w:pPr>
    </w:p>
    <w:p w14:paraId="4EC3B67F" w14:textId="77777777" w:rsidR="00FE291A" w:rsidRDefault="00C8738F">
      <w:pPr>
        <w:pStyle w:val="BodyText"/>
        <w:widowControl/>
        <w:kinsoku w:val="0"/>
        <w:overflowPunct w:val="0"/>
        <w:ind w:left="0"/>
        <w:rPr>
          <w:lang w:val="de-DE"/>
        </w:rPr>
      </w:pPr>
      <w:r>
        <w:rPr>
          <w:lang w:val="de-DE"/>
        </w:rPr>
        <w:t>Ein einzelner AMGEVITA-Fertigpen kann für einen Zeitraum von bis zu 14 Tagen bei Temperaturen bis zu 25 °C aufbewahrt werden. Der Fertigpen muss vor Licht geschützt aufbewahrt und weggeworfen werden, wenn er nicht innerhalb des Zeitraums von 14 Tagen verbraucht wurde.</w:t>
      </w:r>
    </w:p>
    <w:p w14:paraId="453D085E" w14:textId="77777777" w:rsidR="00FE291A" w:rsidRDefault="00FE291A">
      <w:pPr>
        <w:pStyle w:val="BodyText"/>
        <w:widowControl/>
        <w:kinsoku w:val="0"/>
        <w:overflowPunct w:val="0"/>
        <w:ind w:left="0"/>
        <w:rPr>
          <w:lang w:val="de-DE"/>
        </w:rPr>
      </w:pPr>
    </w:p>
    <w:p w14:paraId="5176DD02" w14:textId="77777777" w:rsidR="00FE291A" w:rsidRDefault="00C8738F">
      <w:pPr>
        <w:pStyle w:val="BodyText"/>
        <w:widowControl/>
        <w:kinsoku w:val="0"/>
        <w:overflowPunct w:val="0"/>
        <w:ind w:left="0"/>
        <w:rPr>
          <w:lang w:val="de-DE"/>
        </w:rPr>
      </w:pPr>
      <w:r>
        <w:rPr>
          <w:lang w:val="de-DE"/>
        </w:rPr>
        <w:t>Entsorgen Sie Arzneimittel nicht im Abwasser oder Haushaltsabfall. Fragen Sie Ihren Apotheker, wie das Arzneimittel zu entsorgen ist, wenn Sie es nicht mehr verwenden. Sie tragen damit zum Schutz der Umwelt bei.</w:t>
      </w:r>
    </w:p>
    <w:p w14:paraId="58096DEB" w14:textId="77777777" w:rsidR="00FE291A" w:rsidRDefault="00FE291A">
      <w:pPr>
        <w:widowControl/>
        <w:kinsoku w:val="0"/>
        <w:overflowPunct w:val="0"/>
        <w:rPr>
          <w:sz w:val="22"/>
          <w:szCs w:val="22"/>
          <w:lang w:val="de-DE"/>
        </w:rPr>
      </w:pPr>
    </w:p>
    <w:p w14:paraId="7CCAA230" w14:textId="77777777" w:rsidR="00FE291A" w:rsidRDefault="00FE291A">
      <w:pPr>
        <w:widowControl/>
        <w:kinsoku w:val="0"/>
        <w:overflowPunct w:val="0"/>
        <w:rPr>
          <w:sz w:val="22"/>
          <w:szCs w:val="22"/>
          <w:lang w:val="de-DE"/>
        </w:rPr>
      </w:pPr>
    </w:p>
    <w:p w14:paraId="04BD1921" w14:textId="77777777" w:rsidR="00FE291A" w:rsidRDefault="00C8738F">
      <w:pPr>
        <w:pStyle w:val="Heading1"/>
        <w:keepNext/>
        <w:widowControl/>
        <w:tabs>
          <w:tab w:val="left" w:pos="567"/>
        </w:tabs>
        <w:kinsoku w:val="0"/>
        <w:overflowPunct w:val="0"/>
        <w:ind w:left="0"/>
        <w:rPr>
          <w:b w:val="0"/>
          <w:bCs w:val="0"/>
          <w:lang w:val="de-DE"/>
        </w:rPr>
      </w:pPr>
      <w:r>
        <w:rPr>
          <w:lang w:val="de-DE"/>
        </w:rPr>
        <w:t>6.</w:t>
      </w:r>
      <w:r>
        <w:rPr>
          <w:lang w:val="de-DE"/>
        </w:rPr>
        <w:tab/>
        <w:t xml:space="preserve">Inhalt der Packung und weitere Informationen </w:t>
      </w:r>
    </w:p>
    <w:p w14:paraId="6579CD0B" w14:textId="77777777" w:rsidR="00FE291A" w:rsidRDefault="00FE291A">
      <w:pPr>
        <w:pStyle w:val="Heading1"/>
        <w:keepNext/>
        <w:widowControl/>
        <w:tabs>
          <w:tab w:val="left" w:pos="684"/>
        </w:tabs>
        <w:kinsoku w:val="0"/>
        <w:overflowPunct w:val="0"/>
        <w:ind w:left="0"/>
        <w:rPr>
          <w:b w:val="0"/>
          <w:bCs w:val="0"/>
          <w:lang w:val="de-DE"/>
        </w:rPr>
      </w:pPr>
    </w:p>
    <w:p w14:paraId="0CBC18D5" w14:textId="77777777" w:rsidR="00FE291A" w:rsidRDefault="00C8738F">
      <w:pPr>
        <w:pStyle w:val="Heading1"/>
        <w:keepNext/>
        <w:widowControl/>
        <w:tabs>
          <w:tab w:val="left" w:pos="684"/>
        </w:tabs>
        <w:kinsoku w:val="0"/>
        <w:overflowPunct w:val="0"/>
        <w:ind w:left="0"/>
        <w:rPr>
          <w:b w:val="0"/>
          <w:bCs w:val="0"/>
          <w:lang w:val="de-DE"/>
        </w:rPr>
      </w:pPr>
      <w:r>
        <w:rPr>
          <w:lang w:val="de-DE"/>
        </w:rPr>
        <w:t>Was AMGEVITA enthält</w:t>
      </w:r>
    </w:p>
    <w:p w14:paraId="27116432" w14:textId="77777777" w:rsidR="00FE291A" w:rsidRDefault="00C8738F">
      <w:pPr>
        <w:pStyle w:val="BodyText"/>
        <w:widowControl/>
        <w:numPr>
          <w:ilvl w:val="0"/>
          <w:numId w:val="58"/>
        </w:numPr>
        <w:kinsoku w:val="0"/>
        <w:overflowPunct w:val="0"/>
        <w:ind w:left="567"/>
        <w:rPr>
          <w:lang w:val="de-DE"/>
        </w:rPr>
      </w:pPr>
      <w:r>
        <w:rPr>
          <w:lang w:val="de-DE"/>
        </w:rPr>
        <w:t>Der Wirkstoff ist: Adalimumab. Jeder Fertigpen enthält 40 mg Adalimumab in 0,4 ml Lösung.</w:t>
      </w:r>
    </w:p>
    <w:p w14:paraId="613D8A35" w14:textId="77777777" w:rsidR="00FE291A" w:rsidRDefault="00C8738F">
      <w:pPr>
        <w:pStyle w:val="BodyText"/>
        <w:widowControl/>
        <w:numPr>
          <w:ilvl w:val="0"/>
          <w:numId w:val="58"/>
        </w:numPr>
        <w:kinsoku w:val="0"/>
        <w:overflowPunct w:val="0"/>
        <w:ind w:left="567"/>
        <w:rPr>
          <w:lang w:val="de-DE"/>
        </w:rPr>
      </w:pPr>
      <w:r>
        <w:rPr>
          <w:lang w:val="de-DE"/>
        </w:rPr>
        <w:t>Die sonstigen Bestandteile sind: (S)-Milchsäure, Saccharose, Polysorbat 80, Natriumhydroxid und Wasser für Injektionszwecke.</w:t>
      </w:r>
    </w:p>
    <w:p w14:paraId="10EC0E5D" w14:textId="77777777" w:rsidR="00FE291A" w:rsidRDefault="00FE291A">
      <w:pPr>
        <w:widowControl/>
        <w:kinsoku w:val="0"/>
        <w:overflowPunct w:val="0"/>
        <w:rPr>
          <w:sz w:val="22"/>
          <w:szCs w:val="22"/>
          <w:lang w:val="de-DE"/>
        </w:rPr>
      </w:pPr>
    </w:p>
    <w:p w14:paraId="4AEFC9F8" w14:textId="77777777" w:rsidR="00FE291A" w:rsidRDefault="00C8738F">
      <w:pPr>
        <w:pStyle w:val="Heading1"/>
        <w:widowControl/>
        <w:kinsoku w:val="0"/>
        <w:overflowPunct w:val="0"/>
        <w:ind w:left="0"/>
        <w:rPr>
          <w:b w:val="0"/>
          <w:bCs w:val="0"/>
          <w:lang w:val="de-DE"/>
        </w:rPr>
      </w:pPr>
      <w:r>
        <w:rPr>
          <w:lang w:val="de-DE"/>
        </w:rPr>
        <w:t>Wie AMGEVITA aussieht und Inhalt der Packung</w:t>
      </w:r>
    </w:p>
    <w:p w14:paraId="6C24142B" w14:textId="77777777" w:rsidR="00FE291A" w:rsidRDefault="00FE291A">
      <w:pPr>
        <w:widowControl/>
        <w:kinsoku w:val="0"/>
        <w:overflowPunct w:val="0"/>
        <w:rPr>
          <w:sz w:val="22"/>
          <w:szCs w:val="22"/>
          <w:lang w:val="de-DE"/>
        </w:rPr>
      </w:pPr>
    </w:p>
    <w:p w14:paraId="3F26B719" w14:textId="77777777" w:rsidR="00FE291A" w:rsidRDefault="00C8738F">
      <w:pPr>
        <w:pStyle w:val="BodyText"/>
        <w:widowControl/>
        <w:kinsoku w:val="0"/>
        <w:overflowPunct w:val="0"/>
        <w:ind w:left="0"/>
        <w:rPr>
          <w:lang w:val="de-DE"/>
        </w:rPr>
      </w:pPr>
      <w:r>
        <w:rPr>
          <w:lang w:val="de-DE"/>
        </w:rPr>
        <w:t>AMGEVITA ist eine klare und farblose bis leicht gelbliche Lösung.</w:t>
      </w:r>
    </w:p>
    <w:p w14:paraId="4B4B0F20" w14:textId="77777777" w:rsidR="00FE291A" w:rsidRDefault="00FE291A">
      <w:pPr>
        <w:pStyle w:val="BodyText"/>
        <w:widowControl/>
        <w:kinsoku w:val="0"/>
        <w:overflowPunct w:val="0"/>
        <w:ind w:left="0"/>
        <w:rPr>
          <w:lang w:val="de-DE"/>
        </w:rPr>
      </w:pPr>
    </w:p>
    <w:p w14:paraId="19901EB0" w14:textId="77777777" w:rsidR="00FE291A" w:rsidRDefault="00C8738F">
      <w:pPr>
        <w:pStyle w:val="BodyText"/>
        <w:widowControl/>
        <w:kinsoku w:val="0"/>
        <w:overflowPunct w:val="0"/>
        <w:ind w:left="0"/>
        <w:rPr>
          <w:lang w:val="de-DE"/>
        </w:rPr>
      </w:pPr>
      <w:r>
        <w:rPr>
          <w:lang w:val="de-DE"/>
        </w:rPr>
        <w:t>Jede Packung enthält einen, zwei oder sechs 40 mg SureClick Fertigpen(s) zum Einmalgebrauch.</w:t>
      </w:r>
    </w:p>
    <w:p w14:paraId="48F5F42B" w14:textId="77777777" w:rsidR="00FE291A" w:rsidRDefault="00FE291A">
      <w:pPr>
        <w:pStyle w:val="BodyText"/>
        <w:widowControl/>
        <w:kinsoku w:val="0"/>
        <w:overflowPunct w:val="0"/>
        <w:ind w:left="0"/>
        <w:rPr>
          <w:lang w:val="de-DE"/>
        </w:rPr>
      </w:pPr>
    </w:p>
    <w:p w14:paraId="1EA4F23C" w14:textId="77777777" w:rsidR="00FE291A" w:rsidRDefault="00C8738F">
      <w:pPr>
        <w:pStyle w:val="BodyText"/>
        <w:keepNext/>
        <w:widowControl/>
        <w:kinsoku w:val="0"/>
        <w:overflowPunct w:val="0"/>
        <w:ind w:left="0"/>
        <w:rPr>
          <w:lang w:val="de-DE"/>
        </w:rPr>
      </w:pPr>
      <w:r>
        <w:rPr>
          <w:b/>
          <w:bCs/>
          <w:lang w:val="de-DE"/>
        </w:rPr>
        <w:t>Pharmazeutischer Unternehmer und Hersteller</w:t>
      </w:r>
    </w:p>
    <w:p w14:paraId="38EDAEC1" w14:textId="77777777" w:rsidR="00FE291A" w:rsidRDefault="00C8738F">
      <w:pPr>
        <w:pStyle w:val="lbltxt"/>
        <w:keepNext/>
        <w:rPr>
          <w:lang w:val="de-DE"/>
        </w:rPr>
      </w:pPr>
      <w:r>
        <w:rPr>
          <w:lang w:val="de-DE"/>
        </w:rPr>
        <w:t xml:space="preserve">Amgen Europe B.V. </w:t>
      </w:r>
      <w:r>
        <w:rPr>
          <w:lang w:val="de-DE"/>
        </w:rPr>
        <w:br/>
        <w:t xml:space="preserve">Minervum 7061 </w:t>
      </w:r>
      <w:r>
        <w:rPr>
          <w:lang w:val="de-DE"/>
        </w:rPr>
        <w:br/>
        <w:t xml:space="preserve">4817 ZK Breda </w:t>
      </w:r>
      <w:r>
        <w:rPr>
          <w:lang w:val="de-DE"/>
        </w:rPr>
        <w:br/>
        <w:t>Niederlande</w:t>
      </w:r>
    </w:p>
    <w:p w14:paraId="1155FC7B" w14:textId="77777777" w:rsidR="00FE291A" w:rsidRDefault="00FE291A">
      <w:pPr>
        <w:widowControl/>
        <w:kinsoku w:val="0"/>
        <w:overflowPunct w:val="0"/>
        <w:rPr>
          <w:sz w:val="22"/>
          <w:lang w:val="de-DE"/>
        </w:rPr>
      </w:pPr>
    </w:p>
    <w:p w14:paraId="2AC3B069" w14:textId="77777777" w:rsidR="00FE291A" w:rsidRDefault="00C8738F">
      <w:pPr>
        <w:pStyle w:val="BodyText"/>
        <w:widowControl/>
        <w:kinsoku w:val="0"/>
        <w:overflowPunct w:val="0"/>
        <w:ind w:left="0"/>
        <w:rPr>
          <w:b/>
          <w:bCs/>
          <w:highlight w:val="lightGray"/>
          <w:lang w:val="de-DE"/>
        </w:rPr>
      </w:pPr>
      <w:r>
        <w:rPr>
          <w:b/>
          <w:bCs/>
          <w:highlight w:val="lightGray"/>
          <w:lang w:val="de-DE"/>
        </w:rPr>
        <w:t>Pharmazeutischer Unternehmer</w:t>
      </w:r>
    </w:p>
    <w:p w14:paraId="305368B0" w14:textId="77777777" w:rsidR="00FE291A" w:rsidRDefault="00C8738F">
      <w:pPr>
        <w:pStyle w:val="lbltxt"/>
        <w:rPr>
          <w:highlight w:val="lightGray"/>
          <w:lang w:val="de-DE"/>
        </w:rPr>
      </w:pPr>
      <w:r>
        <w:rPr>
          <w:highlight w:val="lightGray"/>
          <w:lang w:val="de-DE"/>
        </w:rPr>
        <w:t xml:space="preserve">Amgen Europe B.V. </w:t>
      </w:r>
      <w:r>
        <w:rPr>
          <w:highlight w:val="lightGray"/>
          <w:lang w:val="de-DE"/>
        </w:rPr>
        <w:br/>
        <w:t xml:space="preserve">Minervum 7061 </w:t>
      </w:r>
      <w:r>
        <w:rPr>
          <w:highlight w:val="lightGray"/>
          <w:lang w:val="de-DE"/>
        </w:rPr>
        <w:br/>
        <w:t xml:space="preserve">4817 ZK Breda </w:t>
      </w:r>
      <w:r>
        <w:rPr>
          <w:highlight w:val="lightGray"/>
          <w:lang w:val="de-DE"/>
        </w:rPr>
        <w:br/>
        <w:t>Niederlande</w:t>
      </w:r>
    </w:p>
    <w:p w14:paraId="0AE3F8CA" w14:textId="77777777" w:rsidR="00FE291A" w:rsidRDefault="00FE291A">
      <w:pPr>
        <w:pStyle w:val="BodyText"/>
        <w:widowControl/>
        <w:kinsoku w:val="0"/>
        <w:overflowPunct w:val="0"/>
        <w:ind w:left="0"/>
        <w:rPr>
          <w:bCs/>
          <w:highlight w:val="lightGray"/>
          <w:lang w:val="de-DE"/>
        </w:rPr>
      </w:pPr>
    </w:p>
    <w:p w14:paraId="66CC107B" w14:textId="77777777" w:rsidR="00FE291A" w:rsidRDefault="00C8738F">
      <w:pPr>
        <w:pStyle w:val="BodyText"/>
        <w:widowControl/>
        <w:kinsoku w:val="0"/>
        <w:overflowPunct w:val="0"/>
        <w:ind w:left="0"/>
        <w:rPr>
          <w:highlight w:val="lightGray"/>
          <w:lang w:val="en-US"/>
        </w:rPr>
      </w:pPr>
      <w:r>
        <w:rPr>
          <w:b/>
          <w:bCs/>
          <w:highlight w:val="lightGray"/>
          <w:lang w:val="en-US"/>
        </w:rPr>
        <w:t>Hersteller</w:t>
      </w:r>
    </w:p>
    <w:p w14:paraId="3DA13A3E" w14:textId="77777777" w:rsidR="00FE291A" w:rsidRDefault="00C8738F">
      <w:pPr>
        <w:pStyle w:val="lbltxt"/>
        <w:rPr>
          <w:highlight w:val="lightGray"/>
          <w:lang w:val="en-US"/>
        </w:rPr>
      </w:pPr>
      <w:r>
        <w:rPr>
          <w:highlight w:val="lightGray"/>
          <w:lang w:val="en-US"/>
        </w:rPr>
        <w:t xml:space="preserve">Amgen Technology Ireland UC </w:t>
      </w:r>
    </w:p>
    <w:p w14:paraId="6D442427" w14:textId="77777777" w:rsidR="00FE291A" w:rsidRDefault="00C8738F">
      <w:pPr>
        <w:pStyle w:val="lbltxt"/>
        <w:rPr>
          <w:highlight w:val="lightGray"/>
          <w:lang w:val="en-US"/>
        </w:rPr>
      </w:pPr>
      <w:r>
        <w:rPr>
          <w:highlight w:val="lightGray"/>
          <w:lang w:val="en-US"/>
        </w:rPr>
        <w:t>Pottery Road</w:t>
      </w:r>
    </w:p>
    <w:p w14:paraId="6A2BDEE2" w14:textId="77777777" w:rsidR="00FE291A" w:rsidRDefault="00C8738F">
      <w:pPr>
        <w:pStyle w:val="lbltxt"/>
        <w:rPr>
          <w:highlight w:val="lightGray"/>
          <w:lang w:val="en-US"/>
        </w:rPr>
      </w:pPr>
      <w:r>
        <w:rPr>
          <w:highlight w:val="lightGray"/>
          <w:lang w:val="en-US"/>
        </w:rPr>
        <w:t>Dun Laoghaire</w:t>
      </w:r>
    </w:p>
    <w:p w14:paraId="3012618A" w14:textId="77777777" w:rsidR="00FE291A" w:rsidRDefault="00C8738F">
      <w:pPr>
        <w:pStyle w:val="lbltxt"/>
        <w:rPr>
          <w:highlight w:val="lightGray"/>
          <w:lang w:val="en-US"/>
        </w:rPr>
      </w:pPr>
      <w:r>
        <w:rPr>
          <w:highlight w:val="lightGray"/>
          <w:lang w:val="en-US"/>
        </w:rPr>
        <w:t>Co Dublin</w:t>
      </w:r>
    </w:p>
    <w:p w14:paraId="4C34B204" w14:textId="77777777" w:rsidR="00FE291A" w:rsidRDefault="00C8738F">
      <w:pPr>
        <w:pStyle w:val="lbltxt"/>
        <w:rPr>
          <w:lang w:val="de-DE"/>
        </w:rPr>
      </w:pPr>
      <w:r>
        <w:rPr>
          <w:highlight w:val="lightGray"/>
          <w:lang w:val="de-DE"/>
        </w:rPr>
        <w:t>Irland</w:t>
      </w:r>
    </w:p>
    <w:p w14:paraId="1C9E16DA" w14:textId="77777777" w:rsidR="00FE291A" w:rsidRDefault="00FE291A">
      <w:pPr>
        <w:widowControl/>
        <w:kinsoku w:val="0"/>
        <w:overflowPunct w:val="0"/>
        <w:rPr>
          <w:sz w:val="22"/>
          <w:szCs w:val="22"/>
          <w:lang w:val="de-DE"/>
        </w:rPr>
      </w:pPr>
    </w:p>
    <w:p w14:paraId="77DF6309" w14:textId="77777777" w:rsidR="00FE291A" w:rsidRDefault="00C8738F">
      <w:pPr>
        <w:pStyle w:val="BodyText"/>
        <w:widowControl/>
        <w:kinsoku w:val="0"/>
        <w:overflowPunct w:val="0"/>
        <w:ind w:left="0"/>
        <w:rPr>
          <w:highlight w:val="lightGray"/>
          <w:lang w:val="de-DE"/>
        </w:rPr>
      </w:pPr>
      <w:r>
        <w:rPr>
          <w:b/>
          <w:bCs/>
          <w:highlight w:val="lightGray"/>
          <w:lang w:val="de-DE"/>
        </w:rPr>
        <w:t>Hersteller</w:t>
      </w:r>
    </w:p>
    <w:p w14:paraId="4FE7592A" w14:textId="77777777" w:rsidR="00FE291A" w:rsidRDefault="00C8738F">
      <w:pPr>
        <w:rPr>
          <w:sz w:val="22"/>
          <w:szCs w:val="22"/>
          <w:highlight w:val="lightGray"/>
          <w:lang w:val="de-DE" w:eastAsia="ja-JP"/>
        </w:rPr>
      </w:pPr>
      <w:r>
        <w:rPr>
          <w:sz w:val="22"/>
          <w:szCs w:val="22"/>
          <w:highlight w:val="lightGray"/>
          <w:lang w:val="de-DE" w:eastAsia="ja-JP"/>
        </w:rPr>
        <w:t>Amgen NV</w:t>
      </w:r>
    </w:p>
    <w:p w14:paraId="795474B3" w14:textId="77777777" w:rsidR="00FE291A" w:rsidRDefault="00C8738F">
      <w:pPr>
        <w:rPr>
          <w:sz w:val="22"/>
          <w:szCs w:val="22"/>
          <w:highlight w:val="lightGray"/>
          <w:lang w:val="de-DE" w:eastAsia="ja-JP"/>
        </w:rPr>
      </w:pPr>
      <w:r>
        <w:rPr>
          <w:sz w:val="22"/>
          <w:szCs w:val="22"/>
          <w:highlight w:val="lightGray"/>
          <w:lang w:val="de-DE" w:eastAsia="ja-JP"/>
        </w:rPr>
        <w:t>Telecomlaan 5-7</w:t>
      </w:r>
    </w:p>
    <w:p w14:paraId="380DEC11" w14:textId="77777777" w:rsidR="00FE291A" w:rsidRDefault="00C8738F">
      <w:pPr>
        <w:rPr>
          <w:sz w:val="22"/>
          <w:szCs w:val="22"/>
          <w:highlight w:val="lightGray"/>
          <w:lang w:val="de-DE" w:eastAsia="ja-JP"/>
        </w:rPr>
      </w:pPr>
      <w:r>
        <w:rPr>
          <w:sz w:val="22"/>
          <w:szCs w:val="22"/>
          <w:highlight w:val="lightGray"/>
          <w:lang w:val="de-DE" w:eastAsia="ja-JP"/>
        </w:rPr>
        <w:t>1831 Diegem</w:t>
      </w:r>
    </w:p>
    <w:p w14:paraId="09261787" w14:textId="77777777" w:rsidR="00FE291A" w:rsidRDefault="00C8738F">
      <w:pPr>
        <w:pStyle w:val="BodyText"/>
        <w:widowControl/>
        <w:kinsoku w:val="0"/>
        <w:overflowPunct w:val="0"/>
        <w:ind w:left="0"/>
        <w:rPr>
          <w:lang w:val="de-DE"/>
        </w:rPr>
      </w:pPr>
      <w:r>
        <w:rPr>
          <w:highlight w:val="lightGray"/>
          <w:lang w:val="de-DE"/>
        </w:rPr>
        <w:t>Belgien</w:t>
      </w:r>
      <w:r>
        <w:rPr>
          <w:lang w:val="de-DE"/>
        </w:rPr>
        <w:t xml:space="preserve"> </w:t>
      </w:r>
    </w:p>
    <w:p w14:paraId="1561573C" w14:textId="77777777" w:rsidR="00FE291A" w:rsidRDefault="00FE291A">
      <w:pPr>
        <w:pStyle w:val="BodyText"/>
        <w:widowControl/>
        <w:kinsoku w:val="0"/>
        <w:overflowPunct w:val="0"/>
        <w:ind w:left="0"/>
        <w:rPr>
          <w:lang w:val="de-DE"/>
        </w:rPr>
      </w:pPr>
    </w:p>
    <w:p w14:paraId="525C4D52" w14:textId="77777777" w:rsidR="00FE291A" w:rsidRDefault="00C8738F">
      <w:pPr>
        <w:pStyle w:val="BodyText"/>
        <w:widowControl/>
        <w:kinsoku w:val="0"/>
        <w:overflowPunct w:val="0"/>
        <w:ind w:left="0"/>
        <w:rPr>
          <w:lang w:val="de-DE"/>
        </w:rPr>
      </w:pPr>
      <w:r>
        <w:rPr>
          <w:lang w:val="de-DE"/>
        </w:rPr>
        <w:t>Falls Sie weitere Informationen über dieses Arzneimittel wünschen, setzen Sie sich bitte mit dem örtlichen Vertreter des pharmazeutischen Unternehmers in Verbindung:</w:t>
      </w:r>
    </w:p>
    <w:p w14:paraId="3A0F294B" w14:textId="77777777" w:rsidR="00FE291A" w:rsidRDefault="00FE291A">
      <w:pPr>
        <w:pStyle w:val="Heading1"/>
        <w:keepNext/>
        <w:widowControl/>
        <w:kinsoku w:val="0"/>
        <w:overflowPunct w:val="0"/>
        <w:ind w:left="0"/>
        <w:rPr>
          <w:b w:val="0"/>
          <w:lang w:val="de-DE"/>
        </w:rPr>
      </w:pPr>
    </w:p>
    <w:tbl>
      <w:tblPr>
        <w:tblW w:w="0" w:type="auto"/>
        <w:tblInd w:w="108" w:type="dxa"/>
        <w:tblLook w:val="04A0" w:firstRow="1" w:lastRow="0" w:firstColumn="1" w:lastColumn="0" w:noHBand="0" w:noVBand="1"/>
      </w:tblPr>
      <w:tblGrid>
        <w:gridCol w:w="4426"/>
        <w:gridCol w:w="4537"/>
      </w:tblGrid>
      <w:tr w:rsidR="00FE291A" w14:paraId="32B9B439" w14:textId="77777777">
        <w:tc>
          <w:tcPr>
            <w:tcW w:w="4463" w:type="dxa"/>
          </w:tcPr>
          <w:p w14:paraId="72AFE84D" w14:textId="77777777" w:rsidR="00FE291A" w:rsidRDefault="00C8738F">
            <w:pPr>
              <w:pStyle w:val="lbltxt"/>
              <w:rPr>
                <w:szCs w:val="22"/>
                <w:lang w:val="de-DE"/>
              </w:rPr>
            </w:pPr>
            <w:r>
              <w:rPr>
                <w:b/>
                <w:szCs w:val="22"/>
                <w:lang w:val="de-DE"/>
              </w:rPr>
              <w:t>België/Belgique/Belgien</w:t>
            </w:r>
          </w:p>
          <w:p w14:paraId="616FCBCE" w14:textId="77777777" w:rsidR="00FE291A" w:rsidRDefault="00C8738F">
            <w:pPr>
              <w:pStyle w:val="lbltxt"/>
              <w:rPr>
                <w:szCs w:val="22"/>
                <w:lang w:val="de-DE"/>
              </w:rPr>
            </w:pPr>
            <w:r>
              <w:rPr>
                <w:szCs w:val="22"/>
                <w:lang w:val="de-DE"/>
              </w:rPr>
              <w:t>s.a. Amgen n.v.</w:t>
            </w:r>
          </w:p>
          <w:p w14:paraId="18EA852A" w14:textId="77777777" w:rsidR="00FE291A" w:rsidRDefault="00C8738F">
            <w:pPr>
              <w:widowControl/>
              <w:rPr>
                <w:sz w:val="22"/>
                <w:szCs w:val="22"/>
                <w:lang w:val="de-DE"/>
              </w:rPr>
            </w:pPr>
            <w:r>
              <w:rPr>
                <w:sz w:val="22"/>
                <w:szCs w:val="22"/>
                <w:lang w:val="de-DE"/>
              </w:rPr>
              <w:t>Tél/Tel: +32 (0)2 7752711</w:t>
            </w:r>
          </w:p>
          <w:p w14:paraId="7803623D" w14:textId="77777777" w:rsidR="00FE291A" w:rsidRDefault="00FE291A">
            <w:pPr>
              <w:widowControl/>
              <w:kinsoku w:val="0"/>
              <w:overflowPunct w:val="0"/>
              <w:rPr>
                <w:sz w:val="22"/>
                <w:szCs w:val="22"/>
                <w:lang w:val="de-DE"/>
              </w:rPr>
            </w:pPr>
          </w:p>
        </w:tc>
        <w:tc>
          <w:tcPr>
            <w:tcW w:w="4572" w:type="dxa"/>
          </w:tcPr>
          <w:p w14:paraId="34DCB107" w14:textId="77777777" w:rsidR="00FE291A" w:rsidRDefault="00C8738F">
            <w:pPr>
              <w:pStyle w:val="lbltxt"/>
              <w:rPr>
                <w:b/>
                <w:szCs w:val="22"/>
                <w:lang w:val="de-DE"/>
              </w:rPr>
            </w:pPr>
            <w:r>
              <w:rPr>
                <w:b/>
                <w:szCs w:val="22"/>
                <w:lang w:val="de-DE"/>
              </w:rPr>
              <w:t>Lietuva</w:t>
            </w:r>
          </w:p>
          <w:p w14:paraId="11801E8E" w14:textId="77777777" w:rsidR="00FE291A" w:rsidRDefault="00C8738F">
            <w:pPr>
              <w:pStyle w:val="lbltxt"/>
              <w:rPr>
                <w:bCs/>
                <w:szCs w:val="22"/>
                <w:lang w:val="de-DE"/>
              </w:rPr>
            </w:pPr>
            <w:r>
              <w:rPr>
                <w:szCs w:val="22"/>
                <w:lang w:val="de-DE"/>
              </w:rPr>
              <w:t>Amgen Switzerland AG Vilniaus filialas</w:t>
            </w:r>
          </w:p>
          <w:p w14:paraId="7B20EC39" w14:textId="77777777" w:rsidR="00FE291A" w:rsidRDefault="00C8738F">
            <w:pPr>
              <w:pStyle w:val="lbltxt"/>
              <w:rPr>
                <w:bCs/>
                <w:szCs w:val="22"/>
                <w:lang w:val="de-DE"/>
              </w:rPr>
            </w:pPr>
            <w:r>
              <w:rPr>
                <w:bCs/>
                <w:szCs w:val="22"/>
                <w:lang w:val="de-DE"/>
              </w:rPr>
              <w:t>Tel</w:t>
            </w:r>
            <w:ins w:id="494" w:author="Author">
              <w:r>
                <w:rPr>
                  <w:bCs/>
                  <w:szCs w:val="22"/>
                  <w:lang w:val="de-DE"/>
                </w:rPr>
                <w:t>.</w:t>
              </w:r>
            </w:ins>
            <w:del w:id="495" w:author="Author">
              <w:r>
                <w:rPr>
                  <w:bCs/>
                  <w:szCs w:val="22"/>
                  <w:lang w:val="de-DE"/>
                </w:rPr>
                <w:delText>:</w:delText>
              </w:r>
            </w:del>
            <w:r>
              <w:rPr>
                <w:bCs/>
                <w:szCs w:val="22"/>
                <w:lang w:val="de-DE"/>
              </w:rPr>
              <w:t xml:space="preserve"> +370 5 219 7474</w:t>
            </w:r>
          </w:p>
          <w:p w14:paraId="39134137" w14:textId="77777777" w:rsidR="00FE291A" w:rsidRDefault="00FE291A">
            <w:pPr>
              <w:widowControl/>
              <w:kinsoku w:val="0"/>
              <w:overflowPunct w:val="0"/>
              <w:rPr>
                <w:sz w:val="22"/>
                <w:szCs w:val="22"/>
                <w:lang w:val="de-DE"/>
              </w:rPr>
            </w:pPr>
          </w:p>
        </w:tc>
      </w:tr>
      <w:tr w:rsidR="00FE291A" w:rsidRPr="002E6CD3" w14:paraId="328702EC" w14:textId="77777777">
        <w:tc>
          <w:tcPr>
            <w:tcW w:w="4463" w:type="dxa"/>
          </w:tcPr>
          <w:p w14:paraId="1943AF00" w14:textId="77777777" w:rsidR="00FE291A" w:rsidRDefault="00C8738F">
            <w:pPr>
              <w:widowControl/>
              <w:rPr>
                <w:rFonts w:eastAsia="Arial Unicode MS"/>
                <w:b/>
                <w:bCs/>
                <w:sz w:val="22"/>
                <w:szCs w:val="22"/>
                <w:lang w:val="ru-RU"/>
              </w:rPr>
            </w:pPr>
            <w:r>
              <w:rPr>
                <w:rFonts w:eastAsia="Arial Unicode MS"/>
                <w:b/>
                <w:bCs/>
                <w:sz w:val="22"/>
                <w:szCs w:val="22"/>
                <w:lang w:val="ru-RU"/>
              </w:rPr>
              <w:t>България</w:t>
            </w:r>
          </w:p>
          <w:p w14:paraId="549D40A1" w14:textId="77777777" w:rsidR="00FE291A" w:rsidRDefault="00C8738F">
            <w:pPr>
              <w:pStyle w:val="lbltxt"/>
              <w:rPr>
                <w:rFonts w:eastAsia="Arial Unicode MS"/>
                <w:szCs w:val="22"/>
                <w:lang w:val="ru-RU" w:eastAsia="en-GB"/>
              </w:rPr>
            </w:pPr>
            <w:r>
              <w:rPr>
                <w:rFonts w:eastAsia="Arial Unicode MS"/>
                <w:szCs w:val="22"/>
                <w:lang w:val="ru-RU" w:eastAsia="en-GB"/>
              </w:rPr>
              <w:t>Амджен България ЕООД</w:t>
            </w:r>
          </w:p>
          <w:p w14:paraId="2FC55215" w14:textId="77777777" w:rsidR="00FE291A" w:rsidRDefault="00C8738F">
            <w:pPr>
              <w:pStyle w:val="lbltxt"/>
              <w:rPr>
                <w:rFonts w:eastAsia="Arial Unicode MS"/>
                <w:bCs/>
                <w:szCs w:val="22"/>
                <w:lang w:val="ru-RU"/>
              </w:rPr>
            </w:pPr>
            <w:r>
              <w:rPr>
                <w:rFonts w:eastAsia="Arial Unicode MS"/>
                <w:szCs w:val="22"/>
                <w:lang w:val="ru-RU" w:eastAsia="en-GB"/>
              </w:rPr>
              <w:t xml:space="preserve">Тел.: +359 </w:t>
            </w:r>
            <w:r>
              <w:rPr>
                <w:rFonts w:eastAsia="Arial Unicode MS"/>
                <w:bCs/>
                <w:szCs w:val="22"/>
                <w:lang w:val="ru-RU"/>
              </w:rPr>
              <w:t>(0)2</w:t>
            </w:r>
            <w:r>
              <w:rPr>
                <w:rFonts w:eastAsia="Arial Unicode MS"/>
                <w:bCs/>
                <w:szCs w:val="22"/>
                <w:lang w:val="en-IN"/>
              </w:rPr>
              <w:t> </w:t>
            </w:r>
            <w:r>
              <w:rPr>
                <w:rFonts w:eastAsia="Arial Unicode MS"/>
                <w:bCs/>
                <w:szCs w:val="22"/>
                <w:lang w:val="ru-RU"/>
              </w:rPr>
              <w:t>424 7440</w:t>
            </w:r>
          </w:p>
          <w:p w14:paraId="3FEAB131" w14:textId="77777777" w:rsidR="00FE291A" w:rsidRDefault="00FE291A">
            <w:pPr>
              <w:widowControl/>
              <w:kinsoku w:val="0"/>
              <w:overflowPunct w:val="0"/>
              <w:rPr>
                <w:sz w:val="22"/>
                <w:szCs w:val="22"/>
                <w:lang w:val="ru-RU"/>
              </w:rPr>
            </w:pPr>
          </w:p>
        </w:tc>
        <w:tc>
          <w:tcPr>
            <w:tcW w:w="4572" w:type="dxa"/>
          </w:tcPr>
          <w:p w14:paraId="299C7C2B" w14:textId="77777777" w:rsidR="00FE291A" w:rsidRDefault="00C8738F">
            <w:pPr>
              <w:pStyle w:val="lbltxt"/>
              <w:rPr>
                <w:szCs w:val="22"/>
                <w:lang w:val="de-DE"/>
              </w:rPr>
            </w:pPr>
            <w:r>
              <w:rPr>
                <w:b/>
                <w:szCs w:val="22"/>
                <w:lang w:val="de-DE"/>
              </w:rPr>
              <w:t>Luxembourg/Luxemburg</w:t>
            </w:r>
          </w:p>
          <w:p w14:paraId="73544F84" w14:textId="77777777" w:rsidR="00FE291A" w:rsidRDefault="00C8738F">
            <w:pPr>
              <w:pStyle w:val="lbltxt"/>
              <w:rPr>
                <w:szCs w:val="22"/>
                <w:lang w:val="de-DE"/>
              </w:rPr>
            </w:pPr>
            <w:r>
              <w:rPr>
                <w:szCs w:val="22"/>
                <w:lang w:val="de-DE"/>
              </w:rPr>
              <w:t xml:space="preserve">s.a. Amgen </w:t>
            </w:r>
          </w:p>
          <w:p w14:paraId="047B6940" w14:textId="77777777" w:rsidR="00FE291A" w:rsidRDefault="00C8738F">
            <w:pPr>
              <w:pStyle w:val="lbltxt"/>
              <w:rPr>
                <w:szCs w:val="22"/>
                <w:lang w:val="de-DE"/>
              </w:rPr>
            </w:pPr>
            <w:r>
              <w:rPr>
                <w:szCs w:val="22"/>
                <w:lang w:val="de-DE"/>
              </w:rPr>
              <w:t>Belgique/Belgien</w:t>
            </w:r>
          </w:p>
          <w:p w14:paraId="0D817E1E" w14:textId="77777777" w:rsidR="00FE291A" w:rsidRDefault="00C8738F">
            <w:pPr>
              <w:pStyle w:val="lbltxt"/>
              <w:rPr>
                <w:szCs w:val="22"/>
                <w:lang w:val="de-DE"/>
              </w:rPr>
            </w:pPr>
            <w:r>
              <w:rPr>
                <w:szCs w:val="22"/>
                <w:lang w:val="de-DE"/>
              </w:rPr>
              <w:t>Tél/Tel: +32 (0)2 7752711</w:t>
            </w:r>
          </w:p>
          <w:p w14:paraId="3BCFEB6A" w14:textId="77777777" w:rsidR="00FE291A" w:rsidRDefault="00FE291A">
            <w:pPr>
              <w:widowControl/>
              <w:kinsoku w:val="0"/>
              <w:overflowPunct w:val="0"/>
              <w:rPr>
                <w:sz w:val="22"/>
                <w:szCs w:val="22"/>
                <w:lang w:val="de-DE"/>
              </w:rPr>
            </w:pPr>
          </w:p>
        </w:tc>
      </w:tr>
      <w:tr w:rsidR="00FE291A" w14:paraId="768463BD" w14:textId="77777777">
        <w:tc>
          <w:tcPr>
            <w:tcW w:w="4463" w:type="dxa"/>
          </w:tcPr>
          <w:p w14:paraId="0087E12B" w14:textId="77777777" w:rsidR="00FE291A" w:rsidRDefault="00C8738F">
            <w:pPr>
              <w:pStyle w:val="lbltxt"/>
              <w:keepNext/>
              <w:rPr>
                <w:b/>
                <w:szCs w:val="22"/>
                <w:lang w:val="sv-SE"/>
              </w:rPr>
            </w:pPr>
            <w:r>
              <w:rPr>
                <w:b/>
                <w:szCs w:val="22"/>
                <w:lang w:val="sv-SE"/>
              </w:rPr>
              <w:t>Česká republika</w:t>
            </w:r>
          </w:p>
          <w:p w14:paraId="77D5E265" w14:textId="77777777" w:rsidR="00FE291A" w:rsidRDefault="00C8738F">
            <w:pPr>
              <w:pStyle w:val="lbltxt"/>
              <w:keepNext/>
              <w:rPr>
                <w:bCs/>
                <w:szCs w:val="22"/>
                <w:lang w:val="sv-SE"/>
              </w:rPr>
            </w:pPr>
            <w:r>
              <w:rPr>
                <w:bCs/>
                <w:szCs w:val="22"/>
                <w:lang w:val="sv-SE"/>
              </w:rPr>
              <w:t>Amgen s.r.o.</w:t>
            </w:r>
          </w:p>
          <w:p w14:paraId="635B2A3C" w14:textId="77777777" w:rsidR="00FE291A" w:rsidRDefault="00C8738F">
            <w:pPr>
              <w:pStyle w:val="lbltxt"/>
              <w:keepNext/>
              <w:rPr>
                <w:bCs/>
                <w:szCs w:val="22"/>
                <w:lang w:val="de-DE"/>
              </w:rPr>
            </w:pPr>
            <w:r>
              <w:rPr>
                <w:bCs/>
                <w:szCs w:val="22"/>
                <w:lang w:val="de-DE"/>
              </w:rPr>
              <w:t>Tel: +420 221 773 500</w:t>
            </w:r>
          </w:p>
          <w:p w14:paraId="3B703A9B" w14:textId="77777777" w:rsidR="00FE291A" w:rsidRDefault="00FE291A">
            <w:pPr>
              <w:widowControl/>
              <w:kinsoku w:val="0"/>
              <w:overflowPunct w:val="0"/>
              <w:rPr>
                <w:sz w:val="22"/>
                <w:szCs w:val="22"/>
                <w:lang w:val="de-DE"/>
              </w:rPr>
            </w:pPr>
          </w:p>
        </w:tc>
        <w:tc>
          <w:tcPr>
            <w:tcW w:w="4572" w:type="dxa"/>
          </w:tcPr>
          <w:p w14:paraId="5B851AFB" w14:textId="77777777" w:rsidR="00FE291A" w:rsidRDefault="00C8738F">
            <w:pPr>
              <w:pStyle w:val="lbltxt"/>
              <w:rPr>
                <w:b/>
                <w:szCs w:val="22"/>
                <w:lang w:val="de-DE"/>
              </w:rPr>
            </w:pPr>
            <w:r>
              <w:rPr>
                <w:b/>
                <w:szCs w:val="22"/>
                <w:lang w:val="de-DE"/>
              </w:rPr>
              <w:t>Magyarország</w:t>
            </w:r>
          </w:p>
          <w:p w14:paraId="1C6904C0" w14:textId="77777777" w:rsidR="00FE291A" w:rsidRDefault="00C8738F">
            <w:pPr>
              <w:pStyle w:val="lbltxt"/>
              <w:rPr>
                <w:bCs/>
                <w:szCs w:val="22"/>
                <w:lang w:val="de-DE"/>
              </w:rPr>
            </w:pPr>
            <w:r>
              <w:rPr>
                <w:bCs/>
                <w:szCs w:val="22"/>
                <w:lang w:val="de-DE"/>
              </w:rPr>
              <w:t>Amgen Kft.</w:t>
            </w:r>
          </w:p>
          <w:p w14:paraId="03E7ED01" w14:textId="77777777" w:rsidR="00FE291A" w:rsidRDefault="00C8738F">
            <w:pPr>
              <w:pStyle w:val="lbltxt"/>
              <w:rPr>
                <w:bCs/>
                <w:szCs w:val="22"/>
                <w:lang w:val="de-DE"/>
              </w:rPr>
            </w:pPr>
            <w:r>
              <w:rPr>
                <w:bCs/>
                <w:szCs w:val="22"/>
                <w:lang w:val="de-DE"/>
              </w:rPr>
              <w:t>Tel.: +36 1 35 44 700</w:t>
            </w:r>
          </w:p>
          <w:p w14:paraId="737BFC21" w14:textId="77777777" w:rsidR="00FE291A" w:rsidRDefault="00FE291A">
            <w:pPr>
              <w:widowControl/>
              <w:kinsoku w:val="0"/>
              <w:overflowPunct w:val="0"/>
              <w:rPr>
                <w:sz w:val="22"/>
                <w:szCs w:val="22"/>
                <w:lang w:val="de-DE"/>
              </w:rPr>
            </w:pPr>
          </w:p>
        </w:tc>
      </w:tr>
      <w:tr w:rsidR="00FE291A" w14:paraId="03225385" w14:textId="77777777">
        <w:tc>
          <w:tcPr>
            <w:tcW w:w="4463" w:type="dxa"/>
          </w:tcPr>
          <w:p w14:paraId="4FF33D46" w14:textId="77777777" w:rsidR="00FE291A" w:rsidRDefault="00C8738F">
            <w:pPr>
              <w:pStyle w:val="lbltxt"/>
              <w:keepNext/>
              <w:rPr>
                <w:szCs w:val="22"/>
                <w:lang w:val="da-DK"/>
              </w:rPr>
            </w:pPr>
            <w:r>
              <w:rPr>
                <w:b/>
                <w:szCs w:val="22"/>
                <w:lang w:val="da-DK"/>
              </w:rPr>
              <w:t>Danmark</w:t>
            </w:r>
          </w:p>
          <w:p w14:paraId="41828AC2" w14:textId="77777777" w:rsidR="00FE291A" w:rsidRDefault="00C8738F">
            <w:pPr>
              <w:pStyle w:val="lbltxt"/>
              <w:keepNext/>
              <w:rPr>
                <w:szCs w:val="22"/>
                <w:lang w:val="da-DK"/>
              </w:rPr>
            </w:pPr>
            <w:r>
              <w:rPr>
                <w:szCs w:val="22"/>
                <w:lang w:val="da-DK"/>
              </w:rPr>
              <w:t>Amgen, filial af Amgen AB, Sverige</w:t>
            </w:r>
          </w:p>
          <w:p w14:paraId="481216A2" w14:textId="77777777" w:rsidR="00FE291A" w:rsidRDefault="00C8738F">
            <w:pPr>
              <w:pStyle w:val="lbltxt"/>
              <w:keepNext/>
              <w:rPr>
                <w:szCs w:val="22"/>
                <w:lang w:val="de-DE"/>
              </w:rPr>
            </w:pPr>
            <w:r>
              <w:rPr>
                <w:szCs w:val="22"/>
                <w:lang w:val="de-DE"/>
              </w:rPr>
              <w:t>Tlf</w:t>
            </w:r>
            <w:ins w:id="496" w:author="Author">
              <w:r>
                <w:rPr>
                  <w:szCs w:val="22"/>
                  <w:lang w:val="de-DE"/>
                </w:rPr>
                <w:t>.</w:t>
              </w:r>
            </w:ins>
            <w:r>
              <w:rPr>
                <w:szCs w:val="22"/>
                <w:lang w:val="de-DE"/>
              </w:rPr>
              <w:t>: +45 39617500</w:t>
            </w:r>
          </w:p>
          <w:p w14:paraId="78FB1CBD" w14:textId="77777777" w:rsidR="00FE291A" w:rsidRDefault="00FE291A">
            <w:pPr>
              <w:keepNext/>
              <w:widowControl/>
              <w:kinsoku w:val="0"/>
              <w:overflowPunct w:val="0"/>
              <w:rPr>
                <w:sz w:val="22"/>
                <w:szCs w:val="22"/>
                <w:lang w:val="de-DE"/>
              </w:rPr>
            </w:pPr>
          </w:p>
        </w:tc>
        <w:tc>
          <w:tcPr>
            <w:tcW w:w="4572" w:type="dxa"/>
          </w:tcPr>
          <w:p w14:paraId="548A8156" w14:textId="77777777" w:rsidR="00FE291A" w:rsidRDefault="00C8738F">
            <w:pPr>
              <w:pStyle w:val="lbltxt"/>
              <w:rPr>
                <w:b/>
                <w:szCs w:val="22"/>
                <w:lang w:val="nb-NO"/>
              </w:rPr>
            </w:pPr>
            <w:r>
              <w:rPr>
                <w:b/>
                <w:szCs w:val="22"/>
                <w:lang w:val="nb-NO"/>
              </w:rPr>
              <w:t>Malta</w:t>
            </w:r>
          </w:p>
          <w:p w14:paraId="609091B0" w14:textId="77777777" w:rsidR="00FE291A" w:rsidRDefault="00C8738F">
            <w:pPr>
              <w:pStyle w:val="lbltxt"/>
              <w:rPr>
                <w:szCs w:val="22"/>
                <w:lang w:val="nb-NO"/>
              </w:rPr>
            </w:pPr>
            <w:r>
              <w:rPr>
                <w:szCs w:val="22"/>
                <w:lang w:val="nb-NO"/>
              </w:rPr>
              <w:t>Amgen S.r.l.</w:t>
            </w:r>
          </w:p>
          <w:p w14:paraId="2531F7CA" w14:textId="77777777" w:rsidR="00FE291A" w:rsidRDefault="00C8738F">
            <w:pPr>
              <w:pStyle w:val="lbltxt"/>
              <w:rPr>
                <w:szCs w:val="22"/>
                <w:lang w:val="es-ES"/>
              </w:rPr>
            </w:pPr>
            <w:r>
              <w:rPr>
                <w:szCs w:val="22"/>
                <w:lang w:val="es-ES"/>
              </w:rPr>
              <w:t>Italy</w:t>
            </w:r>
          </w:p>
          <w:p w14:paraId="08FBB49D" w14:textId="77777777" w:rsidR="00FE291A" w:rsidRDefault="00C8738F">
            <w:pPr>
              <w:pStyle w:val="lbltxt"/>
              <w:rPr>
                <w:szCs w:val="22"/>
                <w:lang w:val="es-ES"/>
              </w:rPr>
            </w:pPr>
            <w:r>
              <w:rPr>
                <w:szCs w:val="22"/>
                <w:lang w:val="es-ES"/>
              </w:rPr>
              <w:t>Tel: +39 02 6241121</w:t>
            </w:r>
          </w:p>
          <w:p w14:paraId="3B4C8F4D" w14:textId="77777777" w:rsidR="00FE291A" w:rsidRDefault="00FE291A">
            <w:pPr>
              <w:widowControl/>
              <w:kinsoku w:val="0"/>
              <w:overflowPunct w:val="0"/>
              <w:rPr>
                <w:sz w:val="22"/>
                <w:szCs w:val="22"/>
                <w:lang w:val="es-ES"/>
              </w:rPr>
            </w:pPr>
          </w:p>
        </w:tc>
      </w:tr>
      <w:tr w:rsidR="00FE291A" w:rsidRPr="002E6CD3" w14:paraId="3DBB317A" w14:textId="77777777">
        <w:tc>
          <w:tcPr>
            <w:tcW w:w="4463" w:type="dxa"/>
          </w:tcPr>
          <w:p w14:paraId="56EAC0EC" w14:textId="77777777" w:rsidR="00FE291A" w:rsidRDefault="00C8738F">
            <w:pPr>
              <w:pStyle w:val="lbltxt"/>
              <w:rPr>
                <w:szCs w:val="22"/>
                <w:lang w:val="de-DE"/>
              </w:rPr>
            </w:pPr>
            <w:r>
              <w:rPr>
                <w:b/>
                <w:szCs w:val="22"/>
                <w:lang w:val="de-DE"/>
              </w:rPr>
              <w:t>Deutschland</w:t>
            </w:r>
          </w:p>
          <w:p w14:paraId="06F81301" w14:textId="77777777" w:rsidR="00FE291A" w:rsidRDefault="00C8738F">
            <w:pPr>
              <w:pStyle w:val="lbltxt"/>
              <w:rPr>
                <w:szCs w:val="22"/>
                <w:lang w:val="de-DE"/>
              </w:rPr>
            </w:pPr>
            <w:r>
              <w:rPr>
                <w:szCs w:val="22"/>
                <w:lang w:val="de-DE"/>
              </w:rPr>
              <w:t>Amgen GmbH</w:t>
            </w:r>
          </w:p>
          <w:p w14:paraId="75FDBBBE" w14:textId="77777777" w:rsidR="00FE291A" w:rsidRDefault="00C8738F">
            <w:pPr>
              <w:pStyle w:val="lbltxt"/>
              <w:rPr>
                <w:szCs w:val="22"/>
                <w:lang w:val="de-DE"/>
              </w:rPr>
            </w:pPr>
            <w:r>
              <w:rPr>
                <w:szCs w:val="22"/>
                <w:lang w:val="de-DE"/>
              </w:rPr>
              <w:t>Tel.: +49 89 1490960</w:t>
            </w:r>
          </w:p>
          <w:p w14:paraId="22185293" w14:textId="77777777" w:rsidR="00FE291A" w:rsidRDefault="00FE291A">
            <w:pPr>
              <w:widowControl/>
              <w:kinsoku w:val="0"/>
              <w:overflowPunct w:val="0"/>
              <w:rPr>
                <w:sz w:val="22"/>
                <w:szCs w:val="22"/>
                <w:lang w:val="de-DE"/>
              </w:rPr>
            </w:pPr>
          </w:p>
        </w:tc>
        <w:tc>
          <w:tcPr>
            <w:tcW w:w="4572" w:type="dxa"/>
          </w:tcPr>
          <w:p w14:paraId="1A249045" w14:textId="77777777" w:rsidR="00FE291A" w:rsidRDefault="00C8738F">
            <w:pPr>
              <w:pStyle w:val="lbltxt"/>
              <w:rPr>
                <w:szCs w:val="22"/>
                <w:lang w:val="de-DE"/>
              </w:rPr>
            </w:pPr>
            <w:r>
              <w:rPr>
                <w:b/>
                <w:szCs w:val="22"/>
                <w:lang w:val="de-DE"/>
              </w:rPr>
              <w:t>Nederland</w:t>
            </w:r>
          </w:p>
          <w:p w14:paraId="07BF69C2" w14:textId="77777777" w:rsidR="00FE291A" w:rsidRDefault="00C8738F">
            <w:pPr>
              <w:pStyle w:val="lbltxt"/>
              <w:rPr>
                <w:szCs w:val="22"/>
                <w:lang w:val="de-DE"/>
              </w:rPr>
            </w:pPr>
            <w:r>
              <w:rPr>
                <w:szCs w:val="22"/>
                <w:lang w:val="de-DE"/>
              </w:rPr>
              <w:t>Amgen B.V.</w:t>
            </w:r>
          </w:p>
          <w:p w14:paraId="5548DDEA" w14:textId="77777777" w:rsidR="00FE291A" w:rsidRDefault="00C8738F">
            <w:pPr>
              <w:pStyle w:val="lbltxt"/>
              <w:rPr>
                <w:bCs/>
                <w:szCs w:val="22"/>
                <w:lang w:val="de-DE"/>
              </w:rPr>
            </w:pPr>
            <w:r>
              <w:rPr>
                <w:szCs w:val="22"/>
                <w:lang w:val="de-DE"/>
              </w:rPr>
              <w:t>Tel: +31 (0)76 5732500</w:t>
            </w:r>
          </w:p>
          <w:p w14:paraId="67763AD0" w14:textId="77777777" w:rsidR="00FE291A" w:rsidRDefault="00FE291A">
            <w:pPr>
              <w:widowControl/>
              <w:kinsoku w:val="0"/>
              <w:overflowPunct w:val="0"/>
              <w:rPr>
                <w:sz w:val="22"/>
                <w:szCs w:val="22"/>
                <w:lang w:val="de-DE"/>
              </w:rPr>
            </w:pPr>
          </w:p>
        </w:tc>
      </w:tr>
      <w:tr w:rsidR="00FE291A" w14:paraId="24D4DF6A" w14:textId="77777777">
        <w:tc>
          <w:tcPr>
            <w:tcW w:w="4463" w:type="dxa"/>
          </w:tcPr>
          <w:p w14:paraId="5165EF15" w14:textId="77777777" w:rsidR="00FE291A" w:rsidRPr="00211AE1" w:rsidRDefault="00C8738F">
            <w:pPr>
              <w:pStyle w:val="lbltxt"/>
              <w:rPr>
                <w:b/>
                <w:szCs w:val="22"/>
                <w:lang w:val="de-DE"/>
              </w:rPr>
            </w:pPr>
            <w:r w:rsidRPr="00211AE1">
              <w:rPr>
                <w:b/>
                <w:szCs w:val="22"/>
                <w:lang w:val="de-DE"/>
              </w:rPr>
              <w:t>Eesti</w:t>
            </w:r>
          </w:p>
          <w:p w14:paraId="4E91E9B2" w14:textId="77777777" w:rsidR="00FE291A" w:rsidRPr="00211AE1" w:rsidRDefault="00C8738F">
            <w:pPr>
              <w:pStyle w:val="lbltxt"/>
              <w:rPr>
                <w:bCs/>
                <w:szCs w:val="22"/>
                <w:lang w:val="de-DE"/>
              </w:rPr>
            </w:pPr>
            <w:r w:rsidRPr="00211AE1">
              <w:rPr>
                <w:bCs/>
                <w:szCs w:val="22"/>
                <w:lang w:val="de-DE"/>
              </w:rPr>
              <w:t xml:space="preserve">Amgen Switzerland AG </w:t>
            </w:r>
            <w:r w:rsidRPr="00211AE1">
              <w:rPr>
                <w:szCs w:val="22"/>
                <w:lang w:val="de-DE"/>
              </w:rPr>
              <w:t>Vilniaus filialas</w:t>
            </w:r>
          </w:p>
          <w:p w14:paraId="4EBF2F2D" w14:textId="77777777" w:rsidR="00FE291A" w:rsidRDefault="00C8738F">
            <w:pPr>
              <w:pStyle w:val="lbltxt"/>
              <w:rPr>
                <w:szCs w:val="22"/>
                <w:lang w:val="de-DE"/>
              </w:rPr>
            </w:pPr>
            <w:r>
              <w:rPr>
                <w:bCs/>
                <w:szCs w:val="22"/>
                <w:lang w:val="de-DE"/>
              </w:rPr>
              <w:t>Tel: +</w:t>
            </w:r>
            <w:r>
              <w:rPr>
                <w:szCs w:val="22"/>
                <w:lang w:val="de-DE"/>
              </w:rPr>
              <w:t>372 586 09553</w:t>
            </w:r>
          </w:p>
          <w:p w14:paraId="17819F33" w14:textId="77777777" w:rsidR="00FE291A" w:rsidRDefault="00FE291A">
            <w:pPr>
              <w:widowControl/>
              <w:kinsoku w:val="0"/>
              <w:overflowPunct w:val="0"/>
              <w:rPr>
                <w:sz w:val="22"/>
                <w:szCs w:val="22"/>
                <w:lang w:val="de-DE"/>
              </w:rPr>
            </w:pPr>
          </w:p>
        </w:tc>
        <w:tc>
          <w:tcPr>
            <w:tcW w:w="4572" w:type="dxa"/>
          </w:tcPr>
          <w:p w14:paraId="62C536CD" w14:textId="77777777" w:rsidR="00FE291A" w:rsidRDefault="00C8738F">
            <w:pPr>
              <w:pStyle w:val="lbltxt"/>
              <w:rPr>
                <w:b/>
                <w:szCs w:val="22"/>
                <w:lang w:val="de-DE"/>
              </w:rPr>
            </w:pPr>
            <w:r>
              <w:rPr>
                <w:b/>
                <w:szCs w:val="22"/>
                <w:lang w:val="de-DE"/>
              </w:rPr>
              <w:t>Norge</w:t>
            </w:r>
          </w:p>
          <w:p w14:paraId="42D4370E" w14:textId="77777777" w:rsidR="00FE291A" w:rsidRDefault="00C8738F">
            <w:pPr>
              <w:pStyle w:val="lbltxt"/>
              <w:rPr>
                <w:szCs w:val="22"/>
                <w:lang w:val="de-DE"/>
              </w:rPr>
            </w:pPr>
            <w:r>
              <w:rPr>
                <w:szCs w:val="22"/>
                <w:lang w:val="de-DE"/>
              </w:rPr>
              <w:t>Amgen AB</w:t>
            </w:r>
          </w:p>
          <w:p w14:paraId="6250F318" w14:textId="77777777" w:rsidR="00FE291A" w:rsidRDefault="00C8738F">
            <w:pPr>
              <w:pStyle w:val="lbltxt"/>
              <w:rPr>
                <w:szCs w:val="22"/>
                <w:lang w:val="de-DE"/>
              </w:rPr>
            </w:pPr>
            <w:r>
              <w:rPr>
                <w:szCs w:val="22"/>
                <w:lang w:val="de-DE"/>
              </w:rPr>
              <w:t>Tlf: +47 23308000</w:t>
            </w:r>
          </w:p>
          <w:p w14:paraId="568AC5D8" w14:textId="77777777" w:rsidR="00FE291A" w:rsidRDefault="00FE291A">
            <w:pPr>
              <w:widowControl/>
              <w:kinsoku w:val="0"/>
              <w:overflowPunct w:val="0"/>
              <w:rPr>
                <w:sz w:val="22"/>
                <w:szCs w:val="22"/>
                <w:lang w:val="de-DE"/>
              </w:rPr>
            </w:pPr>
          </w:p>
        </w:tc>
      </w:tr>
      <w:tr w:rsidR="00FE291A" w14:paraId="0C792880" w14:textId="77777777">
        <w:tc>
          <w:tcPr>
            <w:tcW w:w="4463" w:type="dxa"/>
          </w:tcPr>
          <w:p w14:paraId="158BA739" w14:textId="77777777" w:rsidR="00FE291A" w:rsidRDefault="00C8738F">
            <w:pPr>
              <w:pStyle w:val="lbltxt"/>
              <w:rPr>
                <w:b/>
                <w:bCs/>
                <w:szCs w:val="22"/>
                <w:lang w:val="el-GR"/>
              </w:rPr>
            </w:pPr>
            <w:r>
              <w:rPr>
                <w:b/>
                <w:bCs/>
                <w:szCs w:val="22"/>
                <w:lang w:val="el-GR"/>
              </w:rPr>
              <w:t>Ελλάδα</w:t>
            </w:r>
          </w:p>
          <w:p w14:paraId="299AF4A6" w14:textId="77777777" w:rsidR="00FE291A" w:rsidRDefault="00C8738F">
            <w:pPr>
              <w:pStyle w:val="lbltxt"/>
              <w:rPr>
                <w:szCs w:val="22"/>
                <w:lang w:val="el-GR"/>
              </w:rPr>
            </w:pPr>
            <w:r>
              <w:rPr>
                <w:szCs w:val="22"/>
                <w:lang w:val="en-IN"/>
              </w:rPr>
              <w:t>Amgen</w:t>
            </w:r>
            <w:r>
              <w:rPr>
                <w:szCs w:val="22"/>
                <w:lang w:val="el-GR"/>
              </w:rPr>
              <w:t xml:space="preserve"> Ελλάς Φαρμακευτικά Ε.Π.Ε. </w:t>
            </w:r>
          </w:p>
          <w:p w14:paraId="38A84DF6" w14:textId="77777777" w:rsidR="00FE291A" w:rsidRDefault="00C8738F">
            <w:pPr>
              <w:pStyle w:val="lbltxt"/>
              <w:rPr>
                <w:szCs w:val="22"/>
                <w:lang w:val="de-DE"/>
              </w:rPr>
            </w:pPr>
            <w:r>
              <w:rPr>
                <w:szCs w:val="22"/>
                <w:lang w:val="de-DE"/>
              </w:rPr>
              <w:t>Τηλ: +30 210 3447000</w:t>
            </w:r>
          </w:p>
          <w:p w14:paraId="2BC39F0D" w14:textId="77777777" w:rsidR="00FE291A" w:rsidRDefault="00FE291A">
            <w:pPr>
              <w:widowControl/>
              <w:kinsoku w:val="0"/>
              <w:overflowPunct w:val="0"/>
              <w:rPr>
                <w:sz w:val="22"/>
                <w:szCs w:val="22"/>
                <w:lang w:val="de-DE"/>
              </w:rPr>
            </w:pPr>
          </w:p>
        </w:tc>
        <w:tc>
          <w:tcPr>
            <w:tcW w:w="4572" w:type="dxa"/>
          </w:tcPr>
          <w:p w14:paraId="0AB9708C" w14:textId="77777777" w:rsidR="00FE291A" w:rsidRDefault="00C8738F">
            <w:pPr>
              <w:pStyle w:val="lbltxt"/>
              <w:rPr>
                <w:szCs w:val="22"/>
                <w:lang w:val="de-DE"/>
              </w:rPr>
            </w:pPr>
            <w:r>
              <w:rPr>
                <w:b/>
                <w:szCs w:val="22"/>
                <w:lang w:val="de-DE"/>
              </w:rPr>
              <w:t>Österreich</w:t>
            </w:r>
          </w:p>
          <w:p w14:paraId="071F4E87" w14:textId="77777777" w:rsidR="00FE291A" w:rsidRDefault="00C8738F">
            <w:pPr>
              <w:pStyle w:val="lbltxt"/>
              <w:rPr>
                <w:szCs w:val="22"/>
                <w:lang w:val="de-DE"/>
              </w:rPr>
            </w:pPr>
            <w:r>
              <w:rPr>
                <w:szCs w:val="22"/>
                <w:lang w:val="de-DE"/>
              </w:rPr>
              <w:t xml:space="preserve">Amgen GmbH </w:t>
            </w:r>
          </w:p>
          <w:p w14:paraId="57145633" w14:textId="77777777" w:rsidR="00FE291A" w:rsidRDefault="00C8738F">
            <w:pPr>
              <w:pStyle w:val="lbltxt"/>
              <w:rPr>
                <w:szCs w:val="22"/>
                <w:lang w:val="de-DE"/>
              </w:rPr>
            </w:pPr>
            <w:r>
              <w:rPr>
                <w:szCs w:val="22"/>
                <w:lang w:val="de-DE"/>
              </w:rPr>
              <w:t>Tel: +43 (0)1 50 217</w:t>
            </w:r>
          </w:p>
          <w:p w14:paraId="423BD578" w14:textId="77777777" w:rsidR="00FE291A" w:rsidRDefault="00FE291A">
            <w:pPr>
              <w:widowControl/>
              <w:kinsoku w:val="0"/>
              <w:overflowPunct w:val="0"/>
              <w:rPr>
                <w:sz w:val="22"/>
                <w:szCs w:val="22"/>
                <w:lang w:val="de-DE"/>
              </w:rPr>
            </w:pPr>
          </w:p>
        </w:tc>
      </w:tr>
      <w:tr w:rsidR="00FE291A" w14:paraId="1B05901E" w14:textId="77777777">
        <w:tc>
          <w:tcPr>
            <w:tcW w:w="4463" w:type="dxa"/>
          </w:tcPr>
          <w:p w14:paraId="1F136A0E" w14:textId="77777777" w:rsidR="00FE291A" w:rsidRDefault="00C8738F">
            <w:pPr>
              <w:pStyle w:val="lbltxt"/>
              <w:keepLines/>
              <w:rPr>
                <w:szCs w:val="22"/>
                <w:lang w:val="es-ES"/>
              </w:rPr>
            </w:pPr>
            <w:r>
              <w:rPr>
                <w:b/>
                <w:szCs w:val="22"/>
                <w:lang w:val="es-ES"/>
              </w:rPr>
              <w:t>España</w:t>
            </w:r>
          </w:p>
          <w:p w14:paraId="46D84D5D" w14:textId="77777777" w:rsidR="00FE291A" w:rsidRDefault="00C8738F">
            <w:pPr>
              <w:pStyle w:val="lbltxt"/>
              <w:keepLines/>
              <w:rPr>
                <w:szCs w:val="22"/>
                <w:lang w:val="es-ES"/>
              </w:rPr>
            </w:pPr>
            <w:r>
              <w:rPr>
                <w:szCs w:val="22"/>
                <w:lang w:val="es-ES"/>
              </w:rPr>
              <w:t>Amgen S.A.</w:t>
            </w:r>
          </w:p>
          <w:p w14:paraId="731CBE0D" w14:textId="77777777" w:rsidR="00FE291A" w:rsidRDefault="00C8738F">
            <w:pPr>
              <w:pStyle w:val="lbltxt"/>
              <w:keepLines/>
              <w:rPr>
                <w:rStyle w:val="Initial"/>
                <w:sz w:val="22"/>
                <w:szCs w:val="22"/>
                <w:lang w:val="es-ES"/>
              </w:rPr>
            </w:pPr>
            <w:r>
              <w:rPr>
                <w:szCs w:val="22"/>
                <w:lang w:val="es-ES"/>
              </w:rPr>
              <w:t xml:space="preserve">Tel: +34 93 600 18 60 </w:t>
            </w:r>
          </w:p>
          <w:p w14:paraId="30B3EDB0" w14:textId="77777777" w:rsidR="00FE291A" w:rsidRDefault="00FE291A">
            <w:pPr>
              <w:keepLines/>
              <w:widowControl/>
              <w:kinsoku w:val="0"/>
              <w:overflowPunct w:val="0"/>
              <w:rPr>
                <w:sz w:val="22"/>
                <w:szCs w:val="22"/>
                <w:lang w:val="es-ES"/>
              </w:rPr>
            </w:pPr>
          </w:p>
        </w:tc>
        <w:tc>
          <w:tcPr>
            <w:tcW w:w="4572" w:type="dxa"/>
          </w:tcPr>
          <w:p w14:paraId="01B2413F" w14:textId="77777777" w:rsidR="00FE291A" w:rsidRDefault="00C8738F">
            <w:pPr>
              <w:pStyle w:val="lbltxt"/>
              <w:keepNext/>
              <w:rPr>
                <w:b/>
                <w:szCs w:val="22"/>
                <w:lang w:val="pl-PL"/>
              </w:rPr>
            </w:pPr>
            <w:r>
              <w:rPr>
                <w:b/>
                <w:szCs w:val="22"/>
                <w:lang w:val="pl-PL"/>
              </w:rPr>
              <w:t>Polska</w:t>
            </w:r>
          </w:p>
          <w:p w14:paraId="2E7DCC3A" w14:textId="77777777" w:rsidR="00FE291A" w:rsidRDefault="00C8738F">
            <w:pPr>
              <w:pStyle w:val="lbltxt"/>
              <w:keepNext/>
              <w:rPr>
                <w:szCs w:val="22"/>
                <w:lang w:val="pl-PL"/>
              </w:rPr>
            </w:pPr>
            <w:r>
              <w:rPr>
                <w:szCs w:val="22"/>
                <w:lang w:val="pl-PL"/>
              </w:rPr>
              <w:t xml:space="preserve">Amgen </w:t>
            </w:r>
            <w:r>
              <w:rPr>
                <w:color w:val="000000"/>
                <w:szCs w:val="22"/>
                <w:lang w:val="pl-PL" w:eastAsia="en-GB"/>
              </w:rPr>
              <w:t>Biotechnologia</w:t>
            </w:r>
            <w:r>
              <w:rPr>
                <w:szCs w:val="22"/>
                <w:lang w:val="pl-PL"/>
              </w:rPr>
              <w:t xml:space="preserve"> Sp. z o.o.</w:t>
            </w:r>
          </w:p>
          <w:p w14:paraId="2B10ABB5" w14:textId="77777777" w:rsidR="00FE291A" w:rsidRDefault="00C8738F">
            <w:pPr>
              <w:pStyle w:val="lbltxt"/>
              <w:keepNext/>
              <w:rPr>
                <w:bCs/>
                <w:szCs w:val="22"/>
                <w:lang w:val="de-DE"/>
              </w:rPr>
            </w:pPr>
            <w:r>
              <w:rPr>
                <w:bCs/>
                <w:szCs w:val="22"/>
                <w:lang w:val="de-DE"/>
              </w:rPr>
              <w:t>Tel.: +48 22 581 3000</w:t>
            </w:r>
          </w:p>
          <w:p w14:paraId="3998190B" w14:textId="77777777" w:rsidR="00FE291A" w:rsidRDefault="00FE291A">
            <w:pPr>
              <w:widowControl/>
              <w:kinsoku w:val="0"/>
              <w:overflowPunct w:val="0"/>
              <w:rPr>
                <w:sz w:val="22"/>
                <w:szCs w:val="22"/>
                <w:lang w:val="de-DE"/>
              </w:rPr>
            </w:pPr>
          </w:p>
        </w:tc>
      </w:tr>
      <w:tr w:rsidR="00FE291A" w14:paraId="08D1BF39" w14:textId="77777777">
        <w:tc>
          <w:tcPr>
            <w:tcW w:w="4463" w:type="dxa"/>
          </w:tcPr>
          <w:p w14:paraId="3F768F90" w14:textId="77777777" w:rsidR="00FE291A" w:rsidRDefault="00C8738F">
            <w:pPr>
              <w:pStyle w:val="lbltxt"/>
              <w:rPr>
                <w:szCs w:val="22"/>
                <w:lang w:val="fr-FR"/>
              </w:rPr>
            </w:pPr>
            <w:r>
              <w:rPr>
                <w:b/>
                <w:szCs w:val="22"/>
                <w:lang w:val="fr-FR"/>
              </w:rPr>
              <w:t>France</w:t>
            </w:r>
          </w:p>
          <w:p w14:paraId="426E57C9" w14:textId="77777777" w:rsidR="00FE291A" w:rsidRDefault="00C8738F">
            <w:pPr>
              <w:pStyle w:val="lbltxt"/>
              <w:rPr>
                <w:szCs w:val="22"/>
                <w:lang w:val="fr-FR"/>
              </w:rPr>
            </w:pPr>
            <w:r>
              <w:rPr>
                <w:szCs w:val="22"/>
                <w:lang w:val="fr-FR"/>
              </w:rPr>
              <w:t>Amgen S.A.S.</w:t>
            </w:r>
          </w:p>
          <w:p w14:paraId="1E2A9702" w14:textId="77777777" w:rsidR="00FE291A" w:rsidRDefault="00C8738F">
            <w:pPr>
              <w:widowControl/>
              <w:rPr>
                <w:sz w:val="22"/>
                <w:szCs w:val="22"/>
                <w:lang w:val="fr-FR"/>
              </w:rPr>
            </w:pPr>
            <w:r>
              <w:rPr>
                <w:sz w:val="22"/>
                <w:szCs w:val="22"/>
                <w:lang w:val="fr-FR"/>
              </w:rPr>
              <w:t>Tél: +33 (0)9 69 363 363</w:t>
            </w:r>
          </w:p>
          <w:p w14:paraId="62EFEB29" w14:textId="77777777" w:rsidR="00FE291A" w:rsidRDefault="00FE291A">
            <w:pPr>
              <w:widowControl/>
              <w:kinsoku w:val="0"/>
              <w:overflowPunct w:val="0"/>
              <w:rPr>
                <w:sz w:val="22"/>
                <w:szCs w:val="22"/>
                <w:lang w:val="fr-FR"/>
              </w:rPr>
            </w:pPr>
          </w:p>
        </w:tc>
        <w:tc>
          <w:tcPr>
            <w:tcW w:w="4572" w:type="dxa"/>
          </w:tcPr>
          <w:p w14:paraId="291D7005" w14:textId="77777777" w:rsidR="00FE291A" w:rsidRDefault="00C8738F">
            <w:pPr>
              <w:pStyle w:val="lbltxt"/>
              <w:rPr>
                <w:szCs w:val="22"/>
                <w:lang w:val="es-ES"/>
              </w:rPr>
            </w:pPr>
            <w:r>
              <w:rPr>
                <w:b/>
                <w:szCs w:val="22"/>
                <w:lang w:val="es-ES"/>
              </w:rPr>
              <w:t>Portugal</w:t>
            </w:r>
          </w:p>
          <w:p w14:paraId="695F2769" w14:textId="77777777" w:rsidR="00FE291A" w:rsidRDefault="00C8738F">
            <w:pPr>
              <w:pStyle w:val="lbltxt"/>
              <w:rPr>
                <w:szCs w:val="22"/>
                <w:lang w:val="es-ES"/>
              </w:rPr>
            </w:pPr>
            <w:r>
              <w:rPr>
                <w:szCs w:val="22"/>
                <w:lang w:val="es-ES"/>
              </w:rPr>
              <w:t>Amgen Biofarmacêutica, Lda.</w:t>
            </w:r>
          </w:p>
          <w:p w14:paraId="0277DECF" w14:textId="77777777" w:rsidR="00FE291A" w:rsidRDefault="00C8738F">
            <w:pPr>
              <w:pStyle w:val="lbltxt"/>
              <w:rPr>
                <w:szCs w:val="22"/>
                <w:lang w:val="es-ES"/>
              </w:rPr>
            </w:pPr>
            <w:r>
              <w:rPr>
                <w:szCs w:val="22"/>
                <w:lang w:val="es-ES"/>
              </w:rPr>
              <w:t>Tel: +351 21 4220606</w:t>
            </w:r>
          </w:p>
          <w:p w14:paraId="4BAB61BF" w14:textId="77777777" w:rsidR="00FE291A" w:rsidRDefault="00FE291A">
            <w:pPr>
              <w:widowControl/>
              <w:kinsoku w:val="0"/>
              <w:overflowPunct w:val="0"/>
              <w:rPr>
                <w:sz w:val="22"/>
                <w:szCs w:val="22"/>
                <w:lang w:val="es-ES"/>
              </w:rPr>
            </w:pPr>
          </w:p>
        </w:tc>
      </w:tr>
      <w:tr w:rsidR="00FE291A" w14:paraId="72DBF844" w14:textId="77777777">
        <w:tc>
          <w:tcPr>
            <w:tcW w:w="4463" w:type="dxa"/>
          </w:tcPr>
          <w:p w14:paraId="71A1A839" w14:textId="77777777" w:rsidR="00FE291A" w:rsidRDefault="00C8738F">
            <w:pPr>
              <w:keepNext/>
              <w:keepLines/>
              <w:widowControl/>
              <w:rPr>
                <w:sz w:val="22"/>
                <w:szCs w:val="22"/>
                <w:lang w:val="sv-SE"/>
              </w:rPr>
            </w:pPr>
            <w:r>
              <w:rPr>
                <w:b/>
                <w:sz w:val="22"/>
                <w:szCs w:val="22"/>
                <w:lang w:val="sv-SE"/>
              </w:rPr>
              <w:t>Hrvatska</w:t>
            </w:r>
          </w:p>
          <w:p w14:paraId="61BF8D96" w14:textId="77777777" w:rsidR="00FE291A" w:rsidRDefault="00C8738F">
            <w:pPr>
              <w:keepNext/>
              <w:keepLines/>
              <w:widowControl/>
              <w:rPr>
                <w:sz w:val="22"/>
                <w:szCs w:val="22"/>
                <w:lang w:val="sv-SE"/>
              </w:rPr>
            </w:pPr>
            <w:r>
              <w:rPr>
                <w:sz w:val="22"/>
                <w:szCs w:val="22"/>
                <w:lang w:val="sv-SE"/>
              </w:rPr>
              <w:t>Amgen d.o.o.</w:t>
            </w:r>
          </w:p>
          <w:p w14:paraId="0CA7AF81" w14:textId="77777777" w:rsidR="00FE291A" w:rsidRDefault="00C8738F">
            <w:pPr>
              <w:keepNext/>
              <w:keepLines/>
              <w:widowControl/>
              <w:rPr>
                <w:sz w:val="22"/>
                <w:szCs w:val="22"/>
                <w:lang w:val="de-DE"/>
              </w:rPr>
            </w:pPr>
            <w:r>
              <w:rPr>
                <w:sz w:val="22"/>
                <w:szCs w:val="22"/>
                <w:lang w:val="de-DE"/>
              </w:rPr>
              <w:t>Tel: +385 (0)1 562 57 20</w:t>
            </w:r>
          </w:p>
          <w:p w14:paraId="18048C95" w14:textId="77777777" w:rsidR="00FE291A" w:rsidRDefault="00FE291A">
            <w:pPr>
              <w:widowControl/>
              <w:kinsoku w:val="0"/>
              <w:overflowPunct w:val="0"/>
              <w:rPr>
                <w:sz w:val="22"/>
                <w:szCs w:val="22"/>
                <w:lang w:val="de-DE"/>
              </w:rPr>
            </w:pPr>
          </w:p>
        </w:tc>
        <w:tc>
          <w:tcPr>
            <w:tcW w:w="4572" w:type="dxa"/>
          </w:tcPr>
          <w:p w14:paraId="0191E3C2" w14:textId="77777777" w:rsidR="00FE291A" w:rsidRDefault="00C8738F">
            <w:pPr>
              <w:keepNext/>
              <w:keepLines/>
              <w:widowControl/>
              <w:suppressAutoHyphens/>
              <w:rPr>
                <w:b/>
                <w:sz w:val="22"/>
                <w:szCs w:val="22"/>
                <w:lang w:val="it-IT"/>
              </w:rPr>
            </w:pPr>
            <w:r>
              <w:rPr>
                <w:b/>
                <w:sz w:val="22"/>
                <w:szCs w:val="22"/>
                <w:lang w:val="it-IT"/>
              </w:rPr>
              <w:t>România</w:t>
            </w:r>
          </w:p>
          <w:p w14:paraId="54DB42B9" w14:textId="77777777" w:rsidR="00FE291A" w:rsidRDefault="00C8738F">
            <w:pPr>
              <w:keepNext/>
              <w:keepLines/>
              <w:widowControl/>
              <w:rPr>
                <w:color w:val="000000"/>
                <w:sz w:val="22"/>
                <w:szCs w:val="22"/>
                <w:lang w:val="it-IT"/>
              </w:rPr>
            </w:pPr>
            <w:r>
              <w:rPr>
                <w:color w:val="000000"/>
                <w:sz w:val="22"/>
                <w:szCs w:val="22"/>
                <w:lang w:val="it-IT"/>
              </w:rPr>
              <w:t>Amgen România SRL</w:t>
            </w:r>
          </w:p>
          <w:p w14:paraId="7A9B845A" w14:textId="77777777" w:rsidR="00FE291A" w:rsidRDefault="00C8738F">
            <w:pPr>
              <w:pStyle w:val="lbltxt"/>
              <w:keepNext/>
              <w:keepLines/>
              <w:rPr>
                <w:szCs w:val="22"/>
                <w:lang w:val="it-IT"/>
              </w:rPr>
            </w:pPr>
            <w:r>
              <w:rPr>
                <w:szCs w:val="22"/>
                <w:lang w:val="it-IT"/>
              </w:rPr>
              <w:t>Tel: +4021 527 3000</w:t>
            </w:r>
          </w:p>
          <w:p w14:paraId="3B31717F" w14:textId="77777777" w:rsidR="00FE291A" w:rsidRDefault="00FE291A">
            <w:pPr>
              <w:widowControl/>
              <w:kinsoku w:val="0"/>
              <w:overflowPunct w:val="0"/>
              <w:rPr>
                <w:sz w:val="22"/>
                <w:szCs w:val="22"/>
                <w:lang w:val="it-IT"/>
              </w:rPr>
            </w:pPr>
          </w:p>
        </w:tc>
      </w:tr>
      <w:tr w:rsidR="00FE291A" w14:paraId="3BB5DC9B" w14:textId="77777777">
        <w:tc>
          <w:tcPr>
            <w:tcW w:w="4463" w:type="dxa"/>
          </w:tcPr>
          <w:p w14:paraId="7BD02E74" w14:textId="77777777" w:rsidR="00FE291A" w:rsidRDefault="00C8738F">
            <w:pPr>
              <w:pStyle w:val="lbltxt"/>
              <w:rPr>
                <w:rFonts w:eastAsia="Arial Unicode MS"/>
                <w:b/>
                <w:szCs w:val="22"/>
                <w:lang w:val="en-US"/>
              </w:rPr>
            </w:pPr>
            <w:r>
              <w:rPr>
                <w:rFonts w:eastAsia="Arial Unicode MS"/>
                <w:b/>
                <w:szCs w:val="22"/>
                <w:lang w:val="en-US"/>
              </w:rPr>
              <w:t>Ireland</w:t>
            </w:r>
          </w:p>
          <w:p w14:paraId="7C930BC0" w14:textId="77777777" w:rsidR="00FE291A" w:rsidRDefault="00C8738F">
            <w:pPr>
              <w:pStyle w:val="lbltxt"/>
              <w:rPr>
                <w:rFonts w:eastAsia="Arial Unicode MS"/>
                <w:bCs/>
                <w:szCs w:val="22"/>
                <w:lang w:val="en-US"/>
              </w:rPr>
            </w:pPr>
            <w:r>
              <w:rPr>
                <w:rFonts w:eastAsia="Arial Unicode MS"/>
                <w:bCs/>
                <w:szCs w:val="22"/>
                <w:lang w:val="en-US"/>
              </w:rPr>
              <w:t>Amgen Ireland Limited</w:t>
            </w:r>
          </w:p>
          <w:p w14:paraId="3036CF72" w14:textId="77777777" w:rsidR="00FE291A" w:rsidRDefault="00C8738F">
            <w:pPr>
              <w:pStyle w:val="lbltxt"/>
              <w:rPr>
                <w:rStyle w:val="Initial"/>
                <w:rFonts w:eastAsia="Arial Unicode MS"/>
                <w:bCs/>
                <w:sz w:val="22"/>
                <w:szCs w:val="22"/>
                <w:lang w:val="en-US"/>
              </w:rPr>
            </w:pPr>
            <w:r>
              <w:rPr>
                <w:rFonts w:eastAsia="Arial Unicode MS"/>
                <w:bCs/>
                <w:szCs w:val="22"/>
                <w:lang w:val="en-US"/>
              </w:rPr>
              <w:t>Tel: +353 1 8527400</w:t>
            </w:r>
          </w:p>
          <w:p w14:paraId="41C10448" w14:textId="77777777" w:rsidR="00FE291A" w:rsidRDefault="00FE291A">
            <w:pPr>
              <w:widowControl/>
              <w:kinsoku w:val="0"/>
              <w:overflowPunct w:val="0"/>
              <w:rPr>
                <w:sz w:val="22"/>
                <w:szCs w:val="22"/>
                <w:lang w:val="en-US"/>
              </w:rPr>
            </w:pPr>
          </w:p>
        </w:tc>
        <w:tc>
          <w:tcPr>
            <w:tcW w:w="4572" w:type="dxa"/>
          </w:tcPr>
          <w:p w14:paraId="24CE1D04" w14:textId="77777777" w:rsidR="00FE291A" w:rsidRDefault="00C8738F">
            <w:pPr>
              <w:pStyle w:val="lbltxt"/>
              <w:rPr>
                <w:b/>
                <w:szCs w:val="22"/>
                <w:lang w:val="en-US"/>
              </w:rPr>
            </w:pPr>
            <w:r>
              <w:rPr>
                <w:b/>
                <w:szCs w:val="22"/>
                <w:lang w:val="en-US"/>
              </w:rPr>
              <w:t>Slovenija</w:t>
            </w:r>
          </w:p>
          <w:p w14:paraId="123BFAA6" w14:textId="77777777" w:rsidR="00FE291A" w:rsidRDefault="00C8738F">
            <w:pPr>
              <w:pStyle w:val="lbltxt"/>
              <w:rPr>
                <w:bCs/>
                <w:szCs w:val="22"/>
                <w:lang w:val="en-US"/>
              </w:rPr>
            </w:pPr>
            <w:r>
              <w:rPr>
                <w:szCs w:val="22"/>
                <w:lang w:val="en-US"/>
              </w:rPr>
              <w:t>AMGEN zdravila d.o.o.</w:t>
            </w:r>
          </w:p>
          <w:p w14:paraId="220B5DC4" w14:textId="77777777" w:rsidR="00FE291A" w:rsidRDefault="00C8738F">
            <w:pPr>
              <w:pStyle w:val="lbltxt"/>
              <w:rPr>
                <w:bCs/>
                <w:szCs w:val="22"/>
                <w:lang w:val="en-US"/>
              </w:rPr>
            </w:pPr>
            <w:r>
              <w:rPr>
                <w:bCs/>
                <w:szCs w:val="22"/>
                <w:lang w:val="en-US"/>
              </w:rPr>
              <w:t>Tel: +386 (0)1 585 1767</w:t>
            </w:r>
          </w:p>
          <w:p w14:paraId="2918E92B" w14:textId="77777777" w:rsidR="00FE291A" w:rsidRDefault="00FE291A">
            <w:pPr>
              <w:widowControl/>
              <w:kinsoku w:val="0"/>
              <w:overflowPunct w:val="0"/>
              <w:rPr>
                <w:sz w:val="22"/>
                <w:szCs w:val="22"/>
                <w:lang w:val="en-US"/>
              </w:rPr>
            </w:pPr>
          </w:p>
        </w:tc>
      </w:tr>
      <w:tr w:rsidR="00FE291A" w14:paraId="3F07D30C" w14:textId="77777777">
        <w:tc>
          <w:tcPr>
            <w:tcW w:w="4463" w:type="dxa"/>
          </w:tcPr>
          <w:p w14:paraId="4ADCF2CF" w14:textId="77777777" w:rsidR="00FE291A" w:rsidRDefault="00C8738F">
            <w:pPr>
              <w:pStyle w:val="lbltxt"/>
              <w:keepNext/>
              <w:keepLines/>
              <w:rPr>
                <w:b/>
                <w:szCs w:val="22"/>
                <w:lang w:val="de-DE"/>
              </w:rPr>
            </w:pPr>
            <w:r>
              <w:rPr>
                <w:b/>
                <w:szCs w:val="22"/>
                <w:lang w:val="de-DE"/>
              </w:rPr>
              <w:t>Ísland</w:t>
            </w:r>
          </w:p>
          <w:p w14:paraId="195BDA80" w14:textId="77777777" w:rsidR="00FE291A" w:rsidRDefault="00C8738F">
            <w:pPr>
              <w:pStyle w:val="lbltxt"/>
              <w:keepNext/>
              <w:keepLines/>
              <w:rPr>
                <w:szCs w:val="22"/>
                <w:lang w:val="de-DE"/>
              </w:rPr>
            </w:pPr>
            <w:r>
              <w:rPr>
                <w:szCs w:val="22"/>
                <w:lang w:val="de-DE"/>
              </w:rPr>
              <w:t>Vistor</w:t>
            </w:r>
            <w:del w:id="497" w:author="Author">
              <w:r>
                <w:rPr>
                  <w:szCs w:val="22"/>
                  <w:lang w:val="de-DE"/>
                </w:rPr>
                <w:delText xml:space="preserve"> hf.</w:delText>
              </w:r>
            </w:del>
          </w:p>
          <w:p w14:paraId="73DA182B" w14:textId="77777777" w:rsidR="00FE291A" w:rsidRDefault="00C8738F">
            <w:pPr>
              <w:pStyle w:val="lbltxt"/>
              <w:keepNext/>
              <w:keepLines/>
              <w:rPr>
                <w:szCs w:val="22"/>
                <w:lang w:val="de-DE"/>
              </w:rPr>
            </w:pPr>
            <w:r>
              <w:rPr>
                <w:szCs w:val="22"/>
                <w:lang w:val="de-DE"/>
              </w:rPr>
              <w:t>Sími: +354 535 7000</w:t>
            </w:r>
          </w:p>
          <w:p w14:paraId="10DE2841" w14:textId="77777777" w:rsidR="00FE291A" w:rsidRDefault="00FE291A">
            <w:pPr>
              <w:keepNext/>
              <w:keepLines/>
              <w:widowControl/>
              <w:kinsoku w:val="0"/>
              <w:overflowPunct w:val="0"/>
              <w:rPr>
                <w:sz w:val="22"/>
                <w:szCs w:val="22"/>
                <w:lang w:val="de-DE"/>
              </w:rPr>
            </w:pPr>
          </w:p>
        </w:tc>
        <w:tc>
          <w:tcPr>
            <w:tcW w:w="4572" w:type="dxa"/>
          </w:tcPr>
          <w:p w14:paraId="35BAF831" w14:textId="77777777" w:rsidR="00FE291A" w:rsidRDefault="00C8738F">
            <w:pPr>
              <w:pStyle w:val="lbltxt"/>
              <w:keepNext/>
              <w:keepLines/>
              <w:rPr>
                <w:b/>
                <w:szCs w:val="22"/>
                <w:lang w:val="de-DE"/>
              </w:rPr>
            </w:pPr>
            <w:r>
              <w:rPr>
                <w:b/>
                <w:szCs w:val="22"/>
                <w:lang w:val="de-DE"/>
              </w:rPr>
              <w:t>Slovenská republika</w:t>
            </w:r>
          </w:p>
          <w:p w14:paraId="60D03A94" w14:textId="77777777" w:rsidR="00FE291A" w:rsidRDefault="00C8738F">
            <w:pPr>
              <w:pStyle w:val="lbltxt"/>
              <w:keepNext/>
              <w:keepLines/>
              <w:rPr>
                <w:bCs/>
                <w:szCs w:val="22"/>
                <w:lang w:val="de-DE"/>
              </w:rPr>
            </w:pPr>
            <w:r>
              <w:rPr>
                <w:bCs/>
                <w:szCs w:val="22"/>
                <w:lang w:val="de-DE"/>
              </w:rPr>
              <w:t>Amgen Slovakia s.r.o.</w:t>
            </w:r>
          </w:p>
          <w:p w14:paraId="2F64243F" w14:textId="77777777" w:rsidR="00FE291A" w:rsidRDefault="00C8738F">
            <w:pPr>
              <w:pStyle w:val="lbltxt"/>
              <w:keepNext/>
              <w:keepLines/>
              <w:rPr>
                <w:bCs/>
                <w:szCs w:val="22"/>
                <w:lang w:val="de-DE"/>
              </w:rPr>
            </w:pPr>
            <w:r>
              <w:rPr>
                <w:bCs/>
                <w:szCs w:val="22"/>
                <w:lang w:val="de-DE"/>
              </w:rPr>
              <w:t>Tel: +421 2 321 114 49</w:t>
            </w:r>
          </w:p>
          <w:p w14:paraId="2FCF4E9E" w14:textId="77777777" w:rsidR="00FE291A" w:rsidRDefault="00FE291A">
            <w:pPr>
              <w:keepNext/>
              <w:keepLines/>
              <w:widowControl/>
              <w:kinsoku w:val="0"/>
              <w:overflowPunct w:val="0"/>
              <w:rPr>
                <w:sz w:val="22"/>
                <w:szCs w:val="22"/>
                <w:lang w:val="de-DE"/>
              </w:rPr>
            </w:pPr>
          </w:p>
        </w:tc>
      </w:tr>
      <w:tr w:rsidR="00FE291A" w14:paraId="17EBF2E2" w14:textId="77777777">
        <w:tc>
          <w:tcPr>
            <w:tcW w:w="4463" w:type="dxa"/>
          </w:tcPr>
          <w:p w14:paraId="2A38506C" w14:textId="77777777" w:rsidR="00FE291A" w:rsidRDefault="00C8738F">
            <w:pPr>
              <w:pStyle w:val="lbltxt"/>
              <w:rPr>
                <w:szCs w:val="22"/>
                <w:lang w:val="es-ES"/>
              </w:rPr>
            </w:pPr>
            <w:r>
              <w:rPr>
                <w:b/>
                <w:szCs w:val="22"/>
                <w:lang w:val="es-ES"/>
              </w:rPr>
              <w:t>Italia</w:t>
            </w:r>
          </w:p>
          <w:p w14:paraId="4D7209A3" w14:textId="77777777" w:rsidR="00FE291A" w:rsidRDefault="00C8738F">
            <w:pPr>
              <w:pStyle w:val="lbltxt"/>
              <w:rPr>
                <w:szCs w:val="22"/>
                <w:lang w:val="es-ES"/>
              </w:rPr>
            </w:pPr>
            <w:r>
              <w:rPr>
                <w:szCs w:val="22"/>
                <w:lang w:val="es-ES"/>
              </w:rPr>
              <w:t>Amgen S.r.l.</w:t>
            </w:r>
          </w:p>
          <w:p w14:paraId="2AE89A38" w14:textId="77777777" w:rsidR="00FE291A" w:rsidRDefault="00C8738F">
            <w:pPr>
              <w:pStyle w:val="lbltxt"/>
              <w:rPr>
                <w:szCs w:val="22"/>
                <w:lang w:val="de-DE"/>
              </w:rPr>
            </w:pPr>
            <w:r>
              <w:rPr>
                <w:szCs w:val="22"/>
                <w:lang w:val="de-DE"/>
              </w:rPr>
              <w:t>Tel: +39 02 6241121</w:t>
            </w:r>
          </w:p>
          <w:p w14:paraId="38710E51" w14:textId="77777777" w:rsidR="00FE291A" w:rsidRDefault="00FE291A">
            <w:pPr>
              <w:widowControl/>
              <w:kinsoku w:val="0"/>
              <w:overflowPunct w:val="0"/>
              <w:rPr>
                <w:sz w:val="22"/>
                <w:szCs w:val="22"/>
                <w:lang w:val="de-DE"/>
              </w:rPr>
            </w:pPr>
          </w:p>
        </w:tc>
        <w:tc>
          <w:tcPr>
            <w:tcW w:w="4572" w:type="dxa"/>
          </w:tcPr>
          <w:p w14:paraId="643F0733" w14:textId="77777777" w:rsidR="00FE291A" w:rsidRDefault="00C8738F">
            <w:pPr>
              <w:pStyle w:val="lbltxt"/>
              <w:rPr>
                <w:szCs w:val="22"/>
                <w:lang w:val="de-DE"/>
              </w:rPr>
            </w:pPr>
            <w:r>
              <w:rPr>
                <w:b/>
                <w:szCs w:val="22"/>
                <w:lang w:val="de-DE"/>
              </w:rPr>
              <w:t>Suomi/Finland</w:t>
            </w:r>
          </w:p>
          <w:p w14:paraId="61041E32" w14:textId="77777777" w:rsidR="00FE291A" w:rsidRDefault="00C8738F">
            <w:pPr>
              <w:pStyle w:val="lbltxt"/>
              <w:rPr>
                <w:szCs w:val="22"/>
                <w:lang w:val="de-DE"/>
              </w:rPr>
            </w:pPr>
            <w:r>
              <w:rPr>
                <w:szCs w:val="22"/>
                <w:lang w:val="de-DE"/>
              </w:rPr>
              <w:t>Amgen AB, sivuliike Suomessa/Amgen AB, filial i Finland</w:t>
            </w:r>
          </w:p>
          <w:p w14:paraId="760748DD" w14:textId="77777777" w:rsidR="00FE291A" w:rsidRDefault="00C8738F">
            <w:pPr>
              <w:pStyle w:val="lbltxt"/>
              <w:rPr>
                <w:szCs w:val="22"/>
                <w:lang w:val="de-DE"/>
              </w:rPr>
            </w:pPr>
            <w:r>
              <w:rPr>
                <w:szCs w:val="22"/>
                <w:lang w:val="nl-NL"/>
              </w:rPr>
              <w:t>Puh/Tel: +358 (0)9 54900500</w:t>
            </w:r>
          </w:p>
          <w:p w14:paraId="10834B49" w14:textId="77777777" w:rsidR="00FE291A" w:rsidRDefault="00FE291A">
            <w:pPr>
              <w:pStyle w:val="lbltxt"/>
              <w:rPr>
                <w:szCs w:val="22"/>
                <w:lang w:val="de-DE"/>
              </w:rPr>
            </w:pPr>
          </w:p>
        </w:tc>
      </w:tr>
      <w:tr w:rsidR="00FE291A" w14:paraId="644DE7F9" w14:textId="77777777">
        <w:tc>
          <w:tcPr>
            <w:tcW w:w="4463" w:type="dxa"/>
          </w:tcPr>
          <w:p w14:paraId="51D186E4" w14:textId="77777777" w:rsidR="00FE291A" w:rsidRDefault="00C8738F">
            <w:pPr>
              <w:pStyle w:val="lbltxt"/>
              <w:rPr>
                <w:b/>
                <w:szCs w:val="22"/>
                <w:lang w:val="en-IN"/>
              </w:rPr>
            </w:pPr>
            <w:r>
              <w:rPr>
                <w:b/>
                <w:szCs w:val="22"/>
                <w:lang w:val="en-IN"/>
              </w:rPr>
              <w:t>K</w:t>
            </w:r>
            <w:r>
              <w:rPr>
                <w:b/>
                <w:szCs w:val="22"/>
                <w:lang w:val="de-DE"/>
              </w:rPr>
              <w:t>ύπρος</w:t>
            </w:r>
          </w:p>
          <w:p w14:paraId="6E30BAE8" w14:textId="77777777" w:rsidR="00FE291A" w:rsidRDefault="00C8738F">
            <w:pPr>
              <w:widowControl/>
              <w:rPr>
                <w:sz w:val="22"/>
                <w:szCs w:val="22"/>
              </w:rPr>
            </w:pPr>
            <w:r>
              <w:rPr>
                <w:sz w:val="22"/>
                <w:szCs w:val="22"/>
              </w:rPr>
              <w:t>C.A. Papaellinas Ltd</w:t>
            </w:r>
          </w:p>
          <w:p w14:paraId="5E7F4D91" w14:textId="77777777" w:rsidR="00FE291A" w:rsidRDefault="00C8738F">
            <w:pPr>
              <w:pStyle w:val="lbltxt"/>
              <w:rPr>
                <w:szCs w:val="22"/>
                <w:lang w:val="en-IN"/>
              </w:rPr>
            </w:pPr>
            <w:r>
              <w:rPr>
                <w:szCs w:val="22"/>
                <w:lang w:val="de-DE"/>
              </w:rPr>
              <w:t>Τηλ</w:t>
            </w:r>
            <w:r>
              <w:rPr>
                <w:szCs w:val="22"/>
                <w:lang w:val="en-IN"/>
              </w:rPr>
              <w:t>: +357 22741 741</w:t>
            </w:r>
          </w:p>
          <w:p w14:paraId="54CF941C" w14:textId="77777777" w:rsidR="00FE291A" w:rsidRDefault="00FE291A">
            <w:pPr>
              <w:widowControl/>
              <w:kinsoku w:val="0"/>
              <w:overflowPunct w:val="0"/>
              <w:rPr>
                <w:sz w:val="22"/>
                <w:szCs w:val="22"/>
              </w:rPr>
            </w:pPr>
          </w:p>
        </w:tc>
        <w:tc>
          <w:tcPr>
            <w:tcW w:w="4572" w:type="dxa"/>
          </w:tcPr>
          <w:p w14:paraId="3A71C73F" w14:textId="77777777" w:rsidR="00FE291A" w:rsidRDefault="00C8738F">
            <w:pPr>
              <w:pStyle w:val="lbltxt"/>
              <w:rPr>
                <w:szCs w:val="22"/>
                <w:lang w:val="de-DE"/>
              </w:rPr>
            </w:pPr>
            <w:r>
              <w:rPr>
                <w:b/>
                <w:szCs w:val="22"/>
                <w:lang w:val="de-DE"/>
              </w:rPr>
              <w:t>Sverige</w:t>
            </w:r>
          </w:p>
          <w:p w14:paraId="39F583E5" w14:textId="77777777" w:rsidR="00FE291A" w:rsidRDefault="00C8738F">
            <w:pPr>
              <w:pStyle w:val="lbltxt"/>
              <w:rPr>
                <w:szCs w:val="22"/>
                <w:lang w:val="de-DE"/>
              </w:rPr>
            </w:pPr>
            <w:r>
              <w:rPr>
                <w:szCs w:val="22"/>
                <w:lang w:val="de-DE"/>
              </w:rPr>
              <w:t xml:space="preserve">Amgen AB </w:t>
            </w:r>
          </w:p>
          <w:p w14:paraId="1AD1B106" w14:textId="77777777" w:rsidR="00FE291A" w:rsidRDefault="00C8738F">
            <w:pPr>
              <w:pStyle w:val="lbltxt"/>
              <w:rPr>
                <w:szCs w:val="22"/>
                <w:lang w:val="de-DE"/>
              </w:rPr>
            </w:pPr>
            <w:r>
              <w:rPr>
                <w:szCs w:val="22"/>
                <w:lang w:val="de-DE"/>
              </w:rPr>
              <w:t>Tel: +46 (0)8 6951100</w:t>
            </w:r>
          </w:p>
          <w:p w14:paraId="7980FBEF" w14:textId="77777777" w:rsidR="00FE291A" w:rsidRDefault="00FE291A">
            <w:pPr>
              <w:widowControl/>
              <w:kinsoku w:val="0"/>
              <w:overflowPunct w:val="0"/>
              <w:rPr>
                <w:sz w:val="22"/>
                <w:szCs w:val="22"/>
                <w:lang w:val="de-DE"/>
              </w:rPr>
            </w:pPr>
          </w:p>
        </w:tc>
      </w:tr>
      <w:tr w:rsidR="00FE291A" w14:paraId="2AE14D2A" w14:textId="77777777">
        <w:tc>
          <w:tcPr>
            <w:tcW w:w="4463" w:type="dxa"/>
          </w:tcPr>
          <w:p w14:paraId="1BC927E1" w14:textId="77777777" w:rsidR="00FE291A" w:rsidRPr="00211AE1" w:rsidRDefault="00C8738F">
            <w:pPr>
              <w:pStyle w:val="lbltxt"/>
              <w:rPr>
                <w:b/>
                <w:bCs/>
                <w:szCs w:val="22"/>
                <w:lang w:val="de-DE"/>
              </w:rPr>
            </w:pPr>
            <w:r w:rsidRPr="00211AE1">
              <w:rPr>
                <w:b/>
                <w:bCs/>
                <w:szCs w:val="22"/>
                <w:lang w:val="de-DE"/>
              </w:rPr>
              <w:t>Latvija</w:t>
            </w:r>
          </w:p>
          <w:p w14:paraId="0F0BB636" w14:textId="77777777" w:rsidR="00FE291A" w:rsidRPr="00211AE1" w:rsidRDefault="00C8738F">
            <w:pPr>
              <w:pStyle w:val="lbltxt"/>
              <w:rPr>
                <w:szCs w:val="22"/>
                <w:lang w:val="de-DE"/>
              </w:rPr>
            </w:pPr>
            <w:r w:rsidRPr="00211AE1">
              <w:rPr>
                <w:szCs w:val="22"/>
                <w:lang w:val="de-DE"/>
              </w:rPr>
              <w:t>Amgen Switzerland AG Rīgas filiāle</w:t>
            </w:r>
          </w:p>
          <w:p w14:paraId="4F59F66E" w14:textId="77777777" w:rsidR="00FE291A" w:rsidRDefault="00C8738F">
            <w:pPr>
              <w:pStyle w:val="lbltxt"/>
              <w:rPr>
                <w:szCs w:val="22"/>
                <w:lang w:val="de-DE"/>
              </w:rPr>
            </w:pPr>
            <w:r>
              <w:rPr>
                <w:bCs/>
                <w:szCs w:val="22"/>
                <w:lang w:val="de-DE"/>
              </w:rPr>
              <w:t>Tel: +</w:t>
            </w:r>
            <w:r>
              <w:rPr>
                <w:szCs w:val="22"/>
                <w:lang w:val="de-DE"/>
              </w:rPr>
              <w:t>371 257 25888</w:t>
            </w:r>
          </w:p>
          <w:p w14:paraId="494FB85F" w14:textId="77777777" w:rsidR="00FE291A" w:rsidRDefault="00FE291A">
            <w:pPr>
              <w:widowControl/>
              <w:kinsoku w:val="0"/>
              <w:overflowPunct w:val="0"/>
              <w:rPr>
                <w:sz w:val="22"/>
                <w:szCs w:val="22"/>
                <w:lang w:val="de-DE"/>
              </w:rPr>
            </w:pPr>
          </w:p>
        </w:tc>
        <w:tc>
          <w:tcPr>
            <w:tcW w:w="4572" w:type="dxa"/>
          </w:tcPr>
          <w:p w14:paraId="1260E942" w14:textId="77777777" w:rsidR="00FE291A" w:rsidRDefault="00FE291A">
            <w:pPr>
              <w:pStyle w:val="lbltxt"/>
              <w:rPr>
                <w:szCs w:val="22"/>
                <w:lang w:val="de-DE"/>
              </w:rPr>
            </w:pPr>
          </w:p>
        </w:tc>
      </w:tr>
    </w:tbl>
    <w:p w14:paraId="205A02FA" w14:textId="77777777" w:rsidR="00FE291A" w:rsidRDefault="00FE291A">
      <w:pPr>
        <w:widowControl/>
        <w:rPr>
          <w:sz w:val="22"/>
          <w:lang w:val="de-DE"/>
        </w:rPr>
      </w:pPr>
    </w:p>
    <w:p w14:paraId="3830E592" w14:textId="77777777" w:rsidR="00FE291A" w:rsidRDefault="00C8738F">
      <w:pPr>
        <w:pStyle w:val="Heading1"/>
        <w:keepNext/>
        <w:widowControl/>
        <w:kinsoku w:val="0"/>
        <w:overflowPunct w:val="0"/>
        <w:ind w:left="0"/>
        <w:rPr>
          <w:b w:val="0"/>
          <w:bCs w:val="0"/>
          <w:lang w:val="de-DE"/>
        </w:rPr>
      </w:pPr>
      <w:r>
        <w:rPr>
          <w:lang w:val="de-DE"/>
        </w:rPr>
        <w:t>Diese Packungsbeilage wurde zuletzt überarbeitet im</w:t>
      </w:r>
    </w:p>
    <w:p w14:paraId="46E3E715" w14:textId="77777777" w:rsidR="00FE291A" w:rsidRDefault="00FE291A">
      <w:pPr>
        <w:keepNext/>
        <w:widowControl/>
        <w:kinsoku w:val="0"/>
        <w:overflowPunct w:val="0"/>
        <w:rPr>
          <w:sz w:val="22"/>
          <w:szCs w:val="22"/>
          <w:lang w:val="de-DE"/>
        </w:rPr>
      </w:pPr>
    </w:p>
    <w:p w14:paraId="3024F0B0" w14:textId="77777777" w:rsidR="00FE291A" w:rsidRDefault="00C8738F">
      <w:pPr>
        <w:keepNext/>
        <w:widowControl/>
        <w:kinsoku w:val="0"/>
        <w:overflowPunct w:val="0"/>
        <w:rPr>
          <w:b/>
          <w:sz w:val="22"/>
          <w:szCs w:val="22"/>
          <w:lang w:val="de-DE"/>
        </w:rPr>
      </w:pPr>
      <w:r>
        <w:rPr>
          <w:b/>
          <w:sz w:val="22"/>
          <w:szCs w:val="22"/>
          <w:lang w:val="de-DE"/>
        </w:rPr>
        <w:t>Weitere Informationsquellen</w:t>
      </w:r>
    </w:p>
    <w:p w14:paraId="14326489" w14:textId="77777777" w:rsidR="00FE291A" w:rsidRDefault="00FE291A">
      <w:pPr>
        <w:widowControl/>
        <w:kinsoku w:val="0"/>
        <w:overflowPunct w:val="0"/>
        <w:rPr>
          <w:sz w:val="22"/>
          <w:szCs w:val="22"/>
          <w:lang w:val="de-DE"/>
        </w:rPr>
      </w:pPr>
    </w:p>
    <w:p w14:paraId="6C479204" w14:textId="77777777" w:rsidR="00FE291A" w:rsidRDefault="00C8738F">
      <w:pPr>
        <w:pStyle w:val="BodyText"/>
        <w:widowControl/>
        <w:kinsoku w:val="0"/>
        <w:overflowPunct w:val="0"/>
        <w:ind w:left="0"/>
        <w:rPr>
          <w:color w:val="000000"/>
          <w:lang w:val="de-DE"/>
        </w:rPr>
      </w:pPr>
      <w:r>
        <w:rPr>
          <w:lang w:val="de-DE"/>
        </w:rPr>
        <w:t xml:space="preserve">Ausführliche Informationen zu diesem Arzneimittel sind auf den Internetseiten der Europäischen Arzneimittel-Agentur </w:t>
      </w:r>
      <w:r>
        <w:fldChar w:fldCharType="begin"/>
      </w:r>
      <w:r w:rsidRPr="00F076DE">
        <w:rPr>
          <w:lang w:val="de-DE"/>
          <w:rPrChange w:id="498" w:author="Author">
            <w:rPr/>
          </w:rPrChange>
        </w:rPr>
        <w:instrText>HYPERLINK "https://www.ema.europa.eu/"</w:instrText>
      </w:r>
      <w:r>
        <w:fldChar w:fldCharType="separate"/>
      </w:r>
      <w:r>
        <w:rPr>
          <w:rStyle w:val="Hyperlink"/>
          <w:color w:val="0000FF"/>
          <w:lang w:val="de-DE" w:eastAsia="en-US"/>
        </w:rPr>
        <w:t>https://www.ema.europa.eu/</w:t>
      </w:r>
      <w:r>
        <w:fldChar w:fldCharType="end"/>
      </w:r>
      <w:r>
        <w:rPr>
          <w:rStyle w:val="Hyperlink"/>
          <w:color w:val="auto"/>
          <w:u w:val="none"/>
          <w:lang w:val="de-DE"/>
        </w:rPr>
        <w:t xml:space="preserve"> </w:t>
      </w:r>
      <w:r>
        <w:rPr>
          <w:color w:val="000000"/>
          <w:lang w:val="de-DE"/>
        </w:rPr>
        <w:t>verfügbar.</w:t>
      </w:r>
    </w:p>
    <w:p w14:paraId="10B990C7" w14:textId="77777777" w:rsidR="00FE291A" w:rsidRDefault="00FE291A">
      <w:pPr>
        <w:pStyle w:val="BodyText"/>
        <w:widowControl/>
        <w:kinsoku w:val="0"/>
        <w:overflowPunct w:val="0"/>
        <w:ind w:left="0"/>
        <w:rPr>
          <w:color w:val="000000"/>
          <w:lang w:val="de-DE"/>
        </w:rPr>
      </w:pPr>
    </w:p>
    <w:p w14:paraId="39F3D65E" w14:textId="77777777" w:rsidR="00FE291A" w:rsidRDefault="00FE291A">
      <w:pPr>
        <w:pageBreakBefore/>
        <w:numPr>
          <w:ilvl w:val="12"/>
          <w:numId w:val="0"/>
        </w:numPr>
        <w:rPr>
          <w:szCs w:val="22"/>
          <w:lang w:val="de-DE"/>
        </w:rPr>
      </w:pPr>
    </w:p>
    <w:tbl>
      <w:tblPr>
        <w:tblpPr w:leftFromText="141" w:rightFromText="141" w:vertAnchor="text" w:tblpX="108" w:tblpY="1"/>
        <w:tblOverlap w:val="neve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9"/>
        <w:gridCol w:w="2552"/>
        <w:gridCol w:w="2977"/>
      </w:tblGrid>
      <w:tr w:rsidR="00FE291A" w14:paraId="244824AD" w14:textId="77777777">
        <w:trPr>
          <w:cantSplit/>
          <w:trHeight w:val="57"/>
        </w:trPr>
        <w:tc>
          <w:tcPr>
            <w:tcW w:w="5000" w:type="pct"/>
            <w:gridSpan w:val="3"/>
            <w:tcBorders>
              <w:bottom w:val="single" w:sz="4" w:space="0" w:color="auto"/>
            </w:tcBorders>
          </w:tcPr>
          <w:p w14:paraId="5A73B734" w14:textId="1BA060E7" w:rsidR="00FE291A" w:rsidRDefault="00C8738F">
            <w:pPr>
              <w:keepNext/>
              <w:keepLines/>
              <w:jc w:val="center"/>
              <w:rPr>
                <w:b/>
                <w:bCs/>
                <w:sz w:val="22"/>
                <w:szCs w:val="22"/>
                <w:lang w:val="de-DE"/>
              </w:rPr>
            </w:pPr>
            <w:r>
              <w:rPr>
                <w:b/>
                <w:sz w:val="22"/>
                <w:szCs w:val="22"/>
                <w:lang w:val="de-DE"/>
              </w:rPr>
              <w:t>GEBRAUCHSANLEITUNG 40 mg/0,4</w:t>
            </w:r>
            <w:ins w:id="499" w:author="Author">
              <w:r w:rsidR="00815562">
                <w:rPr>
                  <w:b/>
                  <w:sz w:val="22"/>
                  <w:szCs w:val="22"/>
                  <w:lang w:val="de-DE"/>
                </w:rPr>
                <w:t> </w:t>
              </w:r>
            </w:ins>
            <w:r>
              <w:rPr>
                <w:b/>
                <w:sz w:val="22"/>
                <w:szCs w:val="22"/>
                <w:lang w:val="de-DE"/>
              </w:rPr>
              <w:t>ml</w:t>
            </w:r>
          </w:p>
        </w:tc>
      </w:tr>
      <w:tr w:rsidR="00FE291A" w14:paraId="538ED27B" w14:textId="77777777">
        <w:trPr>
          <w:cantSplit/>
          <w:trHeight w:val="57"/>
        </w:trPr>
        <w:tc>
          <w:tcPr>
            <w:tcW w:w="5000" w:type="pct"/>
            <w:gridSpan w:val="3"/>
            <w:tcBorders>
              <w:top w:val="single" w:sz="4" w:space="0" w:color="auto"/>
              <w:left w:val="nil"/>
              <w:bottom w:val="single" w:sz="4" w:space="0" w:color="auto"/>
              <w:right w:val="nil"/>
            </w:tcBorders>
          </w:tcPr>
          <w:p w14:paraId="7EB3D211" w14:textId="77777777" w:rsidR="00FE291A" w:rsidRDefault="00FE291A">
            <w:pPr>
              <w:keepNext/>
              <w:keepLines/>
              <w:jc w:val="center"/>
              <w:rPr>
                <w:bCs/>
                <w:sz w:val="22"/>
                <w:szCs w:val="22"/>
                <w:lang w:val="de-DE"/>
              </w:rPr>
            </w:pPr>
          </w:p>
        </w:tc>
      </w:tr>
      <w:tr w:rsidR="00FE291A" w:rsidRPr="00723069" w14:paraId="5654D997" w14:textId="77777777">
        <w:trPr>
          <w:cantSplit/>
          <w:trHeight w:val="57"/>
        </w:trPr>
        <w:tc>
          <w:tcPr>
            <w:tcW w:w="5000" w:type="pct"/>
            <w:gridSpan w:val="3"/>
            <w:tcBorders>
              <w:top w:val="single" w:sz="4" w:space="0" w:color="auto"/>
            </w:tcBorders>
          </w:tcPr>
          <w:p w14:paraId="292D9FB6" w14:textId="77777777" w:rsidR="00FE291A" w:rsidRDefault="00C8738F">
            <w:pPr>
              <w:keepNext/>
              <w:keepLines/>
              <w:rPr>
                <w:sz w:val="22"/>
                <w:szCs w:val="22"/>
                <w:lang w:val="de-DE"/>
              </w:rPr>
            </w:pPr>
            <w:r>
              <w:rPr>
                <w:sz w:val="22"/>
                <w:szCs w:val="22"/>
                <w:lang w:val="de-DE"/>
              </w:rPr>
              <w:t>Machen Sie sich mit Ihrem SureClick Fertigpen vertraut.</w:t>
            </w:r>
          </w:p>
        </w:tc>
      </w:tr>
      <w:tr w:rsidR="00FE291A" w14:paraId="6CD335A7" w14:textId="77777777">
        <w:trPr>
          <w:cantSplit/>
          <w:trHeight w:val="5566"/>
        </w:trPr>
        <w:tc>
          <w:tcPr>
            <w:tcW w:w="1865" w:type="pct"/>
            <w:tcBorders>
              <w:right w:val="nil"/>
            </w:tcBorders>
          </w:tcPr>
          <w:tbl>
            <w:tblPr>
              <w:tblW w:w="1763" w:type="dxa"/>
              <w:tblInd w:w="1288" w:type="dxa"/>
              <w:tblLayout w:type="fixed"/>
              <w:tblCellMar>
                <w:left w:w="0" w:type="dxa"/>
                <w:right w:w="113" w:type="dxa"/>
              </w:tblCellMar>
              <w:tblLook w:val="04A0" w:firstRow="1" w:lastRow="0" w:firstColumn="1" w:lastColumn="0" w:noHBand="0" w:noVBand="1"/>
            </w:tblPr>
            <w:tblGrid>
              <w:gridCol w:w="1763"/>
            </w:tblGrid>
            <w:tr w:rsidR="00FE291A" w:rsidRPr="00723069" w14:paraId="0F72EBE8" w14:textId="77777777">
              <w:trPr>
                <w:trHeight w:val="768"/>
              </w:trPr>
              <w:tc>
                <w:tcPr>
                  <w:tcW w:w="1763" w:type="dxa"/>
                </w:tcPr>
                <w:p w14:paraId="102C52D8" w14:textId="77777777" w:rsidR="00FE291A" w:rsidRDefault="00FE291A">
                  <w:pPr>
                    <w:keepNext/>
                    <w:framePr w:hSpace="141" w:wrap="around" w:vAnchor="text" w:hAnchor="text" w:x="108" w:y="1"/>
                    <w:suppressOverlap/>
                    <w:jc w:val="center"/>
                    <w:rPr>
                      <w:sz w:val="22"/>
                      <w:szCs w:val="22"/>
                      <w:lang w:val="de-DE"/>
                    </w:rPr>
                  </w:pPr>
                </w:p>
              </w:tc>
            </w:tr>
            <w:tr w:rsidR="00FE291A" w14:paraId="57890297" w14:textId="77777777">
              <w:trPr>
                <w:trHeight w:val="990"/>
              </w:trPr>
              <w:tc>
                <w:tcPr>
                  <w:tcW w:w="1763" w:type="dxa"/>
                </w:tcPr>
                <w:p w14:paraId="46D0E90A" w14:textId="77777777" w:rsidR="00FE291A" w:rsidRDefault="00C8738F">
                  <w:pPr>
                    <w:keepNext/>
                    <w:framePr w:hSpace="141" w:wrap="around" w:vAnchor="text" w:hAnchor="text" w:x="108" w:y="1"/>
                    <w:suppressOverlap/>
                    <w:jc w:val="right"/>
                    <w:rPr>
                      <w:sz w:val="22"/>
                      <w:szCs w:val="22"/>
                      <w:lang w:val="de-DE"/>
                    </w:rPr>
                  </w:pPr>
                  <w:r>
                    <w:rPr>
                      <w:sz w:val="22"/>
                      <w:szCs w:val="22"/>
                      <w:lang w:val="de-DE"/>
                    </w:rPr>
                    <w:t>Verfalldatum</w:t>
                  </w:r>
                </w:p>
              </w:tc>
            </w:tr>
            <w:tr w:rsidR="00FE291A" w14:paraId="1EAB6EDE" w14:textId="77777777">
              <w:trPr>
                <w:trHeight w:val="852"/>
              </w:trPr>
              <w:tc>
                <w:tcPr>
                  <w:tcW w:w="1763" w:type="dxa"/>
                </w:tcPr>
                <w:p w14:paraId="3E355284" w14:textId="77777777" w:rsidR="00FE291A" w:rsidRDefault="00FE291A">
                  <w:pPr>
                    <w:keepNext/>
                    <w:framePr w:hSpace="141" w:wrap="around" w:vAnchor="text" w:hAnchor="text" w:x="108" w:y="1"/>
                    <w:suppressOverlap/>
                    <w:jc w:val="right"/>
                    <w:rPr>
                      <w:sz w:val="22"/>
                      <w:szCs w:val="22"/>
                      <w:lang w:val="de-DE"/>
                    </w:rPr>
                  </w:pPr>
                </w:p>
              </w:tc>
            </w:tr>
            <w:tr w:rsidR="00FE291A" w14:paraId="05BD03C8" w14:textId="77777777">
              <w:trPr>
                <w:trHeight w:val="705"/>
              </w:trPr>
              <w:tc>
                <w:tcPr>
                  <w:tcW w:w="1763" w:type="dxa"/>
                </w:tcPr>
                <w:p w14:paraId="31C8F71E" w14:textId="77777777" w:rsidR="00FE291A" w:rsidRDefault="00FE291A">
                  <w:pPr>
                    <w:keepNext/>
                    <w:framePr w:hSpace="141" w:wrap="around" w:vAnchor="text" w:hAnchor="text" w:x="108" w:y="1"/>
                    <w:suppressOverlap/>
                    <w:jc w:val="right"/>
                    <w:rPr>
                      <w:sz w:val="22"/>
                      <w:szCs w:val="22"/>
                      <w:lang w:val="de-DE"/>
                    </w:rPr>
                  </w:pPr>
                </w:p>
              </w:tc>
            </w:tr>
            <w:tr w:rsidR="00FE291A" w14:paraId="19487A8F" w14:textId="77777777">
              <w:trPr>
                <w:trHeight w:val="972"/>
              </w:trPr>
              <w:tc>
                <w:tcPr>
                  <w:tcW w:w="1763" w:type="dxa"/>
                </w:tcPr>
                <w:p w14:paraId="3F46C6E1" w14:textId="77777777" w:rsidR="00FE291A" w:rsidRDefault="00C8738F">
                  <w:pPr>
                    <w:keepNext/>
                    <w:framePr w:hSpace="141" w:wrap="around" w:vAnchor="text" w:hAnchor="text" w:x="108" w:y="1"/>
                    <w:suppressOverlap/>
                    <w:jc w:val="right"/>
                    <w:rPr>
                      <w:sz w:val="22"/>
                      <w:szCs w:val="22"/>
                      <w:lang w:val="de-DE"/>
                    </w:rPr>
                  </w:pPr>
                  <w:r>
                    <w:rPr>
                      <w:sz w:val="22"/>
                      <w:szCs w:val="22"/>
                      <w:lang w:val="de-DE"/>
                    </w:rPr>
                    <w:t>Sichtfenster</w:t>
                  </w:r>
                </w:p>
              </w:tc>
            </w:tr>
            <w:tr w:rsidR="00FE291A" w:rsidRPr="00723069" w14:paraId="32465BE8" w14:textId="77777777">
              <w:trPr>
                <w:trHeight w:val="1128"/>
              </w:trPr>
              <w:tc>
                <w:tcPr>
                  <w:tcW w:w="1763" w:type="dxa"/>
                </w:tcPr>
                <w:p w14:paraId="0C928B1B" w14:textId="77777777" w:rsidR="00FE291A" w:rsidRDefault="00C8738F">
                  <w:pPr>
                    <w:keepNext/>
                    <w:framePr w:hSpace="141" w:wrap="around" w:vAnchor="text" w:hAnchor="text" w:x="108" w:y="1"/>
                    <w:suppressOverlap/>
                    <w:jc w:val="right"/>
                    <w:rPr>
                      <w:sz w:val="22"/>
                      <w:szCs w:val="22"/>
                      <w:lang w:val="de-DE"/>
                    </w:rPr>
                  </w:pPr>
                  <w:r>
                    <w:rPr>
                      <w:color w:val="000000"/>
                      <w:sz w:val="22"/>
                      <w:szCs w:val="22"/>
                      <w:lang w:val="de-DE"/>
                    </w:rPr>
                    <w:t xml:space="preserve">Cremefarbene </w:t>
                  </w:r>
                  <w:r>
                    <w:rPr>
                      <w:sz w:val="22"/>
                      <w:szCs w:val="22"/>
                      <w:lang w:val="de-DE"/>
                    </w:rPr>
                    <w:t>Sicherheitshülse</w:t>
                  </w:r>
                </w:p>
                <w:p w14:paraId="6CEF4566" w14:textId="77777777" w:rsidR="00FE291A" w:rsidRDefault="00C8738F">
                  <w:pPr>
                    <w:keepNext/>
                    <w:framePr w:hSpace="141" w:wrap="around" w:vAnchor="text" w:hAnchor="text" w:x="108" w:y="1"/>
                    <w:suppressOverlap/>
                    <w:jc w:val="right"/>
                    <w:rPr>
                      <w:sz w:val="22"/>
                      <w:szCs w:val="22"/>
                      <w:lang w:val="de-DE"/>
                    </w:rPr>
                  </w:pPr>
                  <w:r>
                    <w:rPr>
                      <w:sz w:val="22"/>
                      <w:szCs w:val="22"/>
                      <w:lang w:val="de-DE"/>
                    </w:rPr>
                    <w:t xml:space="preserve"> (Nadel im Inneren)</w:t>
                  </w:r>
                </w:p>
              </w:tc>
            </w:tr>
          </w:tbl>
          <w:p w14:paraId="5040A4E1" w14:textId="77777777" w:rsidR="00FE291A" w:rsidRDefault="00FE291A">
            <w:pPr>
              <w:keepNext/>
              <w:jc w:val="right"/>
              <w:rPr>
                <w:sz w:val="22"/>
                <w:szCs w:val="22"/>
                <w:lang w:val="de-DE"/>
              </w:rPr>
            </w:pPr>
          </w:p>
        </w:tc>
        <w:tc>
          <w:tcPr>
            <w:tcW w:w="1447" w:type="pct"/>
            <w:tcBorders>
              <w:top w:val="nil"/>
              <w:left w:val="nil"/>
              <w:bottom w:val="single" w:sz="4" w:space="0" w:color="auto"/>
              <w:right w:val="nil"/>
            </w:tcBorders>
            <w:vAlign w:val="center"/>
          </w:tcPr>
          <w:p w14:paraId="5B021E28" w14:textId="13E75F06" w:rsidR="00FE291A" w:rsidRDefault="009C5B62">
            <w:pPr>
              <w:keepNext/>
              <w:jc w:val="center"/>
              <w:rPr>
                <w:sz w:val="22"/>
                <w:szCs w:val="22"/>
                <w:lang w:val="de-DE"/>
              </w:rPr>
            </w:pPr>
            <w:r>
              <w:rPr>
                <w:noProof/>
              </w:rPr>
              <w:drawing>
                <wp:anchor distT="0" distB="0" distL="114300" distR="114300" simplePos="0" relativeHeight="14" behindDoc="0" locked="0" layoutInCell="1" allowOverlap="1" wp14:anchorId="44998368" wp14:editId="0A52572F">
                  <wp:simplePos x="0" y="0"/>
                  <wp:positionH relativeFrom="column">
                    <wp:posOffset>-967105</wp:posOffset>
                  </wp:positionH>
                  <wp:positionV relativeFrom="paragraph">
                    <wp:posOffset>110490</wp:posOffset>
                  </wp:positionV>
                  <wp:extent cx="1095375" cy="3200400"/>
                  <wp:effectExtent l="0" t="0" r="0" b="0"/>
                  <wp:wrapSquare wrapText="bothSides"/>
                  <wp:docPr id="533521341" name="Bild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0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95375" cy="3200400"/>
                          </a:xfrm>
                          <a:prstGeom prst="rect">
                            <a:avLst/>
                          </a:prstGeom>
                          <a:noFill/>
                        </pic:spPr>
                      </pic:pic>
                    </a:graphicData>
                  </a:graphic>
                  <wp14:sizeRelH relativeFrom="page">
                    <wp14:pctWidth>0</wp14:pctWidth>
                  </wp14:sizeRelH>
                  <wp14:sizeRelV relativeFrom="page">
                    <wp14:pctHeight>0</wp14:pctHeight>
                  </wp14:sizeRelV>
                </wp:anchor>
              </w:drawing>
            </w:r>
          </w:p>
          <w:p w14:paraId="7B4BDD3D" w14:textId="77777777" w:rsidR="00FE291A" w:rsidRDefault="00FE291A">
            <w:pPr>
              <w:keepNext/>
              <w:jc w:val="center"/>
              <w:rPr>
                <w:sz w:val="22"/>
                <w:szCs w:val="22"/>
                <w:lang w:val="de-DE"/>
              </w:rPr>
            </w:pPr>
          </w:p>
          <w:p w14:paraId="28735EE7" w14:textId="77777777" w:rsidR="00FE291A" w:rsidRDefault="00FE291A">
            <w:pPr>
              <w:keepNext/>
              <w:jc w:val="center"/>
              <w:rPr>
                <w:sz w:val="22"/>
                <w:szCs w:val="22"/>
                <w:lang w:val="de-DE"/>
              </w:rPr>
            </w:pPr>
          </w:p>
          <w:p w14:paraId="6D0C9390" w14:textId="77777777" w:rsidR="00FE291A" w:rsidRDefault="00FE291A">
            <w:pPr>
              <w:keepNext/>
              <w:jc w:val="center"/>
              <w:rPr>
                <w:sz w:val="22"/>
                <w:szCs w:val="22"/>
                <w:lang w:val="de-DE"/>
              </w:rPr>
            </w:pPr>
          </w:p>
          <w:p w14:paraId="1685FEBD" w14:textId="77777777" w:rsidR="00FE291A" w:rsidRDefault="00FE291A">
            <w:pPr>
              <w:keepNext/>
              <w:jc w:val="center"/>
              <w:rPr>
                <w:sz w:val="22"/>
                <w:szCs w:val="22"/>
                <w:lang w:val="de-DE"/>
              </w:rPr>
            </w:pPr>
          </w:p>
          <w:p w14:paraId="2D8A6337" w14:textId="77777777" w:rsidR="00FE291A" w:rsidRDefault="00FE291A">
            <w:pPr>
              <w:keepNext/>
              <w:jc w:val="center"/>
              <w:rPr>
                <w:sz w:val="22"/>
                <w:szCs w:val="22"/>
                <w:lang w:val="de-DE"/>
              </w:rPr>
            </w:pPr>
          </w:p>
          <w:p w14:paraId="310D048E" w14:textId="77777777" w:rsidR="00FE291A" w:rsidRDefault="00FE291A">
            <w:pPr>
              <w:keepNext/>
              <w:jc w:val="center"/>
              <w:rPr>
                <w:sz w:val="22"/>
                <w:szCs w:val="22"/>
                <w:lang w:val="de-DE"/>
              </w:rPr>
            </w:pPr>
          </w:p>
          <w:p w14:paraId="5B7491AD" w14:textId="77777777" w:rsidR="00FE291A" w:rsidRDefault="00FE291A">
            <w:pPr>
              <w:keepNext/>
              <w:jc w:val="center"/>
              <w:rPr>
                <w:sz w:val="22"/>
                <w:szCs w:val="22"/>
                <w:lang w:val="de-DE"/>
              </w:rPr>
            </w:pPr>
          </w:p>
          <w:p w14:paraId="22058EBD" w14:textId="77777777" w:rsidR="00FE291A" w:rsidRDefault="00FE291A">
            <w:pPr>
              <w:keepNext/>
              <w:jc w:val="center"/>
              <w:rPr>
                <w:sz w:val="22"/>
                <w:szCs w:val="22"/>
                <w:lang w:val="de-DE"/>
              </w:rPr>
            </w:pPr>
          </w:p>
          <w:p w14:paraId="4A41A9EC" w14:textId="77777777" w:rsidR="00FE291A" w:rsidRDefault="00FE291A">
            <w:pPr>
              <w:keepNext/>
              <w:jc w:val="center"/>
              <w:rPr>
                <w:sz w:val="22"/>
                <w:szCs w:val="22"/>
                <w:lang w:val="de-DE"/>
              </w:rPr>
            </w:pPr>
          </w:p>
          <w:p w14:paraId="5420A497" w14:textId="77777777" w:rsidR="00FE291A" w:rsidRDefault="00FE291A">
            <w:pPr>
              <w:keepNext/>
              <w:jc w:val="center"/>
              <w:rPr>
                <w:sz w:val="22"/>
                <w:szCs w:val="22"/>
                <w:lang w:val="de-DE"/>
              </w:rPr>
            </w:pPr>
          </w:p>
          <w:p w14:paraId="0357173E" w14:textId="77777777" w:rsidR="00FE291A" w:rsidRDefault="00FE291A">
            <w:pPr>
              <w:keepNext/>
              <w:jc w:val="center"/>
              <w:rPr>
                <w:sz w:val="22"/>
                <w:szCs w:val="22"/>
                <w:lang w:val="de-DE"/>
              </w:rPr>
            </w:pPr>
          </w:p>
          <w:p w14:paraId="3F234598" w14:textId="77777777" w:rsidR="00FE291A" w:rsidRDefault="00FE291A">
            <w:pPr>
              <w:keepNext/>
              <w:jc w:val="center"/>
              <w:rPr>
                <w:sz w:val="22"/>
                <w:szCs w:val="22"/>
                <w:lang w:val="de-DE"/>
              </w:rPr>
            </w:pPr>
          </w:p>
          <w:p w14:paraId="4731A82B" w14:textId="77777777" w:rsidR="00FE291A" w:rsidRDefault="00FE291A">
            <w:pPr>
              <w:keepNext/>
              <w:jc w:val="center"/>
              <w:rPr>
                <w:sz w:val="22"/>
                <w:szCs w:val="22"/>
                <w:lang w:val="de-DE"/>
              </w:rPr>
            </w:pPr>
          </w:p>
          <w:p w14:paraId="570D4C31" w14:textId="77777777" w:rsidR="00FE291A" w:rsidRDefault="00FE291A">
            <w:pPr>
              <w:keepNext/>
              <w:jc w:val="center"/>
              <w:rPr>
                <w:sz w:val="22"/>
                <w:szCs w:val="22"/>
                <w:lang w:val="de-DE"/>
              </w:rPr>
            </w:pPr>
          </w:p>
          <w:p w14:paraId="3430D416" w14:textId="77777777" w:rsidR="00FE291A" w:rsidRDefault="00FE291A">
            <w:pPr>
              <w:keepNext/>
              <w:jc w:val="center"/>
              <w:rPr>
                <w:sz w:val="22"/>
                <w:szCs w:val="22"/>
                <w:lang w:val="de-DE"/>
              </w:rPr>
            </w:pPr>
          </w:p>
          <w:p w14:paraId="50451321" w14:textId="77777777" w:rsidR="00FE291A" w:rsidRDefault="00FE291A">
            <w:pPr>
              <w:keepNext/>
              <w:jc w:val="center"/>
              <w:rPr>
                <w:sz w:val="22"/>
                <w:szCs w:val="22"/>
                <w:lang w:val="de-DE"/>
              </w:rPr>
            </w:pPr>
          </w:p>
          <w:p w14:paraId="04FBA93E" w14:textId="77777777" w:rsidR="00FE291A" w:rsidRDefault="00FE291A">
            <w:pPr>
              <w:keepNext/>
              <w:jc w:val="center"/>
              <w:rPr>
                <w:sz w:val="22"/>
                <w:szCs w:val="22"/>
                <w:lang w:val="de-DE"/>
              </w:rPr>
            </w:pPr>
          </w:p>
          <w:p w14:paraId="4598513E" w14:textId="77777777" w:rsidR="00FE291A" w:rsidRDefault="00FE291A">
            <w:pPr>
              <w:keepNext/>
              <w:jc w:val="center"/>
              <w:rPr>
                <w:sz w:val="22"/>
                <w:szCs w:val="22"/>
                <w:lang w:val="de-DE"/>
              </w:rPr>
            </w:pPr>
          </w:p>
          <w:p w14:paraId="7F718752" w14:textId="77777777" w:rsidR="00FE291A" w:rsidRDefault="00FE291A">
            <w:pPr>
              <w:keepNext/>
              <w:jc w:val="center"/>
              <w:rPr>
                <w:sz w:val="22"/>
                <w:szCs w:val="22"/>
                <w:lang w:val="de-DE"/>
              </w:rPr>
            </w:pPr>
          </w:p>
          <w:p w14:paraId="41613FC9" w14:textId="77777777" w:rsidR="00FE291A" w:rsidRDefault="00FE291A">
            <w:pPr>
              <w:keepNext/>
              <w:jc w:val="center"/>
              <w:rPr>
                <w:sz w:val="22"/>
                <w:szCs w:val="22"/>
                <w:lang w:val="de-DE"/>
              </w:rPr>
            </w:pPr>
          </w:p>
          <w:p w14:paraId="4AD8EA8B" w14:textId="77777777" w:rsidR="00FE291A" w:rsidRDefault="00FE291A">
            <w:pPr>
              <w:keepNext/>
              <w:jc w:val="center"/>
              <w:rPr>
                <w:sz w:val="22"/>
                <w:szCs w:val="22"/>
                <w:lang w:val="de-DE"/>
              </w:rPr>
            </w:pPr>
          </w:p>
          <w:p w14:paraId="7EAABF3E" w14:textId="77777777" w:rsidR="00FE291A" w:rsidRDefault="00C8738F">
            <w:pPr>
              <w:keepNext/>
              <w:ind w:right="851"/>
              <w:jc w:val="center"/>
              <w:rPr>
                <w:sz w:val="22"/>
                <w:szCs w:val="22"/>
                <w:lang w:val="de-DE"/>
              </w:rPr>
            </w:pPr>
            <w:r>
              <w:rPr>
                <w:sz w:val="22"/>
                <w:szCs w:val="22"/>
                <w:lang w:val="de-DE"/>
              </w:rPr>
              <w:t>40 mg/0,4 ml</w:t>
            </w:r>
          </w:p>
        </w:tc>
        <w:tc>
          <w:tcPr>
            <w:tcW w:w="1688" w:type="pct"/>
            <w:tcBorders>
              <w:left w:val="nil"/>
            </w:tcBorders>
          </w:tcPr>
          <w:tbl>
            <w:tblPr>
              <w:tblW w:w="1852" w:type="dxa"/>
              <w:tblLayout w:type="fixed"/>
              <w:tblCellMar>
                <w:left w:w="113" w:type="dxa"/>
                <w:right w:w="0" w:type="dxa"/>
              </w:tblCellMar>
              <w:tblLook w:val="04A0" w:firstRow="1" w:lastRow="0" w:firstColumn="1" w:lastColumn="0" w:noHBand="0" w:noVBand="1"/>
            </w:tblPr>
            <w:tblGrid>
              <w:gridCol w:w="1852"/>
            </w:tblGrid>
            <w:tr w:rsidR="00FE291A" w14:paraId="44EECEB7" w14:textId="77777777">
              <w:trPr>
                <w:trHeight w:val="461"/>
              </w:trPr>
              <w:tc>
                <w:tcPr>
                  <w:tcW w:w="1852" w:type="dxa"/>
                </w:tcPr>
                <w:p w14:paraId="7777AB2D" w14:textId="77777777" w:rsidR="00FE291A" w:rsidRDefault="00C8738F">
                  <w:pPr>
                    <w:keepNext/>
                    <w:framePr w:hSpace="141" w:wrap="around" w:vAnchor="text" w:hAnchor="text" w:x="108" w:y="1"/>
                    <w:suppressOverlap/>
                    <w:rPr>
                      <w:sz w:val="22"/>
                      <w:szCs w:val="22"/>
                      <w:lang w:val="de-DE"/>
                    </w:rPr>
                  </w:pPr>
                  <w:r>
                    <w:rPr>
                      <w:sz w:val="22"/>
                      <w:szCs w:val="22"/>
                      <w:lang w:val="de-DE"/>
                    </w:rPr>
                    <w:t>Hellblauer Startknopf</w:t>
                  </w:r>
                </w:p>
              </w:tc>
            </w:tr>
            <w:tr w:rsidR="00FE291A" w14:paraId="11B1931A" w14:textId="77777777">
              <w:trPr>
                <w:trHeight w:val="1077"/>
              </w:trPr>
              <w:tc>
                <w:tcPr>
                  <w:tcW w:w="1852" w:type="dxa"/>
                </w:tcPr>
                <w:p w14:paraId="187D1594" w14:textId="77777777" w:rsidR="00FE291A" w:rsidRDefault="00FE291A">
                  <w:pPr>
                    <w:keepNext/>
                    <w:framePr w:hSpace="141" w:wrap="around" w:vAnchor="text" w:hAnchor="text" w:x="108" w:y="1"/>
                    <w:suppressOverlap/>
                    <w:rPr>
                      <w:sz w:val="22"/>
                      <w:szCs w:val="22"/>
                      <w:lang w:val="de-DE"/>
                    </w:rPr>
                  </w:pPr>
                </w:p>
              </w:tc>
            </w:tr>
            <w:tr w:rsidR="00FE291A" w:rsidRPr="002E6CD3" w14:paraId="1580A6F5" w14:textId="77777777">
              <w:trPr>
                <w:trHeight w:val="725"/>
              </w:trPr>
              <w:tc>
                <w:tcPr>
                  <w:tcW w:w="1852" w:type="dxa"/>
                </w:tcPr>
                <w:p w14:paraId="64651918" w14:textId="77777777" w:rsidR="00FE291A" w:rsidRDefault="00C8738F">
                  <w:pPr>
                    <w:keepNext/>
                    <w:framePr w:hSpace="141" w:wrap="around" w:vAnchor="text" w:hAnchor="text" w:x="108" w:y="1"/>
                    <w:suppressOverlap/>
                    <w:rPr>
                      <w:sz w:val="22"/>
                      <w:szCs w:val="22"/>
                      <w:lang w:val="de-DE"/>
                    </w:rPr>
                  </w:pPr>
                  <w:r>
                    <w:rPr>
                      <w:sz w:val="22"/>
                      <w:szCs w:val="22"/>
                      <w:lang w:val="de-DE"/>
                    </w:rPr>
                    <w:t>Kolben (kann im Sichtfenster sichtbar sein; Position kann variieren)</w:t>
                  </w:r>
                </w:p>
              </w:tc>
            </w:tr>
            <w:tr w:rsidR="00FE291A" w:rsidRPr="002E6CD3" w14:paraId="07C3DF58" w14:textId="77777777">
              <w:trPr>
                <w:trHeight w:val="751"/>
              </w:trPr>
              <w:tc>
                <w:tcPr>
                  <w:tcW w:w="1852" w:type="dxa"/>
                </w:tcPr>
                <w:p w14:paraId="0391B470" w14:textId="77777777" w:rsidR="00FE291A" w:rsidRDefault="00FE291A">
                  <w:pPr>
                    <w:keepNext/>
                    <w:framePr w:hSpace="141" w:wrap="around" w:vAnchor="text" w:hAnchor="text" w:x="108" w:y="1"/>
                    <w:suppressOverlap/>
                    <w:rPr>
                      <w:sz w:val="22"/>
                      <w:szCs w:val="22"/>
                      <w:lang w:val="de-DE"/>
                    </w:rPr>
                  </w:pPr>
                </w:p>
              </w:tc>
            </w:tr>
            <w:tr w:rsidR="00FE291A" w14:paraId="5F6E030D" w14:textId="77777777">
              <w:trPr>
                <w:trHeight w:val="1131"/>
              </w:trPr>
              <w:tc>
                <w:tcPr>
                  <w:tcW w:w="1852" w:type="dxa"/>
                </w:tcPr>
                <w:p w14:paraId="005BDE5B" w14:textId="77777777" w:rsidR="00FE291A" w:rsidRDefault="00C8738F">
                  <w:pPr>
                    <w:keepNext/>
                    <w:framePr w:hSpace="141" w:wrap="around" w:vAnchor="text" w:hAnchor="text" w:x="108" w:y="1"/>
                    <w:suppressOverlap/>
                    <w:rPr>
                      <w:sz w:val="22"/>
                      <w:szCs w:val="22"/>
                      <w:lang w:val="de-DE"/>
                    </w:rPr>
                  </w:pPr>
                  <w:r>
                    <w:rPr>
                      <w:sz w:val="22"/>
                      <w:szCs w:val="22"/>
                      <w:lang w:val="de-DE"/>
                    </w:rPr>
                    <w:t>Arzneimittel</w:t>
                  </w:r>
                </w:p>
              </w:tc>
            </w:tr>
            <w:tr w:rsidR="00FE291A" w14:paraId="07C60451" w14:textId="77777777">
              <w:trPr>
                <w:trHeight w:val="568"/>
              </w:trPr>
              <w:tc>
                <w:tcPr>
                  <w:tcW w:w="1852" w:type="dxa"/>
                </w:tcPr>
                <w:p w14:paraId="1A77FA32" w14:textId="77777777" w:rsidR="00FE291A" w:rsidRDefault="00C8738F">
                  <w:pPr>
                    <w:keepNext/>
                    <w:framePr w:hSpace="141" w:wrap="around" w:vAnchor="text" w:hAnchor="text" w:x="108" w:y="1"/>
                    <w:suppressOverlap/>
                    <w:rPr>
                      <w:sz w:val="22"/>
                      <w:szCs w:val="22"/>
                      <w:lang w:val="de-DE"/>
                    </w:rPr>
                  </w:pPr>
                  <w:r>
                    <w:rPr>
                      <w:sz w:val="22"/>
                      <w:szCs w:val="22"/>
                      <w:lang w:val="de-DE"/>
                    </w:rPr>
                    <w:t>Gelbe Kappe</w:t>
                  </w:r>
                </w:p>
              </w:tc>
            </w:tr>
          </w:tbl>
          <w:p w14:paraId="52A05B16" w14:textId="77777777" w:rsidR="00FE291A" w:rsidRDefault="00FE291A">
            <w:pPr>
              <w:keepNext/>
              <w:rPr>
                <w:sz w:val="22"/>
                <w:szCs w:val="22"/>
                <w:lang w:val="de-DE"/>
              </w:rPr>
            </w:pPr>
          </w:p>
        </w:tc>
      </w:tr>
    </w:tbl>
    <w:p w14:paraId="7DBE3FA0" w14:textId="77777777" w:rsidR="00FE291A" w:rsidRDefault="00FE291A">
      <w:pPr>
        <w:rPr>
          <w:b/>
          <w:bCs/>
          <w:sz w:val="22"/>
          <w:szCs w:val="22"/>
          <w:lang w:val="de-DE"/>
        </w:rPr>
      </w:pPr>
    </w:p>
    <w:tbl>
      <w:tblPr>
        <w:tblW w:w="4972"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62"/>
        <w:gridCol w:w="8448"/>
      </w:tblGrid>
      <w:tr w:rsidR="00FE291A" w:rsidRPr="00723069" w14:paraId="2756AE6A" w14:textId="77777777">
        <w:trPr>
          <w:cantSplit/>
          <w:trHeight w:val="57"/>
        </w:trPr>
        <w:tc>
          <w:tcPr>
            <w:tcW w:w="312" w:type="pct"/>
            <w:tcBorders>
              <w:bottom w:val="single" w:sz="4" w:space="0" w:color="auto"/>
              <w:right w:val="single" w:sz="4" w:space="0" w:color="auto"/>
            </w:tcBorders>
            <w:tcMar>
              <w:top w:w="57" w:type="dxa"/>
              <w:left w:w="57" w:type="dxa"/>
              <w:bottom w:w="57" w:type="dxa"/>
              <w:right w:w="57" w:type="dxa"/>
            </w:tcMar>
          </w:tcPr>
          <w:p w14:paraId="069BD5FD" w14:textId="77777777" w:rsidR="00FE291A" w:rsidRDefault="00C8738F">
            <w:pPr>
              <w:keepNext/>
              <w:rPr>
                <w:b/>
                <w:bCs/>
                <w:sz w:val="22"/>
                <w:szCs w:val="22"/>
                <w:lang w:val="de-DE"/>
              </w:rPr>
            </w:pPr>
            <w:r>
              <w:rPr>
                <w:b/>
                <w:sz w:val="22"/>
                <w:szCs w:val="22"/>
                <w:lang w:val="de-DE"/>
              </w:rPr>
              <w:t>1</w:t>
            </w:r>
          </w:p>
        </w:tc>
        <w:tc>
          <w:tcPr>
            <w:tcW w:w="4688" w:type="pct"/>
            <w:tcBorders>
              <w:left w:val="single" w:sz="4" w:space="0" w:color="auto"/>
              <w:bottom w:val="single" w:sz="4" w:space="0" w:color="auto"/>
            </w:tcBorders>
          </w:tcPr>
          <w:p w14:paraId="236CFDF0" w14:textId="77777777" w:rsidR="00FE291A" w:rsidRDefault="00C8738F">
            <w:pPr>
              <w:keepNext/>
              <w:rPr>
                <w:b/>
                <w:bCs/>
                <w:sz w:val="22"/>
                <w:szCs w:val="22"/>
                <w:lang w:val="de-DE"/>
              </w:rPr>
            </w:pPr>
            <w:r>
              <w:rPr>
                <w:b/>
                <w:sz w:val="22"/>
                <w:szCs w:val="22"/>
                <w:lang w:val="de-DE"/>
              </w:rPr>
              <w:t>Wichtige Informationen, die Ihnen bekannt sein müssen, bevor Sie AMGEVITA injizieren</w:t>
            </w:r>
          </w:p>
        </w:tc>
      </w:tr>
      <w:tr w:rsidR="00FE291A" w:rsidRPr="00723069" w14:paraId="04C4C650" w14:textId="77777777">
        <w:trPr>
          <w:cantSplit/>
          <w:trHeight w:val="57"/>
          <w:del w:id="500" w:author="Author"/>
        </w:trPr>
        <w:tc>
          <w:tcPr>
            <w:tcW w:w="5000" w:type="pct"/>
            <w:gridSpan w:val="2"/>
            <w:tcBorders>
              <w:bottom w:val="single" w:sz="4" w:space="0" w:color="auto"/>
            </w:tcBorders>
            <w:tcMar>
              <w:top w:w="57" w:type="dxa"/>
              <w:left w:w="57" w:type="dxa"/>
              <w:bottom w:w="57" w:type="dxa"/>
              <w:right w:w="57" w:type="dxa"/>
            </w:tcMar>
          </w:tcPr>
          <w:p w14:paraId="436DE443" w14:textId="77777777" w:rsidR="00FE291A" w:rsidRDefault="00C8738F">
            <w:pPr>
              <w:keepNext/>
              <w:rPr>
                <w:del w:id="501" w:author="Author"/>
                <w:b/>
                <w:bCs/>
                <w:sz w:val="22"/>
                <w:szCs w:val="22"/>
                <w:lang w:val="de-DE"/>
              </w:rPr>
            </w:pPr>
            <w:del w:id="502" w:author="Author">
              <w:r>
                <w:rPr>
                  <w:b/>
                  <w:sz w:val="22"/>
                  <w:szCs w:val="22"/>
                  <w:lang w:val="de-DE"/>
                </w:rPr>
                <w:delText>Anwendung Ihres SureClick Fertigpens:</w:delText>
              </w:r>
            </w:del>
          </w:p>
          <w:p w14:paraId="69DAAA51" w14:textId="77777777" w:rsidR="00FE291A" w:rsidRDefault="00FE291A">
            <w:pPr>
              <w:keepNext/>
              <w:rPr>
                <w:del w:id="503" w:author="Author"/>
                <w:b/>
                <w:bCs/>
                <w:sz w:val="22"/>
                <w:szCs w:val="22"/>
                <w:lang w:val="de-DE"/>
              </w:rPr>
            </w:pPr>
          </w:p>
        </w:tc>
      </w:tr>
      <w:tr w:rsidR="00FE291A" w:rsidRPr="002E6CD3" w14:paraId="2E838AFD" w14:textId="77777777">
        <w:trPr>
          <w:cantSplit/>
          <w:trHeight w:val="57"/>
        </w:trPr>
        <w:tc>
          <w:tcPr>
            <w:tcW w:w="312" w:type="pct"/>
            <w:tcBorders>
              <w:top w:val="single" w:sz="4" w:space="0" w:color="auto"/>
              <w:bottom w:val="nil"/>
              <w:right w:val="nil"/>
            </w:tcBorders>
          </w:tcPr>
          <w:p w14:paraId="0BF89939" w14:textId="77777777" w:rsidR="00FE291A" w:rsidRDefault="00FE291A">
            <w:pPr>
              <w:keepNext/>
              <w:widowControl/>
              <w:numPr>
                <w:ilvl w:val="0"/>
                <w:numId w:val="65"/>
              </w:numPr>
              <w:autoSpaceDE/>
              <w:autoSpaceDN/>
              <w:adjustRightInd/>
              <w:ind w:left="567" w:hanging="567"/>
              <w:rPr>
                <w:sz w:val="22"/>
                <w:szCs w:val="22"/>
                <w:lang w:val="de-DE"/>
              </w:rPr>
            </w:pPr>
          </w:p>
        </w:tc>
        <w:tc>
          <w:tcPr>
            <w:tcW w:w="4688" w:type="pct"/>
            <w:tcBorders>
              <w:top w:val="single" w:sz="4" w:space="0" w:color="auto"/>
              <w:left w:val="nil"/>
              <w:bottom w:val="nil"/>
            </w:tcBorders>
            <w:tcMar>
              <w:top w:w="57" w:type="dxa"/>
              <w:left w:w="0" w:type="dxa"/>
              <w:bottom w:w="57" w:type="dxa"/>
              <w:right w:w="57" w:type="dxa"/>
            </w:tcMar>
          </w:tcPr>
          <w:p w14:paraId="5B1ACEFC" w14:textId="77777777" w:rsidR="00FE291A" w:rsidRDefault="00C8738F">
            <w:pPr>
              <w:keepNext/>
              <w:rPr>
                <w:b/>
                <w:bCs/>
                <w:sz w:val="22"/>
                <w:szCs w:val="22"/>
                <w:lang w:val="de-DE"/>
              </w:rPr>
            </w:pPr>
            <w:r>
              <w:rPr>
                <w:sz w:val="22"/>
                <w:szCs w:val="22"/>
                <w:lang w:val="de-DE"/>
              </w:rPr>
              <w:t xml:space="preserve">Es ist wichtig, dass Sie nicht versuchen, sich selbst die Injektion zu geben, bevor Sie diese Gebrauchsanleitung vollständig gelesen und verstanden </w:t>
            </w:r>
            <w:bookmarkStart w:id="504" w:name="_Hlk117681572"/>
            <w:r>
              <w:rPr>
                <w:sz w:val="22"/>
                <w:szCs w:val="22"/>
                <w:lang w:val="de-DE"/>
              </w:rPr>
              <w:t>haben und von Ihrem Arzt oder dem medizinischen Fachpersonal geschult wurden.</w:t>
            </w:r>
            <w:bookmarkEnd w:id="504"/>
          </w:p>
        </w:tc>
      </w:tr>
      <w:tr w:rsidR="00FE291A" w:rsidRPr="00723069" w14:paraId="3E638468" w14:textId="77777777">
        <w:trPr>
          <w:cantSplit/>
          <w:trHeight w:val="57"/>
        </w:trPr>
        <w:tc>
          <w:tcPr>
            <w:tcW w:w="312" w:type="pct"/>
            <w:tcBorders>
              <w:top w:val="nil"/>
              <w:bottom w:val="nil"/>
              <w:right w:val="nil"/>
            </w:tcBorders>
          </w:tcPr>
          <w:p w14:paraId="0777E5E7" w14:textId="77777777" w:rsidR="00FE291A" w:rsidRDefault="00FE291A">
            <w:pPr>
              <w:keepNext/>
              <w:widowControl/>
              <w:numPr>
                <w:ilvl w:val="0"/>
                <w:numId w:val="65"/>
              </w:numPr>
              <w:autoSpaceDE/>
              <w:autoSpaceDN/>
              <w:adjustRightInd/>
              <w:ind w:left="567" w:hanging="567"/>
              <w:rPr>
                <w:sz w:val="22"/>
                <w:szCs w:val="22"/>
                <w:lang w:val="de-DE"/>
              </w:rPr>
            </w:pPr>
          </w:p>
        </w:tc>
        <w:tc>
          <w:tcPr>
            <w:tcW w:w="4688" w:type="pct"/>
            <w:tcBorders>
              <w:top w:val="nil"/>
              <w:left w:val="nil"/>
              <w:bottom w:val="nil"/>
            </w:tcBorders>
            <w:tcMar>
              <w:top w:w="57" w:type="dxa"/>
              <w:left w:w="0" w:type="dxa"/>
              <w:bottom w:w="57" w:type="dxa"/>
              <w:right w:w="57" w:type="dxa"/>
            </w:tcMar>
          </w:tcPr>
          <w:p w14:paraId="1DBB882A" w14:textId="77777777" w:rsidR="00FE291A" w:rsidRDefault="00C8738F">
            <w:pPr>
              <w:keepNext/>
              <w:rPr>
                <w:b/>
                <w:bCs/>
                <w:sz w:val="22"/>
                <w:szCs w:val="22"/>
                <w:lang w:val="de-DE"/>
              </w:rPr>
            </w:pPr>
            <w:r>
              <w:rPr>
                <w:sz w:val="22"/>
                <w:szCs w:val="22"/>
                <w:lang w:val="de-DE"/>
              </w:rPr>
              <w:t xml:space="preserve">Verwenden Sie den Fertigpen </w:t>
            </w:r>
            <w:r>
              <w:rPr>
                <w:b/>
                <w:sz w:val="22"/>
                <w:szCs w:val="22"/>
                <w:lang w:val="de-DE"/>
              </w:rPr>
              <w:t>nicht</w:t>
            </w:r>
            <w:r>
              <w:rPr>
                <w:sz w:val="22"/>
                <w:szCs w:val="22"/>
                <w:lang w:val="de-DE"/>
              </w:rPr>
              <w:t>, wenn die Verpackung beschädigt oder die Versiegelung aufgebrochen ist.</w:t>
            </w:r>
          </w:p>
        </w:tc>
      </w:tr>
      <w:tr w:rsidR="00FE291A" w:rsidRPr="002E6CD3" w14:paraId="4D612D91" w14:textId="77777777">
        <w:trPr>
          <w:cantSplit/>
          <w:trHeight w:val="57"/>
        </w:trPr>
        <w:tc>
          <w:tcPr>
            <w:tcW w:w="312" w:type="pct"/>
            <w:tcBorders>
              <w:top w:val="nil"/>
              <w:bottom w:val="nil"/>
              <w:right w:val="nil"/>
            </w:tcBorders>
          </w:tcPr>
          <w:p w14:paraId="0ADB58C2" w14:textId="77777777" w:rsidR="00FE291A" w:rsidRDefault="00FE291A">
            <w:pPr>
              <w:pStyle w:val="ListParagraph"/>
              <w:keepNext/>
              <w:widowControl/>
              <w:numPr>
                <w:ilvl w:val="0"/>
                <w:numId w:val="66"/>
              </w:numPr>
              <w:tabs>
                <w:tab w:val="left" w:pos="474"/>
                <w:tab w:val="left" w:pos="529"/>
              </w:tabs>
              <w:autoSpaceDE/>
              <w:autoSpaceDN/>
              <w:adjustRightInd/>
              <w:ind w:left="567" w:hanging="567"/>
              <w:rPr>
                <w:sz w:val="22"/>
                <w:szCs w:val="22"/>
                <w:lang w:val="de-DE"/>
              </w:rPr>
            </w:pPr>
          </w:p>
        </w:tc>
        <w:tc>
          <w:tcPr>
            <w:tcW w:w="4688" w:type="pct"/>
            <w:tcBorders>
              <w:top w:val="nil"/>
              <w:left w:val="nil"/>
              <w:bottom w:val="nil"/>
            </w:tcBorders>
            <w:tcMar>
              <w:top w:w="57" w:type="dxa"/>
              <w:left w:w="0" w:type="dxa"/>
              <w:bottom w:w="57" w:type="dxa"/>
              <w:right w:w="57" w:type="dxa"/>
            </w:tcMar>
          </w:tcPr>
          <w:p w14:paraId="1BE8CF30" w14:textId="77777777" w:rsidR="00FE291A" w:rsidRDefault="00C8738F">
            <w:pPr>
              <w:keepNext/>
              <w:rPr>
                <w:b/>
                <w:bCs/>
                <w:sz w:val="22"/>
                <w:szCs w:val="22"/>
                <w:lang w:val="de-DE"/>
              </w:rPr>
            </w:pPr>
            <w:r>
              <w:rPr>
                <w:sz w:val="22"/>
                <w:szCs w:val="22"/>
                <w:lang w:val="de-DE"/>
              </w:rPr>
              <w:t xml:space="preserve">Verwenden Sie den Fertigpen </w:t>
            </w:r>
            <w:r>
              <w:rPr>
                <w:b/>
                <w:sz w:val="22"/>
                <w:szCs w:val="22"/>
                <w:lang w:val="de-DE"/>
              </w:rPr>
              <w:t>nicht</w:t>
            </w:r>
            <w:r>
              <w:rPr>
                <w:sz w:val="22"/>
                <w:szCs w:val="22"/>
                <w:lang w:val="de-DE"/>
              </w:rPr>
              <w:t xml:space="preserve"> nach dem auf dem Etikett angegebenen Verfalldatum.</w:t>
            </w:r>
          </w:p>
        </w:tc>
      </w:tr>
      <w:tr w:rsidR="00FE291A" w14:paraId="1AC60DC6" w14:textId="77777777">
        <w:trPr>
          <w:cantSplit/>
          <w:trHeight w:val="57"/>
        </w:trPr>
        <w:tc>
          <w:tcPr>
            <w:tcW w:w="312" w:type="pct"/>
            <w:tcBorders>
              <w:top w:val="nil"/>
              <w:bottom w:val="nil"/>
              <w:right w:val="nil"/>
            </w:tcBorders>
          </w:tcPr>
          <w:p w14:paraId="241DF84E" w14:textId="77777777" w:rsidR="00FE291A" w:rsidRDefault="00FE291A">
            <w:pPr>
              <w:pStyle w:val="ListParagraph"/>
              <w:keepNext/>
              <w:widowControl/>
              <w:numPr>
                <w:ilvl w:val="0"/>
                <w:numId w:val="66"/>
              </w:numPr>
              <w:tabs>
                <w:tab w:val="left" w:pos="567"/>
              </w:tabs>
              <w:autoSpaceDE/>
              <w:autoSpaceDN/>
              <w:adjustRightInd/>
              <w:ind w:left="567" w:hanging="567"/>
              <w:rPr>
                <w:sz w:val="22"/>
                <w:szCs w:val="22"/>
                <w:lang w:val="de-DE"/>
              </w:rPr>
            </w:pPr>
          </w:p>
        </w:tc>
        <w:tc>
          <w:tcPr>
            <w:tcW w:w="4688" w:type="pct"/>
            <w:tcBorders>
              <w:top w:val="nil"/>
              <w:left w:val="nil"/>
              <w:bottom w:val="nil"/>
            </w:tcBorders>
            <w:tcMar>
              <w:top w:w="57" w:type="dxa"/>
              <w:left w:w="0" w:type="dxa"/>
              <w:bottom w:w="57" w:type="dxa"/>
              <w:right w:w="57" w:type="dxa"/>
            </w:tcMar>
          </w:tcPr>
          <w:p w14:paraId="2CCBA001" w14:textId="77777777" w:rsidR="00FE291A" w:rsidRDefault="00C8738F">
            <w:pPr>
              <w:keepNext/>
              <w:rPr>
                <w:b/>
                <w:bCs/>
                <w:sz w:val="22"/>
                <w:szCs w:val="22"/>
                <w:lang w:val="de-DE"/>
              </w:rPr>
            </w:pPr>
            <w:r>
              <w:rPr>
                <w:sz w:val="22"/>
                <w:szCs w:val="22"/>
                <w:lang w:val="de-DE"/>
              </w:rPr>
              <w:t xml:space="preserve">Den Fertigpen </w:t>
            </w:r>
            <w:r>
              <w:rPr>
                <w:b/>
                <w:sz w:val="22"/>
                <w:szCs w:val="22"/>
                <w:lang w:val="de-DE"/>
              </w:rPr>
              <w:t>nicht</w:t>
            </w:r>
            <w:r>
              <w:rPr>
                <w:sz w:val="22"/>
                <w:szCs w:val="22"/>
                <w:lang w:val="de-DE"/>
              </w:rPr>
              <w:t xml:space="preserve"> schütteln.</w:t>
            </w:r>
          </w:p>
        </w:tc>
      </w:tr>
      <w:tr w:rsidR="00FE291A" w:rsidRPr="002E6CD3" w14:paraId="74BB6ABB" w14:textId="77777777">
        <w:trPr>
          <w:cantSplit/>
          <w:trHeight w:val="57"/>
        </w:trPr>
        <w:tc>
          <w:tcPr>
            <w:tcW w:w="312" w:type="pct"/>
            <w:tcBorders>
              <w:top w:val="nil"/>
              <w:bottom w:val="nil"/>
              <w:right w:val="nil"/>
            </w:tcBorders>
          </w:tcPr>
          <w:p w14:paraId="3B0B1C61" w14:textId="77777777" w:rsidR="00FE291A" w:rsidRDefault="00FE291A">
            <w:pPr>
              <w:pStyle w:val="ListParagraph"/>
              <w:keepNext/>
              <w:widowControl/>
              <w:numPr>
                <w:ilvl w:val="0"/>
                <w:numId w:val="67"/>
              </w:numPr>
              <w:tabs>
                <w:tab w:val="left" w:pos="567"/>
              </w:tabs>
              <w:autoSpaceDE/>
              <w:autoSpaceDN/>
              <w:adjustRightInd/>
              <w:ind w:left="567" w:hanging="567"/>
              <w:rPr>
                <w:sz w:val="22"/>
                <w:szCs w:val="22"/>
                <w:lang w:val="de-DE"/>
              </w:rPr>
            </w:pPr>
          </w:p>
        </w:tc>
        <w:tc>
          <w:tcPr>
            <w:tcW w:w="4688" w:type="pct"/>
            <w:tcBorders>
              <w:top w:val="nil"/>
              <w:left w:val="nil"/>
              <w:bottom w:val="nil"/>
            </w:tcBorders>
            <w:tcMar>
              <w:top w:w="57" w:type="dxa"/>
              <w:left w:w="0" w:type="dxa"/>
              <w:bottom w:w="57" w:type="dxa"/>
              <w:right w:w="57" w:type="dxa"/>
            </w:tcMar>
          </w:tcPr>
          <w:p w14:paraId="344C789A" w14:textId="77777777" w:rsidR="00FE291A" w:rsidRDefault="00C8738F">
            <w:pPr>
              <w:keepNext/>
              <w:rPr>
                <w:sz w:val="22"/>
                <w:szCs w:val="22"/>
                <w:lang w:val="de-DE"/>
              </w:rPr>
            </w:pPr>
            <w:r>
              <w:rPr>
                <w:sz w:val="22"/>
                <w:szCs w:val="22"/>
                <w:lang w:val="de-DE"/>
              </w:rPr>
              <w:t xml:space="preserve">Die gelbe Kappe </w:t>
            </w:r>
            <w:r>
              <w:rPr>
                <w:b/>
                <w:sz w:val="22"/>
                <w:szCs w:val="22"/>
                <w:lang w:val="de-DE"/>
              </w:rPr>
              <w:t>nicht</w:t>
            </w:r>
            <w:r>
              <w:rPr>
                <w:sz w:val="22"/>
                <w:szCs w:val="22"/>
                <w:lang w:val="de-DE"/>
              </w:rPr>
              <w:t xml:space="preserve"> vom Fertigpen abnehmen, bevor Sie für die Injektion bereit sind.</w:t>
            </w:r>
          </w:p>
        </w:tc>
      </w:tr>
      <w:tr w:rsidR="00FE291A" w:rsidRPr="002E6CD3" w14:paraId="286CA733" w14:textId="77777777">
        <w:trPr>
          <w:cantSplit/>
          <w:trHeight w:val="57"/>
        </w:trPr>
        <w:tc>
          <w:tcPr>
            <w:tcW w:w="312" w:type="pct"/>
            <w:tcBorders>
              <w:top w:val="nil"/>
              <w:bottom w:val="nil"/>
              <w:right w:val="nil"/>
            </w:tcBorders>
          </w:tcPr>
          <w:p w14:paraId="54FA9061" w14:textId="77777777" w:rsidR="00FE291A" w:rsidRDefault="00FE291A">
            <w:pPr>
              <w:pStyle w:val="ListParagraph"/>
              <w:keepNext/>
              <w:widowControl/>
              <w:numPr>
                <w:ilvl w:val="0"/>
                <w:numId w:val="67"/>
              </w:numPr>
              <w:tabs>
                <w:tab w:val="left" w:pos="567"/>
              </w:tabs>
              <w:autoSpaceDE/>
              <w:autoSpaceDN/>
              <w:adjustRightInd/>
              <w:ind w:left="567" w:hanging="567"/>
              <w:rPr>
                <w:sz w:val="22"/>
                <w:szCs w:val="22"/>
                <w:lang w:val="de-DE"/>
              </w:rPr>
            </w:pPr>
          </w:p>
        </w:tc>
        <w:tc>
          <w:tcPr>
            <w:tcW w:w="4688" w:type="pct"/>
            <w:tcBorders>
              <w:top w:val="nil"/>
              <w:left w:val="nil"/>
              <w:bottom w:val="nil"/>
            </w:tcBorders>
            <w:tcMar>
              <w:top w:w="57" w:type="dxa"/>
              <w:left w:w="0" w:type="dxa"/>
              <w:bottom w:w="57" w:type="dxa"/>
              <w:right w:w="57" w:type="dxa"/>
            </w:tcMar>
          </w:tcPr>
          <w:p w14:paraId="2B81AA3D" w14:textId="77777777" w:rsidR="00FE291A" w:rsidRDefault="00C8738F">
            <w:pPr>
              <w:keepNext/>
              <w:rPr>
                <w:sz w:val="22"/>
                <w:szCs w:val="22"/>
                <w:lang w:val="de-DE"/>
              </w:rPr>
            </w:pPr>
            <w:r>
              <w:rPr>
                <w:sz w:val="22"/>
                <w:szCs w:val="22"/>
                <w:lang w:val="de-DE"/>
              </w:rPr>
              <w:t xml:space="preserve">Den </w:t>
            </w:r>
            <w:r>
              <w:rPr>
                <w:color w:val="000000"/>
                <w:sz w:val="22"/>
                <w:szCs w:val="22"/>
                <w:lang w:val="de-DE"/>
              </w:rPr>
              <w:t>Fertigpen</w:t>
            </w:r>
            <w:r>
              <w:rPr>
                <w:sz w:val="22"/>
                <w:szCs w:val="22"/>
                <w:lang w:val="de-DE"/>
              </w:rPr>
              <w:t xml:space="preserve"> </w:t>
            </w:r>
            <w:r>
              <w:rPr>
                <w:b/>
                <w:sz w:val="22"/>
                <w:szCs w:val="22"/>
                <w:lang w:val="de-DE"/>
              </w:rPr>
              <w:t>nicht</w:t>
            </w:r>
            <w:r>
              <w:rPr>
                <w:sz w:val="22"/>
                <w:szCs w:val="22"/>
                <w:lang w:val="de-DE"/>
              </w:rPr>
              <w:t xml:space="preserve"> verwenden, wenn er gefroren war.</w:t>
            </w:r>
          </w:p>
        </w:tc>
      </w:tr>
      <w:tr w:rsidR="00FE291A" w:rsidRPr="002E6CD3" w14:paraId="12A148A3" w14:textId="77777777">
        <w:trPr>
          <w:cantSplit/>
          <w:trHeight w:val="57"/>
        </w:trPr>
        <w:tc>
          <w:tcPr>
            <w:tcW w:w="312" w:type="pct"/>
            <w:tcBorders>
              <w:top w:val="nil"/>
              <w:bottom w:val="nil"/>
              <w:right w:val="nil"/>
            </w:tcBorders>
          </w:tcPr>
          <w:p w14:paraId="6B571C7A" w14:textId="77777777" w:rsidR="00FE291A" w:rsidRDefault="00FE291A">
            <w:pPr>
              <w:pStyle w:val="ListParagraph"/>
              <w:keepNext/>
              <w:widowControl/>
              <w:numPr>
                <w:ilvl w:val="0"/>
                <w:numId w:val="67"/>
              </w:numPr>
              <w:tabs>
                <w:tab w:val="left" w:pos="567"/>
              </w:tabs>
              <w:autoSpaceDE/>
              <w:autoSpaceDN/>
              <w:adjustRightInd/>
              <w:ind w:left="567" w:hanging="567"/>
              <w:rPr>
                <w:sz w:val="22"/>
                <w:szCs w:val="22"/>
                <w:lang w:val="de-DE"/>
              </w:rPr>
            </w:pPr>
          </w:p>
        </w:tc>
        <w:tc>
          <w:tcPr>
            <w:tcW w:w="4688" w:type="pct"/>
            <w:tcBorders>
              <w:top w:val="nil"/>
              <w:left w:val="nil"/>
              <w:bottom w:val="nil"/>
            </w:tcBorders>
            <w:tcMar>
              <w:top w:w="57" w:type="dxa"/>
              <w:left w:w="0" w:type="dxa"/>
              <w:bottom w:w="57" w:type="dxa"/>
              <w:right w:w="57" w:type="dxa"/>
            </w:tcMar>
          </w:tcPr>
          <w:p w14:paraId="07EC6311" w14:textId="77777777" w:rsidR="00FE291A" w:rsidRDefault="00C8738F">
            <w:pPr>
              <w:keepNext/>
              <w:rPr>
                <w:sz w:val="22"/>
                <w:szCs w:val="22"/>
                <w:lang w:val="de-DE"/>
              </w:rPr>
            </w:pPr>
            <w:r>
              <w:rPr>
                <w:color w:val="000000"/>
                <w:sz w:val="22"/>
                <w:szCs w:val="22"/>
                <w:lang w:val="de-DE"/>
              </w:rPr>
              <w:t xml:space="preserve">Den Fertigpen </w:t>
            </w:r>
            <w:r>
              <w:rPr>
                <w:b/>
                <w:color w:val="000000"/>
                <w:sz w:val="22"/>
                <w:szCs w:val="22"/>
                <w:lang w:val="de-DE"/>
              </w:rPr>
              <w:t>nicht</w:t>
            </w:r>
            <w:r>
              <w:rPr>
                <w:color w:val="000000"/>
                <w:sz w:val="22"/>
                <w:szCs w:val="22"/>
                <w:lang w:val="de-DE"/>
              </w:rPr>
              <w:t xml:space="preserve"> verwenden, wenn er auf eine harte Oberfläche gefallen ist. Ein Teil des Fertigpens könnte beschädigt sein, selbst wenn Sie keine Beschädigung erkennen können. Verwenden Sie einen neuen Fertigpen und wenden Sie sich an Ihren Arzt oder an das medizinische Fachpersonal.</w:t>
            </w:r>
          </w:p>
        </w:tc>
      </w:tr>
      <w:tr w:rsidR="00FE291A" w:rsidRPr="002E6CD3" w14:paraId="675E06C1" w14:textId="77777777">
        <w:trPr>
          <w:cantSplit/>
          <w:trHeight w:val="57"/>
        </w:trPr>
        <w:tc>
          <w:tcPr>
            <w:tcW w:w="5000" w:type="pct"/>
            <w:gridSpan w:val="2"/>
            <w:tcBorders>
              <w:top w:val="nil"/>
              <w:bottom w:val="single" w:sz="4" w:space="0" w:color="auto"/>
            </w:tcBorders>
          </w:tcPr>
          <w:p w14:paraId="506C574D" w14:textId="18423675" w:rsidR="00FE291A" w:rsidRDefault="009C5B62">
            <w:pPr>
              <w:keepNext/>
              <w:rPr>
                <w:b/>
                <w:bCs/>
                <w:sz w:val="22"/>
                <w:szCs w:val="22"/>
                <w:lang w:val="de-DE"/>
              </w:rPr>
            </w:pPr>
            <w:r>
              <w:rPr>
                <w:noProof/>
              </w:rPr>
              <mc:AlternateContent>
                <mc:Choice Requires="wps">
                  <w:drawing>
                    <wp:anchor distT="45720" distB="45720" distL="114300" distR="114300" simplePos="0" relativeHeight="24" behindDoc="0" locked="0" layoutInCell="1" allowOverlap="1" wp14:anchorId="27071C93" wp14:editId="520155B7">
                      <wp:simplePos x="0" y="0"/>
                      <wp:positionH relativeFrom="margin">
                        <wp:posOffset>53340</wp:posOffset>
                      </wp:positionH>
                      <wp:positionV relativeFrom="paragraph">
                        <wp:posOffset>80645</wp:posOffset>
                      </wp:positionV>
                      <wp:extent cx="5576570" cy="431800"/>
                      <wp:effectExtent l="0" t="0" r="5080" b="6350"/>
                      <wp:wrapSquare wrapText="bothSides"/>
                      <wp:docPr id="132236685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6570" cy="431800"/>
                              </a:xfrm>
                              <a:prstGeom prst="rect">
                                <a:avLst/>
                              </a:prstGeom>
                              <a:solidFill>
                                <a:srgbClr val="FFFFFF"/>
                              </a:solidFill>
                              <a:ln w="19050">
                                <a:solidFill>
                                  <a:srgbClr val="FF0000"/>
                                </a:solidFill>
                                <a:miter lim="800000"/>
                              </a:ln>
                            </wps:spPr>
                            <wps:txbx>
                              <w:txbxContent>
                                <w:p w14:paraId="6D283740" w14:textId="77777777" w:rsidR="00FE291A" w:rsidRDefault="00C8738F">
                                  <w:pPr>
                                    <w:rPr>
                                      <w:sz w:val="22"/>
                                      <w:lang w:val="de-DE"/>
                                    </w:rPr>
                                  </w:pPr>
                                  <w:r>
                                    <w:rPr>
                                      <w:b/>
                                      <w:sz w:val="22"/>
                                      <w:lang w:val="de-DE"/>
                                    </w:rPr>
                                    <w:t>Wichtig:</w:t>
                                  </w:r>
                                  <w:r>
                                    <w:rPr>
                                      <w:sz w:val="22"/>
                                      <w:lang w:val="de-DE"/>
                                    </w:rPr>
                                    <w:t xml:space="preserve"> Bewahren Sie den </w:t>
                                  </w:r>
                                  <w:r>
                                    <w:rPr>
                                      <w:color w:val="000000"/>
                                      <w:sz w:val="22"/>
                                      <w:lang w:val="de-DE"/>
                                    </w:rPr>
                                    <w:t>Fertigpen</w:t>
                                  </w:r>
                                  <w:r>
                                    <w:rPr>
                                      <w:sz w:val="22"/>
                                      <w:lang w:val="de-DE"/>
                                    </w:rPr>
                                    <w:t xml:space="preserve"> und den durchstichsicheren Behälter für Kinder unzugänglich auf.</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27071C93" id="Text Box 10" o:spid="_x0000_s1040" type="#_x0000_t202" style="position:absolute;margin-left:4.2pt;margin-top:6.35pt;width:439.1pt;height:34pt;z-index: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" strokecolor="red" strokeweight="1.5pt">
                      <v:textbox style="mso-fit-shape-to-text:t">
                        <w:txbxContent>
                          <w:p w14:paraId="6D283740" w14:textId="77777777" w:rsidR="00FE291A" w:rsidRDefault="00C8738F">
                            <w:pPr>
                              <w:rPr>
                                <w:sz w:val="22"/>
                                <w:lang w:val="de-DE"/>
                              </w:rPr>
                            </w:pPr>
                            <w:r>
                              <w:rPr>
                                <w:b/>
                                <w:sz w:val="22"/>
                                <w:lang w:val="de-DE"/>
                              </w:rPr>
                              <w:t>Wichtig:</w:t>
                            </w:r>
                            <w:r>
                              <w:rPr>
                                <w:sz w:val="22"/>
                                <w:lang w:val="de-DE"/>
                              </w:rPr>
                              <w:t xml:space="preserve"> Bewahren Sie den </w:t>
                            </w:r>
                            <w:r>
                              <w:rPr>
                                <w:color w:val="000000"/>
                                <w:sz w:val="22"/>
                                <w:lang w:val="de-DE"/>
                              </w:rPr>
                              <w:t>Fertigpen</w:t>
                            </w:r>
                            <w:r>
                              <w:rPr>
                                <w:sz w:val="22"/>
                                <w:lang w:val="de-DE"/>
                              </w:rPr>
                              <w:t xml:space="preserve"> und den durchstichsicheren Behälter für Kinder unzugänglich auf.</w:t>
                            </w:r>
                          </w:p>
                        </w:txbxContent>
                      </v:textbox>
                      <w10:wrap type="square" anchorx="margin"/>
                    </v:shape>
                  </w:pict>
                </mc:Fallback>
              </mc:AlternateContent>
            </w:r>
            <w:r w:rsidR="00C8738F">
              <w:rPr>
                <w:b/>
                <w:bCs/>
                <w:sz w:val="22"/>
                <w:szCs w:val="22"/>
                <w:lang w:val="de-DE"/>
              </w:rPr>
              <w:t xml:space="preserve"> </w:t>
            </w:r>
          </w:p>
        </w:tc>
      </w:tr>
    </w:tbl>
    <w:p w14:paraId="1D35F587" w14:textId="77777777" w:rsidR="00FE291A" w:rsidRDefault="00FE291A">
      <w:pPr>
        <w:rPr>
          <w:sz w:val="22"/>
          <w:szCs w:val="22"/>
          <w:lang w:val="de-DE"/>
        </w:rPr>
      </w:pPr>
    </w:p>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3"/>
        <w:gridCol w:w="8355"/>
      </w:tblGrid>
      <w:tr w:rsidR="00FE291A" w14:paraId="5630339F" w14:textId="77777777">
        <w:trPr>
          <w:cantSplit/>
          <w:trHeight w:val="57"/>
        </w:trPr>
        <w:tc>
          <w:tcPr>
            <w:tcW w:w="305" w:type="pct"/>
            <w:tcBorders>
              <w:top w:val="single" w:sz="4" w:space="0" w:color="auto"/>
            </w:tcBorders>
            <w:tcMar>
              <w:top w:w="28" w:type="dxa"/>
              <w:left w:w="57" w:type="dxa"/>
              <w:bottom w:w="28" w:type="dxa"/>
              <w:right w:w="57" w:type="dxa"/>
            </w:tcMar>
          </w:tcPr>
          <w:p w14:paraId="3A190699" w14:textId="77777777" w:rsidR="00FE291A" w:rsidRDefault="00C8738F">
            <w:pPr>
              <w:keepNext/>
              <w:rPr>
                <w:sz w:val="22"/>
                <w:szCs w:val="22"/>
                <w:lang w:val="de-DE"/>
              </w:rPr>
            </w:pPr>
            <w:r>
              <w:rPr>
                <w:b/>
                <w:sz w:val="22"/>
                <w:szCs w:val="22"/>
                <w:lang w:val="de-DE"/>
              </w:rPr>
              <w:t>2</w:t>
            </w:r>
          </w:p>
        </w:tc>
        <w:tc>
          <w:tcPr>
            <w:tcW w:w="4695" w:type="pct"/>
            <w:tcBorders>
              <w:top w:val="single" w:sz="4" w:space="0" w:color="auto"/>
            </w:tcBorders>
          </w:tcPr>
          <w:p w14:paraId="6D1EEB27" w14:textId="77777777" w:rsidR="00FE291A" w:rsidRDefault="00C8738F">
            <w:pPr>
              <w:keepNext/>
              <w:ind w:left="567" w:hanging="567"/>
              <w:rPr>
                <w:sz w:val="22"/>
                <w:szCs w:val="22"/>
                <w:lang w:val="de-DE"/>
              </w:rPr>
            </w:pPr>
            <w:r>
              <w:rPr>
                <w:b/>
                <w:sz w:val="22"/>
                <w:szCs w:val="22"/>
                <w:lang w:val="de-DE"/>
              </w:rPr>
              <w:t>Vorbereitung der AMGEVITA-Injektion</w:t>
            </w:r>
          </w:p>
        </w:tc>
      </w:tr>
    </w:tbl>
    <w:p w14:paraId="12394FBA" w14:textId="77777777" w:rsidR="00FE291A" w:rsidRDefault="00FE291A">
      <w:pPr>
        <w:keepNext/>
        <w:rPr>
          <w:sz w:val="22"/>
          <w:szCs w:val="22"/>
          <w:lang w:val="de-DE"/>
        </w:rPr>
      </w:pPr>
    </w:p>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52"/>
        <w:gridCol w:w="78"/>
        <w:gridCol w:w="8268"/>
      </w:tblGrid>
      <w:tr w:rsidR="00FE291A" w:rsidRPr="00723069" w14:paraId="1F3AFC03" w14:textId="77777777">
        <w:trPr>
          <w:cantSplit/>
          <w:trHeight w:val="57"/>
        </w:trPr>
        <w:tc>
          <w:tcPr>
            <w:tcW w:w="310" w:type="pct"/>
            <w:tcBorders>
              <w:bottom w:val="single" w:sz="4" w:space="0" w:color="auto"/>
            </w:tcBorders>
            <w:tcMar>
              <w:top w:w="28" w:type="dxa"/>
              <w:left w:w="57" w:type="dxa"/>
              <w:bottom w:w="28" w:type="dxa"/>
              <w:right w:w="57" w:type="dxa"/>
            </w:tcMar>
          </w:tcPr>
          <w:p w14:paraId="3BB45ACD" w14:textId="77777777" w:rsidR="00FE291A" w:rsidRDefault="00C8738F">
            <w:pPr>
              <w:keepNext/>
              <w:rPr>
                <w:sz w:val="22"/>
                <w:szCs w:val="22"/>
                <w:lang w:val="de-DE"/>
              </w:rPr>
            </w:pPr>
            <w:r>
              <w:rPr>
                <w:b/>
                <w:sz w:val="22"/>
                <w:szCs w:val="22"/>
                <w:lang w:val="de-DE"/>
              </w:rPr>
              <w:t>2a</w:t>
            </w:r>
          </w:p>
        </w:tc>
        <w:tc>
          <w:tcPr>
            <w:tcW w:w="4690" w:type="pct"/>
            <w:gridSpan w:val="2"/>
            <w:tcBorders>
              <w:bottom w:val="single" w:sz="4" w:space="0" w:color="auto"/>
            </w:tcBorders>
          </w:tcPr>
          <w:p w14:paraId="110C4836" w14:textId="77777777" w:rsidR="00FE291A" w:rsidRDefault="00C8738F">
            <w:pPr>
              <w:keepNext/>
              <w:ind w:left="567" w:hanging="567"/>
              <w:rPr>
                <w:sz w:val="22"/>
                <w:szCs w:val="22"/>
                <w:lang w:val="de-DE"/>
              </w:rPr>
            </w:pPr>
            <w:r>
              <w:rPr>
                <w:b/>
                <w:sz w:val="22"/>
                <w:szCs w:val="22"/>
                <w:lang w:val="de-DE"/>
              </w:rPr>
              <w:t xml:space="preserve">Warten Sie </w:t>
            </w:r>
            <w:ins w:id="505" w:author="Author">
              <w:r>
                <w:rPr>
                  <w:b/>
                  <w:sz w:val="22"/>
                  <w:szCs w:val="22"/>
                  <w:lang w:val="de-DE"/>
                </w:rPr>
                <w:t xml:space="preserve">15 bis </w:t>
              </w:r>
            </w:ins>
            <w:r>
              <w:rPr>
                <w:b/>
                <w:sz w:val="22"/>
                <w:szCs w:val="22"/>
                <w:lang w:val="de-DE"/>
              </w:rPr>
              <w:t>30 Minuten, bis der Fertigpen Raumtemperatur angenommen hat.</w:t>
            </w:r>
          </w:p>
        </w:tc>
      </w:tr>
      <w:tr w:rsidR="00FE291A" w14:paraId="2E7C01DD" w14:textId="77777777">
        <w:trPr>
          <w:cantSplit/>
          <w:trHeight w:val="57"/>
        </w:trPr>
        <w:tc>
          <w:tcPr>
            <w:tcW w:w="5000" w:type="pct"/>
            <w:gridSpan w:val="3"/>
            <w:tcBorders>
              <w:bottom w:val="single" w:sz="4" w:space="0" w:color="auto"/>
            </w:tcBorders>
            <w:tcMar>
              <w:top w:w="28" w:type="dxa"/>
              <w:left w:w="57" w:type="dxa"/>
              <w:bottom w:w="28" w:type="dxa"/>
              <w:right w:w="57" w:type="dxa"/>
            </w:tcMar>
          </w:tcPr>
          <w:p w14:paraId="34E2C200" w14:textId="77777777" w:rsidR="00FE291A" w:rsidRPr="00F076DE" w:rsidRDefault="00FE291A">
            <w:pPr>
              <w:jc w:val="center"/>
              <w:rPr>
                <w:b/>
                <w:bCs/>
                <w:sz w:val="36"/>
                <w:szCs w:val="36"/>
                <w:lang w:val="de-DE"/>
                <w:rPrChange w:id="506" w:author="Author">
                  <w:rPr>
                    <w:b/>
                    <w:bCs/>
                    <w:sz w:val="22"/>
                    <w:szCs w:val="22"/>
                    <w:lang w:val="de-DE"/>
                  </w:rPr>
                </w:rPrChange>
              </w:rPr>
            </w:pPr>
          </w:p>
          <w:p w14:paraId="7A395BB4" w14:textId="77777777" w:rsidR="00FE291A" w:rsidRDefault="00C8738F">
            <w:pPr>
              <w:jc w:val="center"/>
              <w:rPr>
                <w:b/>
                <w:bCs/>
                <w:sz w:val="36"/>
                <w:szCs w:val="36"/>
                <w:lang w:val="de-DE"/>
              </w:rPr>
            </w:pPr>
            <w:ins w:id="507" w:author="Author">
              <w:r>
                <w:rPr>
                  <w:b/>
                  <w:sz w:val="36"/>
                  <w:szCs w:val="36"/>
                  <w:lang w:val="de-DE"/>
                </w:rPr>
                <w:t xml:space="preserve">15 bis </w:t>
              </w:r>
            </w:ins>
            <w:r>
              <w:rPr>
                <w:b/>
                <w:sz w:val="36"/>
                <w:szCs w:val="36"/>
                <w:lang w:val="de-DE"/>
              </w:rPr>
              <w:t>30</w:t>
            </w:r>
          </w:p>
          <w:p w14:paraId="05800334" w14:textId="77777777" w:rsidR="00FE291A" w:rsidRDefault="00C8738F">
            <w:pPr>
              <w:jc w:val="center"/>
              <w:rPr>
                <w:b/>
                <w:bCs/>
                <w:sz w:val="36"/>
                <w:szCs w:val="36"/>
                <w:lang w:val="de-DE"/>
              </w:rPr>
            </w:pPr>
            <w:r>
              <w:rPr>
                <w:b/>
                <w:sz w:val="36"/>
                <w:szCs w:val="36"/>
                <w:lang w:val="de-DE"/>
              </w:rPr>
              <w:t>Minuten</w:t>
            </w:r>
          </w:p>
          <w:p w14:paraId="1B078A48" w14:textId="77777777" w:rsidR="00FE291A" w:rsidRDefault="00C8738F">
            <w:pPr>
              <w:jc w:val="center"/>
              <w:rPr>
                <w:b/>
                <w:bCs/>
                <w:sz w:val="36"/>
                <w:szCs w:val="36"/>
                <w:lang w:val="de-DE"/>
              </w:rPr>
            </w:pPr>
            <w:r>
              <w:rPr>
                <w:b/>
                <w:sz w:val="36"/>
                <w:szCs w:val="36"/>
                <w:lang w:val="de-DE"/>
              </w:rPr>
              <w:t>WARTEN</w:t>
            </w:r>
          </w:p>
          <w:p w14:paraId="0B509BF7" w14:textId="77777777" w:rsidR="00FE291A" w:rsidRDefault="00FE291A">
            <w:pPr>
              <w:jc w:val="center"/>
              <w:rPr>
                <w:b/>
                <w:bCs/>
                <w:sz w:val="22"/>
                <w:szCs w:val="22"/>
                <w:lang w:val="de-DE"/>
              </w:rPr>
            </w:pPr>
          </w:p>
        </w:tc>
      </w:tr>
      <w:tr w:rsidR="00FE291A" w:rsidRPr="002E6CD3" w14:paraId="7DD796DF" w14:textId="77777777">
        <w:trPr>
          <w:cantSplit/>
          <w:trHeight w:val="471"/>
        </w:trPr>
        <w:tc>
          <w:tcPr>
            <w:tcW w:w="354" w:type="pct"/>
            <w:gridSpan w:val="2"/>
            <w:tcBorders>
              <w:top w:val="nil"/>
              <w:bottom w:val="nil"/>
              <w:right w:val="nil"/>
            </w:tcBorders>
            <w:tcMar>
              <w:top w:w="28" w:type="dxa"/>
              <w:left w:w="57" w:type="dxa"/>
              <w:bottom w:w="28" w:type="dxa"/>
              <w:right w:w="57" w:type="dxa"/>
            </w:tcMar>
          </w:tcPr>
          <w:p w14:paraId="6660386D" w14:textId="77777777" w:rsidR="00FE291A" w:rsidRDefault="00FE291A">
            <w:pPr>
              <w:widowControl/>
              <w:numPr>
                <w:ilvl w:val="0"/>
                <w:numId w:val="65"/>
              </w:numPr>
              <w:autoSpaceDE/>
              <w:autoSpaceDN/>
              <w:adjustRightInd/>
              <w:ind w:left="567" w:hanging="567"/>
              <w:rPr>
                <w:sz w:val="22"/>
                <w:szCs w:val="22"/>
                <w:lang w:val="de-DE"/>
              </w:rPr>
            </w:pPr>
          </w:p>
        </w:tc>
        <w:tc>
          <w:tcPr>
            <w:tcW w:w="4646" w:type="pct"/>
            <w:tcBorders>
              <w:top w:val="nil"/>
              <w:left w:val="nil"/>
              <w:bottom w:val="nil"/>
            </w:tcBorders>
            <w:tcMar>
              <w:left w:w="0" w:type="dxa"/>
            </w:tcMar>
          </w:tcPr>
          <w:p w14:paraId="14618FD5" w14:textId="77777777" w:rsidR="00FE291A" w:rsidRDefault="00C8738F">
            <w:pPr>
              <w:pStyle w:val="ListBullets"/>
              <w:numPr>
                <w:ilvl w:val="0"/>
                <w:numId w:val="0"/>
              </w:numPr>
              <w:spacing w:after="0"/>
              <w:contextualSpacing w:val="0"/>
              <w:rPr>
                <w:sz w:val="22"/>
                <w:szCs w:val="22"/>
              </w:rPr>
            </w:pPr>
            <w:r>
              <w:rPr>
                <w:rFonts w:ascii="Times New Roman" w:hAnsi="Times New Roman"/>
                <w:sz w:val="22"/>
                <w:szCs w:val="22"/>
              </w:rPr>
              <w:t>Entnehmen Sie die Anzahl an Fertigpens, die Sie für die Injektion benötigen, und legen Sie alle unbenutzten Fertigpens zurück in den Kühlschrank.</w:t>
            </w:r>
          </w:p>
        </w:tc>
      </w:tr>
      <w:tr w:rsidR="00FE291A" w:rsidRPr="002E6CD3" w14:paraId="0DD30A56" w14:textId="77777777">
        <w:trPr>
          <w:cantSplit/>
          <w:trHeight w:val="57"/>
        </w:trPr>
        <w:tc>
          <w:tcPr>
            <w:tcW w:w="354" w:type="pct"/>
            <w:gridSpan w:val="2"/>
            <w:tcBorders>
              <w:top w:val="nil"/>
              <w:bottom w:val="nil"/>
              <w:right w:val="nil"/>
            </w:tcBorders>
            <w:tcMar>
              <w:top w:w="28" w:type="dxa"/>
              <w:left w:w="57" w:type="dxa"/>
              <w:bottom w:w="28" w:type="dxa"/>
              <w:right w:w="57" w:type="dxa"/>
            </w:tcMar>
          </w:tcPr>
          <w:p w14:paraId="52C3E791" w14:textId="77777777" w:rsidR="00FE291A" w:rsidRDefault="00FE291A">
            <w:pPr>
              <w:widowControl/>
              <w:numPr>
                <w:ilvl w:val="0"/>
                <w:numId w:val="65"/>
              </w:numPr>
              <w:autoSpaceDE/>
              <w:autoSpaceDN/>
              <w:adjustRightInd/>
              <w:ind w:left="567" w:hanging="567"/>
              <w:rPr>
                <w:sz w:val="22"/>
                <w:szCs w:val="22"/>
                <w:lang w:val="de-DE"/>
              </w:rPr>
            </w:pPr>
          </w:p>
        </w:tc>
        <w:tc>
          <w:tcPr>
            <w:tcW w:w="4646" w:type="pct"/>
            <w:tcBorders>
              <w:top w:val="nil"/>
              <w:left w:val="nil"/>
              <w:bottom w:val="nil"/>
            </w:tcBorders>
            <w:tcMar>
              <w:left w:w="0" w:type="dxa"/>
            </w:tcMar>
          </w:tcPr>
          <w:p w14:paraId="40977793" w14:textId="77777777" w:rsidR="00FE291A" w:rsidRDefault="00C8738F">
            <w:pPr>
              <w:rPr>
                <w:b/>
                <w:bCs/>
                <w:sz w:val="22"/>
                <w:szCs w:val="22"/>
                <w:lang w:val="de-DE"/>
              </w:rPr>
            </w:pPr>
            <w:r>
              <w:rPr>
                <w:sz w:val="22"/>
                <w:szCs w:val="22"/>
                <w:lang w:val="de-DE"/>
              </w:rPr>
              <w:t xml:space="preserve">Lassen Sie den </w:t>
            </w:r>
            <w:r>
              <w:rPr>
                <w:color w:val="000000"/>
                <w:sz w:val="22"/>
                <w:szCs w:val="22"/>
                <w:lang w:val="de-DE"/>
              </w:rPr>
              <w:t>Fertigpen von alleine warm werden</w:t>
            </w:r>
            <w:r>
              <w:rPr>
                <w:sz w:val="22"/>
                <w:szCs w:val="22"/>
                <w:lang w:val="de-DE"/>
              </w:rPr>
              <w:t>.</w:t>
            </w:r>
          </w:p>
        </w:tc>
      </w:tr>
      <w:tr w:rsidR="00FE291A" w:rsidRPr="00723069" w14:paraId="24385880" w14:textId="77777777">
        <w:trPr>
          <w:cantSplit/>
          <w:trHeight w:val="57"/>
        </w:trPr>
        <w:tc>
          <w:tcPr>
            <w:tcW w:w="354" w:type="pct"/>
            <w:gridSpan w:val="2"/>
            <w:tcBorders>
              <w:top w:val="nil"/>
              <w:bottom w:val="nil"/>
              <w:right w:val="nil"/>
            </w:tcBorders>
            <w:tcMar>
              <w:top w:w="28" w:type="dxa"/>
              <w:left w:w="57" w:type="dxa"/>
              <w:bottom w:w="28" w:type="dxa"/>
              <w:right w:w="57" w:type="dxa"/>
            </w:tcMar>
          </w:tcPr>
          <w:p w14:paraId="7440471A" w14:textId="77777777" w:rsidR="00FE291A" w:rsidRDefault="00FE291A">
            <w:pPr>
              <w:widowControl/>
              <w:numPr>
                <w:ilvl w:val="0"/>
                <w:numId w:val="65"/>
              </w:numPr>
              <w:autoSpaceDE/>
              <w:autoSpaceDN/>
              <w:adjustRightInd/>
              <w:ind w:left="567" w:hanging="567"/>
              <w:rPr>
                <w:sz w:val="22"/>
                <w:szCs w:val="22"/>
                <w:lang w:val="de-DE"/>
              </w:rPr>
            </w:pPr>
          </w:p>
        </w:tc>
        <w:tc>
          <w:tcPr>
            <w:tcW w:w="4646" w:type="pct"/>
            <w:tcBorders>
              <w:top w:val="nil"/>
              <w:left w:val="nil"/>
              <w:bottom w:val="nil"/>
            </w:tcBorders>
            <w:tcMar>
              <w:left w:w="0" w:type="dxa"/>
            </w:tcMar>
          </w:tcPr>
          <w:p w14:paraId="60F4A3AF" w14:textId="77777777" w:rsidR="00FE291A" w:rsidRDefault="00C8738F">
            <w:pPr>
              <w:rPr>
                <w:sz w:val="22"/>
                <w:szCs w:val="22"/>
                <w:lang w:val="de-DE"/>
              </w:rPr>
            </w:pPr>
            <w:ins w:id="508" w:author="Author">
              <w:r w:rsidRPr="00F076DE">
                <w:rPr>
                  <w:bCs/>
                  <w:sz w:val="22"/>
                  <w:szCs w:val="22"/>
                  <w:lang w:val="de-DE"/>
                  <w:rPrChange w:id="509" w:author="Author">
                    <w:rPr>
                      <w:b/>
                      <w:sz w:val="22"/>
                      <w:szCs w:val="22"/>
                      <w:lang w:val="de-DE"/>
                    </w:rPr>
                  </w:rPrChange>
                </w:rPr>
                <w:t>Den Fertipen</w:t>
              </w:r>
              <w:r>
                <w:rPr>
                  <w:b/>
                  <w:sz w:val="22"/>
                  <w:szCs w:val="22"/>
                  <w:lang w:val="de-DE"/>
                </w:rPr>
                <w:t xml:space="preserve"> </w:t>
              </w:r>
            </w:ins>
            <w:del w:id="510" w:author="Author">
              <w:r>
                <w:rPr>
                  <w:b/>
                  <w:sz w:val="22"/>
                  <w:szCs w:val="22"/>
                  <w:lang w:val="de-DE"/>
                </w:rPr>
                <w:delText>Nicht</w:delText>
              </w:r>
              <w:r>
                <w:rPr>
                  <w:sz w:val="22"/>
                  <w:szCs w:val="22"/>
                  <w:lang w:val="de-DE"/>
                </w:rPr>
                <w:delText xml:space="preserve"> </w:delText>
              </w:r>
            </w:del>
            <w:ins w:id="511" w:author="Author">
              <w:r>
                <w:rPr>
                  <w:b/>
                  <w:sz w:val="22"/>
                  <w:szCs w:val="22"/>
                  <w:lang w:val="de-DE"/>
                </w:rPr>
                <w:t>nicht</w:t>
              </w:r>
              <w:r>
                <w:rPr>
                  <w:sz w:val="22"/>
                  <w:szCs w:val="22"/>
                  <w:lang w:val="de-DE"/>
                </w:rPr>
                <w:t xml:space="preserve"> </w:t>
              </w:r>
            </w:ins>
            <w:r>
              <w:rPr>
                <w:sz w:val="22"/>
                <w:szCs w:val="22"/>
                <w:lang w:val="de-DE"/>
              </w:rPr>
              <w:t>mit heißem Wasser, in der Mikrowelle oder durch direktes Sonnenlicht erwärmen.</w:t>
            </w:r>
          </w:p>
        </w:tc>
      </w:tr>
      <w:tr w:rsidR="00FE291A" w14:paraId="3ED265CA" w14:textId="77777777">
        <w:trPr>
          <w:cantSplit/>
          <w:trHeight w:val="57"/>
        </w:trPr>
        <w:tc>
          <w:tcPr>
            <w:tcW w:w="354" w:type="pct"/>
            <w:gridSpan w:val="2"/>
            <w:tcBorders>
              <w:top w:val="nil"/>
              <w:bottom w:val="nil"/>
              <w:right w:val="nil"/>
            </w:tcBorders>
            <w:tcMar>
              <w:top w:w="28" w:type="dxa"/>
              <w:left w:w="57" w:type="dxa"/>
              <w:bottom w:w="28" w:type="dxa"/>
              <w:right w:w="57" w:type="dxa"/>
            </w:tcMar>
          </w:tcPr>
          <w:p w14:paraId="20A7FDDE" w14:textId="77777777" w:rsidR="00FE291A" w:rsidRDefault="00FE291A">
            <w:pPr>
              <w:widowControl/>
              <w:numPr>
                <w:ilvl w:val="0"/>
                <w:numId w:val="65"/>
              </w:numPr>
              <w:autoSpaceDE/>
              <w:autoSpaceDN/>
              <w:adjustRightInd/>
              <w:ind w:left="567" w:hanging="567"/>
              <w:rPr>
                <w:sz w:val="22"/>
                <w:szCs w:val="22"/>
                <w:lang w:val="de-DE"/>
              </w:rPr>
            </w:pPr>
          </w:p>
        </w:tc>
        <w:tc>
          <w:tcPr>
            <w:tcW w:w="4646" w:type="pct"/>
            <w:tcBorders>
              <w:top w:val="nil"/>
              <w:left w:val="nil"/>
              <w:bottom w:val="nil"/>
            </w:tcBorders>
            <w:tcMar>
              <w:left w:w="0" w:type="dxa"/>
            </w:tcMar>
          </w:tcPr>
          <w:p w14:paraId="67C2FF8B" w14:textId="77777777" w:rsidR="00FE291A" w:rsidRDefault="00C8738F">
            <w:pPr>
              <w:rPr>
                <w:sz w:val="22"/>
                <w:szCs w:val="22"/>
                <w:lang w:val="de-DE"/>
              </w:rPr>
            </w:pPr>
            <w:r>
              <w:rPr>
                <w:sz w:val="22"/>
                <w:szCs w:val="22"/>
                <w:lang w:val="de-DE"/>
              </w:rPr>
              <w:t xml:space="preserve">Den Fertigpen </w:t>
            </w:r>
            <w:r>
              <w:rPr>
                <w:b/>
                <w:sz w:val="22"/>
                <w:szCs w:val="22"/>
                <w:lang w:val="de-DE"/>
              </w:rPr>
              <w:t>niemals</w:t>
            </w:r>
            <w:r>
              <w:rPr>
                <w:sz w:val="22"/>
                <w:szCs w:val="22"/>
                <w:lang w:val="de-DE"/>
              </w:rPr>
              <w:t xml:space="preserve"> schütteln.</w:t>
            </w:r>
          </w:p>
        </w:tc>
      </w:tr>
      <w:tr w:rsidR="00FE291A" w:rsidRPr="00723069" w14:paraId="761789A2" w14:textId="77777777">
        <w:trPr>
          <w:cantSplit/>
          <w:trHeight w:val="57"/>
        </w:trPr>
        <w:tc>
          <w:tcPr>
            <w:tcW w:w="354" w:type="pct"/>
            <w:gridSpan w:val="2"/>
            <w:tcBorders>
              <w:top w:val="nil"/>
              <w:bottom w:val="nil"/>
              <w:right w:val="nil"/>
            </w:tcBorders>
            <w:tcMar>
              <w:top w:w="28" w:type="dxa"/>
              <w:left w:w="57" w:type="dxa"/>
              <w:bottom w:w="28" w:type="dxa"/>
              <w:right w:w="57" w:type="dxa"/>
            </w:tcMar>
          </w:tcPr>
          <w:p w14:paraId="2897DE9C" w14:textId="77777777" w:rsidR="00FE291A" w:rsidRDefault="00FE291A">
            <w:pPr>
              <w:widowControl/>
              <w:numPr>
                <w:ilvl w:val="0"/>
                <w:numId w:val="65"/>
              </w:numPr>
              <w:autoSpaceDE/>
              <w:autoSpaceDN/>
              <w:adjustRightInd/>
              <w:ind w:left="567" w:hanging="567"/>
              <w:rPr>
                <w:sz w:val="22"/>
                <w:szCs w:val="22"/>
                <w:lang w:val="de-DE"/>
              </w:rPr>
            </w:pPr>
          </w:p>
        </w:tc>
        <w:tc>
          <w:tcPr>
            <w:tcW w:w="4646" w:type="pct"/>
            <w:tcBorders>
              <w:top w:val="nil"/>
              <w:left w:val="nil"/>
              <w:bottom w:val="nil"/>
            </w:tcBorders>
            <w:tcMar>
              <w:left w:w="0" w:type="dxa"/>
            </w:tcMar>
          </w:tcPr>
          <w:p w14:paraId="6543D38C" w14:textId="77777777" w:rsidR="00FE291A" w:rsidRDefault="00C8738F">
            <w:pPr>
              <w:rPr>
                <w:b/>
                <w:bCs/>
                <w:sz w:val="22"/>
                <w:szCs w:val="22"/>
                <w:lang w:val="de-DE"/>
              </w:rPr>
            </w:pPr>
            <w:r>
              <w:rPr>
                <w:sz w:val="22"/>
                <w:szCs w:val="22"/>
                <w:lang w:val="de-DE"/>
              </w:rPr>
              <w:t xml:space="preserve">Legen Sie den Fertigpen </w:t>
            </w:r>
            <w:r>
              <w:rPr>
                <w:b/>
                <w:sz w:val="22"/>
                <w:szCs w:val="22"/>
                <w:lang w:val="de-DE"/>
              </w:rPr>
              <w:t>nicht</w:t>
            </w:r>
            <w:r>
              <w:rPr>
                <w:sz w:val="22"/>
                <w:szCs w:val="22"/>
                <w:lang w:val="de-DE"/>
              </w:rPr>
              <w:t xml:space="preserve"> zurück in den Kühlschrank, nachdem er Raumtemperatur erreicht hat.</w:t>
            </w:r>
          </w:p>
        </w:tc>
      </w:tr>
      <w:tr w:rsidR="00FE291A" w:rsidRPr="002E6CD3" w14:paraId="6501D91A" w14:textId="77777777">
        <w:trPr>
          <w:cantSplit/>
          <w:trHeight w:val="57"/>
        </w:trPr>
        <w:tc>
          <w:tcPr>
            <w:tcW w:w="354" w:type="pct"/>
            <w:gridSpan w:val="2"/>
            <w:tcBorders>
              <w:top w:val="nil"/>
              <w:bottom w:val="single" w:sz="4" w:space="0" w:color="auto"/>
              <w:right w:val="nil"/>
            </w:tcBorders>
            <w:tcMar>
              <w:top w:w="28" w:type="dxa"/>
              <w:left w:w="57" w:type="dxa"/>
              <w:bottom w:w="28" w:type="dxa"/>
              <w:right w:w="57" w:type="dxa"/>
            </w:tcMar>
          </w:tcPr>
          <w:p w14:paraId="0007FBA6" w14:textId="77777777" w:rsidR="00FE291A" w:rsidRDefault="00FE291A">
            <w:pPr>
              <w:widowControl/>
              <w:numPr>
                <w:ilvl w:val="0"/>
                <w:numId w:val="65"/>
              </w:numPr>
              <w:autoSpaceDE/>
              <w:autoSpaceDN/>
              <w:adjustRightInd/>
              <w:ind w:left="567" w:hanging="567"/>
              <w:rPr>
                <w:sz w:val="22"/>
                <w:szCs w:val="22"/>
                <w:lang w:val="de-DE"/>
              </w:rPr>
            </w:pPr>
          </w:p>
        </w:tc>
        <w:tc>
          <w:tcPr>
            <w:tcW w:w="4646" w:type="pct"/>
            <w:tcBorders>
              <w:top w:val="nil"/>
              <w:left w:val="nil"/>
              <w:bottom w:val="single" w:sz="4" w:space="0" w:color="auto"/>
            </w:tcBorders>
            <w:tcMar>
              <w:left w:w="0" w:type="dxa"/>
            </w:tcMar>
          </w:tcPr>
          <w:p w14:paraId="4D4DC314" w14:textId="1C544D34" w:rsidR="00FE291A" w:rsidRDefault="00C8738F">
            <w:pPr>
              <w:pStyle w:val="ListParagraph"/>
              <w:rPr>
                <w:b/>
                <w:bCs/>
                <w:sz w:val="22"/>
                <w:szCs w:val="22"/>
                <w:lang w:val="de-DE"/>
              </w:rPr>
            </w:pPr>
            <w:del w:id="512" w:author="Author">
              <w:r>
                <w:rPr>
                  <w:lang w:val="de-DE"/>
                </w:rPr>
                <w:delText xml:space="preserve"> </w:delText>
              </w:r>
            </w:del>
            <w:r>
              <w:rPr>
                <w:sz w:val="22"/>
                <w:szCs w:val="22"/>
                <w:lang w:val="de-DE"/>
              </w:rPr>
              <w:t xml:space="preserve">Die Anwendung des Fertigpens bei Raumtemperatur </w:t>
            </w:r>
            <w:ins w:id="513" w:author="Author">
              <w:r>
                <w:rPr>
                  <w:sz w:val="22"/>
                  <w:szCs w:val="22"/>
                  <w:lang w:val="de-DE"/>
                </w:rPr>
                <w:t xml:space="preserve">gewährleistet, dass die vollständige Dosis </w:t>
              </w:r>
              <w:del w:id="514" w:author="Author">
                <w:r w:rsidDel="00CF4CF5">
                  <w:rPr>
                    <w:sz w:val="22"/>
                    <w:szCs w:val="22"/>
                    <w:lang w:val="de-DE"/>
                  </w:rPr>
                  <w:delText>verabreicht</w:delText>
                </w:r>
              </w:del>
              <w:r w:rsidR="00CF4CF5">
                <w:rPr>
                  <w:sz w:val="22"/>
                  <w:szCs w:val="22"/>
                  <w:lang w:val="de-DE"/>
                </w:rPr>
                <w:t>angewendet</w:t>
              </w:r>
              <w:r>
                <w:rPr>
                  <w:sz w:val="22"/>
                  <w:szCs w:val="22"/>
                  <w:lang w:val="de-DE"/>
                </w:rPr>
                <w:t xml:space="preserve"> wird, und </w:t>
              </w:r>
            </w:ins>
            <w:r>
              <w:rPr>
                <w:sz w:val="22"/>
                <w:szCs w:val="22"/>
                <w:lang w:val="de-DE"/>
              </w:rPr>
              <w:t>ermöglicht eine angenehmere Injektion.</w:t>
            </w:r>
            <w:r>
              <w:rPr>
                <w:b/>
                <w:sz w:val="22"/>
                <w:szCs w:val="22"/>
                <w:lang w:val="de-DE"/>
              </w:rPr>
              <w:t xml:space="preserve"> </w:t>
            </w:r>
          </w:p>
          <w:p w14:paraId="3B41C3D0" w14:textId="77777777" w:rsidR="00FE291A" w:rsidRDefault="00FE291A">
            <w:pPr>
              <w:rPr>
                <w:sz w:val="22"/>
                <w:szCs w:val="22"/>
                <w:lang w:val="de-DE"/>
              </w:rPr>
            </w:pPr>
          </w:p>
        </w:tc>
      </w:tr>
    </w:tbl>
    <w:p w14:paraId="12F2B2C9" w14:textId="77777777" w:rsidR="00FE291A" w:rsidRDefault="00FE291A">
      <w:pPr>
        <w:rPr>
          <w:b/>
          <w:bCs/>
          <w:sz w:val="22"/>
          <w:szCs w:val="22"/>
          <w:lang w:val="de-DE"/>
        </w:rPr>
      </w:pPr>
    </w:p>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31"/>
        <w:gridCol w:w="3944"/>
        <w:gridCol w:w="4323"/>
      </w:tblGrid>
      <w:tr w:rsidR="00FE291A" w:rsidRPr="002E6CD3" w14:paraId="1B41AB8E" w14:textId="77777777">
        <w:trPr>
          <w:cantSplit/>
          <w:trHeight w:val="382"/>
        </w:trPr>
        <w:tc>
          <w:tcPr>
            <w:tcW w:w="355" w:type="pct"/>
            <w:tcBorders>
              <w:bottom w:val="nil"/>
            </w:tcBorders>
            <w:tcMar>
              <w:top w:w="28" w:type="dxa"/>
              <w:left w:w="57" w:type="dxa"/>
              <w:bottom w:w="28" w:type="dxa"/>
              <w:right w:w="57" w:type="dxa"/>
            </w:tcMar>
          </w:tcPr>
          <w:p w14:paraId="03C1718F" w14:textId="77777777" w:rsidR="00FE291A" w:rsidRDefault="00C8738F">
            <w:pPr>
              <w:keepNext/>
              <w:rPr>
                <w:sz w:val="22"/>
                <w:szCs w:val="22"/>
                <w:lang w:val="de-DE"/>
              </w:rPr>
            </w:pPr>
            <w:r>
              <w:rPr>
                <w:b/>
                <w:sz w:val="22"/>
                <w:szCs w:val="22"/>
                <w:lang w:val="de-DE"/>
              </w:rPr>
              <w:t>2b</w:t>
            </w:r>
          </w:p>
        </w:tc>
        <w:tc>
          <w:tcPr>
            <w:tcW w:w="4645" w:type="pct"/>
            <w:gridSpan w:val="2"/>
            <w:tcBorders>
              <w:bottom w:val="nil"/>
            </w:tcBorders>
          </w:tcPr>
          <w:p w14:paraId="2F2E38B1" w14:textId="77777777" w:rsidR="00FE291A" w:rsidRDefault="00C8738F">
            <w:pPr>
              <w:keepNext/>
              <w:rPr>
                <w:sz w:val="22"/>
                <w:szCs w:val="22"/>
                <w:lang w:val="de-DE"/>
              </w:rPr>
            </w:pPr>
            <w:r>
              <w:rPr>
                <w:b/>
                <w:sz w:val="22"/>
                <w:szCs w:val="22"/>
                <w:lang w:val="de-DE"/>
              </w:rPr>
              <w:t>Überprüfen Sie das Arzneimittel. Es sollte klar und farblos bis leicht gelblich sein.</w:t>
            </w:r>
          </w:p>
        </w:tc>
      </w:tr>
      <w:tr w:rsidR="00FE291A" w14:paraId="7AA8ECE9" w14:textId="77777777">
        <w:trPr>
          <w:cantSplit/>
          <w:trHeight w:val="2460"/>
        </w:trPr>
        <w:tc>
          <w:tcPr>
            <w:tcW w:w="355" w:type="pct"/>
            <w:tcBorders>
              <w:bottom w:val="nil"/>
              <w:right w:val="nil"/>
            </w:tcBorders>
            <w:tcMar>
              <w:top w:w="28" w:type="dxa"/>
              <w:left w:w="57" w:type="dxa"/>
              <w:bottom w:w="28" w:type="dxa"/>
              <w:right w:w="57" w:type="dxa"/>
            </w:tcMar>
          </w:tcPr>
          <w:p w14:paraId="415F247A" w14:textId="77777777" w:rsidR="00FE291A" w:rsidRDefault="00FE291A">
            <w:pPr>
              <w:keepNext/>
              <w:rPr>
                <w:b/>
                <w:bCs/>
                <w:sz w:val="22"/>
                <w:szCs w:val="22"/>
                <w:lang w:val="de-DE"/>
              </w:rPr>
            </w:pPr>
          </w:p>
        </w:tc>
        <w:tc>
          <w:tcPr>
            <w:tcW w:w="2216" w:type="pct"/>
            <w:tcBorders>
              <w:top w:val="single" w:sz="4" w:space="0" w:color="auto"/>
              <w:left w:val="nil"/>
              <w:bottom w:val="nil"/>
              <w:right w:val="nil"/>
            </w:tcBorders>
            <w:tcMar>
              <w:top w:w="28" w:type="dxa"/>
              <w:left w:w="57" w:type="dxa"/>
              <w:bottom w:w="28" w:type="dxa"/>
              <w:right w:w="57" w:type="dxa"/>
            </w:tcMar>
          </w:tcPr>
          <w:p w14:paraId="7A073781" w14:textId="649FA56F" w:rsidR="00FE291A" w:rsidRDefault="009C5B62">
            <w:pPr>
              <w:pStyle w:val="ListParagraph"/>
              <w:rPr>
                <w:b/>
                <w:bCs/>
                <w:sz w:val="22"/>
                <w:szCs w:val="22"/>
                <w:lang w:val="de-DE"/>
              </w:rPr>
            </w:pPr>
            <w:r>
              <w:rPr>
                <w:b/>
                <w:noProof/>
                <w:sz w:val="22"/>
                <w:szCs w:val="22"/>
                <w:lang w:val="de-DE"/>
              </w:rPr>
              <w:drawing>
                <wp:inline distT="0" distB="0" distL="0" distR="0" wp14:anchorId="15F6EA79" wp14:editId="46812CC7">
                  <wp:extent cx="2588895" cy="1445895"/>
                  <wp:effectExtent l="0" t="0" r="0" b="0"/>
                  <wp:docPr id="66" name="Bild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88895" cy="1445895"/>
                          </a:xfrm>
                          <a:prstGeom prst="rect">
                            <a:avLst/>
                          </a:prstGeom>
                          <a:noFill/>
                          <a:ln>
                            <a:noFill/>
                          </a:ln>
                        </pic:spPr>
                      </pic:pic>
                    </a:graphicData>
                  </a:graphic>
                </wp:inline>
              </w:drawing>
            </w:r>
          </w:p>
        </w:tc>
        <w:tc>
          <w:tcPr>
            <w:tcW w:w="2429" w:type="pct"/>
            <w:tcBorders>
              <w:top w:val="single" w:sz="4" w:space="0" w:color="auto"/>
              <w:left w:val="nil"/>
              <w:bottom w:val="nil"/>
              <w:right w:val="single" w:sz="4" w:space="0" w:color="auto"/>
            </w:tcBorders>
          </w:tcPr>
          <w:p w14:paraId="01E9523E" w14:textId="77777777" w:rsidR="00FE291A" w:rsidRDefault="00FE291A">
            <w:pPr>
              <w:pStyle w:val="ListParagraph"/>
              <w:ind w:left="567" w:hanging="567"/>
              <w:rPr>
                <w:b/>
                <w:bCs/>
                <w:sz w:val="22"/>
                <w:szCs w:val="22"/>
                <w:lang w:val="de-DE"/>
              </w:rPr>
            </w:pPr>
          </w:p>
          <w:p w14:paraId="6F04CA18" w14:textId="77777777" w:rsidR="00FE291A" w:rsidRDefault="00FE291A">
            <w:pPr>
              <w:pStyle w:val="ListParagraph"/>
              <w:ind w:left="567" w:hanging="567"/>
              <w:rPr>
                <w:b/>
                <w:bCs/>
                <w:sz w:val="22"/>
                <w:szCs w:val="22"/>
                <w:lang w:val="de-DE"/>
              </w:rPr>
            </w:pPr>
          </w:p>
          <w:p w14:paraId="25C9F60E" w14:textId="77777777" w:rsidR="00FE291A" w:rsidRDefault="00FE291A">
            <w:pPr>
              <w:pStyle w:val="ListParagraph"/>
              <w:ind w:left="567" w:hanging="567"/>
              <w:rPr>
                <w:b/>
                <w:bCs/>
                <w:sz w:val="22"/>
                <w:szCs w:val="22"/>
                <w:lang w:val="de-DE"/>
              </w:rPr>
            </w:pPr>
          </w:p>
          <w:p w14:paraId="4FF140E4" w14:textId="77777777" w:rsidR="00FE291A" w:rsidRDefault="00FE291A">
            <w:pPr>
              <w:pStyle w:val="ListParagraph"/>
              <w:ind w:left="567" w:hanging="567"/>
              <w:rPr>
                <w:b/>
                <w:bCs/>
                <w:sz w:val="22"/>
                <w:szCs w:val="22"/>
                <w:lang w:val="de-DE"/>
              </w:rPr>
            </w:pPr>
          </w:p>
          <w:p w14:paraId="75534171" w14:textId="77777777" w:rsidR="00FE291A" w:rsidRDefault="00FE291A">
            <w:pPr>
              <w:pStyle w:val="ListParagraph"/>
              <w:ind w:left="567" w:hanging="567"/>
              <w:rPr>
                <w:sz w:val="22"/>
                <w:szCs w:val="22"/>
                <w:lang w:val="de-DE"/>
              </w:rPr>
            </w:pPr>
          </w:p>
          <w:p w14:paraId="16028B5B" w14:textId="77777777" w:rsidR="00FE291A" w:rsidRDefault="00C8738F">
            <w:pPr>
              <w:pStyle w:val="ListParagraph"/>
              <w:ind w:left="567" w:hanging="567"/>
              <w:rPr>
                <w:sz w:val="22"/>
                <w:szCs w:val="22"/>
                <w:lang w:val="de-DE"/>
              </w:rPr>
            </w:pPr>
            <w:r>
              <w:rPr>
                <w:sz w:val="22"/>
                <w:szCs w:val="22"/>
                <w:lang w:val="de-DE"/>
              </w:rPr>
              <w:t>Arzneimittel</w:t>
            </w:r>
          </w:p>
        </w:tc>
      </w:tr>
      <w:tr w:rsidR="00FE291A" w:rsidRPr="002E6CD3" w14:paraId="133EEE49" w14:textId="77777777">
        <w:trPr>
          <w:cantSplit/>
          <w:trHeight w:val="57"/>
        </w:trPr>
        <w:tc>
          <w:tcPr>
            <w:tcW w:w="355" w:type="pct"/>
            <w:tcBorders>
              <w:top w:val="nil"/>
              <w:bottom w:val="nil"/>
              <w:right w:val="nil"/>
            </w:tcBorders>
            <w:tcMar>
              <w:top w:w="28" w:type="dxa"/>
              <w:left w:w="57" w:type="dxa"/>
              <w:bottom w:w="28" w:type="dxa"/>
              <w:right w:w="57" w:type="dxa"/>
            </w:tcMar>
          </w:tcPr>
          <w:p w14:paraId="3D959218" w14:textId="77777777" w:rsidR="00FE291A" w:rsidRDefault="00FE291A">
            <w:pPr>
              <w:widowControl/>
              <w:numPr>
                <w:ilvl w:val="0"/>
                <w:numId w:val="65"/>
              </w:numPr>
              <w:autoSpaceDE/>
              <w:autoSpaceDN/>
              <w:adjustRightInd/>
              <w:ind w:left="567" w:hanging="567"/>
              <w:rPr>
                <w:sz w:val="22"/>
                <w:szCs w:val="22"/>
                <w:lang w:val="de-DE"/>
              </w:rPr>
            </w:pPr>
          </w:p>
        </w:tc>
        <w:tc>
          <w:tcPr>
            <w:tcW w:w="4645" w:type="pct"/>
            <w:gridSpan w:val="2"/>
            <w:tcBorders>
              <w:top w:val="nil"/>
              <w:left w:val="nil"/>
              <w:bottom w:val="nil"/>
            </w:tcBorders>
            <w:tcMar>
              <w:left w:w="0" w:type="dxa"/>
            </w:tcMar>
          </w:tcPr>
          <w:p w14:paraId="2E12687A" w14:textId="77777777" w:rsidR="00FE291A" w:rsidRDefault="00C8738F">
            <w:pPr>
              <w:pStyle w:val="ListBullets"/>
              <w:numPr>
                <w:ilvl w:val="0"/>
                <w:numId w:val="0"/>
              </w:numPr>
              <w:spacing w:after="0"/>
              <w:rPr>
                <w:b/>
                <w:bCs/>
                <w:sz w:val="22"/>
                <w:szCs w:val="22"/>
              </w:rPr>
            </w:pPr>
            <w:r>
              <w:rPr>
                <w:rFonts w:ascii="Times New Roman" w:hAnsi="Times New Roman"/>
                <w:sz w:val="22"/>
                <w:szCs w:val="22"/>
              </w:rPr>
              <w:t xml:space="preserve">Es ist in Ordnung, wenn Luftblasen </w:t>
            </w:r>
            <w:ins w:id="515" w:author="Author">
              <w:r>
                <w:rPr>
                  <w:rFonts w:ascii="Times New Roman" w:hAnsi="Times New Roman"/>
                  <w:sz w:val="22"/>
                  <w:szCs w:val="22"/>
                </w:rPr>
                <w:t xml:space="preserve">im Fertigpen </w:t>
              </w:r>
            </w:ins>
            <w:r>
              <w:rPr>
                <w:rFonts w:ascii="Times New Roman" w:hAnsi="Times New Roman"/>
                <w:sz w:val="22"/>
                <w:szCs w:val="22"/>
              </w:rPr>
              <w:t>zu sehen sind.</w:t>
            </w:r>
          </w:p>
        </w:tc>
      </w:tr>
      <w:tr w:rsidR="00FE291A" w:rsidRPr="002E6CD3" w14:paraId="7E88118D" w14:textId="77777777">
        <w:trPr>
          <w:cantSplit/>
          <w:trHeight w:val="57"/>
        </w:trPr>
        <w:tc>
          <w:tcPr>
            <w:tcW w:w="355" w:type="pct"/>
            <w:tcBorders>
              <w:top w:val="nil"/>
              <w:bottom w:val="nil"/>
              <w:right w:val="nil"/>
            </w:tcBorders>
            <w:tcMar>
              <w:top w:w="28" w:type="dxa"/>
              <w:left w:w="57" w:type="dxa"/>
              <w:bottom w:w="28" w:type="dxa"/>
              <w:right w:w="57" w:type="dxa"/>
            </w:tcMar>
          </w:tcPr>
          <w:p w14:paraId="70481173" w14:textId="77777777" w:rsidR="00FE291A" w:rsidRDefault="00FE291A">
            <w:pPr>
              <w:widowControl/>
              <w:numPr>
                <w:ilvl w:val="0"/>
                <w:numId w:val="65"/>
              </w:numPr>
              <w:autoSpaceDE/>
              <w:autoSpaceDN/>
              <w:adjustRightInd/>
              <w:ind w:left="567" w:hanging="567"/>
              <w:rPr>
                <w:sz w:val="22"/>
                <w:szCs w:val="22"/>
                <w:lang w:val="de-DE"/>
              </w:rPr>
            </w:pPr>
          </w:p>
        </w:tc>
        <w:tc>
          <w:tcPr>
            <w:tcW w:w="4645" w:type="pct"/>
            <w:gridSpan w:val="2"/>
            <w:tcBorders>
              <w:top w:val="nil"/>
              <w:left w:val="nil"/>
              <w:bottom w:val="nil"/>
            </w:tcBorders>
            <w:tcMar>
              <w:left w:w="0" w:type="dxa"/>
            </w:tcMar>
          </w:tcPr>
          <w:p w14:paraId="17D26C0E" w14:textId="77777777" w:rsidR="00FE291A" w:rsidRDefault="00C8738F">
            <w:pPr>
              <w:rPr>
                <w:sz w:val="22"/>
                <w:szCs w:val="22"/>
                <w:lang w:val="de-DE"/>
              </w:rPr>
            </w:pPr>
            <w:r>
              <w:rPr>
                <w:sz w:val="22"/>
                <w:szCs w:val="22"/>
                <w:lang w:val="de-DE"/>
              </w:rPr>
              <w:t xml:space="preserve">Wenden Sie das Arzneimittel </w:t>
            </w:r>
            <w:r>
              <w:rPr>
                <w:b/>
                <w:sz w:val="22"/>
                <w:szCs w:val="22"/>
                <w:lang w:val="de-DE"/>
              </w:rPr>
              <w:t>nicht</w:t>
            </w:r>
            <w:r>
              <w:rPr>
                <w:sz w:val="22"/>
                <w:szCs w:val="22"/>
                <w:lang w:val="de-DE"/>
              </w:rPr>
              <w:t xml:space="preserve"> an, wenn es trübe oder verfärbt ist oder Flocken</w:t>
            </w:r>
            <w:ins w:id="516" w:author="Author">
              <w:r>
                <w:rPr>
                  <w:sz w:val="22"/>
                  <w:szCs w:val="22"/>
                  <w:lang w:val="de-DE"/>
                </w:rPr>
                <w:t xml:space="preserve"> oder Partikel</w:t>
              </w:r>
            </w:ins>
            <w:r>
              <w:rPr>
                <w:sz w:val="22"/>
                <w:szCs w:val="22"/>
                <w:lang w:val="de-DE"/>
              </w:rPr>
              <w:t xml:space="preserve"> enthält.</w:t>
            </w:r>
          </w:p>
        </w:tc>
      </w:tr>
      <w:tr w:rsidR="00FE291A" w14:paraId="016738F8" w14:textId="77777777" w:rsidTr="00425AE3">
        <w:trPr>
          <w:cantSplit/>
          <w:trHeight w:val="1305"/>
          <w:ins w:id="517" w:author="Author"/>
        </w:trPr>
        <w:tc>
          <w:tcPr>
            <w:tcW w:w="5000" w:type="pct"/>
            <w:gridSpan w:val="3"/>
            <w:tcBorders>
              <w:top w:val="nil"/>
              <w:bottom w:val="single" w:sz="4" w:space="0" w:color="auto"/>
            </w:tcBorders>
            <w:tcMar>
              <w:top w:w="28" w:type="dxa"/>
              <w:left w:w="57" w:type="dxa"/>
              <w:bottom w:w="28" w:type="dxa"/>
              <w:right w:w="57" w:type="dxa"/>
            </w:tcMar>
          </w:tcPr>
          <w:p w14:paraId="45163E77" w14:textId="60A69DA2" w:rsidR="00FE291A" w:rsidRDefault="009C5B62">
            <w:pPr>
              <w:rPr>
                <w:ins w:id="518" w:author="Author"/>
                <w:sz w:val="22"/>
                <w:szCs w:val="22"/>
                <w:lang w:val="de-DE"/>
              </w:rPr>
            </w:pPr>
            <w:r>
              <w:rPr>
                <w:noProof/>
              </w:rPr>
              <mc:AlternateContent>
                <mc:Choice Requires="wps">
                  <w:drawing>
                    <wp:inline distT="0" distB="0" distL="0" distR="0" wp14:anchorId="39717167" wp14:editId="06A770FF">
                      <wp:extent cx="5602605" cy="592455"/>
                      <wp:effectExtent l="9525" t="9525" r="17145" b="17145"/>
                      <wp:docPr id="226316157"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2605" cy="592455"/>
                              </a:xfrm>
                              <a:prstGeom prst="rect">
                                <a:avLst/>
                              </a:prstGeom>
                              <a:solidFill>
                                <a:srgbClr val="FFFFFF"/>
                              </a:solidFill>
                              <a:ln w="19050">
                                <a:solidFill>
                                  <a:srgbClr val="FF0000"/>
                                </a:solidFill>
                                <a:miter lim="800000"/>
                                <a:headEnd/>
                                <a:tailEnd/>
                              </a:ln>
                            </wps:spPr>
                            <wps:txbx>
                              <w:txbxContent>
                                <w:p w14:paraId="3A52E4D1" w14:textId="77777777" w:rsidR="00FE291A" w:rsidRDefault="00C8738F">
                                  <w:pPr>
                                    <w:rPr>
                                      <w:sz w:val="22"/>
                                      <w:lang w:val="zh-CN"/>
                                    </w:rPr>
                                  </w:pPr>
                                  <w:ins w:id="519" w:author="Author">
                                    <w:r>
                                      <w:rPr>
                                        <w:b/>
                                        <w:bCs/>
                                        <w:sz w:val="22"/>
                                        <w:szCs w:val="22"/>
                                        <w:lang w:val="de-DE"/>
                                      </w:rPr>
                                      <w:t>Wichtig:</w:t>
                                    </w:r>
                                    <w:r>
                                      <w:rPr>
                                        <w:sz w:val="22"/>
                                        <w:szCs w:val="22"/>
                                        <w:lang w:val="de-DE"/>
                                      </w:rPr>
                                      <w:t xml:space="preserve"> Wenn das Arzneimittel trübe oder verfärbt ist oder Flocken oder Partikel enthält, oder wenn der Fertigpen beschädigt oder das Verfalldatum überschritten ist, wenden Sie sich an Ihren Arzt oder das medizinische Fachpersonal.</w:t>
                                    </w:r>
                                  </w:ins>
                                </w:p>
                              </w:txbxContent>
                            </wps:txbx>
                            <wps:bodyPr rot="0" vert="horz" wrap="square" lIns="91440" tIns="45720" rIns="91440" bIns="45720" anchor="t" anchorCtr="0" upright="1">
                              <a:spAutoFit/>
                            </wps:bodyPr>
                          </wps:wsp>
                        </a:graphicData>
                      </a:graphic>
                    </wp:inline>
                  </w:drawing>
                </mc:Choice>
                <mc:Fallback>
                  <w:pict>
                    <v:shape w14:anchorId="39717167" id="Textfeld 23" o:spid="_x0000_s1041" type="#_x0000_t202" style="width:441.15pt;height:4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" strokecolor="red" strokeweight="1.5pt">
                      <v:textbox style="mso-fit-shape-to-text:t">
                        <w:txbxContent>
                          <w:p w14:paraId="3A52E4D1" w14:textId="77777777" w:rsidR="00FE291A" w:rsidRDefault="00C8738F">
                            <w:pPr>
                              <w:rPr>
                                <w:sz w:val="22"/>
                                <w:lang w:val="zh-CN"/>
                              </w:rPr>
                            </w:pPr>
                            <w:ins w:id="520" w:author="Author">
                              <w:r>
                                <w:rPr>
                                  <w:b/>
                                  <w:bCs/>
                                  <w:sz w:val="22"/>
                                  <w:szCs w:val="22"/>
                                  <w:lang w:val="de-DE"/>
                                </w:rPr>
                                <w:t>Wichtig:</w:t>
                              </w:r>
                              <w:r>
                                <w:rPr>
                                  <w:sz w:val="22"/>
                                  <w:szCs w:val="22"/>
                                  <w:lang w:val="de-DE"/>
                                </w:rPr>
                                <w:t xml:space="preserve"> Wenn das Arzneimittel trübe oder verfärbt ist oder Flocken oder Partikel enthält, oder wenn der Fertigpen beschädigt oder das Verfalldatum überschritten ist, wenden Sie sich an Ihren Arzt oder das medizinische Fachpersonal.</w:t>
                              </w:r>
                            </w:ins>
                          </w:p>
                        </w:txbxContent>
                      </v:textbox>
                      <w10:anchorlock/>
                    </v:shape>
                  </w:pict>
                </mc:Fallback>
              </mc:AlternateContent>
            </w:r>
          </w:p>
        </w:tc>
      </w:tr>
    </w:tbl>
    <w:p w14:paraId="70013E7C" w14:textId="77777777" w:rsidR="00FE291A" w:rsidRDefault="00FE291A">
      <w:pPr>
        <w:pageBreakBefore/>
        <w:rPr>
          <w:b/>
          <w:bCs/>
          <w:sz w:val="22"/>
          <w:szCs w:val="22"/>
          <w:lang w:val="de-DE"/>
        </w:rPr>
      </w:pPr>
    </w:p>
    <w:tbl>
      <w:tblPr>
        <w:tblW w:w="4825"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68"/>
        <w:gridCol w:w="3340"/>
        <w:gridCol w:w="4736"/>
      </w:tblGrid>
      <w:tr w:rsidR="00FE291A" w:rsidRPr="002E6CD3" w14:paraId="019A2B9D" w14:textId="77777777">
        <w:trPr>
          <w:cantSplit/>
          <w:trHeight w:val="335"/>
        </w:trPr>
        <w:tc>
          <w:tcPr>
            <w:tcW w:w="382" w:type="pct"/>
            <w:tcBorders>
              <w:bottom w:val="nil"/>
            </w:tcBorders>
            <w:tcMar>
              <w:top w:w="28" w:type="dxa"/>
              <w:left w:w="57" w:type="dxa"/>
              <w:bottom w:w="28" w:type="dxa"/>
              <w:right w:w="57" w:type="dxa"/>
            </w:tcMar>
          </w:tcPr>
          <w:p w14:paraId="7AC70452" w14:textId="77777777" w:rsidR="00FE291A" w:rsidRDefault="00C8738F">
            <w:pPr>
              <w:rPr>
                <w:sz w:val="22"/>
                <w:szCs w:val="22"/>
                <w:lang w:val="de-DE"/>
              </w:rPr>
            </w:pPr>
            <w:r>
              <w:rPr>
                <w:b/>
                <w:sz w:val="22"/>
                <w:szCs w:val="22"/>
                <w:lang w:val="de-DE"/>
              </w:rPr>
              <w:t>2c</w:t>
            </w:r>
          </w:p>
        </w:tc>
        <w:tc>
          <w:tcPr>
            <w:tcW w:w="4618" w:type="pct"/>
            <w:gridSpan w:val="2"/>
            <w:tcBorders>
              <w:bottom w:val="nil"/>
            </w:tcBorders>
          </w:tcPr>
          <w:p w14:paraId="3FFDAB1C" w14:textId="77777777" w:rsidR="00FE291A" w:rsidRDefault="00C8738F">
            <w:pPr>
              <w:rPr>
                <w:sz w:val="22"/>
                <w:szCs w:val="22"/>
                <w:lang w:val="de-DE"/>
              </w:rPr>
            </w:pPr>
            <w:r>
              <w:rPr>
                <w:b/>
                <w:sz w:val="22"/>
                <w:szCs w:val="22"/>
                <w:lang w:val="de-DE"/>
              </w:rPr>
              <w:t xml:space="preserve">Überprüfen Sie das Verfalldatum (EXP) und überprüfen Sie den Fertigpen auf Beschädigungen. </w:t>
            </w:r>
          </w:p>
        </w:tc>
      </w:tr>
      <w:tr w:rsidR="00FE291A" w14:paraId="01B78B51" w14:textId="77777777">
        <w:trPr>
          <w:cantSplit/>
          <w:trHeight w:val="1612"/>
        </w:trPr>
        <w:tc>
          <w:tcPr>
            <w:tcW w:w="382" w:type="pct"/>
            <w:tcBorders>
              <w:bottom w:val="nil"/>
              <w:right w:val="nil"/>
            </w:tcBorders>
            <w:tcMar>
              <w:top w:w="28" w:type="dxa"/>
              <w:left w:w="57" w:type="dxa"/>
              <w:bottom w:w="28" w:type="dxa"/>
              <w:right w:w="57" w:type="dxa"/>
            </w:tcMar>
          </w:tcPr>
          <w:p w14:paraId="1287E2BB" w14:textId="77777777" w:rsidR="00FE291A" w:rsidRDefault="00FE291A">
            <w:pPr>
              <w:rPr>
                <w:b/>
                <w:bCs/>
                <w:sz w:val="22"/>
                <w:szCs w:val="22"/>
                <w:lang w:val="de-DE"/>
              </w:rPr>
            </w:pPr>
          </w:p>
        </w:tc>
        <w:tc>
          <w:tcPr>
            <w:tcW w:w="1910" w:type="pct"/>
            <w:tcBorders>
              <w:top w:val="single" w:sz="4" w:space="0" w:color="auto"/>
              <w:left w:val="nil"/>
              <w:bottom w:val="nil"/>
              <w:right w:val="nil"/>
            </w:tcBorders>
            <w:tcMar>
              <w:top w:w="28" w:type="dxa"/>
              <w:left w:w="57" w:type="dxa"/>
              <w:bottom w:w="28" w:type="dxa"/>
              <w:right w:w="57" w:type="dxa"/>
            </w:tcMar>
          </w:tcPr>
          <w:p w14:paraId="0211D85C" w14:textId="55E24CF4" w:rsidR="00FE291A" w:rsidRDefault="009C5B62">
            <w:pPr>
              <w:suppressAutoHyphens/>
              <w:spacing w:line="250" w:lineRule="atLeast"/>
              <w:textAlignment w:val="center"/>
              <w:rPr>
                <w:b/>
                <w:bCs/>
                <w:sz w:val="22"/>
                <w:szCs w:val="22"/>
                <w:lang w:val="de-DE"/>
              </w:rPr>
            </w:pPr>
            <w:r>
              <w:rPr>
                <w:b/>
                <w:noProof/>
                <w:sz w:val="22"/>
                <w:szCs w:val="22"/>
                <w:lang w:val="de-DE"/>
              </w:rPr>
              <w:drawing>
                <wp:inline distT="0" distB="0" distL="0" distR="0" wp14:anchorId="31AEE555" wp14:editId="71B55DF4">
                  <wp:extent cx="2588895" cy="1445895"/>
                  <wp:effectExtent l="0" t="0" r="0" b="0"/>
                  <wp:docPr id="68" name="Bild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88895" cy="1445895"/>
                          </a:xfrm>
                          <a:prstGeom prst="rect">
                            <a:avLst/>
                          </a:prstGeom>
                          <a:noFill/>
                          <a:ln>
                            <a:noFill/>
                          </a:ln>
                        </pic:spPr>
                      </pic:pic>
                    </a:graphicData>
                  </a:graphic>
                </wp:inline>
              </w:drawing>
            </w:r>
          </w:p>
        </w:tc>
        <w:tc>
          <w:tcPr>
            <w:tcW w:w="2708" w:type="pct"/>
            <w:tcBorders>
              <w:top w:val="single" w:sz="4" w:space="0" w:color="auto"/>
              <w:left w:val="nil"/>
              <w:bottom w:val="nil"/>
              <w:right w:val="single" w:sz="4" w:space="0" w:color="auto"/>
            </w:tcBorders>
          </w:tcPr>
          <w:p w14:paraId="01A5F7C9" w14:textId="77777777" w:rsidR="00FE291A" w:rsidRDefault="00FE291A">
            <w:pPr>
              <w:suppressAutoHyphens/>
              <w:spacing w:line="250" w:lineRule="atLeast"/>
              <w:textAlignment w:val="center"/>
              <w:rPr>
                <w:b/>
                <w:bCs/>
                <w:sz w:val="22"/>
                <w:szCs w:val="22"/>
                <w:lang w:val="de-DE"/>
              </w:rPr>
            </w:pPr>
          </w:p>
          <w:p w14:paraId="571F9840" w14:textId="77777777" w:rsidR="00FE291A" w:rsidRDefault="00FE291A">
            <w:pPr>
              <w:suppressAutoHyphens/>
              <w:spacing w:line="250" w:lineRule="atLeast"/>
              <w:textAlignment w:val="center"/>
              <w:rPr>
                <w:b/>
                <w:bCs/>
                <w:sz w:val="22"/>
                <w:szCs w:val="22"/>
                <w:lang w:val="de-DE"/>
              </w:rPr>
            </w:pPr>
          </w:p>
          <w:p w14:paraId="7220A73F" w14:textId="77777777" w:rsidR="00FE291A" w:rsidRDefault="00FE291A">
            <w:pPr>
              <w:suppressAutoHyphens/>
              <w:spacing w:line="250" w:lineRule="atLeast"/>
              <w:textAlignment w:val="center"/>
              <w:rPr>
                <w:b/>
                <w:bCs/>
                <w:sz w:val="22"/>
                <w:szCs w:val="22"/>
                <w:lang w:val="de-DE"/>
              </w:rPr>
            </w:pPr>
          </w:p>
          <w:p w14:paraId="69BD02B0" w14:textId="77777777" w:rsidR="00FE291A" w:rsidRDefault="00FE291A">
            <w:pPr>
              <w:suppressAutoHyphens/>
              <w:spacing w:line="250" w:lineRule="atLeast"/>
              <w:textAlignment w:val="center"/>
              <w:rPr>
                <w:b/>
                <w:bCs/>
                <w:sz w:val="22"/>
                <w:szCs w:val="22"/>
                <w:lang w:val="de-DE"/>
              </w:rPr>
            </w:pPr>
          </w:p>
          <w:p w14:paraId="131CFBDF" w14:textId="77777777" w:rsidR="00FE291A" w:rsidRDefault="00FE291A">
            <w:pPr>
              <w:suppressAutoHyphens/>
              <w:spacing w:line="250" w:lineRule="atLeast"/>
              <w:textAlignment w:val="center"/>
              <w:rPr>
                <w:b/>
                <w:bCs/>
                <w:sz w:val="22"/>
                <w:szCs w:val="22"/>
                <w:lang w:val="de-DE"/>
              </w:rPr>
            </w:pPr>
          </w:p>
          <w:p w14:paraId="59F75CFF" w14:textId="77777777" w:rsidR="00FE291A" w:rsidRDefault="00C8738F">
            <w:pPr>
              <w:suppressAutoHyphens/>
              <w:spacing w:line="250" w:lineRule="atLeast"/>
              <w:textAlignment w:val="center"/>
              <w:rPr>
                <w:sz w:val="22"/>
                <w:szCs w:val="22"/>
                <w:lang w:val="de-DE"/>
              </w:rPr>
            </w:pPr>
            <w:r>
              <w:rPr>
                <w:sz w:val="22"/>
                <w:szCs w:val="22"/>
                <w:lang w:val="de-DE"/>
              </w:rPr>
              <w:t>Verfalldatum</w:t>
            </w:r>
          </w:p>
        </w:tc>
      </w:tr>
      <w:tr w:rsidR="00FE291A" w:rsidRPr="002E6CD3" w14:paraId="15961923" w14:textId="77777777">
        <w:trPr>
          <w:cantSplit/>
          <w:trHeight w:val="57"/>
        </w:trPr>
        <w:tc>
          <w:tcPr>
            <w:tcW w:w="382" w:type="pct"/>
            <w:tcBorders>
              <w:top w:val="nil"/>
              <w:bottom w:val="nil"/>
              <w:right w:val="nil"/>
            </w:tcBorders>
            <w:tcMar>
              <w:top w:w="28" w:type="dxa"/>
              <w:left w:w="57" w:type="dxa"/>
              <w:bottom w:w="28" w:type="dxa"/>
              <w:right w:w="57" w:type="dxa"/>
            </w:tcMar>
          </w:tcPr>
          <w:p w14:paraId="79684C62" w14:textId="77777777" w:rsidR="00FE291A" w:rsidRDefault="00FE291A">
            <w:pPr>
              <w:widowControl/>
              <w:numPr>
                <w:ilvl w:val="0"/>
                <w:numId w:val="65"/>
              </w:numPr>
              <w:autoSpaceDE/>
              <w:autoSpaceDN/>
              <w:adjustRightInd/>
              <w:ind w:left="567" w:hanging="567"/>
              <w:rPr>
                <w:sz w:val="22"/>
                <w:szCs w:val="22"/>
                <w:lang w:val="de-DE"/>
              </w:rPr>
            </w:pPr>
          </w:p>
        </w:tc>
        <w:tc>
          <w:tcPr>
            <w:tcW w:w="4618" w:type="pct"/>
            <w:gridSpan w:val="2"/>
            <w:tcBorders>
              <w:top w:val="nil"/>
              <w:left w:val="nil"/>
              <w:bottom w:val="nil"/>
            </w:tcBorders>
            <w:tcMar>
              <w:left w:w="0" w:type="dxa"/>
            </w:tcMar>
          </w:tcPr>
          <w:p w14:paraId="31474105" w14:textId="77777777" w:rsidR="00FE291A" w:rsidRDefault="00C8738F">
            <w:pPr>
              <w:pStyle w:val="ListParagraph"/>
              <w:suppressAutoHyphens/>
              <w:textAlignment w:val="center"/>
              <w:rPr>
                <w:b/>
                <w:bCs/>
                <w:sz w:val="22"/>
                <w:szCs w:val="22"/>
                <w:lang w:val="de-DE"/>
              </w:rPr>
            </w:pPr>
            <w:ins w:id="521" w:author="Author">
              <w:r>
                <w:rPr>
                  <w:bCs/>
                  <w:sz w:val="22"/>
                  <w:szCs w:val="22"/>
                  <w:lang w:val="de-DE"/>
                </w:rPr>
                <w:t>Den Fertigpen</w:t>
              </w:r>
              <w:r>
                <w:rPr>
                  <w:b/>
                  <w:bCs/>
                  <w:sz w:val="22"/>
                  <w:szCs w:val="22"/>
                  <w:lang w:val="de-DE"/>
                </w:rPr>
                <w:t xml:space="preserve"> </w:t>
              </w:r>
            </w:ins>
            <w:del w:id="522" w:author="Author">
              <w:r>
                <w:rPr>
                  <w:b/>
                  <w:bCs/>
                  <w:sz w:val="22"/>
                  <w:szCs w:val="22"/>
                  <w:lang w:val="de-DE"/>
                </w:rPr>
                <w:delText>Nicht</w:delText>
              </w:r>
              <w:r>
                <w:rPr>
                  <w:sz w:val="22"/>
                  <w:szCs w:val="22"/>
                  <w:lang w:val="de-DE"/>
                </w:rPr>
                <w:delText xml:space="preserve"> </w:delText>
              </w:r>
            </w:del>
            <w:ins w:id="523" w:author="Author">
              <w:r>
                <w:rPr>
                  <w:b/>
                  <w:bCs/>
                  <w:sz w:val="22"/>
                  <w:szCs w:val="22"/>
                  <w:lang w:val="de-DE"/>
                </w:rPr>
                <w:t>nicht</w:t>
              </w:r>
              <w:r>
                <w:rPr>
                  <w:sz w:val="22"/>
                  <w:szCs w:val="22"/>
                  <w:lang w:val="de-DE"/>
                </w:rPr>
                <w:t xml:space="preserve"> </w:t>
              </w:r>
            </w:ins>
            <w:r>
              <w:rPr>
                <w:sz w:val="22"/>
                <w:szCs w:val="22"/>
                <w:lang w:val="de-DE"/>
              </w:rPr>
              <w:t>anwenden, wenn das Verfalldatum überschritten ist.</w:t>
            </w:r>
          </w:p>
        </w:tc>
      </w:tr>
      <w:tr w:rsidR="00FE291A" w:rsidRPr="002E6CD3" w14:paraId="2B4201AB" w14:textId="77777777">
        <w:trPr>
          <w:cantSplit/>
          <w:trHeight w:val="57"/>
        </w:trPr>
        <w:tc>
          <w:tcPr>
            <w:tcW w:w="382" w:type="pct"/>
            <w:tcBorders>
              <w:top w:val="nil"/>
              <w:bottom w:val="nil"/>
              <w:right w:val="nil"/>
            </w:tcBorders>
            <w:tcMar>
              <w:top w:w="28" w:type="dxa"/>
              <w:left w:w="57" w:type="dxa"/>
              <w:bottom w:w="28" w:type="dxa"/>
              <w:right w:w="57" w:type="dxa"/>
            </w:tcMar>
          </w:tcPr>
          <w:p w14:paraId="3A4F0FA8" w14:textId="77777777" w:rsidR="00FE291A" w:rsidRDefault="00FE291A">
            <w:pPr>
              <w:widowControl/>
              <w:numPr>
                <w:ilvl w:val="0"/>
                <w:numId w:val="65"/>
              </w:numPr>
              <w:autoSpaceDE/>
              <w:autoSpaceDN/>
              <w:adjustRightInd/>
              <w:ind w:left="567" w:hanging="567"/>
              <w:rPr>
                <w:sz w:val="22"/>
                <w:szCs w:val="22"/>
                <w:lang w:val="de-DE"/>
              </w:rPr>
            </w:pPr>
          </w:p>
        </w:tc>
        <w:tc>
          <w:tcPr>
            <w:tcW w:w="4618" w:type="pct"/>
            <w:gridSpan w:val="2"/>
            <w:tcBorders>
              <w:top w:val="nil"/>
              <w:left w:val="nil"/>
              <w:bottom w:val="nil"/>
            </w:tcBorders>
            <w:tcMar>
              <w:left w:w="0" w:type="dxa"/>
            </w:tcMar>
          </w:tcPr>
          <w:p w14:paraId="061885DD" w14:textId="77777777" w:rsidR="00FE291A" w:rsidRDefault="00C8738F">
            <w:pPr>
              <w:pStyle w:val="ListParagraph"/>
              <w:suppressAutoHyphens/>
              <w:textAlignment w:val="center"/>
              <w:rPr>
                <w:sz w:val="22"/>
                <w:szCs w:val="22"/>
                <w:lang w:val="de-DE"/>
              </w:rPr>
            </w:pPr>
            <w:r>
              <w:rPr>
                <w:sz w:val="22"/>
                <w:szCs w:val="22"/>
                <w:lang w:val="de-DE"/>
              </w:rPr>
              <w:t>Wenden Sie den Fertigpen</w:t>
            </w:r>
            <w:r>
              <w:rPr>
                <w:b/>
                <w:sz w:val="22"/>
                <w:szCs w:val="22"/>
                <w:lang w:val="de-DE"/>
              </w:rPr>
              <w:t xml:space="preserve"> nicht</w:t>
            </w:r>
            <w:r>
              <w:rPr>
                <w:sz w:val="22"/>
                <w:szCs w:val="22"/>
                <w:lang w:val="de-DE"/>
              </w:rPr>
              <w:t xml:space="preserve"> an, wenn:</w:t>
            </w:r>
          </w:p>
          <w:p w14:paraId="75D41CFD" w14:textId="77777777" w:rsidR="00FE291A" w:rsidRDefault="00C8738F">
            <w:pPr>
              <w:pStyle w:val="ListParagraph"/>
              <w:widowControl/>
              <w:numPr>
                <w:ilvl w:val="0"/>
                <w:numId w:val="71"/>
              </w:numPr>
              <w:suppressAutoHyphens/>
              <w:ind w:left="677" w:right="-464" w:hanging="357"/>
              <w:contextualSpacing/>
              <w:textAlignment w:val="center"/>
              <w:rPr>
                <w:sz w:val="22"/>
                <w:szCs w:val="22"/>
                <w:lang w:val="de-DE"/>
              </w:rPr>
            </w:pPr>
            <w:r>
              <w:rPr>
                <w:sz w:val="22"/>
                <w:szCs w:val="22"/>
                <w:lang w:val="de-DE"/>
              </w:rPr>
              <w:t>die gelbe Kappe fehlt oder locker ist.</w:t>
            </w:r>
          </w:p>
          <w:p w14:paraId="65690E78" w14:textId="77777777" w:rsidR="00FE291A" w:rsidRDefault="00C8738F">
            <w:pPr>
              <w:pStyle w:val="ListParagraph"/>
              <w:widowControl/>
              <w:numPr>
                <w:ilvl w:val="0"/>
                <w:numId w:val="71"/>
              </w:numPr>
              <w:suppressAutoHyphens/>
              <w:ind w:left="677" w:hanging="357"/>
              <w:contextualSpacing/>
              <w:textAlignment w:val="center"/>
              <w:rPr>
                <w:sz w:val="22"/>
                <w:szCs w:val="22"/>
                <w:lang w:val="de-DE"/>
              </w:rPr>
            </w:pPr>
            <w:r>
              <w:rPr>
                <w:sz w:val="22"/>
                <w:szCs w:val="22"/>
                <w:lang w:val="de-DE"/>
              </w:rPr>
              <w:t>er Risse oder gebrochene Teile aufweist.</w:t>
            </w:r>
          </w:p>
          <w:p w14:paraId="0A5CF57A" w14:textId="77777777" w:rsidR="00FE291A" w:rsidRDefault="00C8738F">
            <w:pPr>
              <w:pStyle w:val="ListParagraph"/>
              <w:widowControl/>
              <w:numPr>
                <w:ilvl w:val="0"/>
                <w:numId w:val="71"/>
              </w:numPr>
              <w:suppressAutoHyphens/>
              <w:ind w:left="677" w:hanging="357"/>
              <w:contextualSpacing/>
              <w:textAlignment w:val="center"/>
              <w:rPr>
                <w:sz w:val="22"/>
                <w:szCs w:val="22"/>
                <w:lang w:val="de-DE"/>
              </w:rPr>
            </w:pPr>
            <w:r>
              <w:rPr>
                <w:sz w:val="22"/>
                <w:szCs w:val="22"/>
                <w:lang w:val="de-DE"/>
              </w:rPr>
              <w:t>er auf eine harte Oberfläche gefallen ist.</w:t>
            </w:r>
          </w:p>
        </w:tc>
      </w:tr>
      <w:tr w:rsidR="00FE291A" w:rsidRPr="00723069" w14:paraId="7E7AE8C3" w14:textId="77777777">
        <w:trPr>
          <w:cantSplit/>
          <w:trHeight w:val="57"/>
        </w:trPr>
        <w:tc>
          <w:tcPr>
            <w:tcW w:w="382" w:type="pct"/>
            <w:tcBorders>
              <w:top w:val="nil"/>
              <w:bottom w:val="single" w:sz="4" w:space="0" w:color="auto"/>
              <w:right w:val="nil"/>
            </w:tcBorders>
            <w:tcMar>
              <w:top w:w="28" w:type="dxa"/>
              <w:left w:w="57" w:type="dxa"/>
              <w:bottom w:w="28" w:type="dxa"/>
              <w:right w:w="57" w:type="dxa"/>
            </w:tcMar>
          </w:tcPr>
          <w:p w14:paraId="1E46C761" w14:textId="77777777" w:rsidR="00FE291A" w:rsidRDefault="00FE291A">
            <w:pPr>
              <w:widowControl/>
              <w:numPr>
                <w:ilvl w:val="0"/>
                <w:numId w:val="65"/>
              </w:numPr>
              <w:autoSpaceDE/>
              <w:autoSpaceDN/>
              <w:adjustRightInd/>
              <w:ind w:left="567" w:hanging="567"/>
              <w:rPr>
                <w:sz w:val="22"/>
                <w:szCs w:val="22"/>
                <w:lang w:val="de-DE"/>
              </w:rPr>
            </w:pPr>
          </w:p>
        </w:tc>
        <w:tc>
          <w:tcPr>
            <w:tcW w:w="4618" w:type="pct"/>
            <w:gridSpan w:val="2"/>
            <w:tcBorders>
              <w:top w:val="nil"/>
              <w:left w:val="nil"/>
              <w:bottom w:val="single" w:sz="4" w:space="0" w:color="auto"/>
            </w:tcBorders>
            <w:tcMar>
              <w:left w:w="0" w:type="dxa"/>
            </w:tcMar>
          </w:tcPr>
          <w:p w14:paraId="1C5B87F1" w14:textId="761716BD" w:rsidR="00FE291A" w:rsidRDefault="00C8738F">
            <w:pPr>
              <w:rPr>
                <w:sz w:val="22"/>
                <w:szCs w:val="22"/>
                <w:lang w:val="de-DE"/>
              </w:rPr>
            </w:pPr>
            <w:r>
              <w:rPr>
                <w:sz w:val="22"/>
                <w:szCs w:val="22"/>
                <w:lang w:val="de-DE"/>
              </w:rPr>
              <w:t xml:space="preserve">Stellen Sie sicher, dass Sie das richtige Arzneimittel und die richtige </w:t>
            </w:r>
            <w:del w:id="524" w:author="Author">
              <w:r w:rsidDel="003047BA">
                <w:rPr>
                  <w:sz w:val="22"/>
                  <w:szCs w:val="22"/>
                  <w:lang w:val="de-DE"/>
                </w:rPr>
                <w:delText xml:space="preserve">Dosis </w:delText>
              </w:r>
            </w:del>
            <w:ins w:id="525" w:author="Author">
              <w:r w:rsidR="003047BA">
                <w:rPr>
                  <w:sz w:val="22"/>
                  <w:szCs w:val="22"/>
                  <w:lang w:val="de-DE"/>
                </w:rPr>
                <w:t xml:space="preserve">Stärke </w:t>
              </w:r>
            </w:ins>
            <w:r>
              <w:rPr>
                <w:sz w:val="22"/>
                <w:szCs w:val="22"/>
                <w:lang w:val="de-DE"/>
              </w:rPr>
              <w:t xml:space="preserve">haben. </w:t>
            </w:r>
          </w:p>
        </w:tc>
      </w:tr>
      <w:tr w:rsidR="00FE291A" w:rsidRPr="00723069" w14:paraId="5FB7CAC8" w14:textId="77777777">
        <w:trPr>
          <w:cantSplit/>
          <w:trHeight w:val="57"/>
          <w:del w:id="526" w:author="Author"/>
        </w:trPr>
        <w:tc>
          <w:tcPr>
            <w:tcW w:w="5000" w:type="pct"/>
            <w:gridSpan w:val="3"/>
            <w:tcBorders>
              <w:top w:val="single" w:sz="4" w:space="0" w:color="auto"/>
              <w:bottom w:val="single" w:sz="4" w:space="0" w:color="auto"/>
            </w:tcBorders>
            <w:tcMar>
              <w:top w:w="28" w:type="dxa"/>
              <w:left w:w="57" w:type="dxa"/>
              <w:bottom w:w="28" w:type="dxa"/>
              <w:right w:w="57" w:type="dxa"/>
            </w:tcMar>
          </w:tcPr>
          <w:p w14:paraId="4C40743B" w14:textId="6E3D8A60" w:rsidR="00FE291A" w:rsidRDefault="009C5B62">
            <w:pPr>
              <w:rPr>
                <w:del w:id="527" w:author="Author"/>
                <w:sz w:val="22"/>
                <w:szCs w:val="22"/>
                <w:lang w:val="de-DE"/>
              </w:rPr>
            </w:pPr>
            <w:del w:id="528" w:author="Author">
              <w:r>
                <w:rPr>
                  <w:noProof/>
                </w:rPr>
                <mc:AlternateContent>
                  <mc:Choice Requires="wps">
                    <w:drawing>
                      <wp:anchor distT="45720" distB="45720" distL="114300" distR="114300" simplePos="0" relativeHeight="22" behindDoc="0" locked="0" layoutInCell="1" allowOverlap="1" wp14:anchorId="24116D4B" wp14:editId="0528186C">
                        <wp:simplePos x="0" y="0"/>
                        <wp:positionH relativeFrom="margin">
                          <wp:posOffset>41275</wp:posOffset>
                        </wp:positionH>
                        <wp:positionV relativeFrom="paragraph">
                          <wp:posOffset>81915</wp:posOffset>
                        </wp:positionV>
                        <wp:extent cx="5431790" cy="431800"/>
                        <wp:effectExtent l="0" t="0" r="0" b="6350"/>
                        <wp:wrapSquare wrapText="bothSides"/>
                        <wp:docPr id="12560221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1790" cy="431800"/>
                                </a:xfrm>
                                <a:prstGeom prst="rect">
                                  <a:avLst/>
                                </a:prstGeom>
                                <a:solidFill>
                                  <a:srgbClr val="FFFFFF"/>
                                </a:solidFill>
                                <a:ln w="19050">
                                  <a:solidFill>
                                    <a:srgbClr val="FF0000"/>
                                  </a:solidFill>
                                  <a:miter lim="800000"/>
                                </a:ln>
                              </wps:spPr>
                              <wps:txbx>
                                <w:txbxContent>
                                  <w:p w14:paraId="2242F0E7" w14:textId="77777777" w:rsidR="00FE291A" w:rsidRDefault="00C8738F">
                                    <w:pPr>
                                      <w:rPr>
                                        <w:sz w:val="22"/>
                                        <w:lang w:val="de-DE"/>
                                      </w:rPr>
                                    </w:pPr>
                                    <w:del w:id="529" w:author="Author">
                                      <w:r>
                                        <w:rPr>
                                          <w:b/>
                                          <w:sz w:val="22"/>
                                          <w:lang w:val="de-DE"/>
                                        </w:rPr>
                                        <w:delText xml:space="preserve">Wichtig: </w:delText>
                                      </w:r>
                                      <w:r>
                                        <w:rPr>
                                          <w:sz w:val="22"/>
                                          <w:lang w:val="de-DE"/>
                                        </w:rPr>
                                        <w:delText>Wenn das Arzneimittel trübe oder verfärbt ist oder Flocken enthält,</w:delText>
                                      </w:r>
                                      <w:r>
                                        <w:rPr>
                                          <w:b/>
                                          <w:sz w:val="22"/>
                                          <w:lang w:val="de-DE"/>
                                        </w:rPr>
                                        <w:delText xml:space="preserve"> </w:delText>
                                      </w:r>
                                      <w:r>
                                        <w:rPr>
                                          <w:sz w:val="22"/>
                                          <w:lang w:val="de-DE"/>
                                        </w:rPr>
                                        <w:delText>wenden Sie sich an Ihren Arzt oder das medizinische Fachpersonal.</w:delText>
                                      </w:r>
                                    </w:del>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24116D4B" id="Text Box 9" o:spid="_x0000_s1042" type="#_x0000_t202" style="position:absolute;margin-left:3.25pt;margin-top:6.45pt;width:427.7pt;height:34pt;z-index:2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" strokecolor="red" strokeweight="1.5pt">
                        <v:textbox style="mso-fit-shape-to-text:t">
                          <w:txbxContent>
                            <w:p w14:paraId="2242F0E7" w14:textId="77777777" w:rsidR="00FE291A" w:rsidRDefault="00C8738F">
                              <w:pPr>
                                <w:rPr>
                                  <w:sz w:val="22"/>
                                  <w:lang w:val="de-DE"/>
                                </w:rPr>
                              </w:pPr>
                              <w:del w:id="530" w:author="Author">
                                <w:r>
                                  <w:rPr>
                                    <w:b/>
                                    <w:sz w:val="22"/>
                                    <w:lang w:val="de-DE"/>
                                  </w:rPr>
                                  <w:delText xml:space="preserve">Wichtig: </w:delText>
                                </w:r>
                                <w:r>
                                  <w:rPr>
                                    <w:sz w:val="22"/>
                                    <w:lang w:val="de-DE"/>
                                  </w:rPr>
                                  <w:delText>Wenn das Arzneimittel trübe oder verfärbt ist oder Flocken enthält,</w:delText>
                                </w:r>
                                <w:r>
                                  <w:rPr>
                                    <w:b/>
                                    <w:sz w:val="22"/>
                                    <w:lang w:val="de-DE"/>
                                  </w:rPr>
                                  <w:delText xml:space="preserve"> </w:delText>
                                </w:r>
                                <w:r>
                                  <w:rPr>
                                    <w:sz w:val="22"/>
                                    <w:lang w:val="de-DE"/>
                                  </w:rPr>
                                  <w:delText>wenden Sie sich an Ihren Arzt oder das medizinische Fachpersonal.</w:delText>
                                </w:r>
                              </w:del>
                            </w:p>
                          </w:txbxContent>
                        </v:textbox>
                        <w10:wrap type="square" anchorx="margin"/>
                      </v:shape>
                    </w:pict>
                  </mc:Fallback>
                </mc:AlternateContent>
              </w:r>
              <w:r w:rsidR="00C8738F">
                <w:rPr>
                  <w:sz w:val="22"/>
                  <w:szCs w:val="22"/>
                  <w:lang w:val="de-DE"/>
                </w:rPr>
                <w:delText xml:space="preserve"> </w:delText>
              </w:r>
            </w:del>
          </w:p>
        </w:tc>
      </w:tr>
    </w:tbl>
    <w:p w14:paraId="28EB4235" w14:textId="77777777" w:rsidR="00FE291A" w:rsidRDefault="00FE291A">
      <w:pPr>
        <w:rPr>
          <w:b/>
          <w:bCs/>
          <w:sz w:val="22"/>
          <w:szCs w:val="22"/>
          <w:lang w:val="de-DE"/>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85"/>
        <w:gridCol w:w="281"/>
        <w:gridCol w:w="3774"/>
        <w:gridCol w:w="4207"/>
      </w:tblGrid>
      <w:tr w:rsidR="00FE291A" w14:paraId="7802CF2F" w14:textId="77777777">
        <w:trPr>
          <w:cantSplit/>
          <w:trHeight w:val="57"/>
        </w:trPr>
        <w:tc>
          <w:tcPr>
            <w:tcW w:w="383" w:type="pct"/>
            <w:tcBorders>
              <w:bottom w:val="single" w:sz="4" w:space="0" w:color="auto"/>
            </w:tcBorders>
            <w:tcMar>
              <w:top w:w="28" w:type="dxa"/>
              <w:left w:w="57" w:type="dxa"/>
              <w:bottom w:w="28" w:type="dxa"/>
              <w:right w:w="57" w:type="dxa"/>
            </w:tcMar>
          </w:tcPr>
          <w:p w14:paraId="6457C624" w14:textId="77777777" w:rsidR="00FE291A" w:rsidRDefault="00C8738F">
            <w:pPr>
              <w:keepNext/>
              <w:rPr>
                <w:b/>
                <w:bCs/>
                <w:sz w:val="22"/>
                <w:szCs w:val="22"/>
                <w:lang w:val="de-DE"/>
              </w:rPr>
            </w:pPr>
            <w:r>
              <w:rPr>
                <w:b/>
                <w:sz w:val="22"/>
                <w:szCs w:val="22"/>
                <w:lang w:val="de-DE"/>
              </w:rPr>
              <w:t>3</w:t>
            </w:r>
          </w:p>
        </w:tc>
        <w:tc>
          <w:tcPr>
            <w:tcW w:w="4617" w:type="pct"/>
            <w:gridSpan w:val="3"/>
            <w:tcBorders>
              <w:bottom w:val="single" w:sz="4" w:space="0" w:color="auto"/>
            </w:tcBorders>
            <w:tcMar>
              <w:top w:w="28" w:type="dxa"/>
              <w:left w:w="57" w:type="dxa"/>
              <w:bottom w:w="28" w:type="dxa"/>
              <w:right w:w="57" w:type="dxa"/>
            </w:tcMar>
          </w:tcPr>
          <w:p w14:paraId="16593995" w14:textId="77777777" w:rsidR="00FE291A" w:rsidRDefault="00C8738F">
            <w:pPr>
              <w:pStyle w:val="ListParagraph"/>
              <w:ind w:left="567" w:hanging="567"/>
              <w:rPr>
                <w:b/>
                <w:bCs/>
                <w:sz w:val="22"/>
                <w:szCs w:val="22"/>
                <w:lang w:val="de-DE"/>
              </w:rPr>
            </w:pPr>
            <w:r>
              <w:rPr>
                <w:b/>
                <w:sz w:val="22"/>
                <w:szCs w:val="22"/>
                <w:lang w:val="de-DE"/>
              </w:rPr>
              <w:t>Vorbereitung auf Ihre Injektion</w:t>
            </w:r>
          </w:p>
        </w:tc>
      </w:tr>
      <w:tr w:rsidR="00FE291A" w:rsidRPr="002E6CD3" w14:paraId="3B4874A8" w14:textId="77777777">
        <w:trPr>
          <w:cantSplit/>
          <w:trHeight w:val="57"/>
        </w:trPr>
        <w:tc>
          <w:tcPr>
            <w:tcW w:w="383" w:type="pct"/>
            <w:tcBorders>
              <w:bottom w:val="single" w:sz="4" w:space="0" w:color="auto"/>
            </w:tcBorders>
            <w:tcMar>
              <w:top w:w="28" w:type="dxa"/>
              <w:left w:w="57" w:type="dxa"/>
              <w:bottom w:w="28" w:type="dxa"/>
              <w:right w:w="57" w:type="dxa"/>
            </w:tcMar>
          </w:tcPr>
          <w:p w14:paraId="1ED337E9" w14:textId="77777777" w:rsidR="00FE291A" w:rsidRDefault="00C8738F">
            <w:pPr>
              <w:keepNext/>
              <w:rPr>
                <w:b/>
                <w:bCs/>
                <w:sz w:val="22"/>
                <w:szCs w:val="22"/>
                <w:lang w:val="de-DE"/>
              </w:rPr>
            </w:pPr>
            <w:r>
              <w:rPr>
                <w:b/>
                <w:sz w:val="22"/>
                <w:szCs w:val="22"/>
                <w:lang w:val="de-DE"/>
              </w:rPr>
              <w:t>3a</w:t>
            </w:r>
          </w:p>
        </w:tc>
        <w:tc>
          <w:tcPr>
            <w:tcW w:w="4617" w:type="pct"/>
            <w:gridSpan w:val="3"/>
            <w:tcBorders>
              <w:bottom w:val="single" w:sz="4" w:space="0" w:color="auto"/>
            </w:tcBorders>
            <w:tcMar>
              <w:top w:w="28" w:type="dxa"/>
              <w:left w:w="57" w:type="dxa"/>
              <w:bottom w:w="28" w:type="dxa"/>
              <w:right w:w="57" w:type="dxa"/>
            </w:tcMar>
          </w:tcPr>
          <w:p w14:paraId="2814A69C" w14:textId="77777777" w:rsidR="00FE291A" w:rsidRDefault="00C8738F">
            <w:pPr>
              <w:pStyle w:val="ListParagraph"/>
              <w:rPr>
                <w:sz w:val="22"/>
                <w:szCs w:val="22"/>
                <w:lang w:val="de-DE"/>
              </w:rPr>
            </w:pPr>
            <w:r>
              <w:rPr>
                <w:b/>
                <w:sz w:val="22"/>
                <w:szCs w:val="22"/>
                <w:lang w:val="de-DE"/>
              </w:rPr>
              <w:t xml:space="preserve">Stellen Sie </w:t>
            </w:r>
            <w:del w:id="531" w:author="Author">
              <w:r>
                <w:rPr>
                  <w:b/>
                  <w:sz w:val="22"/>
                  <w:szCs w:val="22"/>
                  <w:lang w:val="de-DE"/>
                </w:rPr>
                <w:delText xml:space="preserve">alle </w:delText>
              </w:r>
            </w:del>
            <w:ins w:id="532" w:author="Author">
              <w:r>
                <w:rPr>
                  <w:b/>
                  <w:sz w:val="22"/>
                  <w:szCs w:val="22"/>
                  <w:lang w:val="de-DE"/>
                </w:rPr>
                <w:t xml:space="preserve">die folgenden </w:t>
              </w:r>
            </w:ins>
            <w:r>
              <w:rPr>
                <w:b/>
                <w:sz w:val="22"/>
                <w:szCs w:val="22"/>
                <w:lang w:val="de-DE"/>
              </w:rPr>
              <w:t xml:space="preserve">Materialien für die Injektion zusammen und legen Sie sie auf eine saubere, </w:t>
            </w:r>
            <w:ins w:id="533" w:author="Author">
              <w:r>
                <w:rPr>
                  <w:b/>
                  <w:sz w:val="22"/>
                  <w:szCs w:val="22"/>
                  <w:lang w:val="de-DE"/>
                </w:rPr>
                <w:t xml:space="preserve">ebene und </w:t>
              </w:r>
            </w:ins>
            <w:r>
              <w:rPr>
                <w:b/>
                <w:sz w:val="22"/>
                <w:szCs w:val="22"/>
                <w:lang w:val="de-DE"/>
              </w:rPr>
              <w:t>gut beleuchtete Arbeitsfläche.</w:t>
            </w:r>
          </w:p>
        </w:tc>
      </w:tr>
      <w:tr w:rsidR="00FE291A" w:rsidRPr="002E6CD3" w14:paraId="2DAD78B1" w14:textId="77777777">
        <w:trPr>
          <w:cantSplit/>
          <w:trHeight w:val="2070"/>
        </w:trPr>
        <w:tc>
          <w:tcPr>
            <w:tcW w:w="540" w:type="pct"/>
            <w:gridSpan w:val="2"/>
            <w:tcBorders>
              <w:top w:val="single" w:sz="4" w:space="0" w:color="auto"/>
              <w:left w:val="single" w:sz="4" w:space="0" w:color="auto"/>
              <w:bottom w:val="single" w:sz="4" w:space="0" w:color="auto"/>
              <w:right w:val="nil"/>
            </w:tcBorders>
            <w:tcMar>
              <w:top w:w="28" w:type="dxa"/>
              <w:left w:w="57" w:type="dxa"/>
              <w:bottom w:w="28" w:type="dxa"/>
              <w:right w:w="57" w:type="dxa"/>
            </w:tcMar>
          </w:tcPr>
          <w:p w14:paraId="65B01D88" w14:textId="77777777" w:rsidR="00FE291A" w:rsidRDefault="00FE291A">
            <w:pPr>
              <w:pStyle w:val="ListParagraph"/>
              <w:keepNext/>
              <w:ind w:left="567" w:hanging="567"/>
              <w:rPr>
                <w:sz w:val="22"/>
                <w:szCs w:val="22"/>
                <w:lang w:val="de-DE"/>
              </w:rPr>
            </w:pPr>
          </w:p>
          <w:p w14:paraId="3069D5B4" w14:textId="77777777" w:rsidR="00FE291A" w:rsidRDefault="00FE291A">
            <w:pPr>
              <w:pStyle w:val="ListParagraph"/>
              <w:keepNext/>
              <w:ind w:left="567" w:hanging="567"/>
              <w:rPr>
                <w:sz w:val="22"/>
                <w:szCs w:val="22"/>
                <w:lang w:val="de-DE"/>
              </w:rPr>
            </w:pPr>
          </w:p>
          <w:p w14:paraId="6738386C" w14:textId="77777777" w:rsidR="00FE291A" w:rsidRDefault="00FE291A">
            <w:pPr>
              <w:pStyle w:val="ListParagraph"/>
              <w:keepNext/>
              <w:ind w:left="567" w:hanging="567"/>
              <w:rPr>
                <w:sz w:val="22"/>
                <w:szCs w:val="22"/>
                <w:lang w:val="de-DE"/>
              </w:rPr>
            </w:pPr>
          </w:p>
          <w:p w14:paraId="72D985DC" w14:textId="77777777" w:rsidR="00FE291A" w:rsidRDefault="00FE291A">
            <w:pPr>
              <w:pStyle w:val="ListParagraph"/>
              <w:keepNext/>
              <w:ind w:left="567" w:hanging="567"/>
              <w:rPr>
                <w:sz w:val="22"/>
                <w:szCs w:val="22"/>
                <w:lang w:val="de-DE"/>
              </w:rPr>
            </w:pPr>
          </w:p>
          <w:p w14:paraId="1DF14814" w14:textId="77777777" w:rsidR="00FE291A" w:rsidRDefault="00FE291A">
            <w:pPr>
              <w:pStyle w:val="ListParagraph"/>
              <w:keepNext/>
              <w:ind w:left="567" w:hanging="567"/>
              <w:rPr>
                <w:sz w:val="22"/>
                <w:szCs w:val="22"/>
                <w:lang w:val="de-DE"/>
              </w:rPr>
            </w:pPr>
          </w:p>
          <w:p w14:paraId="4C66E42F" w14:textId="77777777" w:rsidR="00FE291A" w:rsidRDefault="00C8738F">
            <w:pPr>
              <w:pStyle w:val="ListParagraph"/>
              <w:keepNext/>
              <w:ind w:right="-337"/>
              <w:rPr>
                <w:sz w:val="22"/>
                <w:szCs w:val="22"/>
                <w:lang w:val="de-DE"/>
              </w:rPr>
            </w:pPr>
            <w:r>
              <w:rPr>
                <w:sz w:val="22"/>
                <w:szCs w:val="22"/>
                <w:lang w:val="de-DE"/>
              </w:rPr>
              <w:t>Durch-</w:t>
            </w:r>
          </w:p>
          <w:p w14:paraId="224CAC67" w14:textId="77777777" w:rsidR="00FE291A" w:rsidRDefault="00C8738F">
            <w:pPr>
              <w:pStyle w:val="ListParagraph"/>
              <w:keepNext/>
              <w:ind w:right="-337"/>
              <w:rPr>
                <w:sz w:val="22"/>
                <w:szCs w:val="22"/>
                <w:lang w:val="de-DE"/>
              </w:rPr>
            </w:pPr>
            <w:r>
              <w:rPr>
                <w:sz w:val="22"/>
                <w:szCs w:val="22"/>
                <w:lang w:val="de-DE"/>
              </w:rPr>
              <w:t>stich-</w:t>
            </w:r>
          </w:p>
          <w:p w14:paraId="727EB046" w14:textId="77777777" w:rsidR="00FE291A" w:rsidRDefault="00C8738F">
            <w:pPr>
              <w:pStyle w:val="ListParagraph"/>
              <w:keepNext/>
              <w:ind w:right="-337"/>
              <w:rPr>
                <w:sz w:val="22"/>
                <w:szCs w:val="22"/>
                <w:lang w:val="de-DE"/>
              </w:rPr>
            </w:pPr>
            <w:r>
              <w:rPr>
                <w:sz w:val="22"/>
                <w:szCs w:val="22"/>
                <w:lang w:val="de-DE"/>
              </w:rPr>
              <w:t>sicherer Behälter</w:t>
            </w:r>
          </w:p>
        </w:tc>
        <w:tc>
          <w:tcPr>
            <w:tcW w:w="2109" w:type="pct"/>
            <w:tcBorders>
              <w:top w:val="single" w:sz="4" w:space="0" w:color="auto"/>
              <w:left w:val="nil"/>
              <w:bottom w:val="single" w:sz="4" w:space="0" w:color="auto"/>
              <w:right w:val="nil"/>
            </w:tcBorders>
          </w:tcPr>
          <w:p w14:paraId="013D6ADD" w14:textId="3BB46332" w:rsidR="00FE291A" w:rsidRDefault="009C5B62">
            <w:pPr>
              <w:pStyle w:val="ListParagraph"/>
              <w:keepNext/>
              <w:rPr>
                <w:sz w:val="22"/>
                <w:szCs w:val="22"/>
                <w:lang w:val="de-DE"/>
              </w:rPr>
            </w:pPr>
            <w:r>
              <w:rPr>
                <w:noProof/>
                <w:sz w:val="22"/>
                <w:szCs w:val="22"/>
                <w:lang w:val="de-DE"/>
              </w:rPr>
              <w:drawing>
                <wp:inline distT="0" distB="0" distL="0" distR="0" wp14:anchorId="390A42E1" wp14:editId="7A44C7DD">
                  <wp:extent cx="1828800" cy="1674495"/>
                  <wp:effectExtent l="0" t="0" r="0" b="0"/>
                  <wp:docPr id="69" name="Bild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28800" cy="1674495"/>
                          </a:xfrm>
                          <a:prstGeom prst="rect">
                            <a:avLst/>
                          </a:prstGeom>
                          <a:noFill/>
                          <a:ln>
                            <a:noFill/>
                          </a:ln>
                        </pic:spPr>
                      </pic:pic>
                    </a:graphicData>
                  </a:graphic>
                </wp:inline>
              </w:drawing>
            </w:r>
          </w:p>
          <w:p w14:paraId="2C395676" w14:textId="77777777" w:rsidR="00FE291A" w:rsidRDefault="00FE291A">
            <w:pPr>
              <w:pStyle w:val="ListParagraph"/>
              <w:keepNext/>
              <w:ind w:left="567" w:hanging="567"/>
              <w:rPr>
                <w:sz w:val="22"/>
                <w:szCs w:val="22"/>
                <w:lang w:val="de-DE"/>
              </w:rPr>
            </w:pPr>
          </w:p>
          <w:p w14:paraId="2EB6ACDC" w14:textId="77777777" w:rsidR="00FE291A" w:rsidRDefault="00FE291A">
            <w:pPr>
              <w:pStyle w:val="ListParagraph"/>
              <w:keepNext/>
              <w:ind w:left="567" w:hanging="567"/>
              <w:rPr>
                <w:sz w:val="22"/>
                <w:szCs w:val="22"/>
                <w:lang w:val="de-DE"/>
              </w:rPr>
            </w:pPr>
          </w:p>
        </w:tc>
        <w:tc>
          <w:tcPr>
            <w:tcW w:w="2351" w:type="pct"/>
            <w:tcBorders>
              <w:top w:val="single" w:sz="4" w:space="0" w:color="auto"/>
              <w:left w:val="nil"/>
              <w:bottom w:val="single" w:sz="4" w:space="0" w:color="auto"/>
              <w:right w:val="single" w:sz="4" w:space="0" w:color="auto"/>
            </w:tcBorders>
          </w:tcPr>
          <w:p w14:paraId="3112378C" w14:textId="77777777" w:rsidR="00FE291A" w:rsidRDefault="00FE291A">
            <w:pPr>
              <w:pStyle w:val="ListParagraph"/>
              <w:ind w:left="567" w:hanging="567"/>
              <w:rPr>
                <w:b/>
                <w:bCs/>
                <w:sz w:val="22"/>
                <w:szCs w:val="22"/>
                <w:lang w:val="de-DE"/>
              </w:rPr>
            </w:pPr>
          </w:p>
          <w:p w14:paraId="22E9B9DC" w14:textId="77777777" w:rsidR="00FE291A" w:rsidRDefault="00C8738F">
            <w:pPr>
              <w:pStyle w:val="ListParagraph"/>
              <w:ind w:left="567" w:hanging="567"/>
              <w:rPr>
                <w:sz w:val="22"/>
                <w:szCs w:val="22"/>
                <w:lang w:val="de-DE"/>
              </w:rPr>
            </w:pPr>
            <w:r>
              <w:rPr>
                <w:sz w:val="22"/>
                <w:szCs w:val="22"/>
                <w:lang w:val="de-DE"/>
              </w:rPr>
              <w:t>Alkoholtupfer</w:t>
            </w:r>
          </w:p>
          <w:p w14:paraId="7B8BED65" w14:textId="77777777" w:rsidR="00FE291A" w:rsidRDefault="00FE291A">
            <w:pPr>
              <w:pStyle w:val="ListParagraph"/>
              <w:ind w:left="567" w:hanging="567"/>
              <w:rPr>
                <w:b/>
                <w:bCs/>
                <w:sz w:val="22"/>
                <w:szCs w:val="22"/>
                <w:lang w:val="de-DE"/>
              </w:rPr>
            </w:pPr>
          </w:p>
          <w:p w14:paraId="421F344A" w14:textId="77777777" w:rsidR="00FE291A" w:rsidRDefault="00FE291A">
            <w:pPr>
              <w:pStyle w:val="ListParagraph"/>
              <w:ind w:left="567" w:hanging="567"/>
              <w:rPr>
                <w:b/>
                <w:bCs/>
                <w:sz w:val="22"/>
                <w:szCs w:val="22"/>
                <w:lang w:val="de-DE"/>
              </w:rPr>
            </w:pPr>
          </w:p>
          <w:p w14:paraId="4225CF07" w14:textId="77777777" w:rsidR="00FE291A" w:rsidRDefault="00C8738F">
            <w:pPr>
              <w:pStyle w:val="ListParagraph"/>
              <w:ind w:left="567" w:hanging="567"/>
              <w:rPr>
                <w:sz w:val="22"/>
                <w:szCs w:val="22"/>
                <w:lang w:val="de-DE"/>
              </w:rPr>
            </w:pPr>
            <w:r>
              <w:rPr>
                <w:sz w:val="22"/>
                <w:szCs w:val="22"/>
                <w:lang w:val="de-DE"/>
              </w:rPr>
              <w:t>Pflaster</w:t>
            </w:r>
          </w:p>
          <w:p w14:paraId="3F8418B5" w14:textId="77777777" w:rsidR="00FE291A" w:rsidRDefault="00FE291A">
            <w:pPr>
              <w:pStyle w:val="ListParagraph"/>
              <w:ind w:left="567" w:hanging="567"/>
              <w:rPr>
                <w:sz w:val="22"/>
                <w:szCs w:val="22"/>
                <w:lang w:val="de-DE"/>
              </w:rPr>
            </w:pPr>
          </w:p>
          <w:p w14:paraId="49B4B770" w14:textId="77777777" w:rsidR="00FE291A" w:rsidRDefault="00FE291A">
            <w:pPr>
              <w:pStyle w:val="ListParagraph"/>
              <w:ind w:left="567" w:hanging="567"/>
              <w:rPr>
                <w:sz w:val="22"/>
                <w:szCs w:val="22"/>
                <w:lang w:val="de-DE"/>
              </w:rPr>
            </w:pPr>
          </w:p>
          <w:p w14:paraId="34EE1BCE" w14:textId="77777777" w:rsidR="00FE291A" w:rsidRDefault="00C8738F">
            <w:pPr>
              <w:pStyle w:val="ListParagraph"/>
              <w:ind w:left="567" w:hanging="567"/>
              <w:rPr>
                <w:sz w:val="22"/>
                <w:szCs w:val="22"/>
                <w:lang w:val="de-DE"/>
              </w:rPr>
            </w:pPr>
            <w:r>
              <w:rPr>
                <w:sz w:val="22"/>
                <w:szCs w:val="22"/>
                <w:lang w:val="de-DE"/>
              </w:rPr>
              <w:t>Wattebausch oder Verbandmull</w:t>
            </w:r>
          </w:p>
        </w:tc>
      </w:tr>
      <w:tr w:rsidR="00FE291A" w14:paraId="28886181" w14:textId="77777777">
        <w:trPr>
          <w:cantSplit/>
          <w:trHeight w:val="57"/>
        </w:trPr>
        <w:tc>
          <w:tcPr>
            <w:tcW w:w="383" w:type="pct"/>
            <w:tcBorders>
              <w:top w:val="single" w:sz="4" w:space="0" w:color="auto"/>
              <w:bottom w:val="nil"/>
              <w:right w:val="nil"/>
            </w:tcBorders>
            <w:tcMar>
              <w:top w:w="28" w:type="dxa"/>
              <w:left w:w="57" w:type="dxa"/>
              <w:bottom w:w="28" w:type="dxa"/>
              <w:right w:w="57" w:type="dxa"/>
            </w:tcMar>
          </w:tcPr>
          <w:p w14:paraId="72FBE362" w14:textId="77777777" w:rsidR="00FE291A" w:rsidRDefault="00FE291A">
            <w:pPr>
              <w:widowControl/>
              <w:numPr>
                <w:ilvl w:val="0"/>
                <w:numId w:val="65"/>
              </w:numPr>
              <w:autoSpaceDE/>
              <w:autoSpaceDN/>
              <w:adjustRightInd/>
              <w:ind w:left="567" w:hanging="567"/>
              <w:rPr>
                <w:sz w:val="22"/>
                <w:szCs w:val="22"/>
                <w:lang w:val="de-DE"/>
              </w:rPr>
            </w:pPr>
          </w:p>
        </w:tc>
        <w:tc>
          <w:tcPr>
            <w:tcW w:w="4617" w:type="pct"/>
            <w:gridSpan w:val="3"/>
            <w:tcBorders>
              <w:top w:val="nil"/>
              <w:left w:val="nil"/>
              <w:bottom w:val="nil"/>
            </w:tcBorders>
            <w:tcMar>
              <w:left w:w="0" w:type="dxa"/>
            </w:tcMar>
          </w:tcPr>
          <w:p w14:paraId="444F1293" w14:textId="77777777" w:rsidR="00FE291A" w:rsidRDefault="00C8738F">
            <w:pPr>
              <w:pStyle w:val="ListParagraph"/>
              <w:keepNext/>
              <w:keepLines/>
              <w:suppressAutoHyphens/>
              <w:textAlignment w:val="center"/>
              <w:rPr>
                <w:sz w:val="22"/>
                <w:szCs w:val="22"/>
                <w:lang w:val="de-DE"/>
              </w:rPr>
            </w:pPr>
            <w:r>
              <w:rPr>
                <w:sz w:val="22"/>
                <w:szCs w:val="22"/>
                <w:lang w:val="de-DE"/>
              </w:rPr>
              <w:t>AMGEVITA-Fertigpen (Raumtemperatur)</w:t>
            </w:r>
          </w:p>
        </w:tc>
      </w:tr>
      <w:tr w:rsidR="00FE291A" w14:paraId="53F90973" w14:textId="77777777">
        <w:trPr>
          <w:cantSplit/>
          <w:trHeight w:val="57"/>
        </w:trPr>
        <w:tc>
          <w:tcPr>
            <w:tcW w:w="383" w:type="pct"/>
            <w:tcBorders>
              <w:top w:val="nil"/>
              <w:bottom w:val="nil"/>
              <w:right w:val="nil"/>
            </w:tcBorders>
            <w:tcMar>
              <w:top w:w="28" w:type="dxa"/>
              <w:left w:w="57" w:type="dxa"/>
              <w:bottom w:w="28" w:type="dxa"/>
              <w:right w:w="57" w:type="dxa"/>
            </w:tcMar>
          </w:tcPr>
          <w:p w14:paraId="13114C03" w14:textId="77777777" w:rsidR="00FE291A" w:rsidRDefault="00FE291A">
            <w:pPr>
              <w:widowControl/>
              <w:numPr>
                <w:ilvl w:val="0"/>
                <w:numId w:val="65"/>
              </w:numPr>
              <w:autoSpaceDE/>
              <w:autoSpaceDN/>
              <w:adjustRightInd/>
              <w:ind w:left="567" w:hanging="567"/>
              <w:rPr>
                <w:sz w:val="22"/>
                <w:szCs w:val="22"/>
                <w:lang w:val="de-DE"/>
              </w:rPr>
            </w:pPr>
          </w:p>
        </w:tc>
        <w:tc>
          <w:tcPr>
            <w:tcW w:w="4617" w:type="pct"/>
            <w:gridSpan w:val="3"/>
            <w:tcBorders>
              <w:top w:val="nil"/>
              <w:left w:val="nil"/>
              <w:bottom w:val="nil"/>
            </w:tcBorders>
            <w:tcMar>
              <w:left w:w="0" w:type="dxa"/>
            </w:tcMar>
          </w:tcPr>
          <w:p w14:paraId="199DC0C5" w14:textId="77777777" w:rsidR="00FE291A" w:rsidRDefault="00C8738F">
            <w:pPr>
              <w:pStyle w:val="ListParagraph"/>
              <w:keepNext/>
              <w:keepLines/>
              <w:suppressAutoHyphens/>
              <w:textAlignment w:val="center"/>
              <w:rPr>
                <w:sz w:val="22"/>
                <w:szCs w:val="22"/>
                <w:lang w:val="de-DE"/>
              </w:rPr>
            </w:pPr>
            <w:r>
              <w:rPr>
                <w:sz w:val="22"/>
                <w:szCs w:val="22"/>
                <w:lang w:val="de-DE"/>
              </w:rPr>
              <w:t xml:space="preserve">Durchstichsicherer Behälter </w:t>
            </w:r>
          </w:p>
        </w:tc>
      </w:tr>
      <w:tr w:rsidR="00FE291A" w14:paraId="16F44D39" w14:textId="77777777">
        <w:trPr>
          <w:cantSplit/>
          <w:trHeight w:val="57"/>
        </w:trPr>
        <w:tc>
          <w:tcPr>
            <w:tcW w:w="383" w:type="pct"/>
            <w:tcBorders>
              <w:top w:val="nil"/>
              <w:bottom w:val="nil"/>
              <w:right w:val="nil"/>
            </w:tcBorders>
            <w:tcMar>
              <w:top w:w="28" w:type="dxa"/>
              <w:left w:w="57" w:type="dxa"/>
              <w:bottom w:w="28" w:type="dxa"/>
              <w:right w:w="57" w:type="dxa"/>
            </w:tcMar>
          </w:tcPr>
          <w:p w14:paraId="13EC7059" w14:textId="77777777" w:rsidR="00FE291A" w:rsidRDefault="00FE291A">
            <w:pPr>
              <w:widowControl/>
              <w:numPr>
                <w:ilvl w:val="0"/>
                <w:numId w:val="65"/>
              </w:numPr>
              <w:autoSpaceDE/>
              <w:autoSpaceDN/>
              <w:adjustRightInd/>
              <w:ind w:left="567" w:hanging="567"/>
              <w:rPr>
                <w:sz w:val="22"/>
                <w:szCs w:val="22"/>
                <w:lang w:val="de-DE"/>
              </w:rPr>
            </w:pPr>
          </w:p>
        </w:tc>
        <w:tc>
          <w:tcPr>
            <w:tcW w:w="4617" w:type="pct"/>
            <w:gridSpan w:val="3"/>
            <w:tcBorders>
              <w:top w:val="nil"/>
              <w:left w:val="nil"/>
              <w:bottom w:val="nil"/>
            </w:tcBorders>
            <w:tcMar>
              <w:left w:w="0" w:type="dxa"/>
            </w:tcMar>
          </w:tcPr>
          <w:p w14:paraId="709ECB90" w14:textId="77777777" w:rsidR="00FE291A" w:rsidRDefault="00C8738F">
            <w:pPr>
              <w:rPr>
                <w:sz w:val="22"/>
                <w:szCs w:val="22"/>
                <w:lang w:val="de-DE"/>
              </w:rPr>
            </w:pPr>
            <w:r>
              <w:rPr>
                <w:sz w:val="22"/>
                <w:szCs w:val="22"/>
                <w:lang w:val="de-DE"/>
              </w:rPr>
              <w:t>Alkoholtupfer</w:t>
            </w:r>
          </w:p>
        </w:tc>
      </w:tr>
      <w:tr w:rsidR="00FE291A" w14:paraId="093A160A" w14:textId="77777777">
        <w:trPr>
          <w:cantSplit/>
          <w:trHeight w:val="57"/>
        </w:trPr>
        <w:tc>
          <w:tcPr>
            <w:tcW w:w="383" w:type="pct"/>
            <w:tcBorders>
              <w:top w:val="nil"/>
              <w:bottom w:val="nil"/>
              <w:right w:val="nil"/>
            </w:tcBorders>
            <w:tcMar>
              <w:top w:w="28" w:type="dxa"/>
              <w:left w:w="57" w:type="dxa"/>
              <w:bottom w:w="28" w:type="dxa"/>
              <w:right w:w="57" w:type="dxa"/>
            </w:tcMar>
          </w:tcPr>
          <w:p w14:paraId="35434B90" w14:textId="77777777" w:rsidR="00FE291A" w:rsidRDefault="00FE291A">
            <w:pPr>
              <w:widowControl/>
              <w:numPr>
                <w:ilvl w:val="0"/>
                <w:numId w:val="65"/>
              </w:numPr>
              <w:autoSpaceDE/>
              <w:autoSpaceDN/>
              <w:adjustRightInd/>
              <w:ind w:left="567" w:hanging="567"/>
              <w:rPr>
                <w:sz w:val="22"/>
                <w:szCs w:val="22"/>
                <w:lang w:val="de-DE"/>
              </w:rPr>
            </w:pPr>
          </w:p>
        </w:tc>
        <w:tc>
          <w:tcPr>
            <w:tcW w:w="4617" w:type="pct"/>
            <w:gridSpan w:val="3"/>
            <w:tcBorders>
              <w:top w:val="nil"/>
              <w:left w:val="nil"/>
              <w:bottom w:val="nil"/>
            </w:tcBorders>
            <w:tcMar>
              <w:left w:w="0" w:type="dxa"/>
            </w:tcMar>
          </w:tcPr>
          <w:p w14:paraId="71B6B491" w14:textId="77777777" w:rsidR="00FE291A" w:rsidRDefault="00C8738F">
            <w:pPr>
              <w:rPr>
                <w:sz w:val="22"/>
                <w:szCs w:val="22"/>
                <w:lang w:val="de-DE"/>
              </w:rPr>
            </w:pPr>
            <w:r>
              <w:rPr>
                <w:sz w:val="22"/>
                <w:szCs w:val="22"/>
                <w:lang w:val="de-DE"/>
              </w:rPr>
              <w:t>Pflaster</w:t>
            </w:r>
          </w:p>
        </w:tc>
      </w:tr>
      <w:tr w:rsidR="00FE291A" w14:paraId="54FC0FF5" w14:textId="77777777">
        <w:trPr>
          <w:cantSplit/>
          <w:trHeight w:val="57"/>
        </w:trPr>
        <w:tc>
          <w:tcPr>
            <w:tcW w:w="383" w:type="pct"/>
            <w:tcBorders>
              <w:top w:val="nil"/>
              <w:bottom w:val="single" w:sz="4" w:space="0" w:color="auto"/>
              <w:right w:val="nil"/>
            </w:tcBorders>
            <w:tcMar>
              <w:top w:w="28" w:type="dxa"/>
              <w:left w:w="57" w:type="dxa"/>
              <w:bottom w:w="28" w:type="dxa"/>
              <w:right w:w="57" w:type="dxa"/>
            </w:tcMar>
          </w:tcPr>
          <w:p w14:paraId="146C3EC0" w14:textId="77777777" w:rsidR="00FE291A" w:rsidRDefault="00FE291A">
            <w:pPr>
              <w:widowControl/>
              <w:numPr>
                <w:ilvl w:val="0"/>
                <w:numId w:val="65"/>
              </w:numPr>
              <w:autoSpaceDE/>
              <w:autoSpaceDN/>
              <w:adjustRightInd/>
              <w:ind w:left="567" w:hanging="567"/>
              <w:rPr>
                <w:sz w:val="22"/>
                <w:szCs w:val="22"/>
                <w:lang w:val="de-DE"/>
              </w:rPr>
            </w:pPr>
          </w:p>
        </w:tc>
        <w:tc>
          <w:tcPr>
            <w:tcW w:w="4617" w:type="pct"/>
            <w:gridSpan w:val="3"/>
            <w:tcBorders>
              <w:top w:val="nil"/>
              <w:left w:val="nil"/>
              <w:bottom w:val="single" w:sz="4" w:space="0" w:color="auto"/>
            </w:tcBorders>
            <w:tcMar>
              <w:left w:w="0" w:type="dxa"/>
            </w:tcMar>
          </w:tcPr>
          <w:p w14:paraId="17AFF94F" w14:textId="77777777" w:rsidR="00FE291A" w:rsidRDefault="00C8738F">
            <w:pPr>
              <w:rPr>
                <w:b/>
                <w:bCs/>
                <w:sz w:val="22"/>
                <w:szCs w:val="22"/>
                <w:lang w:val="de-DE"/>
              </w:rPr>
            </w:pPr>
            <w:r>
              <w:rPr>
                <w:sz w:val="22"/>
                <w:szCs w:val="22"/>
                <w:lang w:val="de-DE"/>
              </w:rPr>
              <w:t>Wattebausch oder Verbandmull</w:t>
            </w:r>
          </w:p>
        </w:tc>
      </w:tr>
    </w:tbl>
    <w:p w14:paraId="64FD160C" w14:textId="77777777" w:rsidR="00FE291A" w:rsidRDefault="00FE291A">
      <w:pPr>
        <w:rPr>
          <w:sz w:val="22"/>
          <w:szCs w:val="22"/>
          <w:lang w:val="de-DE"/>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33"/>
        <w:gridCol w:w="8314"/>
      </w:tblGrid>
      <w:tr w:rsidR="00FE291A" w:rsidRPr="002E6CD3" w14:paraId="66973017" w14:textId="77777777">
        <w:trPr>
          <w:cantSplit/>
          <w:trHeight w:val="57"/>
        </w:trPr>
        <w:tc>
          <w:tcPr>
            <w:tcW w:w="354" w:type="pct"/>
            <w:tcBorders>
              <w:bottom w:val="single" w:sz="4" w:space="0" w:color="auto"/>
            </w:tcBorders>
            <w:tcMar>
              <w:top w:w="28" w:type="dxa"/>
              <w:left w:w="57" w:type="dxa"/>
              <w:bottom w:w="28" w:type="dxa"/>
              <w:right w:w="57" w:type="dxa"/>
            </w:tcMar>
          </w:tcPr>
          <w:p w14:paraId="5C43C7B7" w14:textId="77777777" w:rsidR="00FE291A" w:rsidRDefault="00C8738F">
            <w:pPr>
              <w:keepNext/>
              <w:rPr>
                <w:b/>
                <w:bCs/>
                <w:sz w:val="22"/>
                <w:szCs w:val="22"/>
                <w:lang w:val="de-DE"/>
              </w:rPr>
            </w:pPr>
            <w:r>
              <w:rPr>
                <w:b/>
                <w:sz w:val="22"/>
                <w:szCs w:val="22"/>
                <w:lang w:val="de-DE"/>
              </w:rPr>
              <w:t>3b</w:t>
            </w:r>
          </w:p>
        </w:tc>
        <w:tc>
          <w:tcPr>
            <w:tcW w:w="4646" w:type="pct"/>
            <w:tcBorders>
              <w:bottom w:val="single" w:sz="4" w:space="0" w:color="auto"/>
            </w:tcBorders>
            <w:tcMar>
              <w:top w:w="28" w:type="dxa"/>
              <w:left w:w="57" w:type="dxa"/>
              <w:bottom w:w="28" w:type="dxa"/>
              <w:right w:w="57" w:type="dxa"/>
            </w:tcMar>
          </w:tcPr>
          <w:p w14:paraId="2F518CE6" w14:textId="77777777" w:rsidR="00FE291A" w:rsidRDefault="00C8738F">
            <w:pPr>
              <w:pStyle w:val="ListParagraph"/>
              <w:keepNext/>
              <w:ind w:left="567" w:hanging="567"/>
              <w:rPr>
                <w:sz w:val="22"/>
                <w:szCs w:val="22"/>
                <w:lang w:val="de-DE"/>
              </w:rPr>
            </w:pPr>
            <w:r>
              <w:rPr>
                <w:b/>
                <w:sz w:val="22"/>
                <w:szCs w:val="22"/>
                <w:lang w:val="de-DE"/>
              </w:rPr>
              <w:t>Injizieren Sie in eine dieser Stellen.</w:t>
            </w:r>
          </w:p>
        </w:tc>
      </w:tr>
      <w:tr w:rsidR="00FE291A" w14:paraId="584CA63D"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511CC8B5" w14:textId="3291F3BF" w:rsidR="00FE291A" w:rsidRDefault="009C5B62">
            <w:pPr>
              <w:pStyle w:val="ListParagraph"/>
              <w:keepNext/>
              <w:ind w:left="567" w:hanging="567"/>
              <w:jc w:val="center"/>
              <w:rPr>
                <w:sz w:val="22"/>
                <w:szCs w:val="22"/>
                <w:lang w:val="de-DE"/>
              </w:rPr>
            </w:pPr>
            <w:del w:id="534" w:author="Author">
              <w:r>
                <w:rPr>
                  <w:noProof/>
                  <w:sz w:val="22"/>
                  <w:szCs w:val="22"/>
                  <w:lang w:val="de-DE"/>
                </w:rPr>
                <w:drawing>
                  <wp:inline distT="0" distB="0" distL="0" distR="0" wp14:anchorId="23AB0657" wp14:editId="706A2172">
                    <wp:extent cx="3200400" cy="1983105"/>
                    <wp:effectExtent l="0" t="0" r="0" b="0"/>
                    <wp:docPr id="70" name="Bild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00400" cy="1983105"/>
                            </a:xfrm>
                            <a:prstGeom prst="rect">
                              <a:avLst/>
                            </a:prstGeom>
                            <a:noFill/>
                            <a:ln>
                              <a:noFill/>
                            </a:ln>
                          </pic:spPr>
                        </pic:pic>
                      </a:graphicData>
                    </a:graphic>
                  </wp:inline>
                </w:drawing>
              </w:r>
            </w:del>
            <w:ins w:id="535" w:author="Author">
              <w:r>
                <w:rPr>
                  <w:noProof/>
                </w:rPr>
                <w:drawing>
                  <wp:inline distT="0" distB="0" distL="0" distR="0" wp14:anchorId="7563EEE1" wp14:editId="6E1BDE39">
                    <wp:extent cx="1383030" cy="1828800"/>
                    <wp:effectExtent l="0" t="0" r="0" b="0"/>
                    <wp:docPr id="71"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83030" cy="1828800"/>
                            </a:xfrm>
                            <a:prstGeom prst="rect">
                              <a:avLst/>
                            </a:prstGeom>
                            <a:noFill/>
                            <a:ln>
                              <a:noFill/>
                            </a:ln>
                          </pic:spPr>
                        </pic:pic>
                      </a:graphicData>
                    </a:graphic>
                  </wp:inline>
                </w:drawing>
              </w:r>
            </w:ins>
          </w:p>
        </w:tc>
      </w:tr>
      <w:tr w:rsidR="00FE291A" w:rsidRPr="002E6CD3" w14:paraId="0AAE9025" w14:textId="77777777">
        <w:trPr>
          <w:cantSplit/>
          <w:trHeight w:val="57"/>
        </w:trPr>
        <w:tc>
          <w:tcPr>
            <w:tcW w:w="354" w:type="pct"/>
            <w:tcBorders>
              <w:top w:val="nil"/>
              <w:bottom w:val="nil"/>
              <w:right w:val="nil"/>
            </w:tcBorders>
            <w:tcMar>
              <w:top w:w="28" w:type="dxa"/>
              <w:left w:w="57" w:type="dxa"/>
              <w:bottom w:w="28" w:type="dxa"/>
              <w:right w:w="57" w:type="dxa"/>
            </w:tcMar>
          </w:tcPr>
          <w:p w14:paraId="0F924DE0" w14:textId="77777777" w:rsidR="00FE291A" w:rsidRDefault="00FE291A">
            <w:pPr>
              <w:keepNext/>
              <w:widowControl/>
              <w:numPr>
                <w:ilvl w:val="0"/>
                <w:numId w:val="65"/>
              </w:numPr>
              <w:autoSpaceDE/>
              <w:autoSpaceDN/>
              <w:adjustRightInd/>
              <w:ind w:left="567" w:hanging="567"/>
              <w:rPr>
                <w:sz w:val="22"/>
                <w:szCs w:val="22"/>
                <w:lang w:val="de-DE"/>
              </w:rPr>
            </w:pPr>
          </w:p>
        </w:tc>
        <w:tc>
          <w:tcPr>
            <w:tcW w:w="4646" w:type="pct"/>
            <w:tcBorders>
              <w:top w:val="nil"/>
              <w:left w:val="nil"/>
              <w:bottom w:val="nil"/>
            </w:tcBorders>
            <w:tcMar>
              <w:left w:w="0" w:type="dxa"/>
            </w:tcMar>
          </w:tcPr>
          <w:p w14:paraId="7AC24A6F" w14:textId="77777777" w:rsidR="00FE291A" w:rsidRDefault="00C8738F">
            <w:pPr>
              <w:keepNext/>
              <w:tabs>
                <w:tab w:val="left" w:pos="1134"/>
              </w:tabs>
              <w:rPr>
                <w:b/>
                <w:bCs/>
                <w:sz w:val="22"/>
                <w:szCs w:val="22"/>
                <w:lang w:val="de-DE"/>
              </w:rPr>
            </w:pPr>
            <w:r>
              <w:rPr>
                <w:sz w:val="22"/>
                <w:szCs w:val="22"/>
                <w:lang w:val="de-DE"/>
              </w:rPr>
              <w:t xml:space="preserve">Injizieren Sie in </w:t>
            </w:r>
            <w:ins w:id="536" w:author="Author">
              <w:r>
                <w:rPr>
                  <w:sz w:val="22"/>
                  <w:szCs w:val="22"/>
                  <w:lang w:val="de-DE"/>
                </w:rPr>
                <w:t xml:space="preserve">die Vorderseite </w:t>
              </w:r>
            </w:ins>
            <w:r>
              <w:rPr>
                <w:sz w:val="22"/>
                <w:szCs w:val="22"/>
                <w:lang w:val="de-DE"/>
              </w:rPr>
              <w:t>Ihre</w:t>
            </w:r>
            <w:ins w:id="537" w:author="Author">
              <w:r>
                <w:rPr>
                  <w:sz w:val="22"/>
                  <w:szCs w:val="22"/>
                  <w:lang w:val="de-DE"/>
                </w:rPr>
                <w:t>s</w:t>
              </w:r>
            </w:ins>
            <w:del w:id="538" w:author="Author">
              <w:r>
                <w:rPr>
                  <w:sz w:val="22"/>
                  <w:szCs w:val="22"/>
                  <w:lang w:val="de-DE"/>
                </w:rPr>
                <w:delText>n</w:delText>
              </w:r>
            </w:del>
            <w:r>
              <w:rPr>
                <w:sz w:val="22"/>
                <w:szCs w:val="22"/>
                <w:lang w:val="de-DE"/>
              </w:rPr>
              <w:t xml:space="preserve"> Oberschenkel</w:t>
            </w:r>
            <w:ins w:id="539" w:author="Author">
              <w:r>
                <w:rPr>
                  <w:sz w:val="22"/>
                  <w:szCs w:val="22"/>
                  <w:lang w:val="de-DE"/>
                </w:rPr>
                <w:t>s</w:t>
              </w:r>
            </w:ins>
            <w:r>
              <w:rPr>
                <w:sz w:val="22"/>
                <w:szCs w:val="22"/>
                <w:lang w:val="de-DE"/>
              </w:rPr>
              <w:t xml:space="preserve"> oder</w:t>
            </w:r>
            <w:ins w:id="540" w:author="Author">
              <w:r>
                <w:rPr>
                  <w:sz w:val="22"/>
                  <w:szCs w:val="22"/>
                  <w:lang w:val="de-DE"/>
                </w:rPr>
                <w:t xml:space="preserve"> in Ihren</w:t>
              </w:r>
            </w:ins>
            <w:r>
              <w:rPr>
                <w:sz w:val="22"/>
                <w:szCs w:val="22"/>
                <w:lang w:val="de-DE"/>
              </w:rPr>
              <w:t xml:space="preserve"> Bauch (mit Ausnahme von 5 </w:t>
            </w:r>
            <w:del w:id="541" w:author="Author">
              <w:r>
                <w:rPr>
                  <w:sz w:val="22"/>
                  <w:szCs w:val="22"/>
                  <w:lang w:val="de-DE"/>
                </w:rPr>
                <w:delText xml:space="preserve">cm </w:delText>
              </w:r>
            </w:del>
            <w:ins w:id="542" w:author="Author">
              <w:r>
                <w:rPr>
                  <w:sz w:val="22"/>
                  <w:szCs w:val="22"/>
                  <w:lang w:val="de-DE"/>
                </w:rPr>
                <w:t xml:space="preserve">Zentimeter </w:t>
              </w:r>
            </w:ins>
            <w:r>
              <w:rPr>
                <w:sz w:val="22"/>
                <w:szCs w:val="22"/>
                <w:lang w:val="de-DE"/>
              </w:rPr>
              <w:t>um Ihren Bauchnabel herum).</w:t>
            </w:r>
          </w:p>
        </w:tc>
      </w:tr>
      <w:tr w:rsidR="00FE291A" w:rsidRPr="002E6CD3" w14:paraId="4E25AD72" w14:textId="77777777">
        <w:trPr>
          <w:cantSplit/>
          <w:trHeight w:val="57"/>
        </w:trPr>
        <w:tc>
          <w:tcPr>
            <w:tcW w:w="354" w:type="pct"/>
            <w:tcBorders>
              <w:top w:val="nil"/>
              <w:bottom w:val="nil"/>
              <w:right w:val="nil"/>
            </w:tcBorders>
            <w:tcMar>
              <w:top w:w="28" w:type="dxa"/>
              <w:left w:w="57" w:type="dxa"/>
              <w:bottom w:w="28" w:type="dxa"/>
              <w:right w:w="57" w:type="dxa"/>
            </w:tcMar>
          </w:tcPr>
          <w:p w14:paraId="65DC8CD1" w14:textId="77777777" w:rsidR="00FE291A" w:rsidRDefault="00FE291A">
            <w:pPr>
              <w:keepNext/>
              <w:widowControl/>
              <w:numPr>
                <w:ilvl w:val="0"/>
                <w:numId w:val="65"/>
              </w:numPr>
              <w:autoSpaceDE/>
              <w:autoSpaceDN/>
              <w:adjustRightInd/>
              <w:ind w:left="567" w:hanging="567"/>
              <w:rPr>
                <w:sz w:val="22"/>
                <w:szCs w:val="22"/>
                <w:lang w:val="de-DE"/>
              </w:rPr>
            </w:pPr>
          </w:p>
        </w:tc>
        <w:tc>
          <w:tcPr>
            <w:tcW w:w="4646" w:type="pct"/>
            <w:tcBorders>
              <w:top w:val="nil"/>
              <w:left w:val="nil"/>
              <w:bottom w:val="nil"/>
            </w:tcBorders>
            <w:tcMar>
              <w:left w:w="0" w:type="dxa"/>
            </w:tcMar>
          </w:tcPr>
          <w:p w14:paraId="591322AA" w14:textId="77777777" w:rsidR="00FE291A" w:rsidRDefault="00C8738F">
            <w:pPr>
              <w:keepNext/>
              <w:tabs>
                <w:tab w:val="left" w:pos="1134"/>
              </w:tabs>
              <w:rPr>
                <w:sz w:val="22"/>
                <w:szCs w:val="22"/>
                <w:lang w:val="de-DE"/>
              </w:rPr>
            </w:pPr>
            <w:r>
              <w:rPr>
                <w:sz w:val="22"/>
                <w:szCs w:val="22"/>
                <w:lang w:val="de-DE"/>
              </w:rPr>
              <w:t>Wählen Sie für jede Injektion eine andere Stelle.</w:t>
            </w:r>
          </w:p>
        </w:tc>
      </w:tr>
      <w:tr w:rsidR="00FE291A" w:rsidRPr="002E6CD3" w14:paraId="070B8730" w14:textId="77777777">
        <w:trPr>
          <w:cantSplit/>
          <w:trHeight w:val="57"/>
        </w:trPr>
        <w:tc>
          <w:tcPr>
            <w:tcW w:w="354" w:type="pct"/>
            <w:tcBorders>
              <w:top w:val="nil"/>
              <w:bottom w:val="nil"/>
              <w:right w:val="nil"/>
            </w:tcBorders>
            <w:tcMar>
              <w:top w:w="28" w:type="dxa"/>
              <w:left w:w="57" w:type="dxa"/>
              <w:bottom w:w="28" w:type="dxa"/>
              <w:right w:w="57" w:type="dxa"/>
            </w:tcMar>
          </w:tcPr>
          <w:p w14:paraId="167BD884" w14:textId="77777777" w:rsidR="00FE291A" w:rsidRDefault="00FE291A">
            <w:pPr>
              <w:keepNext/>
              <w:widowControl/>
              <w:numPr>
                <w:ilvl w:val="0"/>
                <w:numId w:val="65"/>
              </w:numPr>
              <w:autoSpaceDE/>
              <w:autoSpaceDN/>
              <w:adjustRightInd/>
              <w:ind w:left="567" w:hanging="567"/>
              <w:rPr>
                <w:sz w:val="22"/>
                <w:szCs w:val="22"/>
                <w:lang w:val="de-DE"/>
              </w:rPr>
            </w:pPr>
          </w:p>
        </w:tc>
        <w:tc>
          <w:tcPr>
            <w:tcW w:w="4646" w:type="pct"/>
            <w:tcBorders>
              <w:top w:val="nil"/>
              <w:left w:val="nil"/>
              <w:bottom w:val="nil"/>
            </w:tcBorders>
            <w:tcMar>
              <w:left w:w="0" w:type="dxa"/>
            </w:tcMar>
          </w:tcPr>
          <w:p w14:paraId="282DFB39" w14:textId="77777777" w:rsidR="00FE291A" w:rsidRDefault="00C8738F">
            <w:pPr>
              <w:keepNext/>
              <w:tabs>
                <w:tab w:val="left" w:pos="1134"/>
              </w:tabs>
              <w:rPr>
                <w:sz w:val="22"/>
                <w:szCs w:val="22"/>
                <w:lang w:val="de-DE"/>
              </w:rPr>
            </w:pPr>
            <w:r>
              <w:rPr>
                <w:sz w:val="22"/>
                <w:szCs w:val="22"/>
                <w:lang w:val="de-DE"/>
              </w:rPr>
              <w:t>Waschen Sie Ihre Hände gründlich mit Wasser und Seife.</w:t>
            </w:r>
          </w:p>
        </w:tc>
      </w:tr>
      <w:tr w:rsidR="00FE291A" w:rsidRPr="002E6CD3" w14:paraId="10E0CBE2" w14:textId="77777777">
        <w:trPr>
          <w:cantSplit/>
          <w:trHeight w:val="57"/>
        </w:trPr>
        <w:tc>
          <w:tcPr>
            <w:tcW w:w="354" w:type="pct"/>
            <w:tcBorders>
              <w:top w:val="nil"/>
              <w:bottom w:val="nil"/>
              <w:right w:val="nil"/>
            </w:tcBorders>
            <w:tcMar>
              <w:top w:w="28" w:type="dxa"/>
              <w:left w:w="57" w:type="dxa"/>
              <w:bottom w:w="28" w:type="dxa"/>
              <w:right w:w="57" w:type="dxa"/>
            </w:tcMar>
          </w:tcPr>
          <w:p w14:paraId="604DE8DE" w14:textId="77777777" w:rsidR="00FE291A" w:rsidRDefault="00FE291A">
            <w:pPr>
              <w:keepNext/>
              <w:widowControl/>
              <w:numPr>
                <w:ilvl w:val="0"/>
                <w:numId w:val="65"/>
              </w:numPr>
              <w:autoSpaceDE/>
              <w:autoSpaceDN/>
              <w:adjustRightInd/>
              <w:ind w:left="567" w:hanging="567"/>
              <w:rPr>
                <w:sz w:val="22"/>
                <w:szCs w:val="22"/>
                <w:lang w:val="de-DE"/>
              </w:rPr>
            </w:pPr>
          </w:p>
        </w:tc>
        <w:tc>
          <w:tcPr>
            <w:tcW w:w="4646" w:type="pct"/>
            <w:tcBorders>
              <w:top w:val="nil"/>
              <w:left w:val="nil"/>
              <w:bottom w:val="nil"/>
            </w:tcBorders>
            <w:tcMar>
              <w:left w:w="0" w:type="dxa"/>
            </w:tcMar>
          </w:tcPr>
          <w:p w14:paraId="27EB81D7" w14:textId="77777777" w:rsidR="00FE291A" w:rsidRDefault="00C8738F">
            <w:pPr>
              <w:keepNext/>
              <w:rPr>
                <w:sz w:val="22"/>
                <w:szCs w:val="22"/>
                <w:lang w:val="de-DE"/>
              </w:rPr>
            </w:pPr>
            <w:r>
              <w:rPr>
                <w:sz w:val="22"/>
                <w:szCs w:val="22"/>
                <w:lang w:val="de-DE"/>
              </w:rPr>
              <w:t>Reinigen Sie die Injektionsstelle mit einem Alkoholtupfer.</w:t>
            </w:r>
          </w:p>
        </w:tc>
      </w:tr>
      <w:tr w:rsidR="00FE291A" w:rsidRPr="00723069" w14:paraId="2732576F" w14:textId="77777777">
        <w:trPr>
          <w:cantSplit/>
          <w:trHeight w:val="55"/>
        </w:trPr>
        <w:tc>
          <w:tcPr>
            <w:tcW w:w="354" w:type="pct"/>
            <w:tcBorders>
              <w:top w:val="nil"/>
              <w:bottom w:val="nil"/>
              <w:right w:val="nil"/>
            </w:tcBorders>
            <w:tcMar>
              <w:top w:w="28" w:type="dxa"/>
              <w:left w:w="57" w:type="dxa"/>
              <w:bottom w:w="28" w:type="dxa"/>
              <w:right w:w="57" w:type="dxa"/>
            </w:tcMar>
          </w:tcPr>
          <w:p w14:paraId="1AFA481D" w14:textId="77777777" w:rsidR="00FE291A" w:rsidRDefault="00FE291A">
            <w:pPr>
              <w:keepNext/>
              <w:widowControl/>
              <w:numPr>
                <w:ilvl w:val="0"/>
                <w:numId w:val="65"/>
              </w:numPr>
              <w:autoSpaceDE/>
              <w:autoSpaceDN/>
              <w:adjustRightInd/>
              <w:ind w:left="567" w:hanging="567"/>
              <w:rPr>
                <w:sz w:val="22"/>
                <w:szCs w:val="22"/>
                <w:lang w:val="de-DE"/>
              </w:rPr>
            </w:pPr>
          </w:p>
        </w:tc>
        <w:tc>
          <w:tcPr>
            <w:tcW w:w="4646" w:type="pct"/>
            <w:tcBorders>
              <w:top w:val="nil"/>
              <w:left w:val="nil"/>
              <w:bottom w:val="nil"/>
            </w:tcBorders>
            <w:tcMar>
              <w:left w:w="0" w:type="dxa"/>
            </w:tcMar>
          </w:tcPr>
          <w:p w14:paraId="0EAD3E0E" w14:textId="3ADC34D6" w:rsidR="00FE291A" w:rsidRDefault="00C8738F">
            <w:pPr>
              <w:keepNext/>
              <w:tabs>
                <w:tab w:val="left" w:pos="1134"/>
              </w:tabs>
              <w:rPr>
                <w:sz w:val="22"/>
                <w:szCs w:val="22"/>
                <w:lang w:val="de-DE"/>
              </w:rPr>
            </w:pPr>
            <w:r>
              <w:rPr>
                <w:sz w:val="22"/>
                <w:szCs w:val="22"/>
                <w:lang w:val="de-DE"/>
              </w:rPr>
              <w:t xml:space="preserve">Lassen Sie </w:t>
            </w:r>
            <w:del w:id="543" w:author="Author">
              <w:r w:rsidDel="00211AE1">
                <w:rPr>
                  <w:sz w:val="22"/>
                  <w:szCs w:val="22"/>
                  <w:lang w:val="de-DE"/>
                </w:rPr>
                <w:delText xml:space="preserve">Ihre </w:delText>
              </w:r>
            </w:del>
            <w:ins w:id="544" w:author="Author">
              <w:r w:rsidR="00211AE1">
                <w:rPr>
                  <w:sz w:val="22"/>
                  <w:szCs w:val="22"/>
                  <w:lang w:val="de-DE"/>
                </w:rPr>
                <w:t xml:space="preserve">die </w:t>
              </w:r>
            </w:ins>
            <w:r>
              <w:rPr>
                <w:sz w:val="22"/>
                <w:szCs w:val="22"/>
                <w:lang w:val="de-DE"/>
              </w:rPr>
              <w:t>Haut an der Luft trocknen.</w:t>
            </w:r>
          </w:p>
        </w:tc>
      </w:tr>
      <w:tr w:rsidR="00FE291A" w:rsidRPr="00723069" w14:paraId="0DB9B599" w14:textId="77777777">
        <w:trPr>
          <w:cantSplit/>
          <w:trHeight w:val="55"/>
        </w:trPr>
        <w:tc>
          <w:tcPr>
            <w:tcW w:w="354" w:type="pct"/>
            <w:tcBorders>
              <w:top w:val="nil"/>
              <w:bottom w:val="nil"/>
              <w:right w:val="nil"/>
            </w:tcBorders>
            <w:tcMar>
              <w:top w:w="28" w:type="dxa"/>
              <w:left w:w="57" w:type="dxa"/>
              <w:bottom w:w="28" w:type="dxa"/>
              <w:right w:w="57" w:type="dxa"/>
            </w:tcMar>
          </w:tcPr>
          <w:p w14:paraId="51510794" w14:textId="77777777" w:rsidR="00FE291A" w:rsidRDefault="00FE291A">
            <w:pPr>
              <w:keepNext/>
              <w:widowControl/>
              <w:numPr>
                <w:ilvl w:val="0"/>
                <w:numId w:val="65"/>
              </w:numPr>
              <w:autoSpaceDE/>
              <w:autoSpaceDN/>
              <w:adjustRightInd/>
              <w:ind w:left="567" w:hanging="567"/>
              <w:rPr>
                <w:sz w:val="22"/>
                <w:szCs w:val="22"/>
                <w:lang w:val="de-DE"/>
              </w:rPr>
            </w:pPr>
          </w:p>
        </w:tc>
        <w:tc>
          <w:tcPr>
            <w:tcW w:w="4646" w:type="pct"/>
            <w:tcBorders>
              <w:top w:val="nil"/>
              <w:left w:val="nil"/>
              <w:bottom w:val="nil"/>
            </w:tcBorders>
            <w:tcMar>
              <w:left w:w="0" w:type="dxa"/>
            </w:tcMar>
          </w:tcPr>
          <w:p w14:paraId="2C9C92D5" w14:textId="77777777" w:rsidR="00FE291A" w:rsidRDefault="00C8738F">
            <w:pPr>
              <w:keepNext/>
              <w:tabs>
                <w:tab w:val="left" w:pos="1134"/>
              </w:tabs>
              <w:rPr>
                <w:sz w:val="22"/>
                <w:szCs w:val="22"/>
                <w:lang w:val="de-DE"/>
              </w:rPr>
            </w:pPr>
            <w:r>
              <w:rPr>
                <w:sz w:val="22"/>
                <w:szCs w:val="22"/>
                <w:lang w:val="de-DE"/>
              </w:rPr>
              <w:t xml:space="preserve">Diesen Bereich vor der Injektion </w:t>
            </w:r>
            <w:r>
              <w:rPr>
                <w:b/>
                <w:sz w:val="22"/>
                <w:szCs w:val="22"/>
                <w:lang w:val="de-DE"/>
              </w:rPr>
              <w:t>nicht</w:t>
            </w:r>
            <w:r>
              <w:rPr>
                <w:sz w:val="22"/>
                <w:szCs w:val="22"/>
                <w:lang w:val="de-DE"/>
              </w:rPr>
              <w:t xml:space="preserve"> noch einmal berühren.</w:t>
            </w:r>
          </w:p>
        </w:tc>
      </w:tr>
      <w:tr w:rsidR="00FE291A" w:rsidRPr="00723069" w14:paraId="2B6B213D" w14:textId="77777777">
        <w:trPr>
          <w:cantSplit/>
          <w:trHeight w:val="55"/>
        </w:trPr>
        <w:tc>
          <w:tcPr>
            <w:tcW w:w="5000" w:type="pct"/>
            <w:gridSpan w:val="2"/>
            <w:tcBorders>
              <w:top w:val="nil"/>
              <w:bottom w:val="single" w:sz="4" w:space="0" w:color="auto"/>
            </w:tcBorders>
            <w:tcMar>
              <w:top w:w="28" w:type="dxa"/>
              <w:left w:w="57" w:type="dxa"/>
              <w:bottom w:w="28" w:type="dxa"/>
              <w:right w:w="57" w:type="dxa"/>
            </w:tcMar>
          </w:tcPr>
          <w:p w14:paraId="2878553F" w14:textId="7B739BD3" w:rsidR="00FE291A" w:rsidRDefault="009C5B62">
            <w:pPr>
              <w:keepNext/>
              <w:tabs>
                <w:tab w:val="left" w:pos="1134"/>
              </w:tabs>
              <w:rPr>
                <w:b/>
                <w:bCs/>
                <w:sz w:val="22"/>
                <w:szCs w:val="22"/>
                <w:lang w:val="de-DE"/>
              </w:rPr>
            </w:pPr>
            <w:r>
              <w:rPr>
                <w:noProof/>
              </w:rPr>
              <mc:AlternateContent>
                <mc:Choice Requires="wps">
                  <w:drawing>
                    <wp:anchor distT="45720" distB="45720" distL="114300" distR="114300" simplePos="0" relativeHeight="28" behindDoc="0" locked="0" layoutInCell="1" allowOverlap="1" wp14:anchorId="4A8813B9" wp14:editId="22DFB6C6">
                      <wp:simplePos x="0" y="0"/>
                      <wp:positionH relativeFrom="margin">
                        <wp:posOffset>-2540</wp:posOffset>
                      </wp:positionH>
                      <wp:positionV relativeFrom="paragraph">
                        <wp:posOffset>6350</wp:posOffset>
                      </wp:positionV>
                      <wp:extent cx="5605780" cy="431800"/>
                      <wp:effectExtent l="0" t="0" r="0" b="6350"/>
                      <wp:wrapSquare wrapText="bothSides"/>
                      <wp:docPr id="20127087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5780" cy="431800"/>
                              </a:xfrm>
                              <a:prstGeom prst="rect">
                                <a:avLst/>
                              </a:prstGeom>
                              <a:solidFill>
                                <a:srgbClr val="FFFFFF"/>
                              </a:solidFill>
                              <a:ln w="19050">
                                <a:solidFill>
                                  <a:srgbClr val="FF0000"/>
                                </a:solidFill>
                                <a:miter lim="800000"/>
                              </a:ln>
                            </wps:spPr>
                            <wps:txbx>
                              <w:txbxContent>
                                <w:p w14:paraId="660A8F17" w14:textId="77777777" w:rsidR="00FE291A" w:rsidRDefault="00C8738F">
                                  <w:pPr>
                                    <w:tabs>
                                      <w:tab w:val="left" w:pos="1134"/>
                                    </w:tabs>
                                    <w:rPr>
                                      <w:sz w:val="22"/>
                                      <w:lang w:val="de-DE"/>
                                    </w:rPr>
                                  </w:pPr>
                                  <w:r>
                                    <w:rPr>
                                      <w:b/>
                                      <w:sz w:val="22"/>
                                      <w:lang w:val="de-DE"/>
                                    </w:rPr>
                                    <w:t>Wichtig:</w:t>
                                  </w:r>
                                  <w:r>
                                    <w:rPr>
                                      <w:sz w:val="22"/>
                                      <w:lang w:val="de-DE"/>
                                    </w:rPr>
                                    <w:t xml:space="preserve"> Vermeiden Sie Bereiche mit Narben, Dehnungsstreifen oder in denen die Haut empfindlich, gerötet oder verhärtet ist bzw. einen Bluterguss aufweist.</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4A8813B9" id="Text Box 8" o:spid="_x0000_s1043" type="#_x0000_t202" style="position:absolute;margin-left:-.2pt;margin-top:.5pt;width:441.4pt;height:34pt;z-index: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" strokecolor="red" strokeweight="1.5pt">
                      <v:textbox style="mso-fit-shape-to-text:t">
                        <w:txbxContent>
                          <w:p w14:paraId="660A8F17" w14:textId="77777777" w:rsidR="00FE291A" w:rsidRDefault="00C8738F">
                            <w:pPr>
                              <w:tabs>
                                <w:tab w:val="left" w:pos="1134"/>
                              </w:tabs>
                              <w:rPr>
                                <w:sz w:val="22"/>
                                <w:lang w:val="de-DE"/>
                              </w:rPr>
                            </w:pPr>
                            <w:r>
                              <w:rPr>
                                <w:b/>
                                <w:sz w:val="22"/>
                                <w:lang w:val="de-DE"/>
                              </w:rPr>
                              <w:t>Wichtig:</w:t>
                            </w:r>
                            <w:r>
                              <w:rPr>
                                <w:sz w:val="22"/>
                                <w:lang w:val="de-DE"/>
                              </w:rPr>
                              <w:t xml:space="preserve"> Vermeiden Sie Bereiche mit Narben, Dehnungsstreifen oder in denen die Haut empfindlich, gerötet oder verhärtet ist bzw. einen Bluterguss aufweist.</w:t>
                            </w:r>
                          </w:p>
                        </w:txbxContent>
                      </v:textbox>
                      <w10:wrap type="square" anchorx="margin"/>
                    </v:shape>
                  </w:pict>
                </mc:Fallback>
              </mc:AlternateContent>
            </w:r>
            <w:r w:rsidR="00C8738F">
              <w:rPr>
                <w:b/>
                <w:bCs/>
                <w:sz w:val="22"/>
                <w:szCs w:val="22"/>
                <w:lang w:val="de-DE"/>
              </w:rPr>
              <w:t xml:space="preserve"> </w:t>
            </w:r>
          </w:p>
        </w:tc>
      </w:tr>
    </w:tbl>
    <w:p w14:paraId="47E6E259" w14:textId="77777777" w:rsidR="00FE291A" w:rsidRDefault="00FE291A">
      <w:pPr>
        <w:tabs>
          <w:tab w:val="left" w:pos="1134"/>
        </w:tabs>
        <w:rPr>
          <w:sz w:val="22"/>
          <w:szCs w:val="22"/>
          <w:lang w:val="de-DE"/>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35"/>
        <w:gridCol w:w="1589"/>
        <w:gridCol w:w="6723"/>
      </w:tblGrid>
      <w:tr w:rsidR="00FE291A" w14:paraId="55B50FE4" w14:textId="77777777">
        <w:trPr>
          <w:cantSplit/>
          <w:trHeight w:val="57"/>
        </w:trPr>
        <w:tc>
          <w:tcPr>
            <w:tcW w:w="355" w:type="pct"/>
            <w:tcMar>
              <w:top w:w="28" w:type="dxa"/>
              <w:left w:w="57" w:type="dxa"/>
              <w:bottom w:w="28" w:type="dxa"/>
              <w:right w:w="57" w:type="dxa"/>
            </w:tcMar>
          </w:tcPr>
          <w:p w14:paraId="7F864B37" w14:textId="77777777" w:rsidR="00FE291A" w:rsidRDefault="00C8738F">
            <w:pPr>
              <w:keepNext/>
              <w:rPr>
                <w:b/>
                <w:bCs/>
                <w:sz w:val="22"/>
                <w:szCs w:val="22"/>
                <w:lang w:val="de-DE"/>
              </w:rPr>
            </w:pPr>
            <w:r>
              <w:rPr>
                <w:b/>
                <w:sz w:val="22"/>
                <w:szCs w:val="22"/>
                <w:lang w:val="de-DE"/>
              </w:rPr>
              <w:t>4</w:t>
            </w:r>
          </w:p>
        </w:tc>
        <w:tc>
          <w:tcPr>
            <w:tcW w:w="4645" w:type="pct"/>
            <w:gridSpan w:val="2"/>
            <w:tcMar>
              <w:top w:w="28" w:type="dxa"/>
              <w:left w:w="57" w:type="dxa"/>
              <w:bottom w:w="28" w:type="dxa"/>
              <w:right w:w="57" w:type="dxa"/>
            </w:tcMar>
          </w:tcPr>
          <w:p w14:paraId="5E0089D8" w14:textId="77777777" w:rsidR="00FE291A" w:rsidRDefault="00C8738F">
            <w:pPr>
              <w:pStyle w:val="ListParagraph"/>
              <w:keepNext/>
              <w:ind w:left="567" w:hanging="567"/>
              <w:rPr>
                <w:sz w:val="22"/>
                <w:szCs w:val="22"/>
                <w:lang w:val="de-DE"/>
              </w:rPr>
            </w:pPr>
            <w:r>
              <w:rPr>
                <w:b/>
                <w:sz w:val="22"/>
                <w:szCs w:val="22"/>
                <w:lang w:val="de-DE"/>
              </w:rPr>
              <w:t>Injektion von AMGEVITA</w:t>
            </w:r>
          </w:p>
        </w:tc>
      </w:tr>
      <w:tr w:rsidR="00FE291A" w14:paraId="1D1A57CA" w14:textId="77777777">
        <w:trPr>
          <w:cantSplit/>
          <w:trHeight w:val="57"/>
        </w:trPr>
        <w:tc>
          <w:tcPr>
            <w:tcW w:w="5000" w:type="pct"/>
            <w:gridSpan w:val="3"/>
            <w:tcBorders>
              <w:bottom w:val="single" w:sz="4" w:space="0" w:color="auto"/>
            </w:tcBorders>
            <w:tcMar>
              <w:top w:w="28" w:type="dxa"/>
              <w:left w:w="57" w:type="dxa"/>
              <w:bottom w:w="28" w:type="dxa"/>
              <w:right w:w="57" w:type="dxa"/>
            </w:tcMar>
          </w:tcPr>
          <w:p w14:paraId="1E2F714D" w14:textId="00D58ED4" w:rsidR="00FE291A" w:rsidRDefault="009C5B62">
            <w:pPr>
              <w:pStyle w:val="ListParagraph"/>
              <w:keepNext/>
              <w:ind w:left="567" w:hanging="567"/>
              <w:rPr>
                <w:sz w:val="22"/>
                <w:szCs w:val="22"/>
                <w:lang w:val="de-DE"/>
              </w:rPr>
            </w:pPr>
            <w:r>
              <w:rPr>
                <w:noProof/>
              </w:rPr>
              <mc:AlternateContent>
                <mc:Choice Requires="wps">
                  <w:drawing>
                    <wp:anchor distT="45720" distB="45720" distL="114300" distR="114300" simplePos="0" relativeHeight="25" behindDoc="0" locked="0" layoutInCell="1" allowOverlap="1" wp14:anchorId="04BE90B1" wp14:editId="04CB284C">
                      <wp:simplePos x="0" y="0"/>
                      <wp:positionH relativeFrom="margin">
                        <wp:posOffset>6985</wp:posOffset>
                      </wp:positionH>
                      <wp:positionV relativeFrom="paragraph">
                        <wp:posOffset>1270</wp:posOffset>
                      </wp:positionV>
                      <wp:extent cx="5606415" cy="431800"/>
                      <wp:effectExtent l="0" t="0" r="0" b="6350"/>
                      <wp:wrapSquare wrapText="bothSides"/>
                      <wp:docPr id="1324601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6415" cy="431800"/>
                              </a:xfrm>
                              <a:prstGeom prst="rect">
                                <a:avLst/>
                              </a:prstGeom>
                              <a:solidFill>
                                <a:srgbClr val="FFFFFF"/>
                              </a:solidFill>
                              <a:ln w="19050">
                                <a:solidFill>
                                  <a:srgbClr val="FF0000"/>
                                </a:solidFill>
                                <a:miter lim="800000"/>
                              </a:ln>
                            </wps:spPr>
                            <wps:txbx>
                              <w:txbxContent>
                                <w:p w14:paraId="7927902C" w14:textId="77777777" w:rsidR="00FE291A" w:rsidRDefault="00C8738F">
                                  <w:pPr>
                                    <w:tabs>
                                      <w:tab w:val="left" w:pos="1134"/>
                                    </w:tabs>
                                    <w:rPr>
                                      <w:sz w:val="22"/>
                                      <w:lang w:val="de-DE"/>
                                    </w:rPr>
                                  </w:pPr>
                                  <w:r>
                                    <w:rPr>
                                      <w:b/>
                                      <w:sz w:val="22"/>
                                      <w:lang w:val="de-DE"/>
                                    </w:rPr>
                                    <w:t>Wichtig:</w:t>
                                  </w:r>
                                  <w:r>
                                    <w:rPr>
                                      <w:sz w:val="22"/>
                                      <w:lang w:val="de-DE"/>
                                    </w:rPr>
                                    <w:t xml:space="preserve"> Nehmen Sie die gelbe Kappe erst unmittelbar (max. 5 Minuten) vor der Injektion ab, weil das Arzneimittel austrocknen kann.</w:t>
                                  </w:r>
                                  <w:ins w:id="545" w:author="Author">
                                    <w:r>
                                      <w:rPr>
                                        <w:sz w:val="22"/>
                                        <w:lang w:val="de-DE"/>
                                      </w:rPr>
                                      <w:t xml:space="preserve"> Setzen Sie die Kappe nicht wieder auf.</w:t>
                                    </w:r>
                                  </w:ins>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04BE90B1" id="Text Box 7" o:spid="_x0000_s1044" type="#_x0000_t202" style="position:absolute;left:0;text-align:left;margin-left:.55pt;margin-top:.1pt;width:441.45pt;height:34pt;z-index:2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" strokecolor="red" strokeweight="1.5pt">
                      <v:textbox style="mso-fit-shape-to-text:t">
                        <w:txbxContent>
                          <w:p w14:paraId="7927902C" w14:textId="77777777" w:rsidR="00FE291A" w:rsidRDefault="00C8738F">
                            <w:pPr>
                              <w:tabs>
                                <w:tab w:val="left" w:pos="1134"/>
                              </w:tabs>
                              <w:rPr>
                                <w:sz w:val="22"/>
                                <w:lang w:val="de-DE"/>
                              </w:rPr>
                            </w:pPr>
                            <w:r>
                              <w:rPr>
                                <w:b/>
                                <w:sz w:val="22"/>
                                <w:lang w:val="de-DE"/>
                              </w:rPr>
                              <w:t>Wichtig:</w:t>
                            </w:r>
                            <w:r>
                              <w:rPr>
                                <w:sz w:val="22"/>
                                <w:lang w:val="de-DE"/>
                              </w:rPr>
                              <w:t xml:space="preserve"> Nehmen Sie die gelbe Kappe erst unmittelbar (max. 5 Minuten) vor der Injektion ab, weil das Arzneimittel austrocknen kann.</w:t>
                            </w:r>
                            <w:ins w:id="546" w:author="Author">
                              <w:r>
                                <w:rPr>
                                  <w:sz w:val="22"/>
                                  <w:lang w:val="de-DE"/>
                                </w:rPr>
                                <w:t xml:space="preserve"> Setzen Sie die Kappe nicht wieder auf.</w:t>
                              </w:r>
                            </w:ins>
                          </w:p>
                        </w:txbxContent>
                      </v:textbox>
                      <w10:wrap type="square" anchorx="margin"/>
                    </v:shape>
                  </w:pict>
                </mc:Fallback>
              </mc:AlternateContent>
            </w:r>
            <w:r w:rsidR="00C8738F">
              <w:rPr>
                <w:sz w:val="22"/>
                <w:szCs w:val="22"/>
                <w:lang w:val="de-DE"/>
              </w:rPr>
              <w:t xml:space="preserve"> </w:t>
            </w:r>
          </w:p>
        </w:tc>
      </w:tr>
      <w:tr w:rsidR="00FE291A" w:rsidRPr="002E6CD3" w14:paraId="7DB34BEF" w14:textId="77777777">
        <w:trPr>
          <w:cantSplit/>
          <w:trHeight w:val="57"/>
        </w:trPr>
        <w:tc>
          <w:tcPr>
            <w:tcW w:w="355" w:type="pct"/>
            <w:tcBorders>
              <w:bottom w:val="single" w:sz="4" w:space="0" w:color="auto"/>
            </w:tcBorders>
            <w:tcMar>
              <w:top w:w="28" w:type="dxa"/>
              <w:left w:w="57" w:type="dxa"/>
              <w:bottom w:w="28" w:type="dxa"/>
              <w:right w:w="57" w:type="dxa"/>
            </w:tcMar>
          </w:tcPr>
          <w:p w14:paraId="16A6986F" w14:textId="77777777" w:rsidR="00FE291A" w:rsidRDefault="00C8738F">
            <w:pPr>
              <w:keepNext/>
              <w:rPr>
                <w:b/>
                <w:bCs/>
                <w:sz w:val="22"/>
                <w:szCs w:val="22"/>
                <w:lang w:val="de-DE"/>
              </w:rPr>
            </w:pPr>
            <w:r>
              <w:rPr>
                <w:b/>
                <w:sz w:val="22"/>
                <w:szCs w:val="22"/>
                <w:lang w:val="de-DE"/>
              </w:rPr>
              <w:t>4a</w:t>
            </w:r>
          </w:p>
        </w:tc>
        <w:tc>
          <w:tcPr>
            <w:tcW w:w="4645" w:type="pct"/>
            <w:gridSpan w:val="2"/>
            <w:tcBorders>
              <w:bottom w:val="single" w:sz="4" w:space="0" w:color="auto"/>
            </w:tcBorders>
            <w:tcMar>
              <w:top w:w="28" w:type="dxa"/>
              <w:left w:w="57" w:type="dxa"/>
              <w:bottom w:w="28" w:type="dxa"/>
              <w:right w:w="57" w:type="dxa"/>
            </w:tcMar>
          </w:tcPr>
          <w:p w14:paraId="103288B5" w14:textId="77777777" w:rsidR="00FE291A" w:rsidRDefault="00C8738F">
            <w:pPr>
              <w:keepNext/>
              <w:rPr>
                <w:sz w:val="22"/>
                <w:szCs w:val="22"/>
                <w:lang w:val="de-DE"/>
              </w:rPr>
            </w:pPr>
            <w:r>
              <w:rPr>
                <w:b/>
                <w:sz w:val="22"/>
                <w:szCs w:val="22"/>
                <w:lang w:val="de-DE"/>
              </w:rPr>
              <w:t>Halten Sie den Fertigpen so, dass Sie das Sichtfenster sehen können. Ziehen Sie die gelbe Kappe gerade ab. Eventuell müssen Sie fest ziehen.</w:t>
            </w:r>
          </w:p>
        </w:tc>
      </w:tr>
      <w:tr w:rsidR="00FE291A" w14:paraId="2640B99A" w14:textId="77777777">
        <w:trPr>
          <w:cantSplit/>
          <w:trHeight w:val="57"/>
        </w:trPr>
        <w:tc>
          <w:tcPr>
            <w:tcW w:w="1243" w:type="pct"/>
            <w:gridSpan w:val="2"/>
            <w:tcBorders>
              <w:bottom w:val="single" w:sz="4" w:space="0" w:color="auto"/>
              <w:right w:val="nil"/>
            </w:tcBorders>
            <w:tcMar>
              <w:top w:w="28" w:type="dxa"/>
              <w:left w:w="57" w:type="dxa"/>
              <w:bottom w:w="28" w:type="dxa"/>
              <w:right w:w="57" w:type="dxa"/>
            </w:tcMar>
          </w:tcPr>
          <w:p w14:paraId="62751B44" w14:textId="77777777" w:rsidR="00FE291A" w:rsidRDefault="00FE291A">
            <w:pPr>
              <w:pStyle w:val="ListParagraph"/>
              <w:keepNext/>
              <w:ind w:left="567" w:hanging="567"/>
              <w:jc w:val="center"/>
              <w:rPr>
                <w:b/>
                <w:bCs/>
                <w:sz w:val="22"/>
                <w:szCs w:val="22"/>
                <w:lang w:val="de-DE"/>
              </w:rPr>
            </w:pPr>
          </w:p>
          <w:p w14:paraId="41A3DAE4" w14:textId="77777777" w:rsidR="00FE291A" w:rsidRDefault="00FE291A">
            <w:pPr>
              <w:pStyle w:val="ListParagraph"/>
              <w:keepNext/>
              <w:ind w:left="567" w:hanging="567"/>
              <w:jc w:val="center"/>
              <w:rPr>
                <w:b/>
                <w:bCs/>
                <w:sz w:val="22"/>
                <w:szCs w:val="22"/>
                <w:lang w:val="de-DE"/>
              </w:rPr>
            </w:pPr>
          </w:p>
          <w:p w14:paraId="461138D7" w14:textId="77777777" w:rsidR="00FE291A" w:rsidRDefault="00FE291A">
            <w:pPr>
              <w:pStyle w:val="ListParagraph"/>
              <w:keepNext/>
              <w:ind w:left="567" w:hanging="567"/>
              <w:jc w:val="center"/>
              <w:rPr>
                <w:b/>
                <w:bCs/>
                <w:sz w:val="22"/>
                <w:szCs w:val="22"/>
                <w:lang w:val="de-DE"/>
              </w:rPr>
            </w:pPr>
          </w:p>
          <w:p w14:paraId="1DBE6C0B" w14:textId="3762A159" w:rsidR="00FE291A" w:rsidDel="00CF4CF5" w:rsidRDefault="00FE291A">
            <w:pPr>
              <w:pStyle w:val="ListParagraph"/>
              <w:keepNext/>
              <w:ind w:left="567" w:hanging="567"/>
              <w:jc w:val="center"/>
              <w:rPr>
                <w:del w:id="547" w:author="Author"/>
                <w:b/>
                <w:bCs/>
                <w:sz w:val="22"/>
                <w:szCs w:val="22"/>
                <w:lang w:val="de-DE"/>
              </w:rPr>
            </w:pPr>
          </w:p>
          <w:p w14:paraId="2D43B6F7" w14:textId="4C2C8F65" w:rsidR="00FE291A" w:rsidDel="00CF4CF5" w:rsidRDefault="00FE291A">
            <w:pPr>
              <w:pStyle w:val="ListParagraph"/>
              <w:keepNext/>
              <w:ind w:left="567" w:hanging="567"/>
              <w:jc w:val="center"/>
              <w:rPr>
                <w:del w:id="548" w:author="Author"/>
                <w:b/>
                <w:bCs/>
                <w:sz w:val="22"/>
                <w:szCs w:val="22"/>
                <w:lang w:val="de-DE"/>
              </w:rPr>
            </w:pPr>
          </w:p>
          <w:p w14:paraId="19CEFAD3" w14:textId="77777777" w:rsidR="00FE291A" w:rsidRDefault="00C8738F">
            <w:pPr>
              <w:pStyle w:val="ListParagraph"/>
              <w:keepNext/>
              <w:ind w:right="-52" w:firstLine="6"/>
              <w:jc w:val="center"/>
              <w:rPr>
                <w:sz w:val="22"/>
                <w:szCs w:val="22"/>
                <w:lang w:val="de-DE"/>
              </w:rPr>
            </w:pPr>
            <w:r>
              <w:rPr>
                <w:sz w:val="22"/>
                <w:szCs w:val="22"/>
                <w:lang w:val="de-DE"/>
              </w:rPr>
              <w:t>Das Sichtfenster sollte sichtbar sein.</w:t>
            </w:r>
          </w:p>
        </w:tc>
        <w:tc>
          <w:tcPr>
            <w:tcW w:w="3757" w:type="pct"/>
            <w:tcBorders>
              <w:left w:val="nil"/>
              <w:bottom w:val="single" w:sz="4" w:space="0" w:color="auto"/>
            </w:tcBorders>
          </w:tcPr>
          <w:p w14:paraId="34792301" w14:textId="53FEDAAC" w:rsidR="00FE291A" w:rsidRDefault="009C5B62">
            <w:pPr>
              <w:pStyle w:val="ListParagraph"/>
              <w:keepNext/>
              <w:ind w:left="567" w:hanging="567"/>
              <w:jc w:val="center"/>
              <w:rPr>
                <w:b/>
                <w:bCs/>
                <w:sz w:val="22"/>
                <w:szCs w:val="22"/>
                <w:lang w:val="de-DE"/>
              </w:rPr>
            </w:pPr>
            <w:ins w:id="549" w:author="Author">
              <w:r>
                <w:rPr>
                  <w:b/>
                  <w:noProof/>
                </w:rPr>
                <w:drawing>
                  <wp:inline distT="0" distB="0" distL="0" distR="0" wp14:anchorId="3D1B9C98" wp14:editId="6616206D">
                    <wp:extent cx="2954655" cy="1754505"/>
                    <wp:effectExtent l="0" t="0" r="0" b="0"/>
                    <wp:docPr id="72"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954655" cy="1754505"/>
                            </a:xfrm>
                            <a:prstGeom prst="rect">
                              <a:avLst/>
                            </a:prstGeom>
                            <a:noFill/>
                            <a:ln>
                              <a:noFill/>
                            </a:ln>
                          </pic:spPr>
                        </pic:pic>
                      </a:graphicData>
                    </a:graphic>
                  </wp:inline>
                </w:drawing>
              </w:r>
            </w:ins>
            <w:del w:id="550" w:author="Author">
              <w:r>
                <w:rPr>
                  <w:noProof/>
                </w:rPr>
                <w:drawing>
                  <wp:anchor distT="0" distB="0" distL="114300" distR="114300" simplePos="0" relativeHeight="32" behindDoc="0" locked="0" layoutInCell="1" allowOverlap="1" wp14:anchorId="49D539D5" wp14:editId="5BC29C9B">
                    <wp:simplePos x="0" y="0"/>
                    <wp:positionH relativeFrom="margin">
                      <wp:posOffset>0</wp:posOffset>
                    </wp:positionH>
                    <wp:positionV relativeFrom="margin">
                      <wp:posOffset>175260</wp:posOffset>
                    </wp:positionV>
                    <wp:extent cx="3006090" cy="1744980"/>
                    <wp:effectExtent l="0" t="0" r="0" b="0"/>
                    <wp:wrapSquare wrapText="bothSides"/>
                    <wp:docPr id="1573315126"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06090" cy="1744980"/>
                            </a:xfrm>
                            <a:prstGeom prst="rect">
                              <a:avLst/>
                            </a:prstGeom>
                            <a:noFill/>
                          </pic:spPr>
                        </pic:pic>
                      </a:graphicData>
                    </a:graphic>
                    <wp14:sizeRelH relativeFrom="page">
                      <wp14:pctWidth>0</wp14:pctWidth>
                    </wp14:sizeRelH>
                    <wp14:sizeRelV relativeFrom="page">
                      <wp14:pctHeight>0</wp14:pctHeight>
                    </wp14:sizeRelV>
                  </wp:anchor>
                </w:drawing>
              </w:r>
            </w:del>
          </w:p>
        </w:tc>
      </w:tr>
      <w:tr w:rsidR="00FE291A" w:rsidRPr="002E6CD3" w14:paraId="7DF7761A" w14:textId="77777777">
        <w:trPr>
          <w:cantSplit/>
          <w:trHeight w:val="57"/>
        </w:trPr>
        <w:tc>
          <w:tcPr>
            <w:tcW w:w="355" w:type="pct"/>
            <w:tcBorders>
              <w:top w:val="nil"/>
              <w:bottom w:val="nil"/>
              <w:right w:val="nil"/>
            </w:tcBorders>
            <w:tcMar>
              <w:top w:w="28" w:type="dxa"/>
              <w:left w:w="57" w:type="dxa"/>
              <w:bottom w:w="28" w:type="dxa"/>
              <w:right w:w="57" w:type="dxa"/>
            </w:tcMar>
          </w:tcPr>
          <w:p w14:paraId="1C1D136D" w14:textId="77777777" w:rsidR="00FE291A" w:rsidRDefault="00FE291A">
            <w:pPr>
              <w:keepNext/>
              <w:widowControl/>
              <w:numPr>
                <w:ilvl w:val="0"/>
                <w:numId w:val="65"/>
              </w:numPr>
              <w:autoSpaceDE/>
              <w:autoSpaceDN/>
              <w:adjustRightInd/>
              <w:ind w:left="567" w:hanging="567"/>
              <w:rPr>
                <w:sz w:val="22"/>
                <w:szCs w:val="22"/>
                <w:lang w:val="de-DE"/>
              </w:rPr>
            </w:pPr>
          </w:p>
        </w:tc>
        <w:tc>
          <w:tcPr>
            <w:tcW w:w="4645" w:type="pct"/>
            <w:gridSpan w:val="2"/>
            <w:tcBorders>
              <w:top w:val="nil"/>
              <w:left w:val="nil"/>
              <w:bottom w:val="nil"/>
            </w:tcBorders>
            <w:tcMar>
              <w:left w:w="0" w:type="dxa"/>
            </w:tcMar>
          </w:tcPr>
          <w:p w14:paraId="227F0535" w14:textId="77777777" w:rsidR="00FE291A" w:rsidRDefault="00C8738F">
            <w:pPr>
              <w:keepNext/>
              <w:tabs>
                <w:tab w:val="left" w:pos="1134"/>
              </w:tabs>
              <w:rPr>
                <w:b/>
                <w:bCs/>
                <w:sz w:val="22"/>
                <w:szCs w:val="22"/>
                <w:lang w:val="de-DE"/>
              </w:rPr>
            </w:pPr>
            <w:r>
              <w:rPr>
                <w:sz w:val="22"/>
                <w:szCs w:val="22"/>
                <w:lang w:val="de-DE"/>
              </w:rPr>
              <w:t xml:space="preserve">Zum Abziehen die gelbe Kappe </w:t>
            </w:r>
            <w:r>
              <w:rPr>
                <w:b/>
                <w:sz w:val="22"/>
                <w:szCs w:val="22"/>
                <w:lang w:val="de-DE"/>
              </w:rPr>
              <w:t>nicht</w:t>
            </w:r>
            <w:r>
              <w:rPr>
                <w:sz w:val="22"/>
                <w:szCs w:val="22"/>
                <w:lang w:val="de-DE"/>
              </w:rPr>
              <w:t xml:space="preserve"> drehen, biegen oder daran wackeln.</w:t>
            </w:r>
          </w:p>
        </w:tc>
      </w:tr>
      <w:tr w:rsidR="00FE291A" w:rsidRPr="00723069" w14:paraId="7D9E1122" w14:textId="77777777">
        <w:trPr>
          <w:cantSplit/>
          <w:trHeight w:val="57"/>
        </w:trPr>
        <w:tc>
          <w:tcPr>
            <w:tcW w:w="355" w:type="pct"/>
            <w:tcBorders>
              <w:top w:val="nil"/>
              <w:bottom w:val="nil"/>
              <w:right w:val="nil"/>
            </w:tcBorders>
            <w:tcMar>
              <w:top w:w="28" w:type="dxa"/>
              <w:left w:w="57" w:type="dxa"/>
              <w:bottom w:w="28" w:type="dxa"/>
              <w:right w:w="57" w:type="dxa"/>
            </w:tcMar>
          </w:tcPr>
          <w:p w14:paraId="197AB7F6" w14:textId="77777777" w:rsidR="00FE291A" w:rsidRDefault="00FE291A">
            <w:pPr>
              <w:keepNext/>
              <w:widowControl/>
              <w:numPr>
                <w:ilvl w:val="0"/>
                <w:numId w:val="65"/>
              </w:numPr>
              <w:autoSpaceDE/>
              <w:autoSpaceDN/>
              <w:adjustRightInd/>
              <w:ind w:left="567" w:hanging="567"/>
              <w:rPr>
                <w:sz w:val="22"/>
                <w:szCs w:val="22"/>
                <w:lang w:val="de-DE"/>
              </w:rPr>
            </w:pPr>
          </w:p>
        </w:tc>
        <w:tc>
          <w:tcPr>
            <w:tcW w:w="4645" w:type="pct"/>
            <w:gridSpan w:val="2"/>
            <w:tcBorders>
              <w:top w:val="nil"/>
              <w:left w:val="nil"/>
              <w:bottom w:val="nil"/>
            </w:tcBorders>
            <w:tcMar>
              <w:left w:w="0" w:type="dxa"/>
            </w:tcMar>
          </w:tcPr>
          <w:p w14:paraId="13F01D3B" w14:textId="77777777" w:rsidR="00FE291A" w:rsidRDefault="00C8738F">
            <w:pPr>
              <w:keepNext/>
              <w:tabs>
                <w:tab w:val="left" w:pos="1134"/>
              </w:tabs>
              <w:rPr>
                <w:sz w:val="22"/>
                <w:szCs w:val="22"/>
                <w:lang w:val="de-DE"/>
              </w:rPr>
            </w:pPr>
            <w:r>
              <w:rPr>
                <w:sz w:val="22"/>
                <w:szCs w:val="22"/>
                <w:lang w:val="de-DE"/>
              </w:rPr>
              <w:t xml:space="preserve">Die Nadelschutzkappe </w:t>
            </w:r>
            <w:r>
              <w:rPr>
                <w:b/>
                <w:bCs/>
                <w:sz w:val="22"/>
                <w:szCs w:val="22"/>
                <w:lang w:val="de-DE"/>
              </w:rPr>
              <w:t>niemals</w:t>
            </w:r>
            <w:r>
              <w:rPr>
                <w:sz w:val="22"/>
                <w:szCs w:val="22"/>
                <w:lang w:val="de-DE"/>
              </w:rPr>
              <w:t xml:space="preserve"> wieder aufsetzen. Dies könnte die Nadel beschädigen.</w:t>
            </w:r>
          </w:p>
        </w:tc>
      </w:tr>
      <w:tr w:rsidR="00FE291A" w:rsidRPr="002E6CD3" w14:paraId="24D7EF85" w14:textId="77777777">
        <w:trPr>
          <w:cantSplit/>
          <w:trHeight w:val="57"/>
        </w:trPr>
        <w:tc>
          <w:tcPr>
            <w:tcW w:w="355" w:type="pct"/>
            <w:tcBorders>
              <w:top w:val="nil"/>
              <w:bottom w:val="nil"/>
              <w:right w:val="nil"/>
            </w:tcBorders>
            <w:tcMar>
              <w:top w:w="28" w:type="dxa"/>
              <w:left w:w="57" w:type="dxa"/>
              <w:bottom w:w="28" w:type="dxa"/>
              <w:right w:w="57" w:type="dxa"/>
            </w:tcMar>
          </w:tcPr>
          <w:p w14:paraId="3404481A" w14:textId="77777777" w:rsidR="00FE291A" w:rsidRDefault="00FE291A">
            <w:pPr>
              <w:keepNext/>
              <w:widowControl/>
              <w:numPr>
                <w:ilvl w:val="0"/>
                <w:numId w:val="65"/>
              </w:numPr>
              <w:autoSpaceDE/>
              <w:autoSpaceDN/>
              <w:adjustRightInd/>
              <w:ind w:left="567" w:hanging="567"/>
              <w:rPr>
                <w:sz w:val="22"/>
                <w:szCs w:val="22"/>
                <w:lang w:val="de-DE"/>
              </w:rPr>
            </w:pPr>
          </w:p>
        </w:tc>
        <w:tc>
          <w:tcPr>
            <w:tcW w:w="4645" w:type="pct"/>
            <w:gridSpan w:val="2"/>
            <w:tcBorders>
              <w:top w:val="nil"/>
              <w:left w:val="nil"/>
              <w:bottom w:val="nil"/>
            </w:tcBorders>
            <w:tcMar>
              <w:left w:w="0" w:type="dxa"/>
            </w:tcMar>
          </w:tcPr>
          <w:p w14:paraId="234EE5F0" w14:textId="77777777" w:rsidR="00FE291A" w:rsidRDefault="00C8738F">
            <w:pPr>
              <w:keepNext/>
              <w:keepLines/>
              <w:contextualSpacing/>
              <w:rPr>
                <w:b/>
                <w:bCs/>
                <w:sz w:val="22"/>
                <w:szCs w:val="22"/>
                <w:lang w:val="de-DE"/>
              </w:rPr>
            </w:pPr>
            <w:r>
              <w:rPr>
                <w:color w:val="000000"/>
                <w:sz w:val="22"/>
                <w:szCs w:val="22"/>
                <w:lang w:val="de-DE"/>
              </w:rPr>
              <w:t xml:space="preserve">Den Finger </w:t>
            </w:r>
            <w:r>
              <w:rPr>
                <w:b/>
                <w:color w:val="000000"/>
                <w:sz w:val="22"/>
                <w:szCs w:val="22"/>
                <w:lang w:val="de-DE"/>
              </w:rPr>
              <w:t>nicht</w:t>
            </w:r>
            <w:r>
              <w:rPr>
                <w:color w:val="000000"/>
                <w:sz w:val="22"/>
                <w:szCs w:val="22"/>
                <w:lang w:val="de-DE"/>
              </w:rPr>
              <w:t xml:space="preserve"> in die cremefarbene Sicherheitshülse stecken.</w:t>
            </w:r>
          </w:p>
        </w:tc>
      </w:tr>
      <w:tr w:rsidR="00FE291A" w:rsidRPr="002E6CD3" w14:paraId="211E5BA8" w14:textId="77777777">
        <w:trPr>
          <w:cantSplit/>
          <w:trHeight w:val="57"/>
        </w:trPr>
        <w:tc>
          <w:tcPr>
            <w:tcW w:w="355" w:type="pct"/>
            <w:tcBorders>
              <w:top w:val="nil"/>
              <w:bottom w:val="single" w:sz="4" w:space="0" w:color="auto"/>
              <w:right w:val="nil"/>
            </w:tcBorders>
            <w:tcMar>
              <w:top w:w="28" w:type="dxa"/>
              <w:left w:w="57" w:type="dxa"/>
              <w:bottom w:w="28" w:type="dxa"/>
              <w:right w:w="57" w:type="dxa"/>
            </w:tcMar>
          </w:tcPr>
          <w:p w14:paraId="0B0C9829" w14:textId="77777777" w:rsidR="00FE291A" w:rsidRDefault="00FE291A">
            <w:pPr>
              <w:keepNext/>
              <w:widowControl/>
              <w:numPr>
                <w:ilvl w:val="0"/>
                <w:numId w:val="65"/>
              </w:numPr>
              <w:autoSpaceDE/>
              <w:autoSpaceDN/>
              <w:adjustRightInd/>
              <w:ind w:left="567" w:hanging="567"/>
              <w:rPr>
                <w:sz w:val="22"/>
                <w:szCs w:val="22"/>
                <w:lang w:val="de-DE"/>
              </w:rPr>
            </w:pPr>
          </w:p>
        </w:tc>
        <w:tc>
          <w:tcPr>
            <w:tcW w:w="4645" w:type="pct"/>
            <w:gridSpan w:val="2"/>
            <w:tcBorders>
              <w:top w:val="nil"/>
              <w:left w:val="nil"/>
              <w:bottom w:val="single" w:sz="4" w:space="0" w:color="auto"/>
            </w:tcBorders>
            <w:tcMar>
              <w:left w:w="0" w:type="dxa"/>
            </w:tcMar>
          </w:tcPr>
          <w:p w14:paraId="7D36245F" w14:textId="77777777" w:rsidR="00FE291A" w:rsidRDefault="00C8738F">
            <w:pPr>
              <w:keepNext/>
              <w:keepLines/>
              <w:contextualSpacing/>
              <w:rPr>
                <w:b/>
                <w:bCs/>
                <w:color w:val="000000"/>
                <w:sz w:val="22"/>
                <w:szCs w:val="22"/>
                <w:lang w:val="de-DE"/>
              </w:rPr>
            </w:pPr>
            <w:r>
              <w:rPr>
                <w:color w:val="000000"/>
                <w:sz w:val="22"/>
                <w:szCs w:val="22"/>
                <w:lang w:val="de-DE"/>
              </w:rPr>
              <w:t>Es ist normal, wenn Sie einen Tropfen Arzneimittel an der Nadelspitze oder der cremefarbenen Sicherheitshülse sehen.</w:t>
            </w:r>
          </w:p>
        </w:tc>
      </w:tr>
    </w:tbl>
    <w:p w14:paraId="24AEFB59" w14:textId="77777777" w:rsidR="00FE291A" w:rsidRDefault="00FE291A">
      <w:pPr>
        <w:tabs>
          <w:tab w:val="left" w:pos="1134"/>
        </w:tabs>
        <w:rPr>
          <w:sz w:val="22"/>
          <w:szCs w:val="22"/>
          <w:lang w:val="de-DE"/>
        </w:rPr>
      </w:pPr>
    </w:p>
    <w:tbl>
      <w:tblPr>
        <w:tblW w:w="4931"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04"/>
        <w:gridCol w:w="82"/>
        <w:gridCol w:w="2540"/>
        <w:gridCol w:w="5710"/>
      </w:tblGrid>
      <w:tr w:rsidR="00FE291A" w:rsidRPr="002E6CD3" w14:paraId="41F4F92D" w14:textId="77777777">
        <w:trPr>
          <w:cantSplit/>
          <w:trHeight w:val="57"/>
        </w:trPr>
        <w:tc>
          <w:tcPr>
            <w:tcW w:w="338" w:type="pct"/>
            <w:tcBorders>
              <w:bottom w:val="single" w:sz="4" w:space="0" w:color="auto"/>
            </w:tcBorders>
            <w:tcMar>
              <w:top w:w="28" w:type="dxa"/>
              <w:left w:w="57" w:type="dxa"/>
              <w:bottom w:w="28" w:type="dxa"/>
              <w:right w:w="57" w:type="dxa"/>
            </w:tcMar>
          </w:tcPr>
          <w:p w14:paraId="67ED4B76" w14:textId="77777777" w:rsidR="00FE291A" w:rsidRDefault="00C8738F">
            <w:pPr>
              <w:keepNext/>
              <w:rPr>
                <w:b/>
                <w:bCs/>
                <w:sz w:val="22"/>
                <w:szCs w:val="22"/>
                <w:lang w:val="de-DE"/>
              </w:rPr>
            </w:pPr>
            <w:r>
              <w:rPr>
                <w:b/>
                <w:sz w:val="22"/>
                <w:szCs w:val="22"/>
                <w:lang w:val="de-DE"/>
              </w:rPr>
              <w:t>4b</w:t>
            </w:r>
          </w:p>
        </w:tc>
        <w:tc>
          <w:tcPr>
            <w:tcW w:w="4662" w:type="pct"/>
            <w:gridSpan w:val="3"/>
            <w:tcBorders>
              <w:bottom w:val="single" w:sz="4" w:space="0" w:color="auto"/>
            </w:tcBorders>
            <w:tcMar>
              <w:top w:w="28" w:type="dxa"/>
              <w:left w:w="57" w:type="dxa"/>
              <w:bottom w:w="28" w:type="dxa"/>
              <w:right w:w="57" w:type="dxa"/>
            </w:tcMar>
          </w:tcPr>
          <w:p w14:paraId="1574EEAC" w14:textId="77777777" w:rsidR="00FE291A" w:rsidRDefault="00C8738F">
            <w:pPr>
              <w:pStyle w:val="ListParagraph"/>
              <w:keepNext/>
              <w:rPr>
                <w:sz w:val="22"/>
                <w:szCs w:val="22"/>
                <w:lang w:val="de-DE"/>
              </w:rPr>
            </w:pPr>
            <w:r>
              <w:rPr>
                <w:b/>
                <w:sz w:val="22"/>
                <w:szCs w:val="22"/>
                <w:lang w:val="de-DE"/>
              </w:rPr>
              <w:t xml:space="preserve">Drücken Sie die Haut zusammen, um eine feste Fläche an der Injektionsstelle zu bilden. Setzen Sie die cremefarbene Sicherheitshülse auf die </w:t>
            </w:r>
            <w:ins w:id="551" w:author="Author">
              <w:r>
                <w:rPr>
                  <w:b/>
                  <w:sz w:val="22"/>
                  <w:szCs w:val="22"/>
                  <w:lang w:val="de-DE"/>
                </w:rPr>
                <w:t xml:space="preserve">zusammengedrückte </w:t>
              </w:r>
            </w:ins>
            <w:r>
              <w:rPr>
                <w:b/>
                <w:sz w:val="22"/>
                <w:szCs w:val="22"/>
                <w:lang w:val="de-DE"/>
              </w:rPr>
              <w:t>Haut auf.</w:t>
            </w:r>
          </w:p>
        </w:tc>
      </w:tr>
      <w:tr w:rsidR="00FE291A" w:rsidRPr="002E6CD3" w14:paraId="46AC7393" w14:textId="77777777">
        <w:trPr>
          <w:cantSplit/>
          <w:trHeight w:val="57"/>
          <w:del w:id="552" w:author="Author"/>
        </w:trPr>
        <w:tc>
          <w:tcPr>
            <w:tcW w:w="5000" w:type="pct"/>
            <w:gridSpan w:val="4"/>
            <w:tcBorders>
              <w:bottom w:val="single" w:sz="4" w:space="0" w:color="auto"/>
            </w:tcBorders>
            <w:tcMar>
              <w:top w:w="28" w:type="dxa"/>
              <w:left w:w="57" w:type="dxa"/>
              <w:bottom w:w="28" w:type="dxa"/>
              <w:right w:w="57" w:type="dxa"/>
            </w:tcMar>
          </w:tcPr>
          <w:p w14:paraId="6E081221" w14:textId="77777777" w:rsidR="00FE291A" w:rsidRDefault="00C8738F">
            <w:pPr>
              <w:keepNext/>
              <w:tabs>
                <w:tab w:val="left" w:pos="1134"/>
              </w:tabs>
              <w:jc w:val="center"/>
              <w:rPr>
                <w:del w:id="553" w:author="Author"/>
                <w:sz w:val="22"/>
                <w:szCs w:val="22"/>
                <w:lang w:val="de-DE"/>
              </w:rPr>
            </w:pPr>
            <w:del w:id="554" w:author="Author">
              <w:r>
                <w:rPr>
                  <w:b/>
                  <w:sz w:val="22"/>
                  <w:szCs w:val="22"/>
                  <w:lang w:val="de-DE"/>
                </w:rPr>
                <w:delText>ZUSAMMENDRÜCKEN</w:delText>
              </w:r>
            </w:del>
          </w:p>
        </w:tc>
      </w:tr>
      <w:tr w:rsidR="00425AE3" w14:paraId="7CFD2CFA" w14:textId="1E94C006" w:rsidTr="00344065">
        <w:trPr>
          <w:cantSplit/>
          <w:trHeight w:val="57"/>
        </w:trPr>
        <w:tc>
          <w:tcPr>
            <w:tcW w:w="1805" w:type="pct"/>
            <w:gridSpan w:val="3"/>
            <w:tcBorders>
              <w:bottom w:val="single" w:sz="4" w:space="0" w:color="auto"/>
              <w:right w:val="nil"/>
            </w:tcBorders>
            <w:tcMar>
              <w:top w:w="28" w:type="dxa"/>
              <w:left w:w="57" w:type="dxa"/>
              <w:bottom w:w="28" w:type="dxa"/>
              <w:right w:w="57" w:type="dxa"/>
            </w:tcMar>
          </w:tcPr>
          <w:p w14:paraId="04306FF7" w14:textId="77777777" w:rsidR="00425AE3" w:rsidRDefault="00425AE3" w:rsidP="00425AE3">
            <w:pPr>
              <w:jc w:val="right"/>
            </w:pPr>
          </w:p>
          <w:p w14:paraId="49453716" w14:textId="77777777" w:rsidR="00425AE3" w:rsidRDefault="00425AE3" w:rsidP="00425AE3">
            <w:pPr>
              <w:jc w:val="right"/>
            </w:pPr>
          </w:p>
          <w:p w14:paraId="49AB2D6D" w14:textId="77777777" w:rsidR="00425AE3" w:rsidRDefault="00425AE3" w:rsidP="00425AE3">
            <w:pPr>
              <w:jc w:val="right"/>
            </w:pPr>
          </w:p>
          <w:p w14:paraId="0F5615E8" w14:textId="23E2AA47" w:rsidR="00425AE3" w:rsidRDefault="00425AE3" w:rsidP="00425AE3">
            <w:pPr>
              <w:jc w:val="right"/>
              <w:rPr>
                <w:lang w:val="de-DE"/>
              </w:rPr>
            </w:pPr>
            <w:ins w:id="555" w:author="Author">
              <w:r w:rsidRPr="00425AE3">
                <w:rPr>
                  <w:lang w:val="da-DK"/>
                </w:rPr>
                <w:t>Haut an der Injektionsstelle ZUSAMMENDRÜCKEN</w:t>
              </w:r>
            </w:ins>
          </w:p>
          <w:p w14:paraId="1309E0AE" w14:textId="77777777" w:rsidR="00425AE3" w:rsidRDefault="00425AE3">
            <w:pPr>
              <w:keepNext/>
              <w:tabs>
                <w:tab w:val="left" w:pos="1134"/>
              </w:tabs>
              <w:jc w:val="center"/>
              <w:rPr>
                <w:b/>
                <w:noProof/>
                <w:sz w:val="22"/>
                <w:szCs w:val="22"/>
                <w:lang w:val="de-DE"/>
              </w:rPr>
            </w:pPr>
          </w:p>
        </w:tc>
        <w:tc>
          <w:tcPr>
            <w:tcW w:w="3195" w:type="pct"/>
            <w:tcBorders>
              <w:left w:val="nil"/>
              <w:bottom w:val="single" w:sz="4" w:space="0" w:color="auto"/>
            </w:tcBorders>
          </w:tcPr>
          <w:p w14:paraId="4B977202" w14:textId="6148656D" w:rsidR="00425AE3" w:rsidRDefault="009C5B62" w:rsidP="00425AE3">
            <w:pPr>
              <w:keepNext/>
              <w:tabs>
                <w:tab w:val="left" w:pos="1134"/>
              </w:tabs>
              <w:rPr>
                <w:b/>
                <w:noProof/>
                <w:sz w:val="22"/>
                <w:szCs w:val="22"/>
                <w:lang w:val="de-DE"/>
              </w:rPr>
            </w:pPr>
            <w:ins w:id="556" w:author="Author">
              <w:r>
                <w:rPr>
                  <w:b/>
                  <w:noProof/>
                </w:rPr>
                <w:drawing>
                  <wp:inline distT="0" distB="0" distL="0" distR="0" wp14:anchorId="05144BA2" wp14:editId="1BFA02C1">
                    <wp:extent cx="2943225" cy="1800225"/>
                    <wp:effectExtent l="0" t="0" r="0" b="0"/>
                    <wp:docPr id="73"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43225" cy="1800225"/>
                            </a:xfrm>
                            <a:prstGeom prst="rect">
                              <a:avLst/>
                            </a:prstGeom>
                            <a:noFill/>
                            <a:ln>
                              <a:noFill/>
                            </a:ln>
                          </pic:spPr>
                        </pic:pic>
                      </a:graphicData>
                    </a:graphic>
                  </wp:inline>
                </w:drawing>
              </w:r>
            </w:ins>
          </w:p>
        </w:tc>
      </w:tr>
      <w:tr w:rsidR="00FE291A" w:rsidRPr="00723069" w14:paraId="7EB5A757" w14:textId="77777777">
        <w:trPr>
          <w:cantSplit/>
          <w:trHeight w:val="57"/>
        </w:trPr>
        <w:tc>
          <w:tcPr>
            <w:tcW w:w="338" w:type="pct"/>
            <w:tcBorders>
              <w:top w:val="nil"/>
              <w:bottom w:val="nil"/>
              <w:right w:val="nil"/>
            </w:tcBorders>
            <w:tcMar>
              <w:top w:w="28" w:type="dxa"/>
              <w:left w:w="57" w:type="dxa"/>
              <w:bottom w:w="28" w:type="dxa"/>
              <w:right w:w="57" w:type="dxa"/>
            </w:tcMar>
          </w:tcPr>
          <w:p w14:paraId="757CAA44" w14:textId="77777777" w:rsidR="00FE291A" w:rsidRDefault="00FE291A">
            <w:pPr>
              <w:keepNext/>
              <w:widowControl/>
              <w:numPr>
                <w:ilvl w:val="0"/>
                <w:numId w:val="65"/>
              </w:numPr>
              <w:autoSpaceDE/>
              <w:autoSpaceDN/>
              <w:adjustRightInd/>
              <w:ind w:left="567" w:hanging="567"/>
              <w:rPr>
                <w:sz w:val="22"/>
                <w:szCs w:val="22"/>
                <w:lang w:val="de-DE"/>
              </w:rPr>
            </w:pPr>
          </w:p>
        </w:tc>
        <w:tc>
          <w:tcPr>
            <w:tcW w:w="4662" w:type="pct"/>
            <w:gridSpan w:val="3"/>
            <w:tcBorders>
              <w:top w:val="nil"/>
              <w:left w:val="nil"/>
              <w:bottom w:val="nil"/>
            </w:tcBorders>
            <w:tcMar>
              <w:left w:w="0" w:type="dxa"/>
            </w:tcMar>
          </w:tcPr>
          <w:p w14:paraId="4A9CDC20" w14:textId="77777777" w:rsidR="00FE291A" w:rsidRDefault="00C8738F">
            <w:pPr>
              <w:keepNext/>
              <w:tabs>
                <w:tab w:val="left" w:pos="1134"/>
              </w:tabs>
              <w:rPr>
                <w:sz w:val="22"/>
                <w:szCs w:val="22"/>
                <w:lang w:val="de-DE"/>
              </w:rPr>
            </w:pPr>
            <w:r>
              <w:rPr>
                <w:sz w:val="22"/>
                <w:szCs w:val="22"/>
                <w:lang w:val="de-DE"/>
              </w:rPr>
              <w:t xml:space="preserve">Halten Sie die Haut </w:t>
            </w:r>
            <w:r>
              <w:rPr>
                <w:b/>
                <w:bCs/>
                <w:sz w:val="22"/>
                <w:szCs w:val="22"/>
                <w:lang w:val="de-DE"/>
              </w:rPr>
              <w:t>zusammen</w:t>
            </w:r>
            <w:r>
              <w:rPr>
                <w:b/>
                <w:sz w:val="22"/>
                <w:szCs w:val="22"/>
                <w:lang w:val="de-DE"/>
              </w:rPr>
              <w:t>gedrückt</w:t>
            </w:r>
            <w:r>
              <w:rPr>
                <w:sz w:val="22"/>
                <w:szCs w:val="22"/>
                <w:lang w:val="de-DE"/>
              </w:rPr>
              <w:t>, bis die Injektion abgeschlossen ist.</w:t>
            </w:r>
          </w:p>
        </w:tc>
      </w:tr>
      <w:tr w:rsidR="00FE291A" w:rsidRPr="002E6CD3" w14:paraId="658445DF" w14:textId="77777777">
        <w:trPr>
          <w:cantSplit/>
          <w:trHeight w:val="57"/>
        </w:trPr>
        <w:tc>
          <w:tcPr>
            <w:tcW w:w="338" w:type="pct"/>
            <w:tcBorders>
              <w:top w:val="nil"/>
              <w:left w:val="single" w:sz="4" w:space="0" w:color="auto"/>
              <w:bottom w:val="nil"/>
              <w:right w:val="nil"/>
            </w:tcBorders>
            <w:tcMar>
              <w:top w:w="28" w:type="dxa"/>
              <w:left w:w="57" w:type="dxa"/>
              <w:bottom w:w="28" w:type="dxa"/>
              <w:right w:w="57" w:type="dxa"/>
            </w:tcMar>
          </w:tcPr>
          <w:p w14:paraId="19E1AE24" w14:textId="77777777" w:rsidR="00FE291A" w:rsidRDefault="00FE291A">
            <w:pPr>
              <w:keepNext/>
              <w:widowControl/>
              <w:numPr>
                <w:ilvl w:val="0"/>
                <w:numId w:val="65"/>
              </w:numPr>
              <w:autoSpaceDE/>
              <w:autoSpaceDN/>
              <w:adjustRightInd/>
              <w:ind w:left="567" w:hanging="567"/>
              <w:rPr>
                <w:sz w:val="22"/>
                <w:szCs w:val="22"/>
                <w:lang w:val="de-DE"/>
              </w:rPr>
            </w:pPr>
          </w:p>
        </w:tc>
        <w:tc>
          <w:tcPr>
            <w:tcW w:w="4662" w:type="pct"/>
            <w:gridSpan w:val="3"/>
            <w:tcBorders>
              <w:top w:val="nil"/>
              <w:left w:val="nil"/>
              <w:bottom w:val="nil"/>
              <w:right w:val="single" w:sz="4" w:space="0" w:color="auto"/>
            </w:tcBorders>
            <w:tcMar>
              <w:left w:w="0" w:type="dxa"/>
            </w:tcMar>
          </w:tcPr>
          <w:p w14:paraId="01E26689" w14:textId="77777777" w:rsidR="00FE291A" w:rsidRDefault="00C8738F">
            <w:pPr>
              <w:keepNext/>
              <w:tabs>
                <w:tab w:val="left" w:pos="1134"/>
              </w:tabs>
              <w:rPr>
                <w:sz w:val="22"/>
                <w:szCs w:val="22"/>
                <w:lang w:val="de-DE"/>
              </w:rPr>
            </w:pPr>
            <w:r>
              <w:rPr>
                <w:sz w:val="22"/>
                <w:szCs w:val="22"/>
                <w:lang w:val="de-DE"/>
              </w:rPr>
              <w:t>Achten Sie darauf, dass das Sichtfenster zu sehen ist.</w:t>
            </w:r>
          </w:p>
        </w:tc>
      </w:tr>
      <w:tr w:rsidR="00FE291A" w:rsidRPr="00723069" w14:paraId="6CF14100" w14:textId="77777777">
        <w:trPr>
          <w:cantSplit/>
          <w:trHeight w:val="57"/>
        </w:trPr>
        <w:tc>
          <w:tcPr>
            <w:tcW w:w="338" w:type="pct"/>
            <w:tcBorders>
              <w:top w:val="nil"/>
              <w:bottom w:val="single" w:sz="4" w:space="0" w:color="auto"/>
              <w:right w:val="nil"/>
            </w:tcBorders>
            <w:tcMar>
              <w:top w:w="28" w:type="dxa"/>
              <w:left w:w="57" w:type="dxa"/>
              <w:bottom w:w="28" w:type="dxa"/>
              <w:right w:w="57" w:type="dxa"/>
            </w:tcMar>
          </w:tcPr>
          <w:p w14:paraId="1E796D62" w14:textId="77777777" w:rsidR="00FE291A" w:rsidRDefault="00FE291A">
            <w:pPr>
              <w:keepNext/>
              <w:widowControl/>
              <w:numPr>
                <w:ilvl w:val="0"/>
                <w:numId w:val="65"/>
              </w:numPr>
              <w:autoSpaceDE/>
              <w:autoSpaceDN/>
              <w:adjustRightInd/>
              <w:ind w:left="567" w:hanging="567"/>
              <w:rPr>
                <w:sz w:val="22"/>
                <w:szCs w:val="22"/>
                <w:lang w:val="de-DE"/>
              </w:rPr>
            </w:pPr>
          </w:p>
        </w:tc>
        <w:tc>
          <w:tcPr>
            <w:tcW w:w="4662" w:type="pct"/>
            <w:gridSpan w:val="3"/>
            <w:tcBorders>
              <w:top w:val="nil"/>
              <w:left w:val="nil"/>
              <w:bottom w:val="nil"/>
              <w:right w:val="single" w:sz="4" w:space="0" w:color="auto"/>
            </w:tcBorders>
            <w:tcMar>
              <w:left w:w="0" w:type="dxa"/>
            </w:tcMar>
          </w:tcPr>
          <w:p w14:paraId="33660C43" w14:textId="77777777" w:rsidR="00FE291A" w:rsidRDefault="00C8738F">
            <w:pPr>
              <w:keepNext/>
              <w:tabs>
                <w:tab w:val="left" w:pos="1134"/>
              </w:tabs>
              <w:rPr>
                <w:sz w:val="22"/>
                <w:szCs w:val="22"/>
                <w:lang w:val="de-DE"/>
              </w:rPr>
            </w:pPr>
            <w:r>
              <w:rPr>
                <w:sz w:val="22"/>
                <w:szCs w:val="22"/>
                <w:lang w:val="de-DE"/>
              </w:rPr>
              <w:t xml:space="preserve">Stellen Sie sicher, dass Sie den </w:t>
            </w:r>
            <w:del w:id="557" w:author="Author">
              <w:r>
                <w:rPr>
                  <w:sz w:val="22"/>
                  <w:szCs w:val="22"/>
                  <w:lang w:val="de-DE"/>
                </w:rPr>
                <w:delText xml:space="preserve">Autoinjektor </w:delText>
              </w:r>
            </w:del>
            <w:ins w:id="558" w:author="Author">
              <w:r>
                <w:rPr>
                  <w:sz w:val="22"/>
                  <w:szCs w:val="22"/>
                  <w:lang w:val="de-DE"/>
                </w:rPr>
                <w:t xml:space="preserve">Fertigpen </w:t>
              </w:r>
            </w:ins>
            <w:r>
              <w:rPr>
                <w:sz w:val="22"/>
                <w:szCs w:val="22"/>
                <w:lang w:val="de-DE"/>
              </w:rPr>
              <w:t>senkrecht (in einem Winkel von 90 Grad) auf die Injektionsstelle halten.</w:t>
            </w:r>
          </w:p>
        </w:tc>
      </w:tr>
      <w:tr w:rsidR="00FE291A" w:rsidRPr="002E6CD3" w14:paraId="460EC113" w14:textId="77777777">
        <w:trPr>
          <w:cantSplit/>
          <w:trHeight w:val="57"/>
        </w:trPr>
        <w:tc>
          <w:tcPr>
            <w:tcW w:w="5000" w:type="pct"/>
            <w:gridSpan w:val="4"/>
            <w:tcBorders>
              <w:top w:val="single" w:sz="4" w:space="0" w:color="auto"/>
              <w:bottom w:val="nil"/>
            </w:tcBorders>
            <w:tcMar>
              <w:top w:w="28" w:type="dxa"/>
              <w:left w:w="57" w:type="dxa"/>
              <w:bottom w:w="28" w:type="dxa"/>
              <w:right w:w="57" w:type="dxa"/>
            </w:tcMar>
            <w:vAlign w:val="center"/>
          </w:tcPr>
          <w:p w14:paraId="7E5794F5" w14:textId="77777777" w:rsidR="00FE291A" w:rsidRDefault="00FE291A">
            <w:pPr>
              <w:keepNext/>
              <w:tabs>
                <w:tab w:val="left" w:pos="1134"/>
              </w:tabs>
              <w:jc w:val="center"/>
              <w:rPr>
                <w:b/>
                <w:bCs/>
                <w:sz w:val="22"/>
                <w:szCs w:val="22"/>
                <w:lang w:val="de-DE"/>
              </w:rPr>
            </w:pPr>
          </w:p>
          <w:p w14:paraId="00FA73DE" w14:textId="77777777" w:rsidR="00FE291A" w:rsidRDefault="00C8738F">
            <w:pPr>
              <w:keepNext/>
              <w:tabs>
                <w:tab w:val="left" w:pos="1134"/>
              </w:tabs>
              <w:jc w:val="center"/>
              <w:rPr>
                <w:b/>
                <w:bCs/>
                <w:sz w:val="22"/>
                <w:szCs w:val="22"/>
                <w:lang w:val="de-DE"/>
              </w:rPr>
            </w:pPr>
            <w:r>
              <w:rPr>
                <w:b/>
                <w:sz w:val="22"/>
                <w:szCs w:val="22"/>
                <w:lang w:val="de-DE"/>
              </w:rPr>
              <w:t>DRÜCKEN</w:t>
            </w:r>
          </w:p>
          <w:p w14:paraId="233BBEAD" w14:textId="77777777" w:rsidR="00FE291A" w:rsidRDefault="00C8738F">
            <w:pPr>
              <w:keepNext/>
              <w:tabs>
                <w:tab w:val="left" w:pos="1134"/>
              </w:tabs>
              <w:jc w:val="center"/>
              <w:rPr>
                <w:sz w:val="22"/>
                <w:szCs w:val="22"/>
                <w:lang w:val="de-DE"/>
              </w:rPr>
            </w:pPr>
            <w:r>
              <w:rPr>
                <w:b/>
                <w:sz w:val="22"/>
                <w:szCs w:val="22"/>
                <w:lang w:val="de-DE"/>
              </w:rPr>
              <w:t>und auf die Haut gedrückt halten</w:t>
            </w:r>
          </w:p>
        </w:tc>
      </w:tr>
      <w:tr w:rsidR="00FE291A" w14:paraId="28F85232" w14:textId="77777777">
        <w:trPr>
          <w:cantSplit/>
          <w:trHeight w:val="57"/>
        </w:trPr>
        <w:tc>
          <w:tcPr>
            <w:tcW w:w="5000" w:type="pct"/>
            <w:gridSpan w:val="4"/>
            <w:tcBorders>
              <w:top w:val="nil"/>
              <w:bottom w:val="single" w:sz="4" w:space="0" w:color="auto"/>
            </w:tcBorders>
            <w:tcMar>
              <w:top w:w="28" w:type="dxa"/>
              <w:left w:w="57" w:type="dxa"/>
              <w:bottom w:w="28" w:type="dxa"/>
              <w:right w:w="57" w:type="dxa"/>
            </w:tcMar>
            <w:vAlign w:val="center"/>
          </w:tcPr>
          <w:p w14:paraId="3F11CD28" w14:textId="09A0BEEC" w:rsidR="00FE291A" w:rsidRDefault="009C5B62">
            <w:pPr>
              <w:keepNext/>
              <w:tabs>
                <w:tab w:val="left" w:pos="1134"/>
              </w:tabs>
              <w:jc w:val="center"/>
              <w:rPr>
                <w:sz w:val="22"/>
                <w:szCs w:val="22"/>
                <w:lang w:val="de-DE"/>
              </w:rPr>
            </w:pPr>
            <w:r>
              <w:rPr>
                <w:noProof/>
                <w:sz w:val="22"/>
                <w:szCs w:val="22"/>
                <w:lang w:val="de-DE"/>
              </w:rPr>
              <w:drawing>
                <wp:inline distT="0" distB="0" distL="0" distR="0" wp14:anchorId="5DD94A4E" wp14:editId="2469CB16">
                  <wp:extent cx="3200400" cy="1983105"/>
                  <wp:effectExtent l="0" t="0" r="0" b="0"/>
                  <wp:docPr id="74" name="Bild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00400" cy="1983105"/>
                          </a:xfrm>
                          <a:prstGeom prst="rect">
                            <a:avLst/>
                          </a:prstGeom>
                          <a:noFill/>
                          <a:ln>
                            <a:noFill/>
                          </a:ln>
                        </pic:spPr>
                      </pic:pic>
                    </a:graphicData>
                  </a:graphic>
                </wp:inline>
              </w:drawing>
            </w:r>
          </w:p>
        </w:tc>
      </w:tr>
      <w:tr w:rsidR="00FE291A" w14:paraId="4C2D7CB0" w14:textId="77777777">
        <w:trPr>
          <w:cantSplit/>
          <w:trHeight w:val="57"/>
        </w:trPr>
        <w:tc>
          <w:tcPr>
            <w:tcW w:w="384" w:type="pct"/>
            <w:gridSpan w:val="2"/>
            <w:tcBorders>
              <w:top w:val="single" w:sz="4" w:space="0" w:color="auto"/>
              <w:bottom w:val="single" w:sz="4" w:space="0" w:color="auto"/>
            </w:tcBorders>
            <w:tcMar>
              <w:top w:w="28" w:type="dxa"/>
              <w:left w:w="57" w:type="dxa"/>
              <w:bottom w:w="28" w:type="dxa"/>
              <w:right w:w="57" w:type="dxa"/>
            </w:tcMar>
            <w:vAlign w:val="center"/>
          </w:tcPr>
          <w:p w14:paraId="597619C2" w14:textId="77777777" w:rsidR="00FE291A" w:rsidRDefault="00C8738F">
            <w:pPr>
              <w:keepNext/>
              <w:tabs>
                <w:tab w:val="left" w:pos="1134"/>
              </w:tabs>
              <w:rPr>
                <w:b/>
                <w:bCs/>
                <w:sz w:val="22"/>
                <w:szCs w:val="22"/>
                <w:lang w:val="de-DE"/>
              </w:rPr>
            </w:pPr>
            <w:r>
              <w:rPr>
                <w:b/>
                <w:sz w:val="22"/>
                <w:szCs w:val="22"/>
                <w:lang w:val="de-DE"/>
              </w:rPr>
              <w:t>4c</w:t>
            </w:r>
          </w:p>
        </w:tc>
        <w:tc>
          <w:tcPr>
            <w:tcW w:w="4616" w:type="pct"/>
            <w:gridSpan w:val="2"/>
            <w:tcBorders>
              <w:top w:val="single" w:sz="4" w:space="0" w:color="auto"/>
              <w:bottom w:val="single" w:sz="4" w:space="0" w:color="auto"/>
            </w:tcBorders>
            <w:vAlign w:val="center"/>
          </w:tcPr>
          <w:p w14:paraId="22C72043" w14:textId="77777777" w:rsidR="00FE291A" w:rsidRDefault="00C8738F">
            <w:pPr>
              <w:keepNext/>
              <w:tabs>
                <w:tab w:val="left" w:pos="1134"/>
              </w:tabs>
              <w:rPr>
                <w:sz w:val="22"/>
                <w:szCs w:val="22"/>
                <w:lang w:val="de-DE"/>
              </w:rPr>
            </w:pPr>
            <w:del w:id="559" w:author="Author">
              <w:r>
                <w:rPr>
                  <w:b/>
                  <w:sz w:val="22"/>
                  <w:szCs w:val="22"/>
                  <w:lang w:val="de-DE"/>
                </w:rPr>
                <w:delText xml:space="preserve">Fest </w:delText>
              </w:r>
            </w:del>
            <w:ins w:id="560" w:author="Author">
              <w:r>
                <w:rPr>
                  <w:b/>
                  <w:sz w:val="22"/>
                  <w:szCs w:val="22"/>
                  <w:lang w:val="de-DE"/>
                </w:rPr>
                <w:t xml:space="preserve">Den Fertigpen fest </w:t>
              </w:r>
            </w:ins>
            <w:r>
              <w:rPr>
                <w:b/>
                <w:sz w:val="22"/>
                <w:szCs w:val="22"/>
                <w:lang w:val="de-DE"/>
              </w:rPr>
              <w:t xml:space="preserve">herunterdrücken, bis sich die cremefarbene Sicherheitshülse nicht weiterbewegt. </w:t>
            </w:r>
            <w:ins w:id="561" w:author="Author">
              <w:r>
                <w:rPr>
                  <w:b/>
                  <w:sz w:val="22"/>
                  <w:szCs w:val="22"/>
                  <w:lang w:val="de-DE"/>
                </w:rPr>
                <w:t>Den Fertigpen h</w:t>
              </w:r>
            </w:ins>
            <w:del w:id="562" w:author="Author">
              <w:r>
                <w:rPr>
                  <w:b/>
                  <w:sz w:val="22"/>
                  <w:szCs w:val="22"/>
                  <w:lang w:val="de-DE"/>
                </w:rPr>
                <w:delText>H</w:delText>
              </w:r>
            </w:del>
            <w:r>
              <w:rPr>
                <w:b/>
                <w:sz w:val="22"/>
                <w:szCs w:val="22"/>
                <w:lang w:val="de-DE"/>
              </w:rPr>
              <w:t>eruntergedrückt halten, nicht lösen.</w:t>
            </w:r>
          </w:p>
        </w:tc>
      </w:tr>
      <w:tr w:rsidR="00FE291A" w:rsidRPr="002E6CD3" w14:paraId="326F6C39" w14:textId="77777777">
        <w:trPr>
          <w:cantSplit/>
          <w:trHeight w:val="57"/>
        </w:trPr>
        <w:tc>
          <w:tcPr>
            <w:tcW w:w="384" w:type="pct"/>
            <w:gridSpan w:val="2"/>
            <w:tcBorders>
              <w:top w:val="single" w:sz="4" w:space="0" w:color="auto"/>
              <w:bottom w:val="single" w:sz="4" w:space="0" w:color="auto"/>
            </w:tcBorders>
            <w:tcMar>
              <w:top w:w="28" w:type="dxa"/>
              <w:left w:w="57" w:type="dxa"/>
              <w:bottom w:w="28" w:type="dxa"/>
              <w:right w:w="57" w:type="dxa"/>
            </w:tcMar>
            <w:vAlign w:val="center"/>
          </w:tcPr>
          <w:p w14:paraId="08153752" w14:textId="77777777" w:rsidR="00FE291A" w:rsidRDefault="00FE291A">
            <w:pPr>
              <w:keepNext/>
              <w:widowControl/>
              <w:numPr>
                <w:ilvl w:val="0"/>
                <w:numId w:val="65"/>
              </w:numPr>
              <w:tabs>
                <w:tab w:val="left" w:pos="578"/>
              </w:tabs>
              <w:autoSpaceDE/>
              <w:autoSpaceDN/>
              <w:adjustRightInd/>
              <w:ind w:left="642" w:hanging="642"/>
              <w:rPr>
                <w:sz w:val="22"/>
                <w:szCs w:val="22"/>
                <w:lang w:val="de-DE"/>
              </w:rPr>
            </w:pPr>
          </w:p>
        </w:tc>
        <w:tc>
          <w:tcPr>
            <w:tcW w:w="4616" w:type="pct"/>
            <w:gridSpan w:val="2"/>
            <w:tcBorders>
              <w:top w:val="single" w:sz="4" w:space="0" w:color="auto"/>
              <w:bottom w:val="single" w:sz="4" w:space="0" w:color="auto"/>
            </w:tcBorders>
            <w:vAlign w:val="center"/>
          </w:tcPr>
          <w:p w14:paraId="30F7EDED" w14:textId="77777777" w:rsidR="00FE291A" w:rsidRDefault="00C8738F">
            <w:pPr>
              <w:keepNext/>
              <w:tabs>
                <w:tab w:val="left" w:pos="1134"/>
              </w:tabs>
              <w:rPr>
                <w:sz w:val="22"/>
                <w:szCs w:val="22"/>
                <w:lang w:val="de-DE"/>
              </w:rPr>
            </w:pPr>
            <w:r>
              <w:rPr>
                <w:sz w:val="22"/>
                <w:szCs w:val="22"/>
                <w:lang w:val="de-DE"/>
              </w:rPr>
              <w:t>Die cremefarbene Sicherheitshülse wird eingedrückt und entriegelt den hellblauen Startknopf.</w:t>
            </w:r>
          </w:p>
        </w:tc>
      </w:tr>
    </w:tbl>
    <w:p w14:paraId="7797995A" w14:textId="77777777" w:rsidR="00FE291A" w:rsidRDefault="00FE291A">
      <w:pPr>
        <w:tabs>
          <w:tab w:val="left" w:pos="1134"/>
        </w:tabs>
        <w:rPr>
          <w:sz w:val="22"/>
          <w:szCs w:val="22"/>
          <w:lang w:val="de-DE"/>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85"/>
        <w:gridCol w:w="8262"/>
      </w:tblGrid>
      <w:tr w:rsidR="00FE291A" w14:paraId="57754171" w14:textId="77777777">
        <w:trPr>
          <w:cantSplit/>
          <w:trHeight w:val="57"/>
        </w:trPr>
        <w:tc>
          <w:tcPr>
            <w:tcW w:w="5000" w:type="pct"/>
            <w:gridSpan w:val="2"/>
            <w:tcBorders>
              <w:bottom w:val="nil"/>
            </w:tcBorders>
            <w:tcMar>
              <w:top w:w="28" w:type="dxa"/>
              <w:left w:w="57" w:type="dxa"/>
              <w:bottom w:w="28" w:type="dxa"/>
              <w:right w:w="57" w:type="dxa"/>
            </w:tcMar>
          </w:tcPr>
          <w:p w14:paraId="0DE2F8F3" w14:textId="77777777" w:rsidR="00FE291A" w:rsidRDefault="00C8738F">
            <w:pPr>
              <w:keepNext/>
              <w:tabs>
                <w:tab w:val="left" w:pos="1134"/>
              </w:tabs>
              <w:jc w:val="center"/>
              <w:rPr>
                <w:sz w:val="22"/>
                <w:szCs w:val="22"/>
                <w:lang w:val="de-DE"/>
              </w:rPr>
            </w:pPr>
            <w:r>
              <w:rPr>
                <w:b/>
                <w:sz w:val="22"/>
                <w:szCs w:val="22"/>
                <w:lang w:val="de-DE"/>
              </w:rPr>
              <w:t xml:space="preserve">Hellblauen Startknopf </w:t>
            </w:r>
            <w:r>
              <w:rPr>
                <w:b/>
                <w:sz w:val="22"/>
                <w:szCs w:val="22"/>
                <w:lang w:val="de-DE"/>
              </w:rPr>
              <w:br/>
              <w:t>DRÜCKEN</w:t>
            </w:r>
          </w:p>
        </w:tc>
      </w:tr>
      <w:tr w:rsidR="00FE291A" w14:paraId="1C72C55B" w14:textId="77777777">
        <w:trPr>
          <w:cantSplit/>
          <w:trHeight w:val="57"/>
        </w:trPr>
        <w:tc>
          <w:tcPr>
            <w:tcW w:w="5000" w:type="pct"/>
            <w:gridSpan w:val="2"/>
            <w:tcBorders>
              <w:top w:val="nil"/>
              <w:bottom w:val="single" w:sz="4" w:space="0" w:color="auto"/>
            </w:tcBorders>
            <w:tcMar>
              <w:top w:w="28" w:type="dxa"/>
              <w:left w:w="57" w:type="dxa"/>
              <w:bottom w:w="28" w:type="dxa"/>
              <w:right w:w="57" w:type="dxa"/>
            </w:tcMar>
          </w:tcPr>
          <w:p w14:paraId="485C6A9C" w14:textId="5F7E8D8B" w:rsidR="00FE291A" w:rsidRDefault="009C5B62">
            <w:pPr>
              <w:keepNext/>
              <w:tabs>
                <w:tab w:val="left" w:pos="1134"/>
              </w:tabs>
              <w:jc w:val="center"/>
              <w:rPr>
                <w:b/>
                <w:bCs/>
                <w:sz w:val="22"/>
                <w:szCs w:val="22"/>
                <w:lang w:val="de-DE"/>
              </w:rPr>
            </w:pPr>
            <w:r>
              <w:rPr>
                <w:noProof/>
                <w:sz w:val="22"/>
                <w:szCs w:val="22"/>
                <w:lang w:val="de-DE"/>
              </w:rPr>
              <w:drawing>
                <wp:inline distT="0" distB="0" distL="0" distR="0" wp14:anchorId="51D2DD9D" wp14:editId="4485E3BC">
                  <wp:extent cx="4503420" cy="2743200"/>
                  <wp:effectExtent l="0" t="0" r="0" b="0"/>
                  <wp:docPr id="75" name="Bild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503420" cy="2743200"/>
                          </a:xfrm>
                          <a:prstGeom prst="rect">
                            <a:avLst/>
                          </a:prstGeom>
                          <a:noFill/>
                          <a:ln>
                            <a:noFill/>
                          </a:ln>
                        </pic:spPr>
                      </pic:pic>
                    </a:graphicData>
                  </a:graphic>
                </wp:inline>
              </w:drawing>
            </w:r>
          </w:p>
        </w:tc>
      </w:tr>
      <w:tr w:rsidR="00FE291A" w:rsidRPr="00723069" w14:paraId="10D73A2A" w14:textId="77777777">
        <w:trPr>
          <w:cantSplit/>
          <w:trHeight w:val="57"/>
        </w:trPr>
        <w:tc>
          <w:tcPr>
            <w:tcW w:w="383" w:type="pct"/>
            <w:tcBorders>
              <w:top w:val="single" w:sz="4" w:space="0" w:color="auto"/>
              <w:bottom w:val="single" w:sz="4" w:space="0" w:color="auto"/>
              <w:right w:val="single" w:sz="4" w:space="0" w:color="auto"/>
            </w:tcBorders>
            <w:tcMar>
              <w:top w:w="28" w:type="dxa"/>
              <w:left w:w="57" w:type="dxa"/>
              <w:bottom w:w="28" w:type="dxa"/>
              <w:right w:w="57" w:type="dxa"/>
            </w:tcMar>
            <w:vAlign w:val="center"/>
          </w:tcPr>
          <w:p w14:paraId="7A09EFFF" w14:textId="77777777" w:rsidR="00FE291A" w:rsidRDefault="00C8738F">
            <w:pPr>
              <w:keepNext/>
              <w:ind w:left="217" w:hanging="217"/>
              <w:rPr>
                <w:b/>
                <w:bCs/>
                <w:sz w:val="22"/>
                <w:szCs w:val="22"/>
                <w:lang w:val="de-DE"/>
              </w:rPr>
            </w:pPr>
            <w:r>
              <w:rPr>
                <w:b/>
                <w:sz w:val="22"/>
                <w:szCs w:val="22"/>
                <w:lang w:val="de-DE"/>
              </w:rPr>
              <w:t>4d</w:t>
            </w:r>
          </w:p>
        </w:tc>
        <w:tc>
          <w:tcPr>
            <w:tcW w:w="4617" w:type="pct"/>
            <w:tcBorders>
              <w:top w:val="single" w:sz="4" w:space="0" w:color="auto"/>
              <w:left w:val="single" w:sz="4" w:space="0" w:color="auto"/>
              <w:bottom w:val="single" w:sz="4" w:space="0" w:color="auto"/>
            </w:tcBorders>
            <w:tcMar>
              <w:left w:w="0" w:type="dxa"/>
            </w:tcMar>
          </w:tcPr>
          <w:p w14:paraId="6A4915D3" w14:textId="77777777" w:rsidR="00FE291A" w:rsidRDefault="00C8738F">
            <w:pPr>
              <w:keepNext/>
              <w:tabs>
                <w:tab w:val="left" w:pos="1134"/>
              </w:tabs>
              <w:rPr>
                <w:b/>
                <w:bCs/>
                <w:sz w:val="22"/>
                <w:szCs w:val="22"/>
                <w:lang w:val="de-DE"/>
              </w:rPr>
            </w:pPr>
            <w:r>
              <w:rPr>
                <w:b/>
                <w:sz w:val="22"/>
                <w:szCs w:val="22"/>
                <w:lang w:val="de-DE"/>
              </w:rPr>
              <w:t xml:space="preserve">Halten Sie den Fertigpen weiter </w:t>
            </w:r>
            <w:del w:id="563" w:author="Author">
              <w:r>
                <w:rPr>
                  <w:b/>
                  <w:sz w:val="22"/>
                  <w:szCs w:val="22"/>
                  <w:lang w:val="de-DE"/>
                </w:rPr>
                <w:delText xml:space="preserve">fest </w:delText>
              </w:r>
            </w:del>
            <w:r>
              <w:rPr>
                <w:b/>
                <w:sz w:val="22"/>
                <w:szCs w:val="22"/>
                <w:lang w:val="de-DE"/>
              </w:rPr>
              <w:t>gegen die Haut und drücken Sie den hellblauen Startknopf, um die Injektion zu starten.</w:t>
            </w:r>
          </w:p>
        </w:tc>
      </w:tr>
      <w:tr w:rsidR="00FE291A" w:rsidRPr="002E6CD3" w14:paraId="3F1DC378" w14:textId="77777777">
        <w:trPr>
          <w:cantSplit/>
          <w:trHeight w:val="57"/>
        </w:trPr>
        <w:tc>
          <w:tcPr>
            <w:tcW w:w="383" w:type="pct"/>
            <w:tcBorders>
              <w:top w:val="single" w:sz="4" w:space="0" w:color="auto"/>
              <w:bottom w:val="nil"/>
              <w:right w:val="nil"/>
            </w:tcBorders>
            <w:tcMar>
              <w:top w:w="28" w:type="dxa"/>
              <w:left w:w="57" w:type="dxa"/>
              <w:bottom w:w="28" w:type="dxa"/>
              <w:right w:w="57" w:type="dxa"/>
            </w:tcMar>
          </w:tcPr>
          <w:p w14:paraId="2BDF1010"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tcBorders>
              <w:top w:val="single" w:sz="4" w:space="0" w:color="auto"/>
              <w:left w:val="nil"/>
              <w:bottom w:val="nil"/>
            </w:tcBorders>
            <w:tcMar>
              <w:left w:w="0" w:type="dxa"/>
            </w:tcMar>
          </w:tcPr>
          <w:p w14:paraId="2777EF22" w14:textId="77777777" w:rsidR="00FE291A" w:rsidRDefault="00C8738F">
            <w:pPr>
              <w:keepNext/>
              <w:tabs>
                <w:tab w:val="left" w:pos="1134"/>
              </w:tabs>
              <w:rPr>
                <w:sz w:val="22"/>
                <w:szCs w:val="22"/>
                <w:lang w:val="de-DE"/>
              </w:rPr>
            </w:pPr>
            <w:r>
              <w:rPr>
                <w:sz w:val="22"/>
                <w:szCs w:val="22"/>
                <w:lang w:val="de-DE"/>
              </w:rPr>
              <w:t>Sie hören oder spüren möglicherweise einen Klick.</w:t>
            </w:r>
          </w:p>
        </w:tc>
      </w:tr>
      <w:tr w:rsidR="00FE291A" w14:paraId="5B58290B" w14:textId="77777777">
        <w:trPr>
          <w:cantSplit/>
          <w:trHeight w:val="57"/>
        </w:trPr>
        <w:tc>
          <w:tcPr>
            <w:tcW w:w="383" w:type="pct"/>
            <w:tcBorders>
              <w:top w:val="nil"/>
              <w:bottom w:val="nil"/>
              <w:right w:val="nil"/>
            </w:tcBorders>
            <w:tcMar>
              <w:top w:w="28" w:type="dxa"/>
              <w:left w:w="57" w:type="dxa"/>
              <w:bottom w:w="28" w:type="dxa"/>
              <w:right w:w="57" w:type="dxa"/>
            </w:tcMar>
          </w:tcPr>
          <w:p w14:paraId="73E09D72"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tcBorders>
              <w:top w:val="nil"/>
              <w:left w:val="nil"/>
              <w:bottom w:val="nil"/>
            </w:tcBorders>
            <w:tcMar>
              <w:left w:w="0" w:type="dxa"/>
            </w:tcMar>
          </w:tcPr>
          <w:p w14:paraId="0B0509DD" w14:textId="77777777" w:rsidR="00FE291A" w:rsidRDefault="00C8738F">
            <w:pPr>
              <w:keepNext/>
              <w:tabs>
                <w:tab w:val="left" w:pos="1134"/>
              </w:tabs>
              <w:rPr>
                <w:b/>
                <w:bCs/>
                <w:sz w:val="22"/>
                <w:szCs w:val="22"/>
                <w:lang w:val="de-DE"/>
              </w:rPr>
            </w:pPr>
            <w:r>
              <w:rPr>
                <w:sz w:val="22"/>
                <w:szCs w:val="22"/>
                <w:lang w:val="de-DE"/>
              </w:rPr>
              <w:t>Das Sichtfenster wird gelb.</w:t>
            </w:r>
          </w:p>
        </w:tc>
      </w:tr>
      <w:tr w:rsidR="00FE291A" w:rsidRPr="00723069" w14:paraId="7C2376E1" w14:textId="77777777">
        <w:trPr>
          <w:cantSplit/>
          <w:trHeight w:val="57"/>
        </w:trPr>
        <w:tc>
          <w:tcPr>
            <w:tcW w:w="383" w:type="pct"/>
            <w:tcBorders>
              <w:top w:val="nil"/>
              <w:bottom w:val="single" w:sz="4" w:space="0" w:color="auto"/>
              <w:right w:val="nil"/>
            </w:tcBorders>
            <w:tcMar>
              <w:top w:w="28" w:type="dxa"/>
              <w:left w:w="57" w:type="dxa"/>
              <w:bottom w:w="28" w:type="dxa"/>
              <w:right w:w="57" w:type="dxa"/>
            </w:tcMar>
          </w:tcPr>
          <w:p w14:paraId="602B68F4"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tcBorders>
              <w:top w:val="nil"/>
              <w:left w:val="nil"/>
              <w:bottom w:val="single" w:sz="4" w:space="0" w:color="auto"/>
            </w:tcBorders>
            <w:tcMar>
              <w:left w:w="0" w:type="dxa"/>
            </w:tcMar>
          </w:tcPr>
          <w:p w14:paraId="7C66504C" w14:textId="77777777" w:rsidR="00FE291A" w:rsidRDefault="00C8738F">
            <w:pPr>
              <w:keepNext/>
              <w:tabs>
                <w:tab w:val="left" w:pos="1134"/>
              </w:tabs>
              <w:rPr>
                <w:b/>
                <w:bCs/>
                <w:sz w:val="22"/>
                <w:szCs w:val="22"/>
                <w:lang w:val="de-DE"/>
              </w:rPr>
            </w:pPr>
            <w:r>
              <w:rPr>
                <w:sz w:val="22"/>
                <w:szCs w:val="22"/>
                <w:lang w:val="de-DE"/>
              </w:rPr>
              <w:t>Sie können den hellblauen Startknopf nun loslassen.</w:t>
            </w:r>
          </w:p>
        </w:tc>
      </w:tr>
    </w:tbl>
    <w:p w14:paraId="77949EEE" w14:textId="77777777" w:rsidR="00FE291A" w:rsidRDefault="00FE291A">
      <w:pPr>
        <w:tabs>
          <w:tab w:val="left" w:pos="1134"/>
        </w:tabs>
        <w:rPr>
          <w:sz w:val="22"/>
          <w:szCs w:val="22"/>
          <w:lang w:val="de-DE"/>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85"/>
        <w:gridCol w:w="8262"/>
      </w:tblGrid>
      <w:tr w:rsidR="00FE291A" w:rsidRPr="002E6CD3" w14:paraId="1CEA5367"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1BA200C8" w14:textId="77777777" w:rsidR="00FE291A" w:rsidRDefault="00C8738F">
            <w:pPr>
              <w:keepNext/>
              <w:tabs>
                <w:tab w:val="left" w:pos="1134"/>
              </w:tabs>
              <w:jc w:val="center"/>
              <w:rPr>
                <w:b/>
                <w:bCs/>
                <w:sz w:val="22"/>
                <w:szCs w:val="22"/>
                <w:lang w:val="de-DE"/>
              </w:rPr>
            </w:pPr>
            <w:r>
              <w:rPr>
                <w:b/>
                <w:sz w:val="22"/>
                <w:szCs w:val="22"/>
                <w:lang w:val="de-DE"/>
              </w:rPr>
              <w:t>BEOBACHTEN UND ÜBERPRÜFEN SIE,</w:t>
            </w:r>
          </w:p>
          <w:p w14:paraId="3104B6EC" w14:textId="77777777" w:rsidR="00FE291A" w:rsidRDefault="00C8738F">
            <w:pPr>
              <w:keepNext/>
              <w:tabs>
                <w:tab w:val="left" w:pos="1134"/>
              </w:tabs>
              <w:jc w:val="center"/>
              <w:rPr>
                <w:b/>
                <w:bCs/>
                <w:sz w:val="22"/>
                <w:szCs w:val="22"/>
                <w:lang w:val="de-DE"/>
              </w:rPr>
            </w:pPr>
            <w:r>
              <w:rPr>
                <w:b/>
                <w:sz w:val="22"/>
                <w:szCs w:val="22"/>
                <w:lang w:val="de-DE"/>
              </w:rPr>
              <w:t>dass das Sichtfenster vollständig gelb wird</w:t>
            </w:r>
          </w:p>
        </w:tc>
      </w:tr>
      <w:tr w:rsidR="00FE291A" w14:paraId="061FA998"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648E5DD3" w14:textId="7D630CDA" w:rsidR="00FE291A" w:rsidRDefault="009C5B62">
            <w:pPr>
              <w:keepNext/>
              <w:tabs>
                <w:tab w:val="left" w:pos="1134"/>
              </w:tabs>
              <w:jc w:val="center"/>
              <w:rPr>
                <w:b/>
                <w:bCs/>
                <w:sz w:val="22"/>
                <w:szCs w:val="22"/>
                <w:lang w:val="de-DE"/>
              </w:rPr>
            </w:pPr>
            <w:r>
              <w:rPr>
                <w:b/>
                <w:noProof/>
                <w:sz w:val="22"/>
                <w:szCs w:val="22"/>
                <w:lang w:val="de-DE"/>
              </w:rPr>
              <w:drawing>
                <wp:inline distT="0" distB="0" distL="0" distR="0" wp14:anchorId="0B3BD12D" wp14:editId="0BACC089">
                  <wp:extent cx="4189095" cy="2514600"/>
                  <wp:effectExtent l="0" t="0" r="0" b="0"/>
                  <wp:docPr id="76" name="Bild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89095" cy="2514600"/>
                          </a:xfrm>
                          <a:prstGeom prst="rect">
                            <a:avLst/>
                          </a:prstGeom>
                          <a:noFill/>
                          <a:ln>
                            <a:noFill/>
                          </a:ln>
                        </pic:spPr>
                      </pic:pic>
                    </a:graphicData>
                  </a:graphic>
                </wp:inline>
              </w:drawing>
            </w:r>
          </w:p>
          <w:p w14:paraId="44B24576" w14:textId="77777777" w:rsidR="00FE291A" w:rsidRDefault="00FE291A">
            <w:pPr>
              <w:keepNext/>
              <w:tabs>
                <w:tab w:val="left" w:pos="1134"/>
              </w:tabs>
              <w:jc w:val="center"/>
              <w:rPr>
                <w:b/>
                <w:bCs/>
                <w:sz w:val="22"/>
                <w:szCs w:val="22"/>
                <w:lang w:val="de-DE"/>
              </w:rPr>
            </w:pPr>
          </w:p>
        </w:tc>
      </w:tr>
      <w:tr w:rsidR="00FE291A" w:rsidRPr="002E6CD3" w14:paraId="0C420F20" w14:textId="77777777">
        <w:trPr>
          <w:cantSplit/>
          <w:trHeight w:val="57"/>
        </w:trPr>
        <w:tc>
          <w:tcPr>
            <w:tcW w:w="383" w:type="pct"/>
            <w:tcBorders>
              <w:top w:val="single" w:sz="4" w:space="0" w:color="auto"/>
              <w:bottom w:val="single" w:sz="4" w:space="0" w:color="auto"/>
              <w:right w:val="single" w:sz="4" w:space="0" w:color="auto"/>
            </w:tcBorders>
            <w:tcMar>
              <w:top w:w="28" w:type="dxa"/>
              <w:left w:w="57" w:type="dxa"/>
              <w:bottom w:w="28" w:type="dxa"/>
              <w:right w:w="57" w:type="dxa"/>
            </w:tcMar>
          </w:tcPr>
          <w:p w14:paraId="07B9EB03" w14:textId="77777777" w:rsidR="00FE291A" w:rsidRDefault="00C8738F">
            <w:pPr>
              <w:keepNext/>
              <w:rPr>
                <w:b/>
                <w:bCs/>
                <w:sz w:val="22"/>
                <w:szCs w:val="22"/>
                <w:lang w:val="de-DE"/>
              </w:rPr>
            </w:pPr>
            <w:r>
              <w:rPr>
                <w:b/>
                <w:sz w:val="22"/>
                <w:szCs w:val="22"/>
                <w:lang w:val="de-DE"/>
              </w:rPr>
              <w:t>4e</w:t>
            </w:r>
          </w:p>
        </w:tc>
        <w:tc>
          <w:tcPr>
            <w:tcW w:w="4617" w:type="pct"/>
            <w:tcBorders>
              <w:top w:val="single" w:sz="4" w:space="0" w:color="auto"/>
              <w:left w:val="single" w:sz="4" w:space="0" w:color="auto"/>
              <w:bottom w:val="single" w:sz="4" w:space="0" w:color="auto"/>
            </w:tcBorders>
            <w:tcMar>
              <w:left w:w="0" w:type="dxa"/>
            </w:tcMar>
          </w:tcPr>
          <w:p w14:paraId="02798DD0" w14:textId="77777777" w:rsidR="00FE291A" w:rsidRDefault="00C8738F">
            <w:pPr>
              <w:keepNext/>
              <w:rPr>
                <w:sz w:val="22"/>
                <w:szCs w:val="22"/>
                <w:lang w:val="de-DE"/>
              </w:rPr>
            </w:pPr>
            <w:del w:id="564" w:author="Author">
              <w:r>
                <w:rPr>
                  <w:b/>
                  <w:sz w:val="22"/>
                  <w:szCs w:val="22"/>
                  <w:lang w:val="de-DE"/>
                </w:rPr>
                <w:delText xml:space="preserve">Weiter </w:delText>
              </w:r>
            </w:del>
            <w:ins w:id="565" w:author="Author">
              <w:r>
                <w:rPr>
                  <w:b/>
                  <w:sz w:val="22"/>
                  <w:szCs w:val="22"/>
                  <w:lang w:val="de-DE"/>
                </w:rPr>
                <w:t xml:space="preserve">Den Fertigpen weiter </w:t>
              </w:r>
            </w:ins>
            <w:r>
              <w:rPr>
                <w:b/>
                <w:sz w:val="22"/>
                <w:szCs w:val="22"/>
                <w:lang w:val="de-DE"/>
              </w:rPr>
              <w:t>nach unten drücken. Wenn das Sichtfenster vollständig gelb ist, ist die Injektion abgeschlossen.</w:t>
            </w:r>
          </w:p>
        </w:tc>
      </w:tr>
      <w:tr w:rsidR="00FE291A" w:rsidRPr="002E6CD3" w14:paraId="797657F3" w14:textId="77777777">
        <w:trPr>
          <w:cantSplit/>
          <w:trHeight w:val="57"/>
        </w:trPr>
        <w:tc>
          <w:tcPr>
            <w:tcW w:w="383" w:type="pct"/>
            <w:tcBorders>
              <w:top w:val="single" w:sz="4" w:space="0" w:color="auto"/>
              <w:bottom w:val="nil"/>
              <w:right w:val="nil"/>
            </w:tcBorders>
            <w:tcMar>
              <w:top w:w="28" w:type="dxa"/>
              <w:left w:w="57" w:type="dxa"/>
              <w:bottom w:w="28" w:type="dxa"/>
              <w:right w:w="57" w:type="dxa"/>
            </w:tcMar>
          </w:tcPr>
          <w:p w14:paraId="5D4AF8B2"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tcBorders>
              <w:top w:val="single" w:sz="4" w:space="0" w:color="auto"/>
              <w:left w:val="nil"/>
              <w:bottom w:val="nil"/>
            </w:tcBorders>
            <w:tcMar>
              <w:left w:w="0" w:type="dxa"/>
            </w:tcMar>
          </w:tcPr>
          <w:p w14:paraId="2033ACBB" w14:textId="77777777" w:rsidR="00FE291A" w:rsidRDefault="00C8738F">
            <w:pPr>
              <w:keepNext/>
              <w:rPr>
                <w:b/>
                <w:bCs/>
                <w:sz w:val="22"/>
                <w:szCs w:val="22"/>
                <w:lang w:val="de-DE"/>
              </w:rPr>
            </w:pPr>
            <w:r>
              <w:rPr>
                <w:sz w:val="22"/>
                <w:szCs w:val="22"/>
                <w:lang w:val="de-DE"/>
              </w:rPr>
              <w:t xml:space="preserve">Es kann bis zu </w:t>
            </w:r>
            <w:r>
              <w:rPr>
                <w:b/>
                <w:sz w:val="22"/>
                <w:szCs w:val="22"/>
                <w:lang w:val="de-DE"/>
              </w:rPr>
              <w:t>10</w:t>
            </w:r>
            <w:ins w:id="566" w:author="Author">
              <w:r>
                <w:rPr>
                  <w:sz w:val="22"/>
                  <w:szCs w:val="22"/>
                  <w:lang w:val="de-DE"/>
                </w:rPr>
                <w:t> </w:t>
              </w:r>
            </w:ins>
            <w:r>
              <w:rPr>
                <w:sz w:val="22"/>
                <w:szCs w:val="22"/>
                <w:lang w:val="de-DE"/>
              </w:rPr>
              <w:t xml:space="preserve">Sekunden dauern, bis die Injektion abgeschlossen ist. </w:t>
            </w:r>
          </w:p>
        </w:tc>
      </w:tr>
      <w:tr w:rsidR="00FE291A" w:rsidRPr="002E6CD3" w14:paraId="71309BFF" w14:textId="77777777">
        <w:trPr>
          <w:cantSplit/>
          <w:trHeight w:val="57"/>
        </w:trPr>
        <w:tc>
          <w:tcPr>
            <w:tcW w:w="383" w:type="pct"/>
            <w:tcBorders>
              <w:top w:val="nil"/>
              <w:bottom w:val="nil"/>
              <w:right w:val="nil"/>
            </w:tcBorders>
            <w:tcMar>
              <w:top w:w="28" w:type="dxa"/>
              <w:left w:w="57" w:type="dxa"/>
              <w:bottom w:w="28" w:type="dxa"/>
              <w:right w:w="57" w:type="dxa"/>
            </w:tcMar>
          </w:tcPr>
          <w:p w14:paraId="4C18F332"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tcBorders>
              <w:top w:val="nil"/>
              <w:left w:val="nil"/>
              <w:bottom w:val="nil"/>
            </w:tcBorders>
            <w:tcMar>
              <w:left w:w="0" w:type="dxa"/>
            </w:tcMar>
          </w:tcPr>
          <w:p w14:paraId="7436B0FC" w14:textId="77777777" w:rsidR="00FE291A" w:rsidRDefault="00C8738F">
            <w:pPr>
              <w:keepNext/>
              <w:rPr>
                <w:b/>
                <w:bCs/>
                <w:sz w:val="22"/>
                <w:szCs w:val="22"/>
                <w:lang w:val="de-DE"/>
              </w:rPr>
            </w:pPr>
            <w:r>
              <w:rPr>
                <w:sz w:val="22"/>
                <w:szCs w:val="22"/>
                <w:lang w:val="de-DE"/>
              </w:rPr>
              <w:t>Sie hören oder spüren möglicherweise einen Klick.</w:t>
            </w:r>
          </w:p>
        </w:tc>
      </w:tr>
      <w:tr w:rsidR="00FE291A" w:rsidRPr="00723069" w14:paraId="06DF21CE" w14:textId="77777777">
        <w:trPr>
          <w:cantSplit/>
          <w:trHeight w:val="57"/>
        </w:trPr>
        <w:tc>
          <w:tcPr>
            <w:tcW w:w="383" w:type="pct"/>
            <w:tcBorders>
              <w:top w:val="nil"/>
              <w:bottom w:val="nil"/>
              <w:right w:val="nil"/>
            </w:tcBorders>
            <w:tcMar>
              <w:top w:w="28" w:type="dxa"/>
              <w:left w:w="57" w:type="dxa"/>
              <w:bottom w:w="28" w:type="dxa"/>
              <w:right w:w="57" w:type="dxa"/>
            </w:tcMar>
          </w:tcPr>
          <w:p w14:paraId="70DD6791"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tcBorders>
              <w:top w:val="nil"/>
              <w:left w:val="nil"/>
              <w:bottom w:val="nil"/>
            </w:tcBorders>
            <w:tcMar>
              <w:left w:w="0" w:type="dxa"/>
            </w:tcMar>
          </w:tcPr>
          <w:p w14:paraId="78DB0F19" w14:textId="77777777" w:rsidR="00FE291A" w:rsidRDefault="00C8738F">
            <w:pPr>
              <w:keepNext/>
              <w:rPr>
                <w:b/>
                <w:bCs/>
                <w:sz w:val="22"/>
                <w:szCs w:val="22"/>
                <w:lang w:val="de-DE"/>
              </w:rPr>
            </w:pPr>
            <w:r>
              <w:rPr>
                <w:sz w:val="22"/>
                <w:szCs w:val="22"/>
                <w:lang w:val="de-DE"/>
              </w:rPr>
              <w:t>Heben Sie den Fertigpen von Ihrer Haut ab.</w:t>
            </w:r>
          </w:p>
        </w:tc>
      </w:tr>
      <w:tr w:rsidR="00FE291A" w:rsidRPr="002E6CD3" w14:paraId="4EAEBC4F" w14:textId="77777777">
        <w:trPr>
          <w:cantSplit/>
          <w:trHeight w:val="57"/>
        </w:trPr>
        <w:tc>
          <w:tcPr>
            <w:tcW w:w="383" w:type="pct"/>
            <w:tcBorders>
              <w:top w:val="nil"/>
              <w:bottom w:val="nil"/>
              <w:right w:val="nil"/>
            </w:tcBorders>
            <w:tcMar>
              <w:top w:w="28" w:type="dxa"/>
              <w:left w:w="57" w:type="dxa"/>
              <w:bottom w:w="28" w:type="dxa"/>
              <w:right w:w="57" w:type="dxa"/>
            </w:tcMar>
          </w:tcPr>
          <w:p w14:paraId="392088B8"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tcBorders>
              <w:top w:val="nil"/>
              <w:left w:val="nil"/>
              <w:bottom w:val="nil"/>
            </w:tcBorders>
            <w:tcMar>
              <w:left w:w="0" w:type="dxa"/>
            </w:tcMar>
          </w:tcPr>
          <w:p w14:paraId="3029CD1E" w14:textId="77777777" w:rsidR="00FE291A" w:rsidRDefault="00C8738F">
            <w:pPr>
              <w:keepNext/>
              <w:tabs>
                <w:tab w:val="left" w:pos="1134"/>
              </w:tabs>
              <w:rPr>
                <w:sz w:val="22"/>
                <w:szCs w:val="22"/>
                <w:lang w:val="de-DE"/>
              </w:rPr>
            </w:pPr>
            <w:r>
              <w:rPr>
                <w:sz w:val="22"/>
                <w:szCs w:val="22"/>
                <w:lang w:val="de-DE"/>
              </w:rPr>
              <w:t>Die cremefarbene Sicherheitshülse umschließt die Nadel.</w:t>
            </w:r>
          </w:p>
        </w:tc>
      </w:tr>
      <w:tr w:rsidR="00FE291A" w14:paraId="2848768A" w14:textId="77777777" w:rsidTr="00425AE3">
        <w:trPr>
          <w:cantSplit/>
          <w:trHeight w:val="1313"/>
        </w:trPr>
        <w:tc>
          <w:tcPr>
            <w:tcW w:w="5000" w:type="pct"/>
            <w:gridSpan w:val="2"/>
            <w:tcBorders>
              <w:top w:val="nil"/>
              <w:bottom w:val="single" w:sz="4" w:space="0" w:color="auto"/>
            </w:tcBorders>
            <w:tcMar>
              <w:top w:w="28" w:type="dxa"/>
              <w:left w:w="57" w:type="dxa"/>
              <w:bottom w:w="28" w:type="dxa"/>
              <w:right w:w="57" w:type="dxa"/>
            </w:tcMar>
          </w:tcPr>
          <w:p w14:paraId="207AF652" w14:textId="0B0C4F62" w:rsidR="00FE291A" w:rsidRDefault="009C5B62">
            <w:pPr>
              <w:keepNext/>
              <w:tabs>
                <w:tab w:val="left" w:pos="1134"/>
              </w:tabs>
              <w:rPr>
                <w:sz w:val="22"/>
                <w:szCs w:val="22"/>
                <w:lang w:val="de-DE"/>
              </w:rPr>
            </w:pPr>
            <w:r>
              <w:rPr>
                <w:noProof/>
              </w:rPr>
              <mc:AlternateContent>
                <mc:Choice Requires="wps">
                  <w:drawing>
                    <wp:inline distT="0" distB="0" distL="0" distR="0" wp14:anchorId="6E6E0079" wp14:editId="2C491736">
                      <wp:extent cx="5605145" cy="607060"/>
                      <wp:effectExtent l="9525" t="9525" r="14605" b="12065"/>
                      <wp:docPr id="793849532"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5145" cy="607060"/>
                              </a:xfrm>
                              <a:prstGeom prst="rect">
                                <a:avLst/>
                              </a:prstGeom>
                              <a:solidFill>
                                <a:srgbClr val="FFFFFF"/>
                              </a:solidFill>
                              <a:ln w="19050">
                                <a:solidFill>
                                  <a:srgbClr val="FF0000"/>
                                </a:solidFill>
                                <a:miter lim="800000"/>
                                <a:headEnd/>
                                <a:tailEnd/>
                              </a:ln>
                            </wps:spPr>
                            <wps:txbx>
                              <w:txbxContent>
                                <w:p w14:paraId="6EF282FB" w14:textId="77777777" w:rsidR="00FE291A" w:rsidRDefault="00C8738F">
                                  <w:pPr>
                                    <w:rPr>
                                      <w:sz w:val="22"/>
                                      <w:szCs w:val="22"/>
                                      <w:lang w:val="de-DE"/>
                                    </w:rPr>
                                  </w:pPr>
                                  <w:r>
                                    <w:rPr>
                                      <w:b/>
                                      <w:sz w:val="22"/>
                                      <w:lang w:val="de-DE"/>
                                    </w:rPr>
                                    <w:t>Wichtig:</w:t>
                                  </w:r>
                                  <w:r>
                                    <w:rPr>
                                      <w:sz w:val="22"/>
                                      <w:lang w:val="de-DE"/>
                                    </w:rPr>
                                    <w:t xml:space="preserve"> Wenn das Sichfenster noch nicht </w:t>
                                  </w:r>
                                  <w:ins w:id="567" w:author="Author">
                                    <w:r>
                                      <w:rPr>
                                        <w:sz w:val="22"/>
                                        <w:lang w:val="de-DE"/>
                                      </w:rPr>
                                      <w:t xml:space="preserve">vollständig </w:t>
                                    </w:r>
                                  </w:ins>
                                  <w:r>
                                    <w:rPr>
                                      <w:sz w:val="22"/>
                                      <w:lang w:val="de-DE"/>
                                    </w:rPr>
                                    <w:t>gelb geworden ist oder es so aussieht, als ob das Arzneimittel noch injiziert wird, kann das bedeuten, dass Sie nicht die vollständige Dosis erhalten haben. Rufen Sie unverzüglich Ihren Arzt oder die medizinische Fachkraft an.</w:t>
                                  </w:r>
                                </w:p>
                                <w:p w14:paraId="6897B79D" w14:textId="77777777" w:rsidR="00FE291A" w:rsidRDefault="00FE291A">
                                  <w:pPr>
                                    <w:rPr>
                                      <w:sz w:val="22"/>
                                      <w:szCs w:val="22"/>
                                      <w:lang w:val="de-DE"/>
                                    </w:rPr>
                                  </w:pPr>
                                </w:p>
                              </w:txbxContent>
                            </wps:txbx>
                            <wps:bodyPr rot="0" vert="horz" wrap="square" lIns="91440" tIns="45720" rIns="91440" bIns="45720" anchor="t" anchorCtr="0" upright="1">
                              <a:noAutofit/>
                            </wps:bodyPr>
                          </wps:wsp>
                        </a:graphicData>
                      </a:graphic>
                    </wp:inline>
                  </w:drawing>
                </mc:Choice>
                <mc:Fallback>
                  <w:pict>
                    <v:shape w14:anchorId="6E6E0079" id="Textfeld 15" o:spid="_x0000_s1045" type="#_x0000_t202" style="width:441.35pt;height:4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" strokecolor="red" strokeweight="1.5pt">
                      <v:textbox>
                        <w:txbxContent>
                          <w:p w14:paraId="6EF282FB" w14:textId="77777777" w:rsidR="00FE291A" w:rsidRDefault="00C8738F">
                            <w:pPr>
                              <w:rPr>
                                <w:sz w:val="22"/>
                                <w:szCs w:val="22"/>
                                <w:lang w:val="de-DE"/>
                              </w:rPr>
                            </w:pPr>
                            <w:r>
                              <w:rPr>
                                <w:b/>
                                <w:sz w:val="22"/>
                                <w:lang w:val="de-DE"/>
                              </w:rPr>
                              <w:t>Wichtig:</w:t>
                            </w:r>
                            <w:r>
                              <w:rPr>
                                <w:sz w:val="22"/>
                                <w:lang w:val="de-DE"/>
                              </w:rPr>
                              <w:t xml:space="preserve"> Wenn das Sichfenster noch nicht </w:t>
                            </w:r>
                            <w:ins w:id="568" w:author="Author">
                              <w:r>
                                <w:rPr>
                                  <w:sz w:val="22"/>
                                  <w:lang w:val="de-DE"/>
                                </w:rPr>
                                <w:t xml:space="preserve">vollständig </w:t>
                              </w:r>
                            </w:ins>
                            <w:r>
                              <w:rPr>
                                <w:sz w:val="22"/>
                                <w:lang w:val="de-DE"/>
                              </w:rPr>
                              <w:t>gelb geworden ist oder es so aussieht, als ob das Arzneimittel noch injiziert wird, kann das bedeuten, dass Sie nicht die vollständige Dosis erhalten haben. Rufen Sie unverzüglich Ihren Arzt oder die medizinische Fachkraft an.</w:t>
                            </w:r>
                          </w:p>
                          <w:p w14:paraId="6897B79D" w14:textId="77777777" w:rsidR="00FE291A" w:rsidRDefault="00FE291A">
                            <w:pPr>
                              <w:rPr>
                                <w:sz w:val="22"/>
                                <w:szCs w:val="22"/>
                                <w:lang w:val="de-DE"/>
                              </w:rPr>
                            </w:pPr>
                          </w:p>
                        </w:txbxContent>
                      </v:textbox>
                      <w10:anchorlock/>
                    </v:shape>
                  </w:pict>
                </mc:Fallback>
              </mc:AlternateContent>
            </w:r>
          </w:p>
        </w:tc>
      </w:tr>
    </w:tbl>
    <w:p w14:paraId="7EF8624C" w14:textId="77777777" w:rsidR="00FE291A" w:rsidRDefault="00FE291A">
      <w:pPr>
        <w:tabs>
          <w:tab w:val="left" w:pos="1134"/>
        </w:tabs>
        <w:rPr>
          <w:sz w:val="22"/>
          <w:szCs w:val="22"/>
          <w:lang w:val="de-DE"/>
        </w:rPr>
      </w:pPr>
    </w:p>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82"/>
        <w:gridCol w:w="8216"/>
      </w:tblGrid>
      <w:tr w:rsidR="00FE291A" w:rsidRPr="002E6CD3" w14:paraId="77544765" w14:textId="77777777">
        <w:trPr>
          <w:cantSplit/>
          <w:trHeight w:val="57"/>
        </w:trPr>
        <w:tc>
          <w:tcPr>
            <w:tcW w:w="383" w:type="pct"/>
            <w:tcBorders>
              <w:bottom w:val="single" w:sz="4" w:space="0" w:color="auto"/>
            </w:tcBorders>
            <w:tcMar>
              <w:top w:w="28" w:type="dxa"/>
              <w:left w:w="57" w:type="dxa"/>
              <w:bottom w:w="28" w:type="dxa"/>
              <w:right w:w="57" w:type="dxa"/>
            </w:tcMar>
          </w:tcPr>
          <w:p w14:paraId="19DFF978" w14:textId="77777777" w:rsidR="00FE291A" w:rsidRDefault="00C8738F">
            <w:pPr>
              <w:keepNext/>
              <w:tabs>
                <w:tab w:val="left" w:pos="1134"/>
              </w:tabs>
              <w:rPr>
                <w:sz w:val="22"/>
                <w:szCs w:val="22"/>
                <w:lang w:val="de-DE"/>
              </w:rPr>
            </w:pPr>
            <w:r>
              <w:rPr>
                <w:b/>
                <w:sz w:val="22"/>
                <w:szCs w:val="22"/>
                <w:lang w:val="de-DE"/>
              </w:rPr>
              <w:t>5</w:t>
            </w:r>
          </w:p>
        </w:tc>
        <w:tc>
          <w:tcPr>
            <w:tcW w:w="4617" w:type="pct"/>
            <w:tcBorders>
              <w:bottom w:val="single" w:sz="4" w:space="0" w:color="auto"/>
            </w:tcBorders>
          </w:tcPr>
          <w:p w14:paraId="40722DCF" w14:textId="77777777" w:rsidR="00FE291A" w:rsidRDefault="00C8738F">
            <w:pPr>
              <w:keepNext/>
              <w:tabs>
                <w:tab w:val="left" w:pos="1134"/>
              </w:tabs>
              <w:ind w:left="567" w:hanging="567"/>
              <w:rPr>
                <w:sz w:val="22"/>
                <w:szCs w:val="22"/>
                <w:lang w:val="de-DE"/>
              </w:rPr>
            </w:pPr>
            <w:del w:id="569" w:author="Author">
              <w:r>
                <w:rPr>
                  <w:b/>
                  <w:sz w:val="22"/>
                  <w:szCs w:val="22"/>
                  <w:lang w:val="de-DE"/>
                </w:rPr>
                <w:delText>Abschluss und Entsorgung von</w:delText>
              </w:r>
            </w:del>
            <w:ins w:id="570" w:author="Author">
              <w:r>
                <w:rPr>
                  <w:b/>
                  <w:sz w:val="22"/>
                  <w:szCs w:val="22"/>
                  <w:lang w:val="de-DE"/>
                </w:rPr>
                <w:t>Entsorgung von</w:t>
              </w:r>
            </w:ins>
            <w:r>
              <w:rPr>
                <w:b/>
                <w:sz w:val="22"/>
                <w:szCs w:val="22"/>
                <w:lang w:val="de-DE"/>
              </w:rPr>
              <w:t xml:space="preserve"> AMGEVITA</w:t>
            </w:r>
            <w:ins w:id="571" w:author="Author">
              <w:r>
                <w:rPr>
                  <w:b/>
                  <w:sz w:val="22"/>
                  <w:szCs w:val="22"/>
                  <w:lang w:val="de-DE"/>
                </w:rPr>
                <w:t xml:space="preserve"> und Überprüfung der Injektionsstelle</w:t>
              </w:r>
            </w:ins>
          </w:p>
        </w:tc>
      </w:tr>
      <w:tr w:rsidR="00FE291A" w14:paraId="042CBA64"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7743EECA" w14:textId="7315C3BC" w:rsidR="00FE291A" w:rsidRDefault="009C5B62">
            <w:pPr>
              <w:pStyle w:val="ListParagraph"/>
              <w:keepNext/>
              <w:tabs>
                <w:tab w:val="left" w:pos="0"/>
              </w:tabs>
              <w:jc w:val="center"/>
              <w:rPr>
                <w:b/>
                <w:bCs/>
                <w:sz w:val="22"/>
                <w:szCs w:val="22"/>
                <w:lang w:val="de-DE"/>
              </w:rPr>
            </w:pPr>
            <w:r>
              <w:rPr>
                <w:noProof/>
                <w:sz w:val="22"/>
                <w:szCs w:val="22"/>
                <w:lang w:val="de-DE"/>
              </w:rPr>
              <w:drawing>
                <wp:inline distT="0" distB="0" distL="0" distR="0" wp14:anchorId="6A337F06" wp14:editId="086A5A45">
                  <wp:extent cx="2743200" cy="1674495"/>
                  <wp:effectExtent l="0" t="0" r="0" b="0"/>
                  <wp:docPr id="78" name="Bild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43200" cy="1674495"/>
                          </a:xfrm>
                          <a:prstGeom prst="rect">
                            <a:avLst/>
                          </a:prstGeom>
                          <a:noFill/>
                          <a:ln>
                            <a:noFill/>
                          </a:ln>
                        </pic:spPr>
                      </pic:pic>
                    </a:graphicData>
                  </a:graphic>
                </wp:inline>
              </w:drawing>
            </w:r>
          </w:p>
        </w:tc>
      </w:tr>
      <w:tr w:rsidR="00FE291A" w14:paraId="21F7D545" w14:textId="77777777">
        <w:trPr>
          <w:cantSplit/>
          <w:trHeight w:val="904"/>
        </w:trPr>
        <w:tc>
          <w:tcPr>
            <w:tcW w:w="5000" w:type="pct"/>
            <w:gridSpan w:val="2"/>
            <w:tcBorders>
              <w:top w:val="nil"/>
              <w:bottom w:val="single" w:sz="4" w:space="0" w:color="auto"/>
            </w:tcBorders>
            <w:tcMar>
              <w:top w:w="28" w:type="dxa"/>
              <w:left w:w="57" w:type="dxa"/>
              <w:bottom w:w="28" w:type="dxa"/>
              <w:right w:w="57" w:type="dxa"/>
            </w:tcMar>
          </w:tcPr>
          <w:p w14:paraId="42F73D4F" w14:textId="0A464799" w:rsidR="00FE291A" w:rsidRDefault="009C5B62">
            <w:pPr>
              <w:keepNext/>
              <w:rPr>
                <w:sz w:val="22"/>
                <w:szCs w:val="22"/>
                <w:lang w:val="de-DE"/>
              </w:rPr>
            </w:pPr>
            <w:r>
              <w:rPr>
                <w:noProof/>
              </w:rPr>
              <mc:AlternateContent>
                <mc:Choice Requires="wps">
                  <w:drawing>
                    <wp:anchor distT="45720" distB="45720" distL="114300" distR="114300" simplePos="0" relativeHeight="16" behindDoc="0" locked="0" layoutInCell="1" allowOverlap="1" wp14:anchorId="46D3CFAF" wp14:editId="540977D0">
                      <wp:simplePos x="0" y="0"/>
                      <wp:positionH relativeFrom="margin">
                        <wp:posOffset>-2540</wp:posOffset>
                      </wp:positionH>
                      <wp:positionV relativeFrom="paragraph">
                        <wp:posOffset>18415</wp:posOffset>
                      </wp:positionV>
                      <wp:extent cx="5566410" cy="271145"/>
                      <wp:effectExtent l="0" t="0" r="0" b="0"/>
                      <wp:wrapSquare wrapText="bothSides"/>
                      <wp:docPr id="962564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410" cy="271145"/>
                              </a:xfrm>
                              <a:prstGeom prst="rect">
                                <a:avLst/>
                              </a:prstGeom>
                              <a:solidFill>
                                <a:srgbClr val="FFFFFF"/>
                              </a:solidFill>
                              <a:ln w="19050">
                                <a:solidFill>
                                  <a:srgbClr val="FF0000"/>
                                </a:solidFill>
                                <a:miter lim="800000"/>
                              </a:ln>
                            </wps:spPr>
                            <wps:txbx>
                              <w:txbxContent>
                                <w:p w14:paraId="0C513ED6" w14:textId="77777777" w:rsidR="00FE291A" w:rsidRDefault="00C8738F">
                                  <w:pPr>
                                    <w:tabs>
                                      <w:tab w:val="left" w:pos="1134"/>
                                    </w:tabs>
                                    <w:rPr>
                                      <w:sz w:val="22"/>
                                      <w:lang w:val="de-DE"/>
                                    </w:rPr>
                                  </w:pPr>
                                  <w:r>
                                    <w:rPr>
                                      <w:b/>
                                      <w:sz w:val="22"/>
                                      <w:lang w:val="de-DE"/>
                                    </w:rPr>
                                    <w:t xml:space="preserve">Wichtig: </w:t>
                                  </w:r>
                                  <w:r>
                                    <w:rPr>
                                      <w:sz w:val="22"/>
                                      <w:lang w:val="de-DE"/>
                                    </w:rPr>
                                    <w:t>Werfen Sie den Fertigpen nicht in Ihren Haushaltsabfall.</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46D3CFAF" id="Text Box 6" o:spid="_x0000_s1046" type="#_x0000_t202" style="position:absolute;margin-left:-.2pt;margin-top:1.45pt;width:438.3pt;height:21.35pt;z-index: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" strokecolor="red" strokeweight="1.5pt">
                      <v:textbox style="mso-fit-shape-to-text:t">
                        <w:txbxContent>
                          <w:p w14:paraId="0C513ED6" w14:textId="77777777" w:rsidR="00FE291A" w:rsidRDefault="00C8738F">
                            <w:pPr>
                              <w:tabs>
                                <w:tab w:val="left" w:pos="1134"/>
                              </w:tabs>
                              <w:rPr>
                                <w:sz w:val="22"/>
                                <w:lang w:val="de-DE"/>
                              </w:rPr>
                            </w:pPr>
                            <w:r>
                              <w:rPr>
                                <w:b/>
                                <w:sz w:val="22"/>
                                <w:lang w:val="de-DE"/>
                              </w:rPr>
                              <w:t xml:space="preserve">Wichtig: </w:t>
                            </w:r>
                            <w:r>
                              <w:rPr>
                                <w:sz w:val="22"/>
                                <w:lang w:val="de-DE"/>
                              </w:rPr>
                              <w:t>Werfen Sie den Fertigpen nicht in Ihren Haushaltsabfall.</w:t>
                            </w:r>
                          </w:p>
                        </w:txbxContent>
                      </v:textbox>
                      <w10:wrap type="square" anchorx="margin"/>
                    </v:shape>
                  </w:pict>
                </mc:Fallback>
              </mc:AlternateContent>
            </w:r>
            <w:r w:rsidR="00C8738F">
              <w:rPr>
                <w:sz w:val="22"/>
                <w:szCs w:val="22"/>
                <w:lang w:val="de-DE"/>
              </w:rPr>
              <w:t xml:space="preserve"> </w:t>
            </w:r>
          </w:p>
        </w:tc>
      </w:tr>
      <w:tr w:rsidR="00FE291A" w:rsidRPr="00723069" w14:paraId="2AB86FBD" w14:textId="77777777">
        <w:trPr>
          <w:cantSplit/>
          <w:trHeight w:val="57"/>
        </w:trPr>
        <w:tc>
          <w:tcPr>
            <w:tcW w:w="383" w:type="pct"/>
            <w:tcBorders>
              <w:top w:val="single" w:sz="4" w:space="0" w:color="auto"/>
              <w:bottom w:val="single" w:sz="4" w:space="0" w:color="auto"/>
              <w:right w:val="single" w:sz="4" w:space="0" w:color="auto"/>
            </w:tcBorders>
            <w:tcMar>
              <w:top w:w="28" w:type="dxa"/>
              <w:left w:w="57" w:type="dxa"/>
              <w:bottom w:w="28" w:type="dxa"/>
              <w:right w:w="57" w:type="dxa"/>
            </w:tcMar>
          </w:tcPr>
          <w:p w14:paraId="3BBD7C2D" w14:textId="77777777" w:rsidR="00FE291A" w:rsidRDefault="00C8738F">
            <w:pPr>
              <w:keepNext/>
              <w:rPr>
                <w:b/>
                <w:bCs/>
                <w:sz w:val="22"/>
                <w:szCs w:val="22"/>
                <w:lang w:val="de-DE"/>
              </w:rPr>
            </w:pPr>
            <w:r>
              <w:rPr>
                <w:b/>
                <w:sz w:val="22"/>
                <w:szCs w:val="22"/>
                <w:lang w:val="de-DE"/>
              </w:rPr>
              <w:t>5a</w:t>
            </w:r>
          </w:p>
        </w:tc>
        <w:tc>
          <w:tcPr>
            <w:tcW w:w="4617" w:type="pct"/>
            <w:tcBorders>
              <w:top w:val="single" w:sz="4" w:space="0" w:color="auto"/>
              <w:left w:val="single" w:sz="4" w:space="0" w:color="auto"/>
              <w:bottom w:val="single" w:sz="4" w:space="0" w:color="auto"/>
            </w:tcBorders>
            <w:tcMar>
              <w:left w:w="0" w:type="dxa"/>
            </w:tcMar>
          </w:tcPr>
          <w:p w14:paraId="6F51A874" w14:textId="7CF05A4A" w:rsidR="00FE291A" w:rsidRDefault="00C8738F">
            <w:pPr>
              <w:keepNext/>
              <w:rPr>
                <w:b/>
                <w:bCs/>
                <w:sz w:val="22"/>
                <w:szCs w:val="22"/>
                <w:lang w:val="de-DE"/>
              </w:rPr>
            </w:pPr>
            <w:del w:id="572" w:author="Author">
              <w:r>
                <w:rPr>
                  <w:b/>
                  <w:sz w:val="22"/>
                  <w:szCs w:val="22"/>
                  <w:lang w:val="de-DE"/>
                </w:rPr>
                <w:delText xml:space="preserve">Entsorgen </w:delText>
              </w:r>
            </w:del>
            <w:ins w:id="573" w:author="Author">
              <w:del w:id="574" w:author="Author">
                <w:r w:rsidDel="003A487A">
                  <w:rPr>
                    <w:b/>
                    <w:sz w:val="22"/>
                    <w:szCs w:val="22"/>
                    <w:lang w:val="de-DE"/>
                  </w:rPr>
                  <w:delText>Geben</w:delText>
                </w:r>
              </w:del>
              <w:r w:rsidR="003A487A">
                <w:rPr>
                  <w:b/>
                  <w:sz w:val="22"/>
                  <w:szCs w:val="22"/>
                  <w:lang w:val="de-DE"/>
                </w:rPr>
                <w:t>Legen</w:t>
              </w:r>
              <w:r>
                <w:rPr>
                  <w:b/>
                  <w:sz w:val="22"/>
                  <w:szCs w:val="22"/>
                  <w:lang w:val="de-DE"/>
                </w:rPr>
                <w:t xml:space="preserve"> </w:t>
              </w:r>
            </w:ins>
            <w:r>
              <w:rPr>
                <w:b/>
                <w:sz w:val="22"/>
                <w:szCs w:val="22"/>
                <w:lang w:val="de-DE"/>
              </w:rPr>
              <w:t>Sie den gebrauchten Fertigpen und die gelbe Kappe</w:t>
            </w:r>
            <w:ins w:id="575" w:author="Author">
              <w:r>
                <w:rPr>
                  <w:b/>
                  <w:sz w:val="22"/>
                  <w:szCs w:val="22"/>
                  <w:lang w:val="de-DE"/>
                </w:rPr>
                <w:t xml:space="preserve"> direkt nach der Anwendung</w:t>
              </w:r>
            </w:ins>
            <w:r>
              <w:rPr>
                <w:b/>
                <w:sz w:val="22"/>
                <w:szCs w:val="22"/>
                <w:lang w:val="de-DE"/>
              </w:rPr>
              <w:t xml:space="preserve"> in </w:t>
            </w:r>
            <w:del w:id="576" w:author="Author">
              <w:r>
                <w:rPr>
                  <w:b/>
                  <w:sz w:val="22"/>
                  <w:szCs w:val="22"/>
                  <w:lang w:val="de-DE"/>
                </w:rPr>
                <w:delText xml:space="preserve">einem </w:delText>
              </w:r>
            </w:del>
            <w:ins w:id="577" w:author="Author">
              <w:r>
                <w:rPr>
                  <w:b/>
                  <w:sz w:val="22"/>
                  <w:szCs w:val="22"/>
                  <w:lang w:val="de-DE"/>
                </w:rPr>
                <w:t xml:space="preserve">einen </w:t>
              </w:r>
            </w:ins>
            <w:r>
              <w:rPr>
                <w:b/>
                <w:sz w:val="22"/>
                <w:szCs w:val="22"/>
                <w:lang w:val="de-DE"/>
              </w:rPr>
              <w:t>durchstichsicheren Behälter.</w:t>
            </w:r>
          </w:p>
        </w:tc>
      </w:tr>
      <w:tr w:rsidR="00FE291A" w14:paraId="612107CF" w14:textId="77777777">
        <w:trPr>
          <w:cantSplit/>
          <w:trHeight w:val="57"/>
        </w:trPr>
        <w:tc>
          <w:tcPr>
            <w:tcW w:w="383" w:type="pct"/>
            <w:tcBorders>
              <w:top w:val="single" w:sz="4" w:space="0" w:color="auto"/>
              <w:bottom w:val="nil"/>
              <w:right w:val="nil"/>
            </w:tcBorders>
            <w:tcMar>
              <w:top w:w="28" w:type="dxa"/>
              <w:left w:w="57" w:type="dxa"/>
              <w:bottom w:w="28" w:type="dxa"/>
              <w:right w:w="57" w:type="dxa"/>
            </w:tcMar>
          </w:tcPr>
          <w:p w14:paraId="00A37A69"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tcBorders>
              <w:top w:val="single" w:sz="4" w:space="0" w:color="auto"/>
              <w:left w:val="nil"/>
              <w:bottom w:val="nil"/>
            </w:tcBorders>
            <w:tcMar>
              <w:left w:w="0" w:type="dxa"/>
            </w:tcMar>
          </w:tcPr>
          <w:p w14:paraId="1A9BABF8" w14:textId="77777777" w:rsidR="00FE291A" w:rsidRDefault="00C8738F">
            <w:pPr>
              <w:keepNext/>
              <w:rPr>
                <w:b/>
                <w:bCs/>
                <w:sz w:val="22"/>
                <w:szCs w:val="22"/>
                <w:lang w:val="de-DE"/>
              </w:rPr>
            </w:pPr>
            <w:r>
              <w:rPr>
                <w:sz w:val="22"/>
                <w:szCs w:val="22"/>
                <w:lang w:val="de-DE"/>
              </w:rPr>
              <w:t>Den Fertigpen</w:t>
            </w:r>
            <w:r>
              <w:rPr>
                <w:b/>
                <w:sz w:val="22"/>
                <w:szCs w:val="22"/>
                <w:lang w:val="de-DE"/>
              </w:rPr>
              <w:t xml:space="preserve"> nicht</w:t>
            </w:r>
            <w:r>
              <w:rPr>
                <w:sz w:val="22"/>
                <w:szCs w:val="22"/>
                <w:lang w:val="de-DE"/>
              </w:rPr>
              <w:t xml:space="preserve"> wiederverwenden.</w:t>
            </w:r>
          </w:p>
        </w:tc>
      </w:tr>
      <w:tr w:rsidR="00FE291A" w:rsidRPr="002E6CD3" w14:paraId="13684727" w14:textId="77777777">
        <w:trPr>
          <w:cantSplit/>
          <w:trHeight w:val="57"/>
        </w:trPr>
        <w:tc>
          <w:tcPr>
            <w:tcW w:w="383" w:type="pct"/>
            <w:tcBorders>
              <w:top w:val="nil"/>
              <w:bottom w:val="single" w:sz="4" w:space="0" w:color="auto"/>
              <w:right w:val="nil"/>
            </w:tcBorders>
            <w:tcMar>
              <w:top w:w="28" w:type="dxa"/>
              <w:left w:w="57" w:type="dxa"/>
              <w:bottom w:w="28" w:type="dxa"/>
              <w:right w:w="57" w:type="dxa"/>
            </w:tcMar>
          </w:tcPr>
          <w:p w14:paraId="4B3576D0"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tcBorders>
              <w:top w:val="nil"/>
              <w:left w:val="nil"/>
              <w:bottom w:val="single" w:sz="4" w:space="0" w:color="auto"/>
            </w:tcBorders>
            <w:tcMar>
              <w:left w:w="0" w:type="dxa"/>
            </w:tcMar>
          </w:tcPr>
          <w:p w14:paraId="5D1BED37" w14:textId="77777777" w:rsidR="00FE291A" w:rsidRDefault="00C8738F">
            <w:pPr>
              <w:keepNext/>
              <w:rPr>
                <w:b/>
                <w:bCs/>
                <w:sz w:val="22"/>
                <w:szCs w:val="22"/>
                <w:lang w:val="de-DE"/>
              </w:rPr>
            </w:pPr>
            <w:r>
              <w:rPr>
                <w:sz w:val="22"/>
                <w:szCs w:val="22"/>
                <w:lang w:val="de-DE"/>
              </w:rPr>
              <w:t xml:space="preserve">Die cremefarbene Sicherheitshülse </w:t>
            </w:r>
            <w:r>
              <w:rPr>
                <w:b/>
                <w:sz w:val="22"/>
                <w:szCs w:val="22"/>
                <w:lang w:val="de-DE"/>
              </w:rPr>
              <w:t>nicht</w:t>
            </w:r>
            <w:r>
              <w:rPr>
                <w:sz w:val="22"/>
                <w:szCs w:val="22"/>
                <w:lang w:val="de-DE"/>
              </w:rPr>
              <w:t xml:space="preserve"> berühren.</w:t>
            </w:r>
          </w:p>
        </w:tc>
      </w:tr>
      <w:tr w:rsidR="00FE291A" w:rsidRPr="002E6CD3" w14:paraId="09459C21" w14:textId="77777777">
        <w:trPr>
          <w:cantSplit/>
          <w:trHeight w:val="57"/>
          <w:ins w:id="578" w:author="Author"/>
        </w:trPr>
        <w:tc>
          <w:tcPr>
            <w:tcW w:w="383" w:type="pct"/>
            <w:tcBorders>
              <w:top w:val="single" w:sz="4" w:space="0" w:color="auto"/>
              <w:left w:val="nil"/>
              <w:bottom w:val="single" w:sz="4" w:space="0" w:color="auto"/>
              <w:right w:val="nil"/>
            </w:tcBorders>
            <w:tcMar>
              <w:top w:w="28" w:type="dxa"/>
              <w:left w:w="57" w:type="dxa"/>
              <w:bottom w:w="28" w:type="dxa"/>
              <w:right w:w="57" w:type="dxa"/>
            </w:tcMar>
          </w:tcPr>
          <w:p w14:paraId="227E536D" w14:textId="77777777" w:rsidR="00FE291A" w:rsidRDefault="00FE291A">
            <w:pPr>
              <w:keepNext/>
              <w:widowControl/>
              <w:autoSpaceDE/>
              <w:autoSpaceDN/>
              <w:adjustRightInd/>
              <w:rPr>
                <w:ins w:id="579" w:author="Author"/>
                <w:sz w:val="22"/>
                <w:szCs w:val="22"/>
                <w:lang w:val="de-DE"/>
              </w:rPr>
            </w:pPr>
          </w:p>
        </w:tc>
        <w:tc>
          <w:tcPr>
            <w:tcW w:w="4617" w:type="pct"/>
            <w:tcBorders>
              <w:top w:val="single" w:sz="4" w:space="0" w:color="auto"/>
              <w:left w:val="nil"/>
              <w:bottom w:val="single" w:sz="4" w:space="0" w:color="auto"/>
              <w:right w:val="nil"/>
            </w:tcBorders>
            <w:tcMar>
              <w:left w:w="0" w:type="dxa"/>
            </w:tcMar>
          </w:tcPr>
          <w:p w14:paraId="63532F2C" w14:textId="77777777" w:rsidR="00FE291A" w:rsidRDefault="00FE291A">
            <w:pPr>
              <w:keepNext/>
              <w:rPr>
                <w:ins w:id="580" w:author="Author"/>
                <w:sz w:val="22"/>
                <w:szCs w:val="22"/>
                <w:lang w:val="de-DE"/>
              </w:rPr>
            </w:pPr>
          </w:p>
        </w:tc>
      </w:tr>
      <w:tr w:rsidR="00FE291A" w14:paraId="33EC1AC8" w14:textId="77777777">
        <w:trPr>
          <w:cantSplit/>
          <w:trHeight w:val="57"/>
        </w:trPr>
        <w:tc>
          <w:tcPr>
            <w:tcW w:w="383" w:type="pct"/>
            <w:tcBorders>
              <w:top w:val="single" w:sz="4" w:space="0" w:color="auto"/>
              <w:bottom w:val="single" w:sz="4" w:space="0" w:color="auto"/>
              <w:right w:val="single" w:sz="4" w:space="0" w:color="auto"/>
            </w:tcBorders>
            <w:tcMar>
              <w:top w:w="28" w:type="dxa"/>
              <w:left w:w="57" w:type="dxa"/>
              <w:bottom w:w="28" w:type="dxa"/>
              <w:right w:w="57" w:type="dxa"/>
            </w:tcMar>
          </w:tcPr>
          <w:p w14:paraId="4E835C1A" w14:textId="77777777" w:rsidR="00FE291A" w:rsidRDefault="00C8738F">
            <w:pPr>
              <w:keepNext/>
              <w:rPr>
                <w:sz w:val="22"/>
                <w:szCs w:val="22"/>
                <w:lang w:val="de-DE"/>
              </w:rPr>
            </w:pPr>
            <w:r>
              <w:rPr>
                <w:b/>
                <w:sz w:val="22"/>
                <w:szCs w:val="22"/>
                <w:lang w:val="de-DE"/>
              </w:rPr>
              <w:t>5b</w:t>
            </w:r>
          </w:p>
        </w:tc>
        <w:tc>
          <w:tcPr>
            <w:tcW w:w="4617" w:type="pct"/>
            <w:tcBorders>
              <w:top w:val="single" w:sz="4" w:space="0" w:color="auto"/>
              <w:left w:val="single" w:sz="4" w:space="0" w:color="auto"/>
              <w:bottom w:val="single" w:sz="4" w:space="0" w:color="auto"/>
            </w:tcBorders>
            <w:tcMar>
              <w:left w:w="0" w:type="dxa"/>
            </w:tcMar>
          </w:tcPr>
          <w:p w14:paraId="2071418A" w14:textId="77777777" w:rsidR="00FE291A" w:rsidRDefault="00C8738F">
            <w:pPr>
              <w:keepNext/>
              <w:rPr>
                <w:b/>
                <w:bCs/>
                <w:sz w:val="22"/>
                <w:szCs w:val="22"/>
                <w:lang w:val="de-DE"/>
              </w:rPr>
            </w:pPr>
            <w:r>
              <w:rPr>
                <w:b/>
                <w:sz w:val="22"/>
                <w:szCs w:val="22"/>
                <w:lang w:val="de-DE"/>
              </w:rPr>
              <w:t>Überprüfen Sie die Injektionsstelle.</w:t>
            </w:r>
          </w:p>
        </w:tc>
      </w:tr>
      <w:tr w:rsidR="00FE291A" w:rsidRPr="002E6CD3" w14:paraId="3B5CE0E3" w14:textId="77777777">
        <w:trPr>
          <w:cantSplit/>
          <w:trHeight w:val="57"/>
        </w:trPr>
        <w:tc>
          <w:tcPr>
            <w:tcW w:w="383" w:type="pct"/>
            <w:tcBorders>
              <w:top w:val="single" w:sz="4" w:space="0" w:color="auto"/>
              <w:bottom w:val="nil"/>
              <w:right w:val="nil"/>
            </w:tcBorders>
            <w:tcMar>
              <w:top w:w="28" w:type="dxa"/>
              <w:left w:w="57" w:type="dxa"/>
              <w:bottom w:w="28" w:type="dxa"/>
              <w:right w:w="57" w:type="dxa"/>
            </w:tcMar>
          </w:tcPr>
          <w:p w14:paraId="03CC47B9"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tcBorders>
              <w:top w:val="single" w:sz="4" w:space="0" w:color="auto"/>
              <w:left w:val="nil"/>
              <w:bottom w:val="nil"/>
            </w:tcBorders>
            <w:tcMar>
              <w:left w:w="0" w:type="dxa"/>
            </w:tcMar>
          </w:tcPr>
          <w:p w14:paraId="4EE8283F" w14:textId="77777777" w:rsidR="00FE291A" w:rsidRDefault="00C8738F">
            <w:pPr>
              <w:keepNext/>
              <w:rPr>
                <w:b/>
                <w:bCs/>
                <w:sz w:val="22"/>
                <w:szCs w:val="22"/>
                <w:lang w:val="de-DE"/>
              </w:rPr>
            </w:pPr>
            <w:r>
              <w:rPr>
                <w:sz w:val="22"/>
                <w:szCs w:val="22"/>
                <w:lang w:val="de-DE"/>
              </w:rPr>
              <w:t xml:space="preserve">Reiben Sie </w:t>
            </w:r>
            <w:r>
              <w:rPr>
                <w:b/>
                <w:sz w:val="22"/>
                <w:szCs w:val="22"/>
                <w:lang w:val="de-DE"/>
              </w:rPr>
              <w:t>nicht</w:t>
            </w:r>
            <w:r>
              <w:rPr>
                <w:sz w:val="22"/>
                <w:szCs w:val="22"/>
                <w:lang w:val="de-DE"/>
              </w:rPr>
              <w:t xml:space="preserve"> an der Injektionsstelle. </w:t>
            </w:r>
          </w:p>
        </w:tc>
      </w:tr>
      <w:tr w:rsidR="00FE291A" w14:paraId="5A43DFB4" w14:textId="77777777">
        <w:trPr>
          <w:cantSplit/>
          <w:trHeight w:val="57"/>
        </w:trPr>
        <w:tc>
          <w:tcPr>
            <w:tcW w:w="383" w:type="pct"/>
            <w:tcBorders>
              <w:top w:val="nil"/>
              <w:bottom w:val="single" w:sz="4" w:space="0" w:color="auto"/>
              <w:right w:val="nil"/>
            </w:tcBorders>
            <w:tcMar>
              <w:top w:w="28" w:type="dxa"/>
              <w:left w:w="57" w:type="dxa"/>
              <w:bottom w:w="28" w:type="dxa"/>
              <w:right w:w="57" w:type="dxa"/>
            </w:tcMar>
          </w:tcPr>
          <w:p w14:paraId="752C42CC"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tcBorders>
              <w:top w:val="nil"/>
              <w:left w:val="nil"/>
              <w:bottom w:val="single" w:sz="4" w:space="0" w:color="auto"/>
            </w:tcBorders>
            <w:tcMar>
              <w:left w:w="0" w:type="dxa"/>
            </w:tcMar>
          </w:tcPr>
          <w:p w14:paraId="3E0B8040" w14:textId="77777777" w:rsidR="00FE291A" w:rsidRDefault="00C8738F">
            <w:pPr>
              <w:keepNext/>
              <w:rPr>
                <w:b/>
                <w:bCs/>
                <w:sz w:val="22"/>
                <w:szCs w:val="22"/>
                <w:lang w:val="de-DE"/>
              </w:rPr>
            </w:pPr>
            <w:r>
              <w:rPr>
                <w:sz w:val="22"/>
                <w:szCs w:val="22"/>
                <w:lang w:val="de-DE"/>
              </w:rPr>
              <w:t>Falls Sie Blut bemerken, drücken Sie einen Wattebausch oder Verbandmull auf die Injektionsstelle. Verwenden Sie bei Bedarf ein Pflaster.</w:t>
            </w:r>
          </w:p>
        </w:tc>
      </w:tr>
    </w:tbl>
    <w:p w14:paraId="78E9EF07" w14:textId="77777777" w:rsidR="00FE291A" w:rsidRDefault="00FE291A">
      <w:pPr>
        <w:suppressAutoHyphens/>
        <w:contextualSpacing/>
        <w:textAlignment w:val="center"/>
        <w:rPr>
          <w:sz w:val="22"/>
          <w:szCs w:val="22"/>
          <w:highlight w:val="lightGray"/>
          <w:lang w:val="de-DE"/>
        </w:rPr>
      </w:pPr>
    </w:p>
    <w:p w14:paraId="4183DC4C" w14:textId="77777777" w:rsidR="00FE291A" w:rsidRDefault="00FE291A">
      <w:pPr>
        <w:rPr>
          <w:lang w:val="de-DE"/>
        </w:rPr>
      </w:pPr>
    </w:p>
    <w:p w14:paraId="7AA73A14" w14:textId="77777777" w:rsidR="00FE291A" w:rsidRDefault="00C8738F">
      <w:pPr>
        <w:pStyle w:val="BodyText"/>
        <w:widowControl/>
        <w:kinsoku w:val="0"/>
        <w:overflowPunct w:val="0"/>
        <w:ind w:left="0"/>
        <w:jc w:val="center"/>
        <w:rPr>
          <w:b/>
          <w:bCs/>
          <w:lang w:val="de-DE"/>
        </w:rPr>
      </w:pPr>
      <w:r>
        <w:rPr>
          <w:lang w:val="de-DE"/>
        </w:rPr>
        <w:br w:type="page"/>
      </w:r>
      <w:r>
        <w:rPr>
          <w:b/>
          <w:lang w:val="de-DE"/>
        </w:rPr>
        <w:t>Gebrauchsinformation: Information für den Patienten</w:t>
      </w:r>
    </w:p>
    <w:p w14:paraId="7C6C15BC" w14:textId="77777777" w:rsidR="00FE291A" w:rsidRDefault="00FE291A">
      <w:pPr>
        <w:widowControl/>
        <w:kinsoku w:val="0"/>
        <w:overflowPunct w:val="0"/>
        <w:rPr>
          <w:sz w:val="22"/>
          <w:szCs w:val="22"/>
          <w:lang w:val="de-DE"/>
        </w:rPr>
      </w:pPr>
    </w:p>
    <w:p w14:paraId="598AD2E5" w14:textId="77777777" w:rsidR="00FE291A" w:rsidRDefault="00C8738F">
      <w:pPr>
        <w:widowControl/>
        <w:kinsoku w:val="0"/>
        <w:overflowPunct w:val="0"/>
        <w:jc w:val="center"/>
        <w:rPr>
          <w:sz w:val="22"/>
          <w:szCs w:val="22"/>
          <w:lang w:val="de-DE"/>
        </w:rPr>
      </w:pPr>
      <w:r>
        <w:rPr>
          <w:b/>
          <w:bCs/>
          <w:sz w:val="22"/>
          <w:szCs w:val="22"/>
          <w:lang w:val="de-DE"/>
        </w:rPr>
        <w:t>AMGEVITA 80 mg Injektionslösung im Fertigpen</w:t>
      </w:r>
    </w:p>
    <w:p w14:paraId="3DC96FF0" w14:textId="77777777" w:rsidR="00FE291A" w:rsidRDefault="00C8738F">
      <w:pPr>
        <w:pStyle w:val="BodyText"/>
        <w:widowControl/>
        <w:kinsoku w:val="0"/>
        <w:overflowPunct w:val="0"/>
        <w:ind w:left="0"/>
        <w:jc w:val="center"/>
        <w:rPr>
          <w:lang w:val="de-DE"/>
        </w:rPr>
      </w:pPr>
      <w:r>
        <w:rPr>
          <w:lang w:val="de-DE"/>
        </w:rPr>
        <w:t>Adalimumab</w:t>
      </w:r>
    </w:p>
    <w:p w14:paraId="73D80E5F" w14:textId="77777777" w:rsidR="00FE291A" w:rsidRDefault="00FE291A">
      <w:pPr>
        <w:pStyle w:val="BodyText"/>
        <w:widowControl/>
        <w:kinsoku w:val="0"/>
        <w:overflowPunct w:val="0"/>
        <w:ind w:left="0"/>
        <w:jc w:val="center"/>
        <w:rPr>
          <w:lang w:val="de-DE"/>
        </w:rPr>
      </w:pPr>
    </w:p>
    <w:p w14:paraId="42AC3797" w14:textId="77777777" w:rsidR="00FE291A" w:rsidRDefault="00FE291A">
      <w:pPr>
        <w:widowControl/>
        <w:kinsoku w:val="0"/>
        <w:overflowPunct w:val="0"/>
        <w:rPr>
          <w:sz w:val="22"/>
          <w:szCs w:val="22"/>
          <w:lang w:val="de-DE"/>
        </w:rPr>
      </w:pPr>
    </w:p>
    <w:p w14:paraId="63DD770B" w14:textId="77777777" w:rsidR="00FE291A" w:rsidRDefault="00C8738F">
      <w:pPr>
        <w:pStyle w:val="Heading1"/>
        <w:widowControl/>
        <w:kinsoku w:val="0"/>
        <w:overflowPunct w:val="0"/>
        <w:ind w:left="0"/>
        <w:rPr>
          <w:b w:val="0"/>
          <w:bCs w:val="0"/>
          <w:lang w:val="de-DE"/>
        </w:rPr>
      </w:pPr>
      <w:r>
        <w:rPr>
          <w:lang w:val="de-DE"/>
        </w:rPr>
        <w:t>Lesen Sie die gesamte Packungsbeilage sorgfältig durch, bevor Sie mit der Anwendung dieses Arzneimittels beginnen, denn sie enthält wichtige Informationen.</w:t>
      </w:r>
    </w:p>
    <w:p w14:paraId="422CBD02"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Heben Sie die Packungsbeilage auf. Vielleicht möchten Sie diese später nochmals lesen.</w:t>
      </w:r>
    </w:p>
    <w:p w14:paraId="495BD1AA"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 xml:space="preserve">Ihr Arzt wird Ihnen auch einen </w:t>
      </w:r>
      <w:r>
        <w:rPr>
          <w:b/>
          <w:lang w:val="de-DE"/>
        </w:rPr>
        <w:t>Patientenpass</w:t>
      </w:r>
      <w:r>
        <w:rPr>
          <w:lang w:val="de-DE"/>
        </w:rPr>
        <w:t xml:space="preserve"> aushändigen, der wichtige Informationen zur Sicherheit enthält, die Sie vor und während der Behandlung mit AMGEVITA beachten sollten. Führen Sie diesen </w:t>
      </w:r>
      <w:r>
        <w:rPr>
          <w:b/>
          <w:lang w:val="de-DE"/>
        </w:rPr>
        <w:t>Patientenpass</w:t>
      </w:r>
      <w:r>
        <w:rPr>
          <w:lang w:val="de-DE"/>
        </w:rPr>
        <w:t xml:space="preserve"> mit sich.</w:t>
      </w:r>
    </w:p>
    <w:p w14:paraId="62873BBA"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Wenn Sie weitere Fragen haben, wenden Sie sich an Ihren Arzt oder Apotheker.</w:t>
      </w:r>
    </w:p>
    <w:p w14:paraId="790B27A8"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Dieses Arzneimittel wurde Ihnen persönlich verschrieben. Geben Sie es nicht an Dritte weiter. Es kann anderen Menschen schaden, auch wenn diese die gleichen Beschwerden haben wie Sie.</w:t>
      </w:r>
    </w:p>
    <w:p w14:paraId="3BFD571C" w14:textId="77777777" w:rsidR="00FE291A" w:rsidRDefault="00C8738F">
      <w:pPr>
        <w:pStyle w:val="BodyText"/>
        <w:widowControl/>
        <w:numPr>
          <w:ilvl w:val="0"/>
          <w:numId w:val="48"/>
        </w:numPr>
        <w:tabs>
          <w:tab w:val="left" w:pos="567"/>
        </w:tabs>
        <w:kinsoku w:val="0"/>
        <w:overflowPunct w:val="0"/>
        <w:ind w:left="567"/>
        <w:rPr>
          <w:lang w:val="de-DE"/>
        </w:rPr>
      </w:pPr>
      <w:r>
        <w:rPr>
          <w:lang w:val="de-DE"/>
        </w:rPr>
        <w:t>Wenn Sie Nebenwirkungen bemerken, wenden Sie sich an Ihren Arzt oder Apotheker. Dies gilt auch für Nebenwirkungen, die nicht in dieser Packungsbeilage angegeben sind (siehe Abschnitt 4).</w:t>
      </w:r>
    </w:p>
    <w:p w14:paraId="0103A96A" w14:textId="77777777" w:rsidR="00FE291A" w:rsidRDefault="00FE291A">
      <w:pPr>
        <w:widowControl/>
        <w:kinsoku w:val="0"/>
        <w:overflowPunct w:val="0"/>
        <w:rPr>
          <w:sz w:val="22"/>
          <w:szCs w:val="26"/>
          <w:lang w:val="de-DE"/>
        </w:rPr>
      </w:pPr>
    </w:p>
    <w:p w14:paraId="0486EBA1" w14:textId="77777777" w:rsidR="00FE291A" w:rsidRDefault="00C8738F">
      <w:pPr>
        <w:pStyle w:val="Heading1"/>
        <w:widowControl/>
        <w:kinsoku w:val="0"/>
        <w:overflowPunct w:val="0"/>
        <w:ind w:left="0"/>
        <w:rPr>
          <w:lang w:val="de-DE"/>
        </w:rPr>
      </w:pPr>
      <w:r>
        <w:rPr>
          <w:lang w:val="de-DE"/>
        </w:rPr>
        <w:t>Diese Packungsbeilage beinhaltet</w:t>
      </w:r>
    </w:p>
    <w:p w14:paraId="470A21BB" w14:textId="77777777" w:rsidR="00FE291A" w:rsidRDefault="00FE291A">
      <w:pPr>
        <w:widowControl/>
        <w:rPr>
          <w:sz w:val="22"/>
          <w:lang w:val="de-DE"/>
        </w:rPr>
      </w:pPr>
    </w:p>
    <w:p w14:paraId="6ABCE8A4" w14:textId="77777777" w:rsidR="00FE291A" w:rsidRDefault="00C8738F">
      <w:pPr>
        <w:pStyle w:val="BodyText"/>
        <w:widowControl/>
        <w:tabs>
          <w:tab w:val="left" w:pos="567"/>
        </w:tabs>
        <w:kinsoku w:val="0"/>
        <w:overflowPunct w:val="0"/>
        <w:ind w:left="567" w:hanging="567"/>
        <w:rPr>
          <w:lang w:val="de-DE"/>
        </w:rPr>
      </w:pPr>
      <w:r>
        <w:rPr>
          <w:lang w:val="de-DE"/>
        </w:rPr>
        <w:t>1.</w:t>
      </w:r>
      <w:r>
        <w:rPr>
          <w:lang w:val="de-DE"/>
        </w:rPr>
        <w:tab/>
        <w:t>Was ist AMGEVITA und wofür wird es angewendet?</w:t>
      </w:r>
    </w:p>
    <w:p w14:paraId="6C35D722" w14:textId="77777777" w:rsidR="00FE291A" w:rsidRDefault="00C8738F">
      <w:pPr>
        <w:pStyle w:val="BodyText"/>
        <w:widowControl/>
        <w:tabs>
          <w:tab w:val="left" w:pos="567"/>
        </w:tabs>
        <w:kinsoku w:val="0"/>
        <w:overflowPunct w:val="0"/>
        <w:ind w:left="0"/>
        <w:rPr>
          <w:lang w:val="de-DE"/>
        </w:rPr>
      </w:pPr>
      <w:r>
        <w:rPr>
          <w:lang w:val="de-DE"/>
        </w:rPr>
        <w:t>2.</w:t>
      </w:r>
      <w:r>
        <w:rPr>
          <w:lang w:val="de-DE"/>
        </w:rPr>
        <w:tab/>
        <w:t>Was sollten Sie vor der Anwendung von AMGEVITA beachten?</w:t>
      </w:r>
    </w:p>
    <w:p w14:paraId="688B2158" w14:textId="77777777" w:rsidR="00FE291A" w:rsidRDefault="00C8738F">
      <w:pPr>
        <w:pStyle w:val="BodyText"/>
        <w:widowControl/>
        <w:tabs>
          <w:tab w:val="left" w:pos="567"/>
        </w:tabs>
        <w:kinsoku w:val="0"/>
        <w:overflowPunct w:val="0"/>
        <w:ind w:left="0"/>
        <w:rPr>
          <w:lang w:val="de-DE"/>
        </w:rPr>
      </w:pPr>
      <w:r>
        <w:rPr>
          <w:lang w:val="de-DE"/>
        </w:rPr>
        <w:t>3.</w:t>
      </w:r>
      <w:r>
        <w:rPr>
          <w:lang w:val="de-DE"/>
        </w:rPr>
        <w:tab/>
        <w:t>Wie ist AMGEVITA anzuwenden?</w:t>
      </w:r>
    </w:p>
    <w:p w14:paraId="3C8B1FAF" w14:textId="77777777" w:rsidR="00FE291A" w:rsidRDefault="00C8738F">
      <w:pPr>
        <w:pStyle w:val="BodyText"/>
        <w:widowControl/>
        <w:tabs>
          <w:tab w:val="left" w:pos="567"/>
        </w:tabs>
        <w:kinsoku w:val="0"/>
        <w:overflowPunct w:val="0"/>
        <w:ind w:left="0"/>
        <w:rPr>
          <w:lang w:val="de-DE"/>
        </w:rPr>
      </w:pPr>
      <w:r>
        <w:rPr>
          <w:lang w:val="de-DE"/>
        </w:rPr>
        <w:t>4.</w:t>
      </w:r>
      <w:r>
        <w:rPr>
          <w:lang w:val="de-DE"/>
        </w:rPr>
        <w:tab/>
        <w:t>Welche Nebenwirkungen sind möglich?</w:t>
      </w:r>
    </w:p>
    <w:p w14:paraId="404B59EF" w14:textId="77777777" w:rsidR="00FE291A" w:rsidRDefault="00C8738F">
      <w:pPr>
        <w:pStyle w:val="BodyText"/>
        <w:widowControl/>
        <w:tabs>
          <w:tab w:val="left" w:pos="567"/>
        </w:tabs>
        <w:kinsoku w:val="0"/>
        <w:overflowPunct w:val="0"/>
        <w:ind w:left="0"/>
        <w:rPr>
          <w:lang w:val="de-DE"/>
        </w:rPr>
      </w:pPr>
      <w:r>
        <w:rPr>
          <w:lang w:val="de-DE"/>
        </w:rPr>
        <w:t>5.</w:t>
      </w:r>
      <w:r>
        <w:rPr>
          <w:lang w:val="de-DE"/>
        </w:rPr>
        <w:tab/>
        <w:t>Wie ist AMGEVITA aufzubewahren?</w:t>
      </w:r>
    </w:p>
    <w:p w14:paraId="25C60C1A" w14:textId="77777777" w:rsidR="00FE291A" w:rsidRDefault="00C8738F">
      <w:pPr>
        <w:pStyle w:val="BodyText"/>
        <w:widowControl/>
        <w:tabs>
          <w:tab w:val="left" w:pos="567"/>
        </w:tabs>
        <w:kinsoku w:val="0"/>
        <w:overflowPunct w:val="0"/>
        <w:ind w:left="0"/>
        <w:rPr>
          <w:lang w:val="de-DE"/>
        </w:rPr>
      </w:pPr>
      <w:r>
        <w:rPr>
          <w:lang w:val="de-DE"/>
        </w:rPr>
        <w:t>6.</w:t>
      </w:r>
      <w:r>
        <w:rPr>
          <w:lang w:val="de-DE"/>
        </w:rPr>
        <w:tab/>
        <w:t>Inhalt der Packung und weitere Informationen</w:t>
      </w:r>
    </w:p>
    <w:p w14:paraId="39CB18F6" w14:textId="77777777" w:rsidR="00FE291A" w:rsidRDefault="00FE291A">
      <w:pPr>
        <w:widowControl/>
        <w:kinsoku w:val="0"/>
        <w:overflowPunct w:val="0"/>
        <w:rPr>
          <w:sz w:val="22"/>
          <w:szCs w:val="20"/>
          <w:lang w:val="de-DE"/>
        </w:rPr>
      </w:pPr>
    </w:p>
    <w:p w14:paraId="3F897533" w14:textId="77777777" w:rsidR="00FE291A" w:rsidRDefault="00FE291A">
      <w:pPr>
        <w:widowControl/>
        <w:kinsoku w:val="0"/>
        <w:overflowPunct w:val="0"/>
        <w:rPr>
          <w:sz w:val="22"/>
          <w:szCs w:val="20"/>
          <w:lang w:val="de-DE"/>
        </w:rPr>
      </w:pPr>
    </w:p>
    <w:p w14:paraId="17620B95" w14:textId="77777777" w:rsidR="00FE291A" w:rsidRDefault="00C8738F">
      <w:pPr>
        <w:pStyle w:val="Heading1"/>
        <w:widowControl/>
        <w:tabs>
          <w:tab w:val="left" w:pos="567"/>
        </w:tabs>
        <w:kinsoku w:val="0"/>
        <w:overflowPunct w:val="0"/>
        <w:ind w:left="0"/>
        <w:rPr>
          <w:b w:val="0"/>
          <w:bCs w:val="0"/>
          <w:lang w:val="de-DE"/>
        </w:rPr>
      </w:pPr>
      <w:r>
        <w:rPr>
          <w:lang w:val="de-DE"/>
        </w:rPr>
        <w:t>1.</w:t>
      </w:r>
      <w:r>
        <w:rPr>
          <w:lang w:val="de-DE"/>
        </w:rPr>
        <w:tab/>
        <w:t>Was ist AMGEVITA und wofür wird es angewendet?</w:t>
      </w:r>
    </w:p>
    <w:p w14:paraId="276315BE" w14:textId="77777777" w:rsidR="00FE291A" w:rsidRDefault="00FE291A">
      <w:pPr>
        <w:widowControl/>
        <w:kinsoku w:val="0"/>
        <w:overflowPunct w:val="0"/>
        <w:rPr>
          <w:sz w:val="22"/>
          <w:szCs w:val="22"/>
          <w:lang w:val="de-DE"/>
        </w:rPr>
      </w:pPr>
    </w:p>
    <w:p w14:paraId="1F45DFDC" w14:textId="77777777" w:rsidR="00FE291A" w:rsidRDefault="00C8738F">
      <w:pPr>
        <w:pStyle w:val="BodyText"/>
        <w:widowControl/>
        <w:kinsoku w:val="0"/>
        <w:overflowPunct w:val="0"/>
        <w:ind w:left="0"/>
        <w:rPr>
          <w:lang w:val="de-DE"/>
        </w:rPr>
      </w:pPr>
      <w:r>
        <w:rPr>
          <w:lang w:val="de-DE"/>
        </w:rPr>
        <w:t>AMGEVITA enthält den Wirkstoff Adalimumab, ein Arzneimittel, das auf das Immunsystem (das körpereigene Abwehrsystem) Ihres Körpers wirkt.</w:t>
      </w:r>
    </w:p>
    <w:p w14:paraId="56A9B97C" w14:textId="77777777" w:rsidR="00FE291A" w:rsidRDefault="00FE291A">
      <w:pPr>
        <w:pStyle w:val="BodyText"/>
        <w:widowControl/>
        <w:kinsoku w:val="0"/>
        <w:overflowPunct w:val="0"/>
        <w:ind w:left="0"/>
        <w:rPr>
          <w:lang w:val="de-DE"/>
        </w:rPr>
      </w:pPr>
    </w:p>
    <w:p w14:paraId="483DBD96" w14:textId="77777777" w:rsidR="00FE291A" w:rsidRDefault="00C8738F">
      <w:pPr>
        <w:pStyle w:val="BodyText"/>
        <w:widowControl/>
        <w:kinsoku w:val="0"/>
        <w:overflowPunct w:val="0"/>
        <w:ind w:left="0"/>
        <w:rPr>
          <w:lang w:val="de-DE"/>
        </w:rPr>
      </w:pPr>
      <w:r>
        <w:rPr>
          <w:lang w:val="de-DE"/>
        </w:rPr>
        <w:t>AMGEVITA ist für die Behandlung folgender entzündlicher Erkrankungen vorgesehen:</w:t>
      </w:r>
    </w:p>
    <w:p w14:paraId="039F00C8"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Rheumatoide Arthritis</w:t>
      </w:r>
    </w:p>
    <w:p w14:paraId="05EDB19B"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Polyartikuläre juvenile idiopathische Arthritis</w:t>
      </w:r>
    </w:p>
    <w:p w14:paraId="0AC33C96"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Enthesitis-assoziierte Arthritis</w:t>
      </w:r>
    </w:p>
    <w:p w14:paraId="7EF7FF96"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Ankylosierende Spondylitis</w:t>
      </w:r>
    </w:p>
    <w:p w14:paraId="0B150712"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Axiale Spondyloarthritis, bei der im Röntgenbild noch keine Verknöcherung nachweisbar ist</w:t>
      </w:r>
    </w:p>
    <w:p w14:paraId="40BCEE78"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Psoriasis-Arthritis</w:t>
      </w:r>
    </w:p>
    <w:p w14:paraId="2B153C86"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Plaque-Psoriasis</w:t>
      </w:r>
    </w:p>
    <w:p w14:paraId="68BFACBB"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Hidradenitis suppurativa (Acne inversa)</w:t>
      </w:r>
    </w:p>
    <w:p w14:paraId="1C5269C9"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Morbus Crohn</w:t>
      </w:r>
    </w:p>
    <w:p w14:paraId="20B1146B"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 xml:space="preserve">Colitis ulcerosa </w:t>
      </w:r>
    </w:p>
    <w:p w14:paraId="446922E4"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Nicht-infektiöse Uveitis</w:t>
      </w:r>
    </w:p>
    <w:p w14:paraId="106C4C63" w14:textId="77777777" w:rsidR="00FE291A" w:rsidRDefault="00FE291A">
      <w:pPr>
        <w:pStyle w:val="BodyText"/>
        <w:widowControl/>
        <w:kinsoku w:val="0"/>
        <w:overflowPunct w:val="0"/>
        <w:ind w:left="0"/>
        <w:rPr>
          <w:lang w:val="de-DE"/>
        </w:rPr>
      </w:pPr>
    </w:p>
    <w:p w14:paraId="25BB375A" w14:textId="77777777" w:rsidR="00FE291A" w:rsidRDefault="00C8738F">
      <w:pPr>
        <w:pStyle w:val="BodyText"/>
        <w:widowControl/>
        <w:kinsoku w:val="0"/>
        <w:overflowPunct w:val="0"/>
        <w:ind w:left="0"/>
        <w:rPr>
          <w:lang w:val="de-DE"/>
        </w:rPr>
      </w:pPr>
      <w:r>
        <w:rPr>
          <w:lang w:val="de-DE"/>
        </w:rPr>
        <w:t>Der Wirkstoff von AMGEVITA, Adalimumab, ist ein humaner monoklonaler Antikörper. Monoklonale Antikörper sind Eiweiße, die sich an ein bestimmtes Ziel anheften.</w:t>
      </w:r>
    </w:p>
    <w:p w14:paraId="1A4732D1" w14:textId="77777777" w:rsidR="00FE291A" w:rsidRDefault="00FE291A">
      <w:pPr>
        <w:pStyle w:val="BodyText"/>
        <w:widowControl/>
        <w:kinsoku w:val="0"/>
        <w:overflowPunct w:val="0"/>
        <w:ind w:left="0"/>
        <w:rPr>
          <w:lang w:val="de-DE"/>
        </w:rPr>
      </w:pPr>
    </w:p>
    <w:p w14:paraId="38753B77" w14:textId="77777777" w:rsidR="00FE291A" w:rsidRDefault="00C8738F">
      <w:pPr>
        <w:pStyle w:val="BodyText"/>
        <w:widowControl/>
        <w:kinsoku w:val="0"/>
        <w:overflowPunct w:val="0"/>
        <w:ind w:left="0"/>
        <w:rPr>
          <w:lang w:val="de-DE"/>
        </w:rPr>
      </w:pPr>
      <w:r>
        <w:rPr>
          <w:lang w:val="de-DE"/>
        </w:rPr>
        <w:t>Das Ziel von Adalimumab ist das Eiweiß Tumornekrosefaktor-alpha (TNFα). TNFα ist beteiligt an Abwehrreaktionen des Körpers. Bei den oben genannten Erkrankungen ist die Menge an TNFα erhöht. AMGEVITA heftet sich an TNFα und verringert dadurch die entzündlichen Vorgänge bei diesen Erkrankungen.</w:t>
      </w:r>
    </w:p>
    <w:p w14:paraId="04771F46" w14:textId="77777777" w:rsidR="00FE291A" w:rsidRDefault="00FE291A">
      <w:pPr>
        <w:widowControl/>
        <w:kinsoku w:val="0"/>
        <w:overflowPunct w:val="0"/>
        <w:rPr>
          <w:sz w:val="22"/>
          <w:szCs w:val="22"/>
          <w:lang w:val="de-DE"/>
        </w:rPr>
      </w:pPr>
    </w:p>
    <w:p w14:paraId="68F76824" w14:textId="77777777" w:rsidR="00FE291A" w:rsidRDefault="00C8738F">
      <w:pPr>
        <w:pStyle w:val="BodyText"/>
        <w:keepNext/>
        <w:widowControl/>
        <w:kinsoku w:val="0"/>
        <w:overflowPunct w:val="0"/>
        <w:ind w:left="0"/>
        <w:rPr>
          <w:lang w:val="de-DE"/>
        </w:rPr>
      </w:pPr>
      <w:r>
        <w:rPr>
          <w:u w:val="single"/>
          <w:lang w:val="de-DE"/>
        </w:rPr>
        <w:t>Rheumatoide Arthritis</w:t>
      </w:r>
    </w:p>
    <w:p w14:paraId="76631141" w14:textId="77777777" w:rsidR="00FE291A" w:rsidRDefault="00FE291A">
      <w:pPr>
        <w:keepNext/>
        <w:widowControl/>
        <w:kinsoku w:val="0"/>
        <w:overflowPunct w:val="0"/>
        <w:rPr>
          <w:sz w:val="22"/>
          <w:szCs w:val="22"/>
          <w:lang w:val="de-DE"/>
        </w:rPr>
      </w:pPr>
    </w:p>
    <w:p w14:paraId="5199E532" w14:textId="77777777" w:rsidR="00FE291A" w:rsidRDefault="00C8738F">
      <w:pPr>
        <w:pStyle w:val="BodyText"/>
        <w:widowControl/>
        <w:kinsoku w:val="0"/>
        <w:overflowPunct w:val="0"/>
        <w:ind w:left="0"/>
        <w:rPr>
          <w:lang w:val="de-DE"/>
        </w:rPr>
      </w:pPr>
      <w:r>
        <w:rPr>
          <w:lang w:val="de-DE"/>
        </w:rPr>
        <w:t>Die rheumatoide Arthritis ist eine entzündliche Erkrankung der Gelenke.</w:t>
      </w:r>
    </w:p>
    <w:p w14:paraId="17FA8F4D" w14:textId="77777777" w:rsidR="00FE291A" w:rsidRDefault="00FE291A">
      <w:pPr>
        <w:widowControl/>
        <w:kinsoku w:val="0"/>
        <w:overflowPunct w:val="0"/>
        <w:rPr>
          <w:sz w:val="22"/>
          <w:szCs w:val="22"/>
          <w:lang w:val="de-DE"/>
        </w:rPr>
      </w:pPr>
    </w:p>
    <w:p w14:paraId="0258322D" w14:textId="77777777" w:rsidR="00FE291A" w:rsidRDefault="00C8738F">
      <w:pPr>
        <w:pStyle w:val="BodyText"/>
        <w:widowControl/>
        <w:kinsoku w:val="0"/>
        <w:overflowPunct w:val="0"/>
        <w:ind w:left="0"/>
        <w:rPr>
          <w:lang w:val="de-DE"/>
        </w:rPr>
      </w:pPr>
      <w:r>
        <w:rPr>
          <w:lang w:val="de-DE"/>
        </w:rPr>
        <w:t>AMGEVITA wird angewendet, um die rheumatoide Arthritis bei Erwachsenen zu behandeln. Wenn Sie eine mäßige bis schwere aktive rheumatoide Arthritis haben, werden Ihnen möglicherweise zunächst andere Arzneimittel (Basistherapeutika wie Methotrexat) verabreicht. Wenn Sie nicht ausreichend auf diese Arzneimittel ansprechen, erhalten Sie AMGEVITA, um Ihre rheumatoide Arthritis zu behandeln.</w:t>
      </w:r>
    </w:p>
    <w:p w14:paraId="0C899A7A" w14:textId="77777777" w:rsidR="00FE291A" w:rsidRDefault="00FE291A">
      <w:pPr>
        <w:pStyle w:val="BodyText"/>
        <w:widowControl/>
        <w:kinsoku w:val="0"/>
        <w:overflowPunct w:val="0"/>
        <w:ind w:left="0"/>
        <w:rPr>
          <w:lang w:val="de-DE"/>
        </w:rPr>
      </w:pPr>
    </w:p>
    <w:p w14:paraId="15F801A8" w14:textId="77777777" w:rsidR="00FE291A" w:rsidRDefault="00C8738F">
      <w:pPr>
        <w:pStyle w:val="BodyText"/>
        <w:widowControl/>
        <w:kinsoku w:val="0"/>
        <w:overflowPunct w:val="0"/>
        <w:ind w:left="0"/>
        <w:rPr>
          <w:lang w:val="de-DE"/>
        </w:rPr>
      </w:pPr>
      <w:r>
        <w:rPr>
          <w:lang w:val="de-DE"/>
        </w:rPr>
        <w:t>AMGEVITA kann auch zur Behandlung einer schweren aktiven und fortschreitenden (progressiven) rheumatoiden Arthritis ohne vorherige Methotrexat-Behandlung eingesetzt werden.</w:t>
      </w:r>
    </w:p>
    <w:p w14:paraId="66645180" w14:textId="77777777" w:rsidR="00FE291A" w:rsidRDefault="00FE291A">
      <w:pPr>
        <w:widowControl/>
        <w:kinsoku w:val="0"/>
        <w:overflowPunct w:val="0"/>
        <w:rPr>
          <w:sz w:val="22"/>
          <w:szCs w:val="22"/>
          <w:lang w:val="de-DE"/>
        </w:rPr>
      </w:pPr>
    </w:p>
    <w:p w14:paraId="31979765" w14:textId="77777777" w:rsidR="00FE291A" w:rsidRDefault="00C8738F">
      <w:pPr>
        <w:pStyle w:val="BodyText"/>
        <w:widowControl/>
        <w:kinsoku w:val="0"/>
        <w:overflowPunct w:val="0"/>
        <w:ind w:left="0"/>
        <w:rPr>
          <w:lang w:val="de-DE"/>
        </w:rPr>
      </w:pPr>
      <w:r>
        <w:rPr>
          <w:lang w:val="de-DE"/>
        </w:rPr>
        <w:t>AMGEVITA verlangsamt das Fortschreiten der durch die Erkrankung verursachten Knorpel- und Knochenschädigungen der Gelenke. AMGEVITA verbessert die körperliche Funktionsfähigkeit.</w:t>
      </w:r>
    </w:p>
    <w:p w14:paraId="1F97D177" w14:textId="77777777" w:rsidR="00FE291A" w:rsidRDefault="00FE291A">
      <w:pPr>
        <w:widowControl/>
        <w:kinsoku w:val="0"/>
        <w:overflowPunct w:val="0"/>
        <w:rPr>
          <w:sz w:val="22"/>
          <w:szCs w:val="22"/>
          <w:lang w:val="de-DE"/>
        </w:rPr>
      </w:pPr>
    </w:p>
    <w:p w14:paraId="1E4B788E" w14:textId="77777777" w:rsidR="00FE291A" w:rsidRDefault="00C8738F">
      <w:pPr>
        <w:pStyle w:val="BodyText"/>
        <w:widowControl/>
        <w:kinsoku w:val="0"/>
        <w:overflowPunct w:val="0"/>
        <w:ind w:left="0"/>
        <w:rPr>
          <w:lang w:val="de-DE"/>
        </w:rPr>
      </w:pPr>
      <w:r>
        <w:rPr>
          <w:lang w:val="de-DE"/>
        </w:rPr>
        <w:t>AMGEVITA wird üblicherweise mit Methotrexat verwendet. Sollte Ihr Arzt die Gabe von Methotrexat als nicht geeignet erachten, kann AMGEVITA auch alleine angewendet werden.</w:t>
      </w:r>
    </w:p>
    <w:p w14:paraId="505CAD83" w14:textId="77777777" w:rsidR="00FE291A" w:rsidRDefault="00FE291A">
      <w:pPr>
        <w:widowControl/>
        <w:kinsoku w:val="0"/>
        <w:overflowPunct w:val="0"/>
        <w:rPr>
          <w:sz w:val="22"/>
          <w:szCs w:val="22"/>
          <w:lang w:val="de-DE"/>
        </w:rPr>
      </w:pPr>
    </w:p>
    <w:p w14:paraId="0E7950D6" w14:textId="77777777" w:rsidR="00FE291A" w:rsidRDefault="00C8738F">
      <w:pPr>
        <w:pStyle w:val="BodyText"/>
        <w:widowControl/>
        <w:kinsoku w:val="0"/>
        <w:overflowPunct w:val="0"/>
        <w:ind w:left="0"/>
        <w:rPr>
          <w:lang w:val="de-DE"/>
        </w:rPr>
      </w:pPr>
      <w:r>
        <w:rPr>
          <w:u w:val="single"/>
          <w:lang w:val="de-DE"/>
        </w:rPr>
        <w:t>Polyartikuläre juvenile idiopathische Arthritis und Enthesitis-assoziierte Arthritis</w:t>
      </w:r>
    </w:p>
    <w:p w14:paraId="5F1ED7D7" w14:textId="77777777" w:rsidR="00FE291A" w:rsidRDefault="00FE291A">
      <w:pPr>
        <w:widowControl/>
        <w:kinsoku w:val="0"/>
        <w:overflowPunct w:val="0"/>
        <w:rPr>
          <w:sz w:val="22"/>
          <w:szCs w:val="22"/>
          <w:lang w:val="de-DE"/>
        </w:rPr>
      </w:pPr>
    </w:p>
    <w:p w14:paraId="3D4B327D" w14:textId="77777777" w:rsidR="00FE291A" w:rsidRDefault="00C8738F">
      <w:pPr>
        <w:pStyle w:val="BodyText"/>
        <w:widowControl/>
        <w:kinsoku w:val="0"/>
        <w:overflowPunct w:val="0"/>
        <w:ind w:left="0"/>
        <w:rPr>
          <w:lang w:val="de-DE"/>
        </w:rPr>
      </w:pPr>
      <w:r>
        <w:rPr>
          <w:lang w:val="de-DE"/>
        </w:rPr>
        <w:t>Die polyartikuläre juvenile idiopathische Arthritis und die Enthesitis-assoziierte Arthritis sind entzündliche Erkrankungen der Gelenke, die üblicherweise das erste Mal in der Kindheit auftreten.</w:t>
      </w:r>
    </w:p>
    <w:p w14:paraId="08DCC805" w14:textId="77777777" w:rsidR="00FE291A" w:rsidRDefault="00FE291A">
      <w:pPr>
        <w:pStyle w:val="BodyText"/>
        <w:widowControl/>
        <w:kinsoku w:val="0"/>
        <w:overflowPunct w:val="0"/>
        <w:ind w:left="0"/>
        <w:rPr>
          <w:lang w:val="de-DE"/>
        </w:rPr>
      </w:pPr>
    </w:p>
    <w:p w14:paraId="18F21CCB" w14:textId="77777777" w:rsidR="00FE291A" w:rsidRDefault="00C8738F">
      <w:pPr>
        <w:pStyle w:val="BodyText"/>
        <w:widowControl/>
        <w:kinsoku w:val="0"/>
        <w:overflowPunct w:val="0"/>
        <w:ind w:left="0"/>
        <w:rPr>
          <w:lang w:val="de-DE"/>
        </w:rPr>
      </w:pPr>
      <w:r>
        <w:rPr>
          <w:lang w:val="de-DE"/>
        </w:rPr>
        <w:t>AMGEVITA wird angewendet, um die polyartikuläre idiopathische Arthritis bei Patienten ab 2 Jahren bzw. die Enthesitis-assoziierte Arthritis bei Patienten ab 6 Jahren zu behandeln. Es werden Ihnen möglicherweise zunächst andere Arzneimittel (Basistherapeutika wie Methotrexat) verabreicht. Wenn Sie nicht ausreichend auf diese Arzneimittel ansprechen, erhalten Sie AMGEVITA, um Ihre polyartikuläre juvenile idiopathische Arthritis oder Enthesitis-assoziierte Arthritis zu behandeln.</w:t>
      </w:r>
    </w:p>
    <w:p w14:paraId="1B475B55" w14:textId="77777777" w:rsidR="00FE291A" w:rsidRDefault="00FE291A">
      <w:pPr>
        <w:widowControl/>
        <w:kinsoku w:val="0"/>
        <w:overflowPunct w:val="0"/>
        <w:rPr>
          <w:sz w:val="22"/>
          <w:szCs w:val="22"/>
          <w:lang w:val="de-DE"/>
        </w:rPr>
      </w:pPr>
    </w:p>
    <w:p w14:paraId="1B879F94" w14:textId="77777777" w:rsidR="00FE291A" w:rsidRDefault="00C8738F">
      <w:pPr>
        <w:pStyle w:val="BodyText"/>
        <w:keepNext/>
        <w:widowControl/>
        <w:kinsoku w:val="0"/>
        <w:overflowPunct w:val="0"/>
        <w:ind w:left="0"/>
        <w:rPr>
          <w:lang w:val="de-DE"/>
        </w:rPr>
      </w:pPr>
      <w:r>
        <w:rPr>
          <w:u w:val="single"/>
          <w:lang w:val="de-DE"/>
        </w:rPr>
        <w:t>Ankylosierende Spondylitis und axiale Spondyloarthritis, bei der im Röntgenbild noch keine</w:t>
      </w:r>
      <w:r>
        <w:rPr>
          <w:lang w:val="de-DE"/>
        </w:rPr>
        <w:t xml:space="preserve"> </w:t>
      </w:r>
      <w:r>
        <w:rPr>
          <w:u w:val="single"/>
          <w:lang w:val="de-DE"/>
        </w:rPr>
        <w:t>Verknöcherung nachweisbar ist</w:t>
      </w:r>
    </w:p>
    <w:p w14:paraId="3D01A01F" w14:textId="77777777" w:rsidR="00FE291A" w:rsidRDefault="00FE291A">
      <w:pPr>
        <w:keepNext/>
        <w:widowControl/>
        <w:kinsoku w:val="0"/>
        <w:overflowPunct w:val="0"/>
        <w:rPr>
          <w:sz w:val="22"/>
          <w:szCs w:val="22"/>
          <w:lang w:val="de-DE"/>
        </w:rPr>
      </w:pPr>
    </w:p>
    <w:p w14:paraId="02689750" w14:textId="77777777" w:rsidR="00FE291A" w:rsidRDefault="00C8738F">
      <w:pPr>
        <w:pStyle w:val="BodyText"/>
        <w:widowControl/>
        <w:kinsoku w:val="0"/>
        <w:overflowPunct w:val="0"/>
        <w:ind w:left="0"/>
        <w:rPr>
          <w:lang w:val="de-DE"/>
        </w:rPr>
      </w:pPr>
      <w:r>
        <w:rPr>
          <w:lang w:val="de-DE"/>
        </w:rPr>
        <w:t>Die ankylosierende Spondylitis und axiale Spondyloarthritis, bei der im Röntgenbild noch keine Verknöcherung nachweisbar ist, sind entzündliche Erkrankungen der Wirbelsäule.</w:t>
      </w:r>
    </w:p>
    <w:p w14:paraId="01818792" w14:textId="77777777" w:rsidR="00FE291A" w:rsidRDefault="00FE291A">
      <w:pPr>
        <w:widowControl/>
        <w:kinsoku w:val="0"/>
        <w:overflowPunct w:val="0"/>
        <w:rPr>
          <w:sz w:val="22"/>
          <w:szCs w:val="22"/>
          <w:lang w:val="de-DE"/>
        </w:rPr>
      </w:pPr>
    </w:p>
    <w:p w14:paraId="613AA5A9" w14:textId="77777777" w:rsidR="00FE291A" w:rsidRDefault="00C8738F">
      <w:pPr>
        <w:pStyle w:val="BodyText"/>
        <w:widowControl/>
        <w:kinsoku w:val="0"/>
        <w:overflowPunct w:val="0"/>
        <w:ind w:left="0"/>
        <w:rPr>
          <w:lang w:val="de-DE"/>
        </w:rPr>
      </w:pPr>
      <w:r>
        <w:rPr>
          <w:lang w:val="de-DE"/>
        </w:rPr>
        <w:t>AMGEVITA wird angewendet, um die ankylosierende Spondylitis und axiale Spondyloarthritis, bei der im Röntgenbild noch keine Verknöcherung nachweisbar ist, bei Erwachsenen zu behandeln. Wenn Sie eine ankylosierende Spondylitis oder axiale Spondyloarthritis, bei der im Röntgenbild noch keine Verknöcherung nachweisbar ist, haben, werden Sie zunächst mit anderen Arzneimitteln behandelt. Wenn Sie nicht ausreichend auf diese Arzneimittel ansprechen, erhalten Sie AMGEVITA, um die Anzeichen und Beschwerden Ihrer Erkrankung zu vermindern.</w:t>
      </w:r>
    </w:p>
    <w:p w14:paraId="21F22905" w14:textId="77777777" w:rsidR="00FE291A" w:rsidRDefault="00FE291A">
      <w:pPr>
        <w:widowControl/>
        <w:kinsoku w:val="0"/>
        <w:overflowPunct w:val="0"/>
        <w:rPr>
          <w:sz w:val="22"/>
          <w:szCs w:val="22"/>
          <w:lang w:val="de-DE"/>
        </w:rPr>
      </w:pPr>
    </w:p>
    <w:p w14:paraId="621C6960" w14:textId="77777777" w:rsidR="00FE291A" w:rsidRDefault="00C8738F">
      <w:pPr>
        <w:pStyle w:val="BodyText"/>
        <w:keepNext/>
        <w:widowControl/>
        <w:kinsoku w:val="0"/>
        <w:overflowPunct w:val="0"/>
        <w:ind w:left="0"/>
        <w:rPr>
          <w:lang w:val="de-DE"/>
        </w:rPr>
      </w:pPr>
      <w:r>
        <w:rPr>
          <w:u w:val="single"/>
          <w:lang w:val="de-DE"/>
        </w:rPr>
        <w:t>Psoriasis-Arthritis</w:t>
      </w:r>
    </w:p>
    <w:p w14:paraId="7703696E" w14:textId="77777777" w:rsidR="00FE291A" w:rsidRDefault="00FE291A">
      <w:pPr>
        <w:keepNext/>
        <w:widowControl/>
        <w:kinsoku w:val="0"/>
        <w:overflowPunct w:val="0"/>
        <w:rPr>
          <w:sz w:val="22"/>
          <w:szCs w:val="22"/>
          <w:lang w:val="de-DE"/>
        </w:rPr>
      </w:pPr>
    </w:p>
    <w:p w14:paraId="58F08DD5" w14:textId="77777777" w:rsidR="00FE291A" w:rsidRDefault="00C8738F">
      <w:pPr>
        <w:pStyle w:val="BodyText"/>
        <w:widowControl/>
        <w:kinsoku w:val="0"/>
        <w:overflowPunct w:val="0"/>
        <w:ind w:left="0"/>
        <w:rPr>
          <w:lang w:val="de-DE"/>
        </w:rPr>
      </w:pPr>
      <w:r>
        <w:rPr>
          <w:lang w:val="de-DE"/>
        </w:rPr>
        <w:t>Die Psoriasis-Arthritis ist eine Entzündung der Gelenke, die in Verbindung mit Schuppenflechte (Psoriasis) auftritt.</w:t>
      </w:r>
    </w:p>
    <w:p w14:paraId="1F7DFB5F" w14:textId="77777777" w:rsidR="00FE291A" w:rsidRDefault="00FE291A">
      <w:pPr>
        <w:widowControl/>
        <w:kinsoku w:val="0"/>
        <w:overflowPunct w:val="0"/>
        <w:rPr>
          <w:sz w:val="22"/>
          <w:szCs w:val="22"/>
          <w:lang w:val="de-DE"/>
        </w:rPr>
      </w:pPr>
    </w:p>
    <w:p w14:paraId="3F2140EE" w14:textId="77777777" w:rsidR="00FE291A" w:rsidRDefault="00C8738F">
      <w:pPr>
        <w:pStyle w:val="BodyText"/>
        <w:widowControl/>
        <w:kinsoku w:val="0"/>
        <w:overflowPunct w:val="0"/>
        <w:ind w:left="0"/>
        <w:rPr>
          <w:lang w:val="de-DE"/>
        </w:rPr>
      </w:pPr>
      <w:r>
        <w:rPr>
          <w:lang w:val="de-DE"/>
        </w:rPr>
        <w:t>AMGEVITA wird angewendet, um die Psoriasis-Arthritis bei Erwachsenen zu behandeln. AMGEVITA verlangsamt das Fortschreiten der durch die Erkrankung verursachten Knorpel- und Knochenschädigungen der Gelenke. AMGEVITA verbessert die körperliche Funktionsfähigkeit.</w:t>
      </w:r>
    </w:p>
    <w:p w14:paraId="79C4C6FF" w14:textId="77777777" w:rsidR="00FE291A" w:rsidRDefault="00FE291A">
      <w:pPr>
        <w:widowControl/>
        <w:kinsoku w:val="0"/>
        <w:overflowPunct w:val="0"/>
        <w:rPr>
          <w:sz w:val="22"/>
          <w:szCs w:val="22"/>
          <w:lang w:val="de-DE"/>
        </w:rPr>
      </w:pPr>
    </w:p>
    <w:p w14:paraId="0D130AFE" w14:textId="77777777" w:rsidR="00FE291A" w:rsidRDefault="00C8738F">
      <w:pPr>
        <w:pStyle w:val="BodyText"/>
        <w:keepNext/>
        <w:widowControl/>
        <w:kinsoku w:val="0"/>
        <w:overflowPunct w:val="0"/>
        <w:ind w:left="0"/>
        <w:rPr>
          <w:lang w:val="de-DE"/>
        </w:rPr>
      </w:pPr>
      <w:r>
        <w:rPr>
          <w:u w:val="single"/>
          <w:lang w:val="de-DE"/>
        </w:rPr>
        <w:t>Plaque-Psoriasis bei Erwachsenen, Kindern und Jugendlichen</w:t>
      </w:r>
    </w:p>
    <w:p w14:paraId="2E996A8C" w14:textId="77777777" w:rsidR="00FE291A" w:rsidRDefault="00FE291A">
      <w:pPr>
        <w:keepNext/>
        <w:widowControl/>
        <w:kinsoku w:val="0"/>
        <w:overflowPunct w:val="0"/>
        <w:rPr>
          <w:sz w:val="22"/>
          <w:szCs w:val="22"/>
          <w:lang w:val="de-DE"/>
        </w:rPr>
      </w:pPr>
    </w:p>
    <w:p w14:paraId="4E994025" w14:textId="77777777" w:rsidR="00FE291A" w:rsidRDefault="00C8738F">
      <w:pPr>
        <w:pStyle w:val="BodyText"/>
        <w:widowControl/>
        <w:kinsoku w:val="0"/>
        <w:overflowPunct w:val="0"/>
        <w:ind w:left="0"/>
        <w:rPr>
          <w:lang w:val="de-DE"/>
        </w:rPr>
      </w:pPr>
      <w:r>
        <w:rPr>
          <w:lang w:val="de-DE"/>
        </w:rPr>
        <w:t>Plaque-Psoriasis (Schuppenflechte mit klar abgegrenzten Hautstellen) ist ein Hautzustand, der rote, schuppige, verkrustete Stellen auf der Haut verursacht, die mit silbrigen Schuppen bedeckt sind. Plaque</w:t>
      </w:r>
      <w:r>
        <w:rPr>
          <w:lang w:val="de-DE"/>
        </w:rPr>
        <w:noBreakHyphen/>
        <w:t>Psoriasis kann auch die Nägel befallen, sodass diese spröde werden, sich verdicken und sich vom Nagelbett abheben, was schmerzhaft sein kann. Es wird angenommen, dass die Schuppenflechte durch ein Problem mit dem körpereigenen Abwehrsystem verursacht wird. Dadurch kommt es zu einer vermehrten Produktion von Hautzellen.</w:t>
      </w:r>
    </w:p>
    <w:p w14:paraId="683EA9A0" w14:textId="77777777" w:rsidR="00FE291A" w:rsidRDefault="00FE291A">
      <w:pPr>
        <w:widowControl/>
        <w:kinsoku w:val="0"/>
        <w:overflowPunct w:val="0"/>
        <w:rPr>
          <w:sz w:val="22"/>
          <w:szCs w:val="22"/>
          <w:lang w:val="de-DE"/>
        </w:rPr>
      </w:pPr>
    </w:p>
    <w:p w14:paraId="46FE4554" w14:textId="77777777" w:rsidR="00FE291A" w:rsidRDefault="00C8738F">
      <w:pPr>
        <w:pStyle w:val="BodyText"/>
        <w:widowControl/>
        <w:kinsoku w:val="0"/>
        <w:overflowPunct w:val="0"/>
        <w:ind w:left="0"/>
        <w:rPr>
          <w:lang w:val="de-DE"/>
        </w:rPr>
      </w:pPr>
      <w:r>
        <w:rPr>
          <w:lang w:val="de-DE"/>
        </w:rPr>
        <w:t>AMGEVITA wird angewendet, um die mittelschwere bis schwere Plaque-Psoriasis bei Erwachsenen zu behandeln. AMGEVITA wird auch angewendet, um schwere Plaque-Psoriasis bei Kindern und Jugendlichen zwischen 4 und 17 Jahren zu behandeln, bei denen eine äußerliche, örtliche Behandlung und Behandlungen mit Licht (Phototherapien) nicht sehr gut gewirkt haben oder nicht geeignet sind.</w:t>
      </w:r>
    </w:p>
    <w:p w14:paraId="23B67811" w14:textId="77777777" w:rsidR="00FE291A" w:rsidRDefault="00FE291A">
      <w:pPr>
        <w:pStyle w:val="BodyText"/>
        <w:widowControl/>
        <w:kinsoku w:val="0"/>
        <w:overflowPunct w:val="0"/>
        <w:ind w:left="0"/>
        <w:rPr>
          <w:lang w:val="de-DE"/>
        </w:rPr>
      </w:pPr>
    </w:p>
    <w:p w14:paraId="2A28E1C5" w14:textId="77777777" w:rsidR="00FE291A" w:rsidRDefault="00C8738F">
      <w:pPr>
        <w:pStyle w:val="BodyText"/>
        <w:widowControl/>
        <w:kinsoku w:val="0"/>
        <w:overflowPunct w:val="0"/>
        <w:ind w:left="0"/>
        <w:rPr>
          <w:lang w:val="de-DE"/>
        </w:rPr>
      </w:pPr>
      <w:r>
        <w:rPr>
          <w:u w:val="single"/>
          <w:lang w:val="de-DE"/>
        </w:rPr>
        <w:t>Hidradenitis suppurativa (Acne inversa) bei Erwachsenen und Jugendlichen</w:t>
      </w:r>
    </w:p>
    <w:p w14:paraId="7D6A01E1" w14:textId="77777777" w:rsidR="00FE291A" w:rsidRDefault="00FE291A">
      <w:pPr>
        <w:widowControl/>
        <w:kinsoku w:val="0"/>
        <w:overflowPunct w:val="0"/>
        <w:rPr>
          <w:sz w:val="22"/>
          <w:szCs w:val="22"/>
          <w:lang w:val="de-DE"/>
        </w:rPr>
      </w:pPr>
    </w:p>
    <w:p w14:paraId="66D7013B" w14:textId="77777777" w:rsidR="00FE291A" w:rsidRDefault="00C8738F">
      <w:pPr>
        <w:pStyle w:val="BodyText"/>
        <w:widowControl/>
        <w:kinsoku w:val="0"/>
        <w:overflowPunct w:val="0"/>
        <w:ind w:left="0"/>
        <w:rPr>
          <w:lang w:val="de-DE"/>
        </w:rPr>
      </w:pPr>
      <w:r>
        <w:rPr>
          <w:lang w:val="de-DE"/>
        </w:rPr>
        <w:t>Hidradenitis suppurativa (auch Acne inversa genannt) ist eine chronische und oft schmerzhafte entzündliche Hauterkrankung. Zu den Beschwerden gehören unter anderem druckempfindliche Knötchen und Eiteransammlungen (Abszesse), aus denen Eiter austreten kann. Am häufigsten sind bestimmte Bereiche der Haut betroffen, wie z. B. unter den Brüsten, unter den Achseln, an den Innenseiten der Oberschenkel, in der Leistengegend und am Gesäß. An den betroffenen Stellen kann es auch zu Vernarbungen kommen.</w:t>
      </w:r>
    </w:p>
    <w:p w14:paraId="6157353C" w14:textId="77777777" w:rsidR="00FE291A" w:rsidRDefault="00FE291A">
      <w:pPr>
        <w:widowControl/>
        <w:kinsoku w:val="0"/>
        <w:overflowPunct w:val="0"/>
        <w:rPr>
          <w:sz w:val="22"/>
          <w:szCs w:val="22"/>
          <w:lang w:val="de-DE"/>
        </w:rPr>
      </w:pPr>
    </w:p>
    <w:p w14:paraId="69A221DA" w14:textId="77777777" w:rsidR="00FE291A" w:rsidRDefault="00C8738F">
      <w:pPr>
        <w:pStyle w:val="BodyText"/>
        <w:widowControl/>
        <w:kinsoku w:val="0"/>
        <w:overflowPunct w:val="0"/>
        <w:ind w:left="0"/>
        <w:rPr>
          <w:lang w:val="de-DE"/>
        </w:rPr>
      </w:pPr>
      <w:r>
        <w:rPr>
          <w:lang w:val="de-DE"/>
        </w:rPr>
        <w:t xml:space="preserve">AMGEVITA wird zur Behandlung der Hidradenitis suppurativa bei Erwachsenen </w:t>
      </w:r>
      <w:r>
        <w:rPr>
          <w:lang w:val="de-DE" w:eastAsia="de-DE"/>
        </w:rPr>
        <w:t>und Jugendlichen ab einem Alter von 12 Jahren</w:t>
      </w:r>
      <w:r>
        <w:rPr>
          <w:lang w:val="de-DE"/>
        </w:rPr>
        <w:t xml:space="preserve"> angewendet. AMGEVITA kann die Anzahl Ihrer Knötchen und Eiteransammlungen verringern und kann die Schmerzen, die oft mit dieser Erkrankung einhergehen, lindern. Möglicherweise bekommen Sie zunächst andere Arzneimittel. </w:t>
      </w:r>
      <w:r>
        <w:rPr>
          <w:lang w:val="de-DE" w:eastAsia="de-DE"/>
        </w:rPr>
        <w:t>Wenn Sie nicht ausreichend auf diese Arzneimittel ansprechen, erhalten Sie AMGEVITA.</w:t>
      </w:r>
    </w:p>
    <w:p w14:paraId="0BF986FC" w14:textId="77777777" w:rsidR="00FE291A" w:rsidRDefault="00FE291A">
      <w:pPr>
        <w:widowControl/>
        <w:kinsoku w:val="0"/>
        <w:overflowPunct w:val="0"/>
        <w:rPr>
          <w:sz w:val="22"/>
          <w:szCs w:val="22"/>
          <w:lang w:val="de-DE"/>
        </w:rPr>
      </w:pPr>
    </w:p>
    <w:p w14:paraId="7EBC1C67" w14:textId="77777777" w:rsidR="00FE291A" w:rsidRDefault="00C8738F">
      <w:pPr>
        <w:pStyle w:val="BodyText"/>
        <w:widowControl/>
        <w:kinsoku w:val="0"/>
        <w:overflowPunct w:val="0"/>
        <w:ind w:left="0"/>
        <w:rPr>
          <w:lang w:val="de-DE"/>
        </w:rPr>
      </w:pPr>
      <w:r>
        <w:rPr>
          <w:u w:val="single"/>
          <w:lang w:val="de-DE"/>
        </w:rPr>
        <w:t>Morbus Crohn bei Erwachsenen, Kindern und Jugendlichen</w:t>
      </w:r>
    </w:p>
    <w:p w14:paraId="119A97BA" w14:textId="77777777" w:rsidR="00FE291A" w:rsidRDefault="00FE291A">
      <w:pPr>
        <w:widowControl/>
        <w:kinsoku w:val="0"/>
        <w:overflowPunct w:val="0"/>
        <w:rPr>
          <w:sz w:val="22"/>
          <w:szCs w:val="22"/>
          <w:lang w:val="de-DE"/>
        </w:rPr>
      </w:pPr>
    </w:p>
    <w:p w14:paraId="72BB7B3B" w14:textId="77777777" w:rsidR="00FE291A" w:rsidRDefault="00C8738F">
      <w:pPr>
        <w:pStyle w:val="BodyText"/>
        <w:widowControl/>
        <w:kinsoku w:val="0"/>
        <w:overflowPunct w:val="0"/>
        <w:ind w:left="0"/>
        <w:rPr>
          <w:lang w:val="de-DE"/>
        </w:rPr>
      </w:pPr>
      <w:r>
        <w:rPr>
          <w:lang w:val="de-DE"/>
        </w:rPr>
        <w:t>Morbus Crohn ist eine entzündliche Erkrankung des Verdauungstraktes.</w:t>
      </w:r>
    </w:p>
    <w:p w14:paraId="1D737D46" w14:textId="77777777" w:rsidR="00FE291A" w:rsidRDefault="00FE291A">
      <w:pPr>
        <w:widowControl/>
        <w:kinsoku w:val="0"/>
        <w:overflowPunct w:val="0"/>
        <w:rPr>
          <w:sz w:val="22"/>
          <w:szCs w:val="22"/>
          <w:lang w:val="de-DE"/>
        </w:rPr>
      </w:pPr>
    </w:p>
    <w:p w14:paraId="72999D33" w14:textId="77777777" w:rsidR="00FE291A" w:rsidRDefault="00C8738F">
      <w:pPr>
        <w:pStyle w:val="BodyText"/>
        <w:widowControl/>
        <w:kinsoku w:val="0"/>
        <w:overflowPunct w:val="0"/>
        <w:ind w:left="0"/>
        <w:rPr>
          <w:lang w:val="de-DE"/>
        </w:rPr>
      </w:pPr>
      <w:r>
        <w:rPr>
          <w:lang w:val="de-DE"/>
        </w:rPr>
        <w:t>AMGEVITA wird angewendet zur Behandlung von Morbus Crohn bei Erwachsenen, Kindern und Jugendlichen zwischen 6 und 17 Jahren. Wenn Sie an Morbus Crohn erkrankt sind, werden Sie zunächst mit anderen Arzneimitteln behandelt. Wenn Sie nicht ausreichend auf diese Arzneimittel ansprechen, erhalten Sie AMGEVITA, um die Anzeichen und Beschwerden von Morbus Crohn zu vermindern.</w:t>
      </w:r>
    </w:p>
    <w:p w14:paraId="0A30A544" w14:textId="77777777" w:rsidR="00FE291A" w:rsidRDefault="00FE291A">
      <w:pPr>
        <w:widowControl/>
        <w:kinsoku w:val="0"/>
        <w:overflowPunct w:val="0"/>
        <w:rPr>
          <w:sz w:val="22"/>
          <w:szCs w:val="22"/>
          <w:lang w:val="de-DE"/>
        </w:rPr>
      </w:pPr>
    </w:p>
    <w:p w14:paraId="0740DF5F" w14:textId="77777777" w:rsidR="00FE291A" w:rsidRDefault="00C8738F">
      <w:pPr>
        <w:pStyle w:val="BodyText"/>
        <w:widowControl/>
        <w:kinsoku w:val="0"/>
        <w:overflowPunct w:val="0"/>
        <w:ind w:left="0"/>
        <w:rPr>
          <w:lang w:val="de-DE"/>
        </w:rPr>
      </w:pPr>
      <w:r>
        <w:rPr>
          <w:u w:val="single"/>
          <w:lang w:val="de-DE"/>
        </w:rPr>
        <w:t>Colitis ulcerosa bei Erwachsenen, Kindern und Jugendlichen</w:t>
      </w:r>
    </w:p>
    <w:p w14:paraId="5EC605CB" w14:textId="77777777" w:rsidR="00FE291A" w:rsidRDefault="00FE291A">
      <w:pPr>
        <w:widowControl/>
        <w:kinsoku w:val="0"/>
        <w:overflowPunct w:val="0"/>
        <w:rPr>
          <w:sz w:val="22"/>
          <w:szCs w:val="22"/>
          <w:lang w:val="de-DE"/>
        </w:rPr>
      </w:pPr>
    </w:p>
    <w:p w14:paraId="6DD9251E" w14:textId="77777777" w:rsidR="00FE291A" w:rsidRDefault="00C8738F">
      <w:pPr>
        <w:pStyle w:val="BodyText"/>
        <w:widowControl/>
        <w:kinsoku w:val="0"/>
        <w:overflowPunct w:val="0"/>
        <w:ind w:left="0"/>
        <w:rPr>
          <w:lang w:val="de-DE"/>
        </w:rPr>
      </w:pPr>
      <w:r>
        <w:rPr>
          <w:lang w:val="de-DE"/>
        </w:rPr>
        <w:t>Colitis ulcerosa ist eine entzündliche Erkrankung des Dickdarms.</w:t>
      </w:r>
    </w:p>
    <w:p w14:paraId="3E71F113" w14:textId="77777777" w:rsidR="00FE291A" w:rsidRDefault="00FE291A">
      <w:pPr>
        <w:widowControl/>
        <w:kinsoku w:val="0"/>
        <w:overflowPunct w:val="0"/>
        <w:rPr>
          <w:sz w:val="22"/>
          <w:szCs w:val="22"/>
          <w:lang w:val="de-DE"/>
        </w:rPr>
      </w:pPr>
    </w:p>
    <w:p w14:paraId="343A4570" w14:textId="77777777" w:rsidR="00FE291A" w:rsidRDefault="00C8738F">
      <w:pPr>
        <w:pStyle w:val="BodyText"/>
        <w:widowControl/>
        <w:kinsoku w:val="0"/>
        <w:overflowPunct w:val="0"/>
        <w:ind w:left="0"/>
        <w:rPr>
          <w:lang w:val="de-DE"/>
        </w:rPr>
      </w:pPr>
      <w:r>
        <w:rPr>
          <w:lang w:val="de-DE"/>
        </w:rPr>
        <w:t>AMGEVITA wird angewendet, um mittelschwere bis schwere Colitis ulcerosa bei Erwachsenen und bei Kindern und Jugendlichen zwischen 6 und 17 Jahren zu behandeln. Wenn Sie an Colitis ulcerosa erkrankt sind, erhalten Sie möglicherweise zuerst andere Arzneimittel. Wenn Sie nicht ausreichend auf diese Arzneimittel ansprechen, erhalten Sie AMGEVITA, um die Anzeichen und Beschwerden Ihrer Erkrankung zu vermindern.</w:t>
      </w:r>
    </w:p>
    <w:p w14:paraId="3A86A3DE" w14:textId="77777777" w:rsidR="00FE291A" w:rsidRDefault="00FE291A">
      <w:pPr>
        <w:widowControl/>
        <w:kinsoku w:val="0"/>
        <w:overflowPunct w:val="0"/>
        <w:rPr>
          <w:sz w:val="22"/>
          <w:szCs w:val="22"/>
          <w:lang w:val="de-DE"/>
        </w:rPr>
      </w:pPr>
    </w:p>
    <w:p w14:paraId="5A494EBE" w14:textId="77777777" w:rsidR="00FE291A" w:rsidRDefault="00C8738F">
      <w:pPr>
        <w:pStyle w:val="BodyText"/>
        <w:widowControl/>
        <w:kinsoku w:val="0"/>
        <w:overflowPunct w:val="0"/>
        <w:ind w:left="0"/>
        <w:rPr>
          <w:lang w:val="de-DE"/>
        </w:rPr>
      </w:pPr>
      <w:r>
        <w:rPr>
          <w:u w:val="single"/>
          <w:lang w:val="de-DE"/>
        </w:rPr>
        <w:t>Nicht infektiöse Uveitis bei Erwachsenen, Kindern und Jugendlichen</w:t>
      </w:r>
    </w:p>
    <w:p w14:paraId="495EB9B9" w14:textId="77777777" w:rsidR="00FE291A" w:rsidRDefault="00FE291A">
      <w:pPr>
        <w:pStyle w:val="BodyText"/>
        <w:widowControl/>
        <w:kinsoku w:val="0"/>
        <w:overflowPunct w:val="0"/>
        <w:ind w:left="0"/>
        <w:rPr>
          <w:lang w:val="de-DE"/>
        </w:rPr>
      </w:pPr>
    </w:p>
    <w:p w14:paraId="5207BADC" w14:textId="77777777" w:rsidR="00FE291A" w:rsidRDefault="00C8738F">
      <w:pPr>
        <w:pStyle w:val="BodyText"/>
        <w:widowControl/>
        <w:kinsoku w:val="0"/>
        <w:overflowPunct w:val="0"/>
        <w:ind w:left="0"/>
        <w:rPr>
          <w:lang w:val="de-DE"/>
        </w:rPr>
      </w:pPr>
      <w:r>
        <w:rPr>
          <w:lang w:val="de-DE"/>
        </w:rPr>
        <w:t xml:space="preserve">Die nicht infektiöse Uveitis ist eine entzündliche Erkrankung, die bestimmte Teile des Auges betrifft. </w:t>
      </w:r>
    </w:p>
    <w:p w14:paraId="0D985CCC" w14:textId="77777777" w:rsidR="00FE291A" w:rsidRDefault="00FE291A">
      <w:pPr>
        <w:pStyle w:val="BodyText"/>
        <w:widowControl/>
        <w:kinsoku w:val="0"/>
        <w:overflowPunct w:val="0"/>
        <w:ind w:left="0"/>
        <w:rPr>
          <w:lang w:val="de-DE"/>
        </w:rPr>
      </w:pPr>
    </w:p>
    <w:p w14:paraId="292CAD8A" w14:textId="77777777" w:rsidR="00FE291A" w:rsidRDefault="00C8738F">
      <w:pPr>
        <w:pStyle w:val="BodyText"/>
        <w:widowControl/>
        <w:kinsoku w:val="0"/>
        <w:overflowPunct w:val="0"/>
        <w:ind w:left="0"/>
        <w:rPr>
          <w:lang w:val="de-DE"/>
        </w:rPr>
      </w:pPr>
      <w:r>
        <w:rPr>
          <w:lang w:val="de-DE"/>
        </w:rPr>
        <w:t>AMGEVITA wird angewendet zur Behandlung von</w:t>
      </w:r>
    </w:p>
    <w:p w14:paraId="320A6026"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sz w:val="22"/>
          <w:szCs w:val="22"/>
          <w:lang w:val="de-DE"/>
        </w:rPr>
        <w:t xml:space="preserve">Erwachsenen mit nicht infektiöser Uveitis mit einer Entzündung im hinteren Bereich des Auges </w:t>
      </w:r>
    </w:p>
    <w:p w14:paraId="5317638D" w14:textId="77777777" w:rsidR="00FE291A" w:rsidRDefault="00C8738F">
      <w:pPr>
        <w:widowControl/>
        <w:numPr>
          <w:ilvl w:val="0"/>
          <w:numId w:val="50"/>
        </w:numPr>
        <w:tabs>
          <w:tab w:val="clear" w:pos="720"/>
        </w:tabs>
        <w:autoSpaceDE/>
        <w:autoSpaceDN/>
        <w:adjustRightInd/>
        <w:ind w:left="567" w:hanging="567"/>
        <w:rPr>
          <w:sz w:val="22"/>
          <w:szCs w:val="22"/>
          <w:lang w:val="de-DE"/>
        </w:rPr>
      </w:pPr>
      <w:r>
        <w:rPr>
          <w:rFonts w:cs="Calibri"/>
          <w:sz w:val="22"/>
          <w:szCs w:val="22"/>
          <w:lang w:val="de-DE"/>
        </w:rPr>
        <w:t>Kindern ab 2 Jahren mit chronischer nicht infektiöser Uveitis mit einer Entzündung im vorderen Bereich des Auges.</w:t>
      </w:r>
    </w:p>
    <w:p w14:paraId="4352F895" w14:textId="77777777" w:rsidR="00FE291A" w:rsidRDefault="00FE291A">
      <w:pPr>
        <w:pStyle w:val="BodyText"/>
        <w:widowControl/>
        <w:kinsoku w:val="0"/>
        <w:overflowPunct w:val="0"/>
        <w:ind w:left="0"/>
        <w:rPr>
          <w:lang w:val="de-DE"/>
        </w:rPr>
      </w:pPr>
    </w:p>
    <w:p w14:paraId="6117363B" w14:textId="77777777" w:rsidR="00FE291A" w:rsidRDefault="00C8738F">
      <w:pPr>
        <w:pStyle w:val="BodyText"/>
        <w:widowControl/>
        <w:kinsoku w:val="0"/>
        <w:overflowPunct w:val="0"/>
        <w:ind w:left="0"/>
        <w:rPr>
          <w:lang w:val="de-DE"/>
        </w:rPr>
      </w:pPr>
      <w:r>
        <w:rPr>
          <w:lang w:val="de-DE"/>
        </w:rPr>
        <w:t>Diese Entzündung kann dazu führen, dass man schlechter sieht und/oder dass man Schwebeteile sieht (schwarze Punkte oder Schlieren, die sich durch das Blickfeld bewegen). AMGEVITA wirkt, indem es die Entzündung verringert.</w:t>
      </w:r>
    </w:p>
    <w:p w14:paraId="528867EC" w14:textId="77777777" w:rsidR="00FE291A" w:rsidRDefault="00FE291A">
      <w:pPr>
        <w:pStyle w:val="BodyText"/>
        <w:widowControl/>
        <w:kinsoku w:val="0"/>
        <w:overflowPunct w:val="0"/>
        <w:ind w:left="0"/>
        <w:rPr>
          <w:lang w:val="de-DE"/>
        </w:rPr>
      </w:pPr>
    </w:p>
    <w:p w14:paraId="5607B78D" w14:textId="77777777" w:rsidR="00FE291A" w:rsidRDefault="00FE291A">
      <w:pPr>
        <w:pStyle w:val="BodyText"/>
        <w:widowControl/>
        <w:kinsoku w:val="0"/>
        <w:overflowPunct w:val="0"/>
        <w:ind w:left="0"/>
        <w:rPr>
          <w:lang w:val="de-DE"/>
        </w:rPr>
      </w:pPr>
    </w:p>
    <w:p w14:paraId="01198EDE" w14:textId="77777777" w:rsidR="00FE291A" w:rsidRDefault="00C8738F">
      <w:pPr>
        <w:pStyle w:val="Heading1"/>
        <w:keepNext/>
        <w:widowControl/>
        <w:tabs>
          <w:tab w:val="left" w:pos="567"/>
        </w:tabs>
        <w:kinsoku w:val="0"/>
        <w:overflowPunct w:val="0"/>
        <w:ind w:left="567" w:hanging="567"/>
        <w:rPr>
          <w:b w:val="0"/>
          <w:bCs w:val="0"/>
          <w:lang w:val="de-DE"/>
        </w:rPr>
      </w:pPr>
      <w:r>
        <w:rPr>
          <w:lang w:val="de-DE"/>
        </w:rPr>
        <w:t>2.</w:t>
      </w:r>
      <w:r>
        <w:rPr>
          <w:lang w:val="de-DE"/>
        </w:rPr>
        <w:tab/>
        <w:t>Was sollten Sie vor der Anwendung von AMGEVITA beachten?</w:t>
      </w:r>
    </w:p>
    <w:p w14:paraId="4C8A8AAD" w14:textId="77777777" w:rsidR="00FE291A" w:rsidRDefault="00FE291A">
      <w:pPr>
        <w:pStyle w:val="BodyText"/>
        <w:keepNext/>
        <w:widowControl/>
        <w:kinsoku w:val="0"/>
        <w:overflowPunct w:val="0"/>
        <w:ind w:left="0"/>
        <w:rPr>
          <w:lang w:val="de-DE"/>
        </w:rPr>
      </w:pPr>
    </w:p>
    <w:p w14:paraId="79F6F93E" w14:textId="77777777" w:rsidR="00FE291A" w:rsidRDefault="00C8738F">
      <w:pPr>
        <w:pStyle w:val="Heading1"/>
        <w:keepNext/>
        <w:widowControl/>
        <w:tabs>
          <w:tab w:val="left" w:pos="567"/>
        </w:tabs>
        <w:kinsoku w:val="0"/>
        <w:overflowPunct w:val="0"/>
        <w:ind w:left="0"/>
        <w:rPr>
          <w:lang w:val="de-DE"/>
        </w:rPr>
      </w:pPr>
      <w:r>
        <w:rPr>
          <w:lang w:val="de-DE"/>
        </w:rPr>
        <w:t>AMGEVITA darf nicht angewendet werden:</w:t>
      </w:r>
    </w:p>
    <w:p w14:paraId="12C4C87F" w14:textId="77777777" w:rsidR="00FE291A" w:rsidRDefault="00FE291A">
      <w:pPr>
        <w:keepNext/>
        <w:widowControl/>
        <w:rPr>
          <w:sz w:val="22"/>
          <w:lang w:val="de-DE"/>
        </w:rPr>
      </w:pPr>
    </w:p>
    <w:p w14:paraId="224C651D" w14:textId="77777777" w:rsidR="00FE291A" w:rsidRDefault="00C8738F">
      <w:pPr>
        <w:pStyle w:val="BodyText"/>
        <w:keepNext/>
        <w:widowControl/>
        <w:numPr>
          <w:ilvl w:val="0"/>
          <w:numId w:val="52"/>
        </w:numPr>
        <w:tabs>
          <w:tab w:val="left" w:pos="567"/>
        </w:tabs>
        <w:kinsoku w:val="0"/>
        <w:overflowPunct w:val="0"/>
        <w:ind w:left="567"/>
        <w:rPr>
          <w:lang w:val="de-DE"/>
        </w:rPr>
      </w:pPr>
      <w:r>
        <w:rPr>
          <w:lang w:val="de-DE"/>
        </w:rPr>
        <w:t>Wenn Sie allergisch gegenüber dem Wirkstoff Adalimumab oder einem der sonstigen Bestandteile dieses Arzneimittels sind (aufgelistet in Abschnitt 6).</w:t>
      </w:r>
    </w:p>
    <w:p w14:paraId="67CFCD1E" w14:textId="77777777" w:rsidR="00FE291A" w:rsidRDefault="00C8738F">
      <w:pPr>
        <w:pStyle w:val="BodyText"/>
        <w:widowControl/>
        <w:numPr>
          <w:ilvl w:val="0"/>
          <w:numId w:val="52"/>
        </w:numPr>
        <w:tabs>
          <w:tab w:val="left" w:pos="567"/>
        </w:tabs>
        <w:kinsoku w:val="0"/>
        <w:overflowPunct w:val="0"/>
        <w:ind w:left="567"/>
        <w:rPr>
          <w:lang w:val="de-DE"/>
        </w:rPr>
      </w:pPr>
      <w:r>
        <w:rPr>
          <w:lang w:val="de-DE"/>
        </w:rPr>
        <w:t>Wenn Sie an einer schweren Infektion, einschließlich aktiver Tuberkulose, einer Sepsis (Blutvergiftung) oder an anderen opportunistischen Infektionen (ungewöhnlichen Infektionen, die auf ein geschwächtes Immunsystem zurückzuführen sind) erkrankt sind (siehe „Warnhinweise und Vorsichtsmaßnahmen“). Es ist wichtig, dass Sie Ihren Arzt informieren, wenn bei Ihnen Anzeichen von Infektionen, z. B. Fieber, Wunden, Abgeschlagenheit, Zahnprobleme, vorliegen.</w:t>
      </w:r>
    </w:p>
    <w:p w14:paraId="29FCF1F5" w14:textId="77777777" w:rsidR="00FE291A" w:rsidRDefault="00C8738F">
      <w:pPr>
        <w:pStyle w:val="BodyText"/>
        <w:widowControl/>
        <w:numPr>
          <w:ilvl w:val="0"/>
          <w:numId w:val="52"/>
        </w:numPr>
        <w:tabs>
          <w:tab w:val="left" w:pos="567"/>
        </w:tabs>
        <w:kinsoku w:val="0"/>
        <w:overflowPunct w:val="0"/>
        <w:ind w:left="567"/>
        <w:rPr>
          <w:lang w:val="de-DE"/>
        </w:rPr>
      </w:pPr>
      <w:r>
        <w:rPr>
          <w:lang w:val="de-DE"/>
        </w:rPr>
        <w:t>Wenn Sie an mäßiger bis schwerer Herzschwäche (Herzinsuffizienz) erkrankt sind. Es ist wichtig, dass Sie Ihrem Arzt über zurückliegende oder bestehende ernsthafte Herzbeschwerden berichten (siehe „Warnhinweise und Vorsichtsmaßnahmen“).</w:t>
      </w:r>
    </w:p>
    <w:p w14:paraId="67DB19B8" w14:textId="77777777" w:rsidR="00FE291A" w:rsidRDefault="00FE291A">
      <w:pPr>
        <w:widowControl/>
        <w:kinsoku w:val="0"/>
        <w:overflowPunct w:val="0"/>
        <w:rPr>
          <w:sz w:val="22"/>
          <w:szCs w:val="26"/>
          <w:lang w:val="de-DE"/>
        </w:rPr>
      </w:pPr>
    </w:p>
    <w:p w14:paraId="5B76A041" w14:textId="77777777" w:rsidR="00FE291A" w:rsidRDefault="00C8738F">
      <w:pPr>
        <w:pStyle w:val="Heading1"/>
        <w:keepNext/>
        <w:keepLines/>
        <w:widowControl/>
        <w:kinsoku w:val="0"/>
        <w:overflowPunct w:val="0"/>
        <w:ind w:left="0"/>
        <w:rPr>
          <w:b w:val="0"/>
          <w:bCs w:val="0"/>
          <w:lang w:val="de-DE"/>
        </w:rPr>
      </w:pPr>
      <w:r>
        <w:rPr>
          <w:lang w:val="de-DE"/>
        </w:rPr>
        <w:t>Warnhinweise und Vorsichtsmaßnahmen</w:t>
      </w:r>
    </w:p>
    <w:p w14:paraId="70EEB37A" w14:textId="77777777" w:rsidR="00FE291A" w:rsidRDefault="00FE291A">
      <w:pPr>
        <w:keepNext/>
        <w:keepLines/>
        <w:widowControl/>
        <w:kinsoku w:val="0"/>
        <w:overflowPunct w:val="0"/>
        <w:rPr>
          <w:sz w:val="22"/>
          <w:szCs w:val="22"/>
          <w:lang w:val="de-DE"/>
        </w:rPr>
      </w:pPr>
    </w:p>
    <w:p w14:paraId="106855AC" w14:textId="77777777" w:rsidR="00FE291A" w:rsidRDefault="00C8738F">
      <w:pPr>
        <w:pStyle w:val="BodyText"/>
        <w:keepNext/>
        <w:keepLines/>
        <w:widowControl/>
        <w:tabs>
          <w:tab w:val="left" w:pos="567"/>
        </w:tabs>
        <w:kinsoku w:val="0"/>
        <w:overflowPunct w:val="0"/>
        <w:ind w:left="0"/>
        <w:rPr>
          <w:lang w:val="de-DE"/>
        </w:rPr>
      </w:pPr>
      <w:r>
        <w:rPr>
          <w:lang w:val="de-DE"/>
        </w:rPr>
        <w:t>Bitte sprechen Sie mit Ihrem Arzt oder Apotheker, bevor Sie AMGEVITA anwenden:</w:t>
      </w:r>
    </w:p>
    <w:p w14:paraId="0DAB4ED3" w14:textId="77777777" w:rsidR="00FE291A" w:rsidRDefault="00FE291A">
      <w:pPr>
        <w:widowControl/>
        <w:tabs>
          <w:tab w:val="left" w:pos="567"/>
        </w:tabs>
        <w:kinsoku w:val="0"/>
        <w:overflowPunct w:val="0"/>
        <w:ind w:left="567" w:hanging="567"/>
        <w:rPr>
          <w:sz w:val="22"/>
          <w:szCs w:val="22"/>
          <w:lang w:val="de-DE"/>
        </w:rPr>
      </w:pPr>
    </w:p>
    <w:p w14:paraId="7FFBB5FC" w14:textId="77777777" w:rsidR="00FE291A" w:rsidRDefault="00C8738F">
      <w:pPr>
        <w:widowControl/>
        <w:tabs>
          <w:tab w:val="left" w:pos="567"/>
        </w:tabs>
        <w:kinsoku w:val="0"/>
        <w:overflowPunct w:val="0"/>
        <w:ind w:left="567" w:hanging="567"/>
        <w:rPr>
          <w:sz w:val="22"/>
          <w:szCs w:val="22"/>
          <w:lang w:val="de-DE"/>
        </w:rPr>
      </w:pPr>
      <w:r>
        <w:rPr>
          <w:sz w:val="22"/>
          <w:szCs w:val="22"/>
          <w:lang w:val="de-DE"/>
        </w:rPr>
        <w:t>Allergische Reaktionen</w:t>
      </w:r>
    </w:p>
    <w:p w14:paraId="768193BB" w14:textId="77777777" w:rsidR="00FE291A" w:rsidRDefault="00FE291A">
      <w:pPr>
        <w:widowControl/>
        <w:tabs>
          <w:tab w:val="left" w:pos="567"/>
        </w:tabs>
        <w:kinsoku w:val="0"/>
        <w:overflowPunct w:val="0"/>
        <w:ind w:left="567" w:hanging="567"/>
        <w:rPr>
          <w:sz w:val="22"/>
          <w:szCs w:val="22"/>
          <w:lang w:val="de-DE"/>
        </w:rPr>
      </w:pPr>
    </w:p>
    <w:p w14:paraId="640D71A1"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Sollten bei Ihnen allergische Reaktionen auftreten mit Anzeichen wie Engegefühl in der Brust, pfeifende Atemgeräusche, Benommenheit/Schwindel, Schwellungen oder Hautausschlag, spritzen Sie sich kein weiteres AMGEVITA mehr und setzen Sie sich unverzüglich mit Ihrem Arzt in Verbindung, da diese Reaktionen in seltenen Fällen lebensbedrohlich sein können.</w:t>
      </w:r>
    </w:p>
    <w:p w14:paraId="72CD21B3" w14:textId="77777777" w:rsidR="00FE291A" w:rsidRDefault="00FE291A">
      <w:pPr>
        <w:widowControl/>
        <w:tabs>
          <w:tab w:val="left" w:pos="567"/>
        </w:tabs>
        <w:kinsoku w:val="0"/>
        <w:overflowPunct w:val="0"/>
        <w:ind w:left="567" w:hanging="567"/>
        <w:rPr>
          <w:sz w:val="22"/>
          <w:szCs w:val="22"/>
          <w:lang w:val="de-DE"/>
        </w:rPr>
      </w:pPr>
    </w:p>
    <w:p w14:paraId="4292C5AA" w14:textId="77777777" w:rsidR="00FE291A" w:rsidRDefault="00C8738F">
      <w:pPr>
        <w:widowControl/>
        <w:tabs>
          <w:tab w:val="left" w:pos="567"/>
        </w:tabs>
        <w:kinsoku w:val="0"/>
        <w:overflowPunct w:val="0"/>
        <w:ind w:left="567" w:hanging="567"/>
        <w:rPr>
          <w:sz w:val="22"/>
          <w:szCs w:val="22"/>
          <w:lang w:val="de-DE"/>
        </w:rPr>
      </w:pPr>
      <w:r>
        <w:rPr>
          <w:sz w:val="22"/>
          <w:szCs w:val="22"/>
          <w:lang w:val="de-DE"/>
        </w:rPr>
        <w:t>Infektionen</w:t>
      </w:r>
    </w:p>
    <w:p w14:paraId="13B5EB7E" w14:textId="77777777" w:rsidR="00FE291A" w:rsidRDefault="00FE291A">
      <w:pPr>
        <w:widowControl/>
        <w:tabs>
          <w:tab w:val="left" w:pos="567"/>
        </w:tabs>
        <w:kinsoku w:val="0"/>
        <w:overflowPunct w:val="0"/>
        <w:ind w:left="567" w:hanging="567"/>
        <w:rPr>
          <w:sz w:val="22"/>
          <w:szCs w:val="22"/>
          <w:lang w:val="de-DE"/>
        </w:rPr>
      </w:pPr>
    </w:p>
    <w:p w14:paraId="4518075B"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Wenn Sie an einer Infektion erkrankt sind, sprechen Sie mit Ihrem Arzt, bevor Sie mit der AMGEVITA-Behandlung beginnen. Auch dann, wenn Sie die Infektion schon länger haben, oder die Infektion örtlich begrenzt ist (z. B. ein Unterschenkelgeschwür). Wenn Sie unsicher sind, fragen Sie Ihren Arzt.</w:t>
      </w:r>
    </w:p>
    <w:p w14:paraId="45DF0BF2"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Während der Behandlung mit AMGEVITA können Sie leichter an Infektionen erkranken. Das Risiko kann sich zusätzlich erhöhen, wenn Ihre Lungenfunktion beeinträchtigt ist. Diese Infektionen können schwer sein und umfassen Tuberkulose, Infektionen, die durch Viren, Pilze, Parasiten oder Bakterien verursacht werden, oder andere Infektionen, die auftreten, wenn die Widerstandskraft gegenüber Krankheiten vermindert ist (opportunistische Infektionen), sowie Blutvergiftung. Schwere Infektionen können in seltenen Fällen lebensbedrohlich sein. Es ist wichtig, dass Sie Ihren Arzt informieren, wenn bei Ihnen Anzeichen wie Fieber, Wunden, Abgeschlagenheit oder Zahnprobleme auftreten. Ihr Arzt kann eine kurzzeitige Unterbrechung der AMGEVITA-Behandlung empfehlen.</w:t>
      </w:r>
    </w:p>
    <w:p w14:paraId="18DA0D3F" w14:textId="77777777" w:rsidR="00FE291A" w:rsidRDefault="00FE291A">
      <w:pPr>
        <w:widowControl/>
        <w:tabs>
          <w:tab w:val="left" w:pos="567"/>
        </w:tabs>
        <w:kinsoku w:val="0"/>
        <w:overflowPunct w:val="0"/>
        <w:ind w:left="567" w:hanging="567"/>
        <w:rPr>
          <w:sz w:val="22"/>
          <w:szCs w:val="22"/>
          <w:lang w:val="de-DE"/>
        </w:rPr>
      </w:pPr>
    </w:p>
    <w:p w14:paraId="003AE48F" w14:textId="77777777" w:rsidR="00FE291A" w:rsidRDefault="00C8738F">
      <w:pPr>
        <w:widowControl/>
        <w:tabs>
          <w:tab w:val="left" w:pos="567"/>
        </w:tabs>
        <w:kinsoku w:val="0"/>
        <w:overflowPunct w:val="0"/>
        <w:ind w:left="567" w:hanging="567"/>
        <w:rPr>
          <w:sz w:val="22"/>
          <w:szCs w:val="22"/>
          <w:lang w:val="de-DE"/>
        </w:rPr>
      </w:pPr>
      <w:r>
        <w:rPr>
          <w:sz w:val="22"/>
          <w:szCs w:val="22"/>
          <w:lang w:val="de-DE"/>
        </w:rPr>
        <w:t>Tuberkulose</w:t>
      </w:r>
    </w:p>
    <w:p w14:paraId="6E5EFE0A" w14:textId="77777777" w:rsidR="00FE291A" w:rsidRDefault="00FE291A">
      <w:pPr>
        <w:widowControl/>
        <w:tabs>
          <w:tab w:val="left" w:pos="567"/>
        </w:tabs>
        <w:kinsoku w:val="0"/>
        <w:overflowPunct w:val="0"/>
        <w:ind w:left="567" w:hanging="567"/>
        <w:rPr>
          <w:sz w:val="22"/>
          <w:szCs w:val="22"/>
          <w:lang w:val="de-DE"/>
        </w:rPr>
      </w:pPr>
    </w:p>
    <w:p w14:paraId="4D44B966"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 xml:space="preserve">Ihr Arzt wird Sie vor Beginn der Behandlung mit AMGEVITA auf Anzeichen und Krankheitserscheinungen einer Tuberkulose untersuchen, da bei mit Adalimumab behandelten Patienten von Tuberkulosefällen berichtet wurde. Zu dieser gründlichen Untersuchung gehören die Aufnahme einer umfassenden medizinischen Vorgeschichte und geeignete Tests (z. B. eine Röntgen-Aufnahme des Brustkorbs und ein Tuberkulintest). Die Durchführung und Ergebnisse dieser Tests sollten in Ihrem </w:t>
      </w:r>
      <w:r>
        <w:rPr>
          <w:b/>
          <w:lang w:val="de-DE"/>
        </w:rPr>
        <w:t>Patientenpass</w:t>
      </w:r>
      <w:r>
        <w:rPr>
          <w:lang w:val="de-DE"/>
        </w:rPr>
        <w:t xml:space="preserve"> dokumentiert werden. Es ist sehr wichtig, dass Sie Ihrem Arzt mitteilen, wenn Sie jemals Tuberkulose hatten oder wenn Sie in engem Kontakt zu jemandem standen, der Tuberkulose hatte.</w:t>
      </w:r>
    </w:p>
    <w:p w14:paraId="60895857"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Tuberkulose kann sich während der Behandlung entwickeln, sogar dann, wenn Sie eine vorbeugende Behandlung gegen Tuberkulose bekommen haben.</w:t>
      </w:r>
    </w:p>
    <w:p w14:paraId="100EFD17"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Sollten Anzeichen einer Tuberkulose (anhaltender Husten, Gewichtsverlust, Teilnahmslosigkeit, leichtes Fieber) oder einer anderen Infektion während oder nach der Behandlung auftreten, benachrichtigen Sie unverzüglich Ihren Arzt.</w:t>
      </w:r>
    </w:p>
    <w:p w14:paraId="2A101C05" w14:textId="77777777" w:rsidR="00FE291A" w:rsidRDefault="00FE291A">
      <w:pPr>
        <w:widowControl/>
        <w:tabs>
          <w:tab w:val="left" w:pos="567"/>
        </w:tabs>
        <w:kinsoku w:val="0"/>
        <w:overflowPunct w:val="0"/>
        <w:ind w:left="567" w:hanging="567"/>
        <w:rPr>
          <w:sz w:val="22"/>
          <w:szCs w:val="22"/>
          <w:lang w:val="de-DE"/>
        </w:rPr>
      </w:pPr>
    </w:p>
    <w:p w14:paraId="470FBC4A" w14:textId="77777777" w:rsidR="00FE291A" w:rsidRDefault="00C8738F">
      <w:pPr>
        <w:widowControl/>
        <w:tabs>
          <w:tab w:val="left" w:pos="567"/>
        </w:tabs>
        <w:kinsoku w:val="0"/>
        <w:overflowPunct w:val="0"/>
        <w:ind w:left="567" w:hanging="567"/>
        <w:rPr>
          <w:sz w:val="22"/>
          <w:szCs w:val="22"/>
          <w:lang w:val="de-DE"/>
        </w:rPr>
      </w:pPr>
      <w:r>
        <w:rPr>
          <w:sz w:val="22"/>
          <w:szCs w:val="22"/>
          <w:lang w:val="de-DE"/>
        </w:rPr>
        <w:t>Reisen/wiederkehrende Infektionen</w:t>
      </w:r>
    </w:p>
    <w:p w14:paraId="41B73FDE" w14:textId="77777777" w:rsidR="00FE291A" w:rsidRDefault="00FE291A">
      <w:pPr>
        <w:widowControl/>
        <w:tabs>
          <w:tab w:val="left" w:pos="567"/>
        </w:tabs>
        <w:kinsoku w:val="0"/>
        <w:overflowPunct w:val="0"/>
        <w:ind w:left="567" w:hanging="567"/>
        <w:rPr>
          <w:sz w:val="22"/>
          <w:szCs w:val="22"/>
          <w:lang w:val="de-DE"/>
        </w:rPr>
      </w:pPr>
    </w:p>
    <w:p w14:paraId="2E1A1173"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Fragen Sie Ihren Arzt um Rat, wenn Sie sich in Regionen aufhalten oder in Regionen reisen, in denen Pilzinfektionen häufig vorkommen (z. B. Histoplasmose, Kokzidioidomykose oder Blastomykose).</w:t>
      </w:r>
    </w:p>
    <w:p w14:paraId="391C2E89"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Informieren Sie Ihren Arzt, wenn Sie in der Vergangenheit unter wiederkehrenden Infektionen oder anderen Krankheiten litten, die das Risiko einer Infektion erhöhen.</w:t>
      </w:r>
    </w:p>
    <w:p w14:paraId="09321BBC" w14:textId="77777777" w:rsidR="00FE291A" w:rsidRDefault="00FE291A">
      <w:pPr>
        <w:widowControl/>
        <w:tabs>
          <w:tab w:val="left" w:pos="567"/>
        </w:tabs>
        <w:kinsoku w:val="0"/>
        <w:overflowPunct w:val="0"/>
        <w:ind w:left="567" w:hanging="567"/>
        <w:rPr>
          <w:sz w:val="22"/>
          <w:szCs w:val="22"/>
          <w:lang w:val="de-DE"/>
        </w:rPr>
      </w:pPr>
    </w:p>
    <w:p w14:paraId="625EA63B" w14:textId="77777777" w:rsidR="00FE291A" w:rsidRDefault="00C8738F">
      <w:pPr>
        <w:widowControl/>
        <w:tabs>
          <w:tab w:val="left" w:pos="567"/>
        </w:tabs>
        <w:kinsoku w:val="0"/>
        <w:overflowPunct w:val="0"/>
        <w:ind w:left="567" w:hanging="567"/>
        <w:rPr>
          <w:sz w:val="22"/>
          <w:szCs w:val="22"/>
          <w:lang w:val="de-DE"/>
        </w:rPr>
      </w:pPr>
      <w:r>
        <w:rPr>
          <w:sz w:val="22"/>
          <w:szCs w:val="22"/>
          <w:lang w:val="de-DE"/>
        </w:rPr>
        <w:t>Hepatitis-B-Virus</w:t>
      </w:r>
    </w:p>
    <w:p w14:paraId="641C0258" w14:textId="77777777" w:rsidR="00FE291A" w:rsidRDefault="00FE291A">
      <w:pPr>
        <w:widowControl/>
        <w:tabs>
          <w:tab w:val="left" w:pos="567"/>
        </w:tabs>
        <w:kinsoku w:val="0"/>
        <w:overflowPunct w:val="0"/>
        <w:ind w:left="567" w:hanging="567"/>
        <w:rPr>
          <w:sz w:val="22"/>
          <w:szCs w:val="22"/>
          <w:lang w:val="de-DE"/>
        </w:rPr>
      </w:pPr>
    </w:p>
    <w:p w14:paraId="2192CCCD" w14:textId="77777777" w:rsidR="00FE291A" w:rsidRDefault="00C8738F">
      <w:pPr>
        <w:pStyle w:val="BodyText"/>
        <w:widowControl/>
        <w:numPr>
          <w:ilvl w:val="0"/>
          <w:numId w:val="53"/>
        </w:numPr>
        <w:tabs>
          <w:tab w:val="left" w:pos="567"/>
          <w:tab w:val="left" w:pos="686"/>
        </w:tabs>
        <w:kinsoku w:val="0"/>
        <w:overflowPunct w:val="0"/>
        <w:ind w:left="567"/>
        <w:rPr>
          <w:lang w:val="de-DE"/>
        </w:rPr>
      </w:pPr>
      <w:r>
        <w:rPr>
          <w:lang w:val="de-DE"/>
        </w:rPr>
        <w:t>Informieren Sie Ihren Arzt, wenn Sie Träger des Hepatitis-B-Virus (HBV) sind, wenn Sie eine aktive HBV-Infektion haben oder wenn Sie ein erhöhtes Risiko für eine HBV-Infektion aufweisen. Ihr Arzt sollte Sie auf HBV untersuchen. AMGEVITA kann zu einem erneuten Ausbruch einer HBV-Infektion bei Personen führen, die dieses Virus tragen. In einigen seltenen Fällen, besonders bei der zusätzlichen Anwendung von weiteren Arzneimitteln, die das körpereigene Abwehrsystem unterdrücken, kann der erneute Ausbruch einer HBV-Infektion lebensbedrohend sein.</w:t>
      </w:r>
    </w:p>
    <w:p w14:paraId="17C79E5B" w14:textId="77777777" w:rsidR="00FE291A" w:rsidRDefault="00FE291A">
      <w:pPr>
        <w:pStyle w:val="BodyText"/>
        <w:widowControl/>
        <w:tabs>
          <w:tab w:val="left" w:pos="567"/>
          <w:tab w:val="left" w:pos="686"/>
        </w:tabs>
        <w:kinsoku w:val="0"/>
        <w:overflowPunct w:val="0"/>
        <w:ind w:left="0"/>
        <w:rPr>
          <w:lang w:val="de-DE"/>
        </w:rPr>
      </w:pPr>
    </w:p>
    <w:p w14:paraId="6012C047" w14:textId="77777777" w:rsidR="00FE291A" w:rsidRDefault="00C8738F">
      <w:pPr>
        <w:pStyle w:val="BodyText"/>
        <w:widowControl/>
        <w:tabs>
          <w:tab w:val="left" w:pos="567"/>
          <w:tab w:val="left" w:pos="686"/>
        </w:tabs>
        <w:kinsoku w:val="0"/>
        <w:overflowPunct w:val="0"/>
        <w:ind w:left="0"/>
        <w:rPr>
          <w:lang w:val="de-DE"/>
        </w:rPr>
      </w:pPr>
      <w:r>
        <w:rPr>
          <w:lang w:val="de-DE"/>
        </w:rPr>
        <w:t>Alter über 65 Jahre</w:t>
      </w:r>
    </w:p>
    <w:p w14:paraId="4A675EFA" w14:textId="77777777" w:rsidR="00FE291A" w:rsidRDefault="00FE291A">
      <w:pPr>
        <w:pStyle w:val="BodyText"/>
        <w:widowControl/>
        <w:tabs>
          <w:tab w:val="left" w:pos="567"/>
          <w:tab w:val="left" w:pos="686"/>
        </w:tabs>
        <w:kinsoku w:val="0"/>
        <w:overflowPunct w:val="0"/>
        <w:ind w:left="0"/>
        <w:rPr>
          <w:lang w:val="de-DE"/>
        </w:rPr>
      </w:pPr>
    </w:p>
    <w:p w14:paraId="7AB367F8" w14:textId="77777777" w:rsidR="00FE291A" w:rsidRDefault="00C8738F">
      <w:pPr>
        <w:pStyle w:val="BodyText"/>
        <w:widowControl/>
        <w:numPr>
          <w:ilvl w:val="0"/>
          <w:numId w:val="53"/>
        </w:numPr>
        <w:tabs>
          <w:tab w:val="left" w:pos="567"/>
          <w:tab w:val="left" w:pos="685"/>
        </w:tabs>
        <w:kinsoku w:val="0"/>
        <w:overflowPunct w:val="0"/>
        <w:ind w:left="567"/>
        <w:rPr>
          <w:lang w:val="de-DE"/>
        </w:rPr>
      </w:pPr>
      <w:r>
        <w:rPr>
          <w:lang w:val="de-DE"/>
        </w:rPr>
        <w:t>Wenn Sie über 65 Jahre alt sind, können Sie für Infektionen anfälliger sein, während Sie AMGEVITA nehmen. Sie und Ihr Arzt sollten besonders auf Anzeichen einer Infektion achten, während Sie mit AMGEVITA behandelt werden. Es ist wichtig, dass Sie Ihren Arzt informieren, wenn Sie Anzeichen von Infektionen wie Fieber, Wunden, Gefühl der Müdigkeit oder Zahnprobleme bekommen.</w:t>
      </w:r>
    </w:p>
    <w:p w14:paraId="4FA89C6A" w14:textId="77777777" w:rsidR="00FE291A" w:rsidRDefault="00FE291A">
      <w:pPr>
        <w:widowControl/>
        <w:tabs>
          <w:tab w:val="left" w:pos="567"/>
        </w:tabs>
        <w:kinsoku w:val="0"/>
        <w:overflowPunct w:val="0"/>
        <w:ind w:left="567" w:hanging="567"/>
        <w:rPr>
          <w:sz w:val="22"/>
          <w:szCs w:val="22"/>
          <w:lang w:val="de-DE"/>
        </w:rPr>
      </w:pPr>
    </w:p>
    <w:p w14:paraId="12856A26" w14:textId="77777777" w:rsidR="00FE291A" w:rsidRDefault="00C8738F">
      <w:pPr>
        <w:widowControl/>
        <w:tabs>
          <w:tab w:val="left" w:pos="567"/>
        </w:tabs>
        <w:kinsoku w:val="0"/>
        <w:overflowPunct w:val="0"/>
        <w:ind w:left="567" w:hanging="567"/>
        <w:rPr>
          <w:sz w:val="22"/>
          <w:szCs w:val="22"/>
          <w:lang w:val="de-DE"/>
        </w:rPr>
      </w:pPr>
      <w:r>
        <w:rPr>
          <w:sz w:val="22"/>
          <w:szCs w:val="22"/>
          <w:lang w:val="de-DE"/>
        </w:rPr>
        <w:t>Operationen oder Zahnbehandlungen</w:t>
      </w:r>
    </w:p>
    <w:p w14:paraId="2345ECE7" w14:textId="77777777" w:rsidR="00FE291A" w:rsidRDefault="00FE291A">
      <w:pPr>
        <w:widowControl/>
        <w:tabs>
          <w:tab w:val="left" w:pos="567"/>
        </w:tabs>
        <w:kinsoku w:val="0"/>
        <w:overflowPunct w:val="0"/>
        <w:ind w:left="567" w:hanging="567"/>
        <w:rPr>
          <w:sz w:val="22"/>
          <w:szCs w:val="22"/>
          <w:lang w:val="de-DE"/>
        </w:rPr>
      </w:pPr>
    </w:p>
    <w:p w14:paraId="4C9E1D21"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Informieren Sie bitte Ihren Arzt vor einer Operation oder einer Zahnbehandlung über Ihre Behandlung mit AMGEVITA. Ihr Arzt kann eine kurzzeitige Unterbrechung der AMGEVITA</w:t>
      </w:r>
      <w:r>
        <w:rPr>
          <w:lang w:val="de-DE"/>
        </w:rPr>
        <w:noBreakHyphen/>
        <w:t>Behandlung empfehlen.</w:t>
      </w:r>
    </w:p>
    <w:p w14:paraId="68D05234" w14:textId="77777777" w:rsidR="00FE291A" w:rsidRDefault="00FE291A">
      <w:pPr>
        <w:widowControl/>
        <w:kinsoku w:val="0"/>
        <w:overflowPunct w:val="0"/>
        <w:rPr>
          <w:sz w:val="22"/>
          <w:szCs w:val="22"/>
          <w:lang w:val="de-DE"/>
        </w:rPr>
      </w:pPr>
    </w:p>
    <w:p w14:paraId="1AEE7F37" w14:textId="77777777" w:rsidR="00FE291A" w:rsidRDefault="00C8738F">
      <w:pPr>
        <w:widowControl/>
        <w:kinsoku w:val="0"/>
        <w:overflowPunct w:val="0"/>
        <w:rPr>
          <w:sz w:val="22"/>
          <w:szCs w:val="22"/>
          <w:lang w:val="de-DE"/>
        </w:rPr>
      </w:pPr>
      <w:r>
        <w:rPr>
          <w:sz w:val="22"/>
          <w:szCs w:val="22"/>
          <w:lang w:val="de-DE"/>
        </w:rPr>
        <w:t>Demyelinisierende Erkrankung</w:t>
      </w:r>
    </w:p>
    <w:p w14:paraId="4A933127" w14:textId="77777777" w:rsidR="00FE291A" w:rsidRDefault="00FE291A">
      <w:pPr>
        <w:widowControl/>
        <w:kinsoku w:val="0"/>
        <w:overflowPunct w:val="0"/>
        <w:rPr>
          <w:sz w:val="22"/>
          <w:szCs w:val="22"/>
          <w:lang w:val="de-DE"/>
        </w:rPr>
      </w:pPr>
    </w:p>
    <w:p w14:paraId="0BD18CA6"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Wenn Sie eine demyelinisierende Erkrankung wie z. B. multiple Sklerose haben oder entwickeln, wird Ihr Arzt entscheiden, ob Sie AMGEVITA erhalten bzw. weiter anwenden sollten. Informieren Sie bitte umgehend Ihren Arzt, wenn es bei Ihnen zu Anzeichen wie verändertem Sehvermögen oder Kraftlosigkeit in den Armen oder Beinen kommt oder wenn sich Körperteile taub oder kribbelig anfühlen.</w:t>
      </w:r>
    </w:p>
    <w:p w14:paraId="010D69DE" w14:textId="77777777" w:rsidR="00FE291A" w:rsidRDefault="00FE291A">
      <w:pPr>
        <w:widowControl/>
        <w:tabs>
          <w:tab w:val="left" w:pos="567"/>
        </w:tabs>
        <w:kinsoku w:val="0"/>
        <w:overflowPunct w:val="0"/>
        <w:ind w:left="567" w:hanging="567"/>
        <w:rPr>
          <w:sz w:val="22"/>
          <w:szCs w:val="22"/>
          <w:lang w:val="de-DE"/>
        </w:rPr>
      </w:pPr>
    </w:p>
    <w:p w14:paraId="7AA3078B" w14:textId="77777777" w:rsidR="00FE291A" w:rsidRDefault="00C8738F">
      <w:pPr>
        <w:widowControl/>
        <w:tabs>
          <w:tab w:val="left" w:pos="567"/>
        </w:tabs>
        <w:kinsoku w:val="0"/>
        <w:overflowPunct w:val="0"/>
        <w:ind w:left="567" w:hanging="567"/>
        <w:rPr>
          <w:sz w:val="22"/>
          <w:szCs w:val="22"/>
          <w:lang w:val="de-DE"/>
        </w:rPr>
      </w:pPr>
      <w:r>
        <w:rPr>
          <w:sz w:val="22"/>
          <w:szCs w:val="22"/>
          <w:lang w:val="de-DE"/>
        </w:rPr>
        <w:t>Impfungen</w:t>
      </w:r>
    </w:p>
    <w:p w14:paraId="5B654B8B" w14:textId="77777777" w:rsidR="00FE291A" w:rsidRDefault="00FE291A">
      <w:pPr>
        <w:widowControl/>
        <w:tabs>
          <w:tab w:val="left" w:pos="567"/>
        </w:tabs>
        <w:kinsoku w:val="0"/>
        <w:overflowPunct w:val="0"/>
        <w:ind w:left="567" w:hanging="567"/>
        <w:rPr>
          <w:sz w:val="22"/>
          <w:szCs w:val="22"/>
          <w:lang w:val="de-DE"/>
        </w:rPr>
      </w:pPr>
    </w:p>
    <w:p w14:paraId="580FF607"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Gewisse Impfstoffe enthalten lebende, aber abgeschwächte Formen von krankheitserregenden Bakterien oder Viren, die Infektionen verursachen können und während der Behandlung mit AMGEVITA nicht verwendet werden sollen. Bitte besprechen Sie jede Impfung vorher mit Ihrem Arzt. Bei Kindern und Jugendlichen wird empfohlen, nach Möglichkeit vor Behandlungsbeginn mit AMGEVITA alle Impfungen in Übereinstimmung mit den gegenwärtigen Richtlinien auf den aktuellen Stand zu bringen.</w:t>
      </w:r>
    </w:p>
    <w:p w14:paraId="775E3EE9"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Wenn Sie AMGEVITA während der Schwangerschaft erhalten haben, hat Ihr Säugling eventuell ein erhöhtes Risiko während der ersten 5 Monate nach der letzten AMGEVITA-Dosis, die Sie während der Schwangerschaft erhalten hatten, eine Infektion zu bekommen. Es ist wichtig, dass Sie den Ärzten des Kindes und anderem Fachpersonal im Gesundheitswesen mitteilen, dass Sie AMGEVITA während der Schwangerschaft angewendet haben, sodass diese darüber entscheiden können, ob Ihr Säugling eine Impfung erhalten sollte.</w:t>
      </w:r>
    </w:p>
    <w:p w14:paraId="75A05EB6" w14:textId="77777777" w:rsidR="00FE291A" w:rsidRDefault="00FE291A">
      <w:pPr>
        <w:widowControl/>
        <w:tabs>
          <w:tab w:val="left" w:pos="567"/>
        </w:tabs>
        <w:kinsoku w:val="0"/>
        <w:overflowPunct w:val="0"/>
        <w:ind w:left="567" w:hanging="567"/>
        <w:rPr>
          <w:sz w:val="22"/>
          <w:szCs w:val="22"/>
          <w:lang w:val="de-DE"/>
        </w:rPr>
      </w:pPr>
    </w:p>
    <w:p w14:paraId="245E65E1" w14:textId="77777777" w:rsidR="00FE291A" w:rsidRDefault="00C8738F">
      <w:pPr>
        <w:keepNext/>
        <w:keepLines/>
        <w:widowControl/>
        <w:tabs>
          <w:tab w:val="left" w:pos="567"/>
        </w:tabs>
        <w:kinsoku w:val="0"/>
        <w:overflowPunct w:val="0"/>
        <w:ind w:left="567" w:hanging="567"/>
        <w:rPr>
          <w:sz w:val="22"/>
          <w:szCs w:val="22"/>
          <w:lang w:val="de-DE"/>
        </w:rPr>
      </w:pPr>
      <w:r>
        <w:rPr>
          <w:sz w:val="22"/>
          <w:szCs w:val="22"/>
          <w:lang w:val="de-DE"/>
        </w:rPr>
        <w:t>Herzschwäche</w:t>
      </w:r>
    </w:p>
    <w:p w14:paraId="547722A8" w14:textId="77777777" w:rsidR="00FE291A" w:rsidRDefault="00FE291A">
      <w:pPr>
        <w:widowControl/>
        <w:tabs>
          <w:tab w:val="left" w:pos="567"/>
        </w:tabs>
        <w:kinsoku w:val="0"/>
        <w:overflowPunct w:val="0"/>
        <w:ind w:left="567" w:hanging="567"/>
        <w:rPr>
          <w:sz w:val="22"/>
          <w:szCs w:val="22"/>
          <w:lang w:val="de-DE"/>
        </w:rPr>
      </w:pPr>
    </w:p>
    <w:p w14:paraId="79797087"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Wenn Sie eine leichte Herzschwäche (Herzinsuffizienz) haben und mit AMGEVITA behandelt werden, muss Ihre Herzschwäche sorgfältig durch Ihren Arzt überwacht werden. Es ist wichtig, dass Sie Ihren Arzt darüber informieren, wenn Sie schwerwiegende Herzprobleme haben oder gehabt haben. Entwickeln Sie neue oder sich verschlechternde Symptome einer Herzschwäche (z. B. Kurzatmigkeit oder Anschwellen der Füße), müssen Sie sofort mit Ihrem Arzt sprechen. Ihr Arzt wird dann entscheiden, ob Sie AMGEVITA weiterhin erhalten sollten.</w:t>
      </w:r>
    </w:p>
    <w:p w14:paraId="42DEE1A8" w14:textId="77777777" w:rsidR="00FE291A" w:rsidRDefault="00FE291A">
      <w:pPr>
        <w:widowControl/>
        <w:tabs>
          <w:tab w:val="left" w:pos="567"/>
        </w:tabs>
        <w:kinsoku w:val="0"/>
        <w:overflowPunct w:val="0"/>
        <w:ind w:left="567" w:hanging="567"/>
        <w:rPr>
          <w:sz w:val="22"/>
          <w:szCs w:val="22"/>
          <w:lang w:val="de-DE"/>
        </w:rPr>
      </w:pPr>
    </w:p>
    <w:p w14:paraId="7B83B22F" w14:textId="77777777" w:rsidR="00FE291A" w:rsidRDefault="00C8738F">
      <w:pPr>
        <w:widowControl/>
        <w:tabs>
          <w:tab w:val="left" w:pos="567"/>
        </w:tabs>
        <w:kinsoku w:val="0"/>
        <w:overflowPunct w:val="0"/>
        <w:ind w:left="567" w:hanging="567"/>
        <w:rPr>
          <w:sz w:val="22"/>
          <w:szCs w:val="22"/>
          <w:lang w:val="de-DE"/>
        </w:rPr>
      </w:pPr>
      <w:r>
        <w:rPr>
          <w:sz w:val="22"/>
          <w:szCs w:val="22"/>
          <w:lang w:val="de-DE"/>
        </w:rPr>
        <w:t>Fieber, blaue Flecke, Blutungen oder blasses Aussehen</w:t>
      </w:r>
    </w:p>
    <w:p w14:paraId="0657B235" w14:textId="77777777" w:rsidR="00FE291A" w:rsidRDefault="00FE291A">
      <w:pPr>
        <w:widowControl/>
        <w:tabs>
          <w:tab w:val="left" w:pos="567"/>
        </w:tabs>
        <w:kinsoku w:val="0"/>
        <w:overflowPunct w:val="0"/>
        <w:ind w:left="567" w:hanging="567"/>
        <w:rPr>
          <w:sz w:val="22"/>
          <w:szCs w:val="22"/>
          <w:lang w:val="de-DE"/>
        </w:rPr>
      </w:pPr>
    </w:p>
    <w:p w14:paraId="6D5C5BEA"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Die körpereigene Produktion von Blutzellen, die Ihrem Körper bei der Bekämpfung von Infektionen oder beim Stoppen von Blutungen helfen, kann bei einigen Patienten vermindert sein. Wenn Sie anhaltendes Fieber bekommen, sehr leicht blaue Flecken entwickeln oder bluten oder sehr blass aussehen, benachrichtigen Sie umgehend Ihren Arzt. Ihr Arzt wird möglicherweise entscheiden, die Behandlung zu beenden.</w:t>
      </w:r>
    </w:p>
    <w:p w14:paraId="0B3F16D9" w14:textId="77777777" w:rsidR="00FE291A" w:rsidRDefault="00FE291A">
      <w:pPr>
        <w:widowControl/>
        <w:tabs>
          <w:tab w:val="left" w:pos="567"/>
        </w:tabs>
        <w:kinsoku w:val="0"/>
        <w:overflowPunct w:val="0"/>
        <w:ind w:left="567" w:hanging="567"/>
        <w:rPr>
          <w:sz w:val="22"/>
          <w:szCs w:val="22"/>
          <w:lang w:val="de-DE"/>
        </w:rPr>
      </w:pPr>
    </w:p>
    <w:p w14:paraId="0E5C399C" w14:textId="77777777" w:rsidR="00FE291A" w:rsidRDefault="00C8738F">
      <w:pPr>
        <w:widowControl/>
        <w:tabs>
          <w:tab w:val="left" w:pos="567"/>
        </w:tabs>
        <w:kinsoku w:val="0"/>
        <w:overflowPunct w:val="0"/>
        <w:ind w:left="567" w:hanging="567"/>
        <w:rPr>
          <w:sz w:val="22"/>
          <w:szCs w:val="22"/>
          <w:lang w:val="de-DE"/>
        </w:rPr>
      </w:pPr>
      <w:r>
        <w:rPr>
          <w:sz w:val="22"/>
          <w:szCs w:val="22"/>
          <w:lang w:val="de-DE"/>
        </w:rPr>
        <w:t>Krebs</w:t>
      </w:r>
    </w:p>
    <w:p w14:paraId="031AC0AF" w14:textId="77777777" w:rsidR="00FE291A" w:rsidRDefault="00FE291A">
      <w:pPr>
        <w:widowControl/>
        <w:tabs>
          <w:tab w:val="left" w:pos="567"/>
        </w:tabs>
        <w:kinsoku w:val="0"/>
        <w:overflowPunct w:val="0"/>
        <w:ind w:left="567" w:hanging="567"/>
        <w:rPr>
          <w:sz w:val="22"/>
          <w:szCs w:val="22"/>
          <w:lang w:val="de-DE"/>
        </w:rPr>
      </w:pPr>
    </w:p>
    <w:p w14:paraId="345EB717"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 xml:space="preserve">Es gab sehr selten Fälle bestimmter Krebsarten bei Patienten (Kindern und Erwachsenen), die Adalimumab oder andere TNF-Blocker erhielten. Patienten mit schwereren Verlaufsformen der rheumatoiden Arthritis und langjährig bestehender Erkrankung können ein im Vergleich zum Durchschnitt erhöhtes Risiko aufweisen für die Entwicklung eines Lymphoms (Krebs, der das Lymphsystem betrifft) und von Leukämie (Krebs, der das Blut und das Knochenmark betrifft). </w:t>
      </w:r>
    </w:p>
    <w:p w14:paraId="30A2CC12"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Wenn Sie AMGEVITA anwenden, kann sich Ihr Risiko, Lymphome, Leukämie oder andere Krebsformen zu entwickeln, möglicherweise erhöhen. In seltenen Fällen wurde bei Patienten, die mit Adalimumab behandelt wurden, eine besondere und schwere Form des Lymphoms beobachtet. Einige dieser Patienten wurden gleichzeitig mit dem Wirkstoff Azathioprin oder 6</w:t>
      </w:r>
      <w:r>
        <w:rPr>
          <w:lang w:val="de-DE"/>
        </w:rPr>
        <w:noBreakHyphen/>
        <w:t>Mercaptopurin behandelt. Teilen Sie Ihrem Arzt mit, wenn Sie Azathioprin oder 6</w:t>
      </w:r>
      <w:r>
        <w:rPr>
          <w:lang w:val="de-DE"/>
        </w:rPr>
        <w:noBreakHyphen/>
        <w:t xml:space="preserve">Mercaptopurin zusammen mit AMGEVITA einnehmen. </w:t>
      </w:r>
    </w:p>
    <w:p w14:paraId="707B896E"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Darüber hinaus wurden bei Patienten unter Adalimumab-Therapie Fälle mit Hauttumoren, die keine Melanome waren, beobachtet. Falls während oder nach der Behandlung neue Hautveränderungen auftreten oder sich das Aussehen bereits bestehender Hautverletzungen verändert, informieren Sie bitte Ihren Arzt.</w:t>
      </w:r>
    </w:p>
    <w:p w14:paraId="4E543852"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Bei Patienten mit einer besonderen Art von Lungenerkrankung, der chronischen obstruktiven Lungenerkrankung (COPD), sind unter Behandlung mit einem anderen TNF-Blocker Krebsarten aufgetreten. Unter diesen Krebsarten waren keine Lymphome. Wenn Sie COPD haben oder wenn Sie stark rauchen, sollten Sie mit Ihrem Arzt besprechen, ob die Behandlung mit einem TNF</w:t>
      </w:r>
      <w:r>
        <w:rPr>
          <w:lang w:val="de-DE"/>
        </w:rPr>
        <w:noBreakHyphen/>
        <w:t>Blocker für Sie geeignet ist.</w:t>
      </w:r>
    </w:p>
    <w:p w14:paraId="10018945" w14:textId="77777777" w:rsidR="00FE291A" w:rsidRDefault="00FE291A">
      <w:pPr>
        <w:pStyle w:val="ListParagraph"/>
        <w:rPr>
          <w:sz w:val="22"/>
          <w:lang w:val="de-DE"/>
        </w:rPr>
      </w:pPr>
    </w:p>
    <w:p w14:paraId="25FBC9A0" w14:textId="77777777" w:rsidR="00FE291A" w:rsidRDefault="00C8738F">
      <w:pPr>
        <w:pStyle w:val="ListParagraph"/>
        <w:rPr>
          <w:sz w:val="22"/>
          <w:lang w:val="de-DE"/>
        </w:rPr>
      </w:pPr>
      <w:r>
        <w:rPr>
          <w:sz w:val="22"/>
          <w:lang w:val="de-DE"/>
        </w:rPr>
        <w:t>Autoimmunerkrankung</w:t>
      </w:r>
      <w:del w:id="581" w:author="Author">
        <w:r w:rsidDel="00723069">
          <w:rPr>
            <w:sz w:val="22"/>
            <w:lang w:val="de-DE"/>
          </w:rPr>
          <w:delText>en</w:delText>
        </w:r>
      </w:del>
    </w:p>
    <w:p w14:paraId="4772C362" w14:textId="77777777" w:rsidR="00FE291A" w:rsidRDefault="00FE291A">
      <w:pPr>
        <w:pStyle w:val="ListParagraph"/>
        <w:rPr>
          <w:sz w:val="22"/>
          <w:lang w:val="de-DE"/>
        </w:rPr>
      </w:pPr>
    </w:p>
    <w:p w14:paraId="18BE72A7" w14:textId="77777777" w:rsidR="00FE291A" w:rsidRDefault="00C8738F">
      <w:pPr>
        <w:pStyle w:val="BodyText"/>
        <w:widowControl/>
        <w:numPr>
          <w:ilvl w:val="0"/>
          <w:numId w:val="53"/>
        </w:numPr>
        <w:tabs>
          <w:tab w:val="left" w:pos="567"/>
        </w:tabs>
        <w:kinsoku w:val="0"/>
        <w:overflowPunct w:val="0"/>
        <w:ind w:left="567"/>
        <w:rPr>
          <w:lang w:val="de-DE"/>
        </w:rPr>
      </w:pPr>
      <w:r>
        <w:rPr>
          <w:lang w:val="de-DE"/>
        </w:rPr>
        <w:t>In seltenen Fällen kann die Behandlung mit AMGEVITA ein lupusähnliches Syndrom auslösen. Kontaktieren Sie Ihren Arzt, falls Symptome wie ein anhaltender, nicht erklärbarer Hautausschlag, Fieber, Gelenkschmerzen oder Müdigkeit auftreten.</w:t>
      </w:r>
    </w:p>
    <w:p w14:paraId="5D41214C" w14:textId="77777777" w:rsidR="00FE291A" w:rsidRDefault="00FE291A">
      <w:pPr>
        <w:widowControl/>
        <w:kinsoku w:val="0"/>
        <w:overflowPunct w:val="0"/>
        <w:rPr>
          <w:sz w:val="22"/>
          <w:szCs w:val="22"/>
          <w:lang w:val="de-DE"/>
        </w:rPr>
      </w:pPr>
    </w:p>
    <w:p w14:paraId="26A73608" w14:textId="77777777" w:rsidR="00FE291A" w:rsidRDefault="00C8738F">
      <w:pPr>
        <w:pStyle w:val="BodyText"/>
        <w:widowControl/>
        <w:kinsoku w:val="0"/>
        <w:overflowPunct w:val="0"/>
        <w:ind w:left="0"/>
        <w:rPr>
          <w:lang w:val="de-DE"/>
        </w:rPr>
      </w:pPr>
      <w:r>
        <w:rPr>
          <w:lang w:val="de-DE"/>
        </w:rPr>
        <w:t>Um die Nachverfolgbarkeit dieses Arzneimittels zu verbessern, sollte Ihr Arzt oder Apotheker den Namen und die Chargenbezeichnung des bei Ihnen angewendeten Arzneimittels in Ihrer Krankenakte dokumentieren. Möglicherweise möchten Sie sich diese Informationen ebenfalls für den Fall notieren, dass Sie später danach gefragt werden.</w:t>
      </w:r>
    </w:p>
    <w:p w14:paraId="77D08714" w14:textId="77777777" w:rsidR="00FE291A" w:rsidRDefault="00FE291A">
      <w:pPr>
        <w:pStyle w:val="BodyText"/>
        <w:widowControl/>
        <w:kinsoku w:val="0"/>
        <w:overflowPunct w:val="0"/>
        <w:ind w:left="0"/>
        <w:rPr>
          <w:lang w:val="de-DE"/>
        </w:rPr>
      </w:pPr>
    </w:p>
    <w:p w14:paraId="15DAF09F" w14:textId="77777777" w:rsidR="00FE291A" w:rsidRDefault="00C8738F">
      <w:pPr>
        <w:pStyle w:val="Heading1"/>
        <w:keepNext/>
        <w:keepLines/>
        <w:widowControl/>
        <w:kinsoku w:val="0"/>
        <w:overflowPunct w:val="0"/>
        <w:ind w:left="0"/>
        <w:rPr>
          <w:b w:val="0"/>
          <w:bCs w:val="0"/>
          <w:lang w:val="de-DE"/>
        </w:rPr>
      </w:pPr>
      <w:r>
        <w:rPr>
          <w:lang w:val="de-DE"/>
        </w:rPr>
        <w:t>Kinder und Jugendliche</w:t>
      </w:r>
    </w:p>
    <w:p w14:paraId="0B4DBC09" w14:textId="77777777" w:rsidR="00FE291A" w:rsidRDefault="00FE291A">
      <w:pPr>
        <w:keepNext/>
        <w:widowControl/>
        <w:kinsoku w:val="0"/>
        <w:overflowPunct w:val="0"/>
        <w:rPr>
          <w:sz w:val="22"/>
          <w:szCs w:val="22"/>
          <w:lang w:val="de-DE"/>
        </w:rPr>
      </w:pPr>
    </w:p>
    <w:p w14:paraId="4033688E" w14:textId="77777777" w:rsidR="00FE291A" w:rsidRDefault="00C8738F">
      <w:pPr>
        <w:pStyle w:val="BodyText"/>
        <w:widowControl/>
        <w:numPr>
          <w:ilvl w:val="0"/>
          <w:numId w:val="54"/>
        </w:numPr>
        <w:tabs>
          <w:tab w:val="left" w:pos="567"/>
        </w:tabs>
        <w:kinsoku w:val="0"/>
        <w:overflowPunct w:val="0"/>
        <w:ind w:left="567"/>
        <w:rPr>
          <w:lang w:val="de-DE"/>
        </w:rPr>
      </w:pPr>
      <w:r>
        <w:rPr>
          <w:lang w:val="de-DE"/>
        </w:rPr>
        <w:t>Impfungen: Wenn möglich, sollten Kinder und Jugendliche vor Anwendung von AMGEVITA auf dem neuesten Stand mit allen Impfungen sein.</w:t>
      </w:r>
    </w:p>
    <w:p w14:paraId="0F3EEDC6" w14:textId="77777777" w:rsidR="00FE291A" w:rsidRDefault="00FE291A">
      <w:pPr>
        <w:widowControl/>
        <w:tabs>
          <w:tab w:val="left" w:pos="567"/>
        </w:tabs>
        <w:kinsoku w:val="0"/>
        <w:overflowPunct w:val="0"/>
        <w:ind w:left="567" w:hanging="567"/>
        <w:rPr>
          <w:sz w:val="22"/>
          <w:szCs w:val="22"/>
          <w:lang w:val="de-DE"/>
        </w:rPr>
      </w:pPr>
    </w:p>
    <w:p w14:paraId="7C3484C4" w14:textId="77777777" w:rsidR="00FE291A" w:rsidRDefault="00C8738F">
      <w:pPr>
        <w:pStyle w:val="BodyText"/>
        <w:widowControl/>
        <w:numPr>
          <w:ilvl w:val="0"/>
          <w:numId w:val="54"/>
        </w:numPr>
        <w:tabs>
          <w:tab w:val="left" w:pos="567"/>
        </w:tabs>
        <w:kinsoku w:val="0"/>
        <w:overflowPunct w:val="0"/>
        <w:ind w:left="567"/>
        <w:rPr>
          <w:lang w:val="de-DE"/>
        </w:rPr>
      </w:pPr>
      <w:r>
        <w:rPr>
          <w:lang w:val="de-DE"/>
        </w:rPr>
        <w:t>Wenden Sie AMGEVITA nicht bei Kleinkindern mit polyartikulärer juveniler idiopathischer Arthritis an, die jünger als 2 Jahre sind.</w:t>
      </w:r>
    </w:p>
    <w:p w14:paraId="05D64A1E" w14:textId="77777777" w:rsidR="00FE291A" w:rsidRDefault="00FE291A">
      <w:pPr>
        <w:pStyle w:val="ListParagraph"/>
        <w:rPr>
          <w:lang w:val="de-DE"/>
        </w:rPr>
      </w:pPr>
    </w:p>
    <w:p w14:paraId="08E61E91" w14:textId="77777777" w:rsidR="00FE291A" w:rsidRDefault="00C8738F">
      <w:pPr>
        <w:pStyle w:val="BodyText"/>
        <w:widowControl/>
        <w:numPr>
          <w:ilvl w:val="0"/>
          <w:numId w:val="54"/>
        </w:numPr>
        <w:tabs>
          <w:tab w:val="left" w:pos="567"/>
        </w:tabs>
        <w:kinsoku w:val="0"/>
        <w:overflowPunct w:val="0"/>
        <w:ind w:left="567"/>
        <w:rPr>
          <w:lang w:val="de-DE"/>
        </w:rPr>
      </w:pPr>
      <w:r>
        <w:rPr>
          <w:lang w:val="de-DE"/>
        </w:rPr>
        <w:t>Wenden Sie AMGEVITA nicht bei Kindern mit Plaque-Psoriasis an, die jünger als 4 Jahre sind.</w:t>
      </w:r>
    </w:p>
    <w:p w14:paraId="7F2F66F4" w14:textId="77777777" w:rsidR="00FE291A" w:rsidRDefault="00FE291A">
      <w:pPr>
        <w:pStyle w:val="ListParagraph"/>
        <w:rPr>
          <w:lang w:val="de-DE"/>
        </w:rPr>
      </w:pPr>
    </w:p>
    <w:p w14:paraId="588DAD61" w14:textId="77777777" w:rsidR="00FE291A" w:rsidRDefault="00C8738F">
      <w:pPr>
        <w:pStyle w:val="BodyText"/>
        <w:widowControl/>
        <w:numPr>
          <w:ilvl w:val="0"/>
          <w:numId w:val="54"/>
        </w:numPr>
        <w:tabs>
          <w:tab w:val="left" w:pos="567"/>
        </w:tabs>
        <w:kinsoku w:val="0"/>
        <w:overflowPunct w:val="0"/>
        <w:ind w:left="567"/>
        <w:rPr>
          <w:lang w:val="de-DE"/>
        </w:rPr>
      </w:pPr>
      <w:r>
        <w:rPr>
          <w:lang w:val="de-DE"/>
        </w:rPr>
        <w:t>Wenden Sie AMGEVITA nicht bei Kindern mit Morbus Crohn oder Colitis ulcerosa an, die jünger als 6 Jahre sind.</w:t>
      </w:r>
    </w:p>
    <w:p w14:paraId="4E413D20" w14:textId="77777777" w:rsidR="00FE291A" w:rsidRDefault="00FE291A">
      <w:pPr>
        <w:pStyle w:val="BodyText"/>
        <w:widowControl/>
        <w:tabs>
          <w:tab w:val="left" w:pos="567"/>
        </w:tabs>
        <w:kinsoku w:val="0"/>
        <w:overflowPunct w:val="0"/>
        <w:ind w:left="0"/>
        <w:rPr>
          <w:lang w:val="de-DE"/>
        </w:rPr>
      </w:pPr>
    </w:p>
    <w:p w14:paraId="37D2DB21" w14:textId="77777777" w:rsidR="00FE291A" w:rsidRDefault="00C8738F">
      <w:pPr>
        <w:pStyle w:val="Heading1"/>
        <w:widowControl/>
        <w:kinsoku w:val="0"/>
        <w:overflowPunct w:val="0"/>
        <w:ind w:left="0"/>
        <w:rPr>
          <w:b w:val="0"/>
          <w:bCs w:val="0"/>
          <w:lang w:val="de-DE"/>
        </w:rPr>
      </w:pPr>
      <w:r>
        <w:rPr>
          <w:lang w:val="de-DE"/>
        </w:rPr>
        <w:t>Anwendung von AMGEVITA zusammen mit anderen Arzneimitteln</w:t>
      </w:r>
    </w:p>
    <w:p w14:paraId="2F2D470C" w14:textId="77777777" w:rsidR="00FE291A" w:rsidRDefault="00FE291A">
      <w:pPr>
        <w:widowControl/>
        <w:kinsoku w:val="0"/>
        <w:overflowPunct w:val="0"/>
        <w:rPr>
          <w:sz w:val="22"/>
          <w:szCs w:val="22"/>
          <w:lang w:val="de-DE"/>
        </w:rPr>
      </w:pPr>
    </w:p>
    <w:p w14:paraId="770B6AD4" w14:textId="77777777" w:rsidR="00FE291A" w:rsidRDefault="00C8738F">
      <w:pPr>
        <w:pStyle w:val="BodyText"/>
        <w:widowControl/>
        <w:kinsoku w:val="0"/>
        <w:overflowPunct w:val="0"/>
        <w:ind w:left="0"/>
        <w:rPr>
          <w:lang w:val="de-DE"/>
        </w:rPr>
      </w:pPr>
      <w:r>
        <w:rPr>
          <w:lang w:val="de-DE"/>
        </w:rPr>
        <w:t>Informieren Sie Ihren Arzt oder Apotheker, wenn Sie andere Arzneimittel einnehmen, kürzlich andere Arzneimittel eingenommen haben oder Sie beabsichtigen, andere Arzneimittel einzunehmen.</w:t>
      </w:r>
    </w:p>
    <w:p w14:paraId="0C0E2E32" w14:textId="77777777" w:rsidR="00FE291A" w:rsidRDefault="00FE291A">
      <w:pPr>
        <w:widowControl/>
        <w:kinsoku w:val="0"/>
        <w:overflowPunct w:val="0"/>
        <w:rPr>
          <w:sz w:val="22"/>
          <w:szCs w:val="22"/>
          <w:lang w:val="de-DE"/>
        </w:rPr>
      </w:pPr>
    </w:p>
    <w:p w14:paraId="170EEC4A" w14:textId="77777777" w:rsidR="00FE291A" w:rsidRDefault="00C8738F">
      <w:pPr>
        <w:pStyle w:val="BodyText"/>
        <w:widowControl/>
        <w:kinsoku w:val="0"/>
        <w:overflowPunct w:val="0"/>
        <w:ind w:left="0"/>
        <w:rPr>
          <w:lang w:val="de-DE"/>
        </w:rPr>
      </w:pPr>
      <w:r>
        <w:rPr>
          <w:lang w:val="de-DE"/>
        </w:rPr>
        <w:t>AMGEVITA kann zusammen mit Basistherapeutika (wie Methotrexat, Sulfasalazin, Hydroxychloroquin, Leflunomid und injizierbaren Goldzubereitungen) und mit Kortikosteroiden oder Schmerzmitteln, einschließlich nicht steroidhaltiger entzündungshemmender Antirheumatika (NSAR), verwendet werden.</w:t>
      </w:r>
    </w:p>
    <w:p w14:paraId="328B883C" w14:textId="77777777" w:rsidR="00FE291A" w:rsidRDefault="00FE291A">
      <w:pPr>
        <w:widowControl/>
        <w:kinsoku w:val="0"/>
        <w:overflowPunct w:val="0"/>
        <w:rPr>
          <w:sz w:val="22"/>
          <w:szCs w:val="22"/>
          <w:lang w:val="de-DE"/>
        </w:rPr>
      </w:pPr>
    </w:p>
    <w:p w14:paraId="2DF625DD" w14:textId="77777777" w:rsidR="00FE291A" w:rsidRDefault="00C8738F">
      <w:pPr>
        <w:pStyle w:val="BodyText"/>
        <w:widowControl/>
        <w:kinsoku w:val="0"/>
        <w:overflowPunct w:val="0"/>
        <w:ind w:left="0"/>
        <w:rPr>
          <w:lang w:val="de-DE"/>
        </w:rPr>
      </w:pPr>
      <w:r>
        <w:rPr>
          <w:lang w:val="de-DE"/>
        </w:rPr>
        <w:t>Sie dürfen AMGEVITA nicht zusammen mit Arzneimitteln verwenden, die als Wirkstoff Anakinra oder Abatacept enthalten, da ein erhöhtes Risiko einer schwerwiegenden Infektion besteht. Sollten Sie Fragen haben, wenden Sie sich bitte an Ihren Arzt.</w:t>
      </w:r>
    </w:p>
    <w:p w14:paraId="57174E60" w14:textId="77777777" w:rsidR="00FE291A" w:rsidRDefault="00FE291A">
      <w:pPr>
        <w:widowControl/>
        <w:kinsoku w:val="0"/>
        <w:overflowPunct w:val="0"/>
        <w:rPr>
          <w:sz w:val="22"/>
          <w:szCs w:val="22"/>
          <w:lang w:val="de-DE"/>
        </w:rPr>
      </w:pPr>
    </w:p>
    <w:p w14:paraId="34269078" w14:textId="77777777" w:rsidR="00FE291A" w:rsidRDefault="00C8738F">
      <w:pPr>
        <w:pStyle w:val="Heading1"/>
        <w:keepNext/>
        <w:widowControl/>
        <w:kinsoku w:val="0"/>
        <w:overflowPunct w:val="0"/>
        <w:ind w:left="0"/>
        <w:rPr>
          <w:b w:val="0"/>
          <w:bCs w:val="0"/>
          <w:lang w:val="de-DE"/>
        </w:rPr>
      </w:pPr>
      <w:r>
        <w:rPr>
          <w:lang w:val="de-DE"/>
        </w:rPr>
        <w:t>Schwangerschaft und Stillzeit</w:t>
      </w:r>
    </w:p>
    <w:p w14:paraId="46810C08" w14:textId="77777777" w:rsidR="00FE291A" w:rsidRDefault="00FE291A">
      <w:pPr>
        <w:pStyle w:val="BodyText"/>
        <w:keepNext/>
        <w:widowControl/>
        <w:kinsoku w:val="0"/>
        <w:overflowPunct w:val="0"/>
        <w:ind w:left="0"/>
        <w:rPr>
          <w:lang w:val="de-DE"/>
        </w:rPr>
      </w:pPr>
    </w:p>
    <w:p w14:paraId="5FB770D6" w14:textId="77777777" w:rsidR="00FE291A" w:rsidRDefault="00C8738F">
      <w:pPr>
        <w:keepNext/>
        <w:widowControl/>
        <w:numPr>
          <w:ilvl w:val="0"/>
          <w:numId w:val="61"/>
        </w:numPr>
        <w:tabs>
          <w:tab w:val="clear" w:pos="360"/>
        </w:tabs>
        <w:autoSpaceDE/>
        <w:autoSpaceDN/>
        <w:adjustRightInd/>
        <w:ind w:left="567" w:hanging="567"/>
        <w:rPr>
          <w:sz w:val="22"/>
          <w:szCs w:val="22"/>
          <w:lang w:val="de-DE"/>
        </w:rPr>
      </w:pPr>
      <w:r>
        <w:rPr>
          <w:sz w:val="22"/>
          <w:szCs w:val="22"/>
          <w:lang w:val="de-DE"/>
        </w:rPr>
        <w:t xml:space="preserve">Sie sollten eine geeignete Verhütungsmethode in Erwägung ziehen, um nicht schwanger zu werden, und bis mindestens 5 Monate nach der letzten Dosis von AMGEVITA verhüten. </w:t>
      </w:r>
    </w:p>
    <w:p w14:paraId="1B70AB18" w14:textId="77777777" w:rsidR="00FE291A" w:rsidRDefault="00C8738F">
      <w:pPr>
        <w:widowControl/>
        <w:numPr>
          <w:ilvl w:val="0"/>
          <w:numId w:val="61"/>
        </w:numPr>
        <w:tabs>
          <w:tab w:val="clear" w:pos="360"/>
        </w:tabs>
        <w:autoSpaceDE/>
        <w:autoSpaceDN/>
        <w:adjustRightInd/>
        <w:ind w:left="567" w:hanging="567"/>
        <w:rPr>
          <w:sz w:val="22"/>
          <w:szCs w:val="22"/>
          <w:lang w:val="de-DE"/>
        </w:rPr>
      </w:pPr>
      <w:r>
        <w:rPr>
          <w:sz w:val="22"/>
          <w:szCs w:val="22"/>
          <w:lang w:val="de-DE"/>
        </w:rPr>
        <w:t>Wenn Sie schwanger sind, vermuten, schwanger zu sein, oder beabsichtigen, schwanger zu werden, fragen Sie Ihren Arzt zur Anwendung dieses Arzneimittels um Rat.</w:t>
      </w:r>
    </w:p>
    <w:p w14:paraId="4C607A08" w14:textId="77777777" w:rsidR="00FE291A" w:rsidRDefault="00C8738F">
      <w:pPr>
        <w:widowControl/>
        <w:numPr>
          <w:ilvl w:val="0"/>
          <w:numId w:val="61"/>
        </w:numPr>
        <w:tabs>
          <w:tab w:val="clear" w:pos="360"/>
        </w:tabs>
        <w:autoSpaceDE/>
        <w:autoSpaceDN/>
        <w:adjustRightInd/>
        <w:ind w:left="567" w:hanging="567"/>
        <w:rPr>
          <w:sz w:val="22"/>
          <w:szCs w:val="22"/>
          <w:lang w:val="de-DE"/>
        </w:rPr>
      </w:pPr>
      <w:r>
        <w:rPr>
          <w:sz w:val="22"/>
          <w:szCs w:val="22"/>
          <w:lang w:val="de-DE"/>
        </w:rPr>
        <w:t>AMGEVITA sollte während einer Schwangerschaft nur angewendet werden, wenn dies erforderlich ist.</w:t>
      </w:r>
    </w:p>
    <w:p w14:paraId="2C36553B" w14:textId="77777777" w:rsidR="00FE291A" w:rsidRDefault="00C8738F">
      <w:pPr>
        <w:widowControl/>
        <w:numPr>
          <w:ilvl w:val="0"/>
          <w:numId w:val="61"/>
        </w:numPr>
        <w:tabs>
          <w:tab w:val="clear" w:pos="360"/>
        </w:tabs>
        <w:autoSpaceDE/>
        <w:autoSpaceDN/>
        <w:adjustRightInd/>
        <w:ind w:left="567" w:hanging="567"/>
        <w:rPr>
          <w:sz w:val="22"/>
          <w:szCs w:val="22"/>
          <w:lang w:val="de-DE"/>
        </w:rPr>
      </w:pPr>
      <w:r>
        <w:rPr>
          <w:sz w:val="22"/>
          <w:szCs w:val="22"/>
          <w:lang w:val="de-DE"/>
        </w:rPr>
        <w:t>Laut einer Studie mit Schwangeren bestand bei Kindern von Müttern, die während der Schwangerschaft mit AMGEVITA behandelt wurden, kein höheres Risiko für Geburtsfehler als bei Kindern von Müttern mit der gleichen Erkrankung, die nicht mit AMGEVITA behandelt wurden.</w:t>
      </w:r>
    </w:p>
    <w:p w14:paraId="3B70877C" w14:textId="77777777" w:rsidR="00FE291A" w:rsidRDefault="00C8738F">
      <w:pPr>
        <w:pStyle w:val="BodyText"/>
        <w:widowControl/>
        <w:numPr>
          <w:ilvl w:val="0"/>
          <w:numId w:val="62"/>
        </w:numPr>
        <w:kinsoku w:val="0"/>
        <w:overflowPunct w:val="0"/>
        <w:ind w:left="567" w:hanging="567"/>
        <w:rPr>
          <w:lang w:val="de-DE"/>
        </w:rPr>
      </w:pPr>
      <w:r>
        <w:rPr>
          <w:lang w:val="de-DE"/>
        </w:rPr>
        <w:t>AMGEVITA kann während der Stillzeit angewendet werden.</w:t>
      </w:r>
    </w:p>
    <w:p w14:paraId="670A6BB9" w14:textId="77777777" w:rsidR="00FE291A" w:rsidRDefault="00C8738F">
      <w:pPr>
        <w:pStyle w:val="BodyText"/>
        <w:widowControl/>
        <w:numPr>
          <w:ilvl w:val="0"/>
          <w:numId w:val="62"/>
        </w:numPr>
        <w:kinsoku w:val="0"/>
        <w:overflowPunct w:val="0"/>
        <w:ind w:left="567" w:hanging="567"/>
        <w:rPr>
          <w:lang w:val="de-DE"/>
        </w:rPr>
      </w:pPr>
      <w:r>
        <w:rPr>
          <w:lang w:val="de-DE"/>
        </w:rPr>
        <w:t>Wenn Sie AMGEVITA während Ihrer Schwangerschaft erhalten haben, hat Ihr Säugling eventuell ein erhöhtes Risiko, eine Infektion zu bekommen.</w:t>
      </w:r>
    </w:p>
    <w:p w14:paraId="15D38395" w14:textId="77777777" w:rsidR="00FE291A" w:rsidRDefault="00C8738F">
      <w:pPr>
        <w:pStyle w:val="BodyText"/>
        <w:widowControl/>
        <w:numPr>
          <w:ilvl w:val="0"/>
          <w:numId w:val="62"/>
        </w:numPr>
        <w:kinsoku w:val="0"/>
        <w:overflowPunct w:val="0"/>
        <w:ind w:left="567" w:hanging="567"/>
        <w:rPr>
          <w:lang w:val="de-DE"/>
        </w:rPr>
      </w:pPr>
      <w:r>
        <w:rPr>
          <w:lang w:val="de-DE"/>
        </w:rPr>
        <w:t>Es ist wichtig, dass Sie den Ärzten des Kindes und anderem Fachpersonal im Gesundheitswesen mitteilen, dass Sie AMGEVITA während der Schwangerschaft angewendet haben, bevor Ihr Säugling eine Impfung bekommt. Weitere Information siehe im Abschnitt zu Impfungen unter „Warnhinweise und Vorsichtsmaßnahmen“.</w:t>
      </w:r>
    </w:p>
    <w:p w14:paraId="6E6BA9C4" w14:textId="77777777" w:rsidR="00FE291A" w:rsidRDefault="00FE291A">
      <w:pPr>
        <w:pStyle w:val="Heading1"/>
        <w:widowControl/>
        <w:kinsoku w:val="0"/>
        <w:overflowPunct w:val="0"/>
        <w:ind w:left="0"/>
        <w:rPr>
          <w:b w:val="0"/>
          <w:lang w:val="de-DE"/>
        </w:rPr>
      </w:pPr>
    </w:p>
    <w:p w14:paraId="335CBEB6" w14:textId="77777777" w:rsidR="00FE291A" w:rsidRDefault="00C8738F">
      <w:pPr>
        <w:pStyle w:val="Heading1"/>
        <w:keepNext/>
        <w:widowControl/>
        <w:kinsoku w:val="0"/>
        <w:overflowPunct w:val="0"/>
        <w:ind w:left="0"/>
        <w:rPr>
          <w:b w:val="0"/>
          <w:bCs w:val="0"/>
          <w:lang w:val="de-DE"/>
        </w:rPr>
      </w:pPr>
      <w:r>
        <w:rPr>
          <w:lang w:val="de-DE"/>
        </w:rPr>
        <w:t>Verkehrstüchtigkeit und Fähigkeit zum Bedienen von Maschinen</w:t>
      </w:r>
    </w:p>
    <w:p w14:paraId="080D255C" w14:textId="77777777" w:rsidR="00FE291A" w:rsidRDefault="00FE291A">
      <w:pPr>
        <w:keepNext/>
        <w:widowControl/>
        <w:kinsoku w:val="0"/>
        <w:overflowPunct w:val="0"/>
        <w:rPr>
          <w:sz w:val="22"/>
          <w:szCs w:val="22"/>
          <w:lang w:val="de-DE"/>
        </w:rPr>
      </w:pPr>
    </w:p>
    <w:p w14:paraId="7B5EFAB5" w14:textId="77777777" w:rsidR="00FE291A" w:rsidRDefault="00C8738F">
      <w:pPr>
        <w:pStyle w:val="BodyText"/>
        <w:widowControl/>
        <w:kinsoku w:val="0"/>
        <w:overflowPunct w:val="0"/>
        <w:ind w:left="0"/>
        <w:rPr>
          <w:lang w:val="de-DE"/>
        </w:rPr>
      </w:pPr>
      <w:r>
        <w:rPr>
          <w:lang w:val="de-DE"/>
        </w:rPr>
        <w:t>AMGEVITA kann einen geringen Einfluss auf Ihre Verkehrstüchtigkeit und das Bedienen von Maschinen haben. Bei der Anwendung von AMGEVITA kann das Sehvermögen beeinträchtigt sein und es kann das Gefühl auftreten, dass sich der Raum dreht (Schwindel).</w:t>
      </w:r>
    </w:p>
    <w:p w14:paraId="05C4EC1E" w14:textId="77777777" w:rsidR="00FE291A" w:rsidRDefault="00FE291A">
      <w:pPr>
        <w:widowControl/>
        <w:kinsoku w:val="0"/>
        <w:overflowPunct w:val="0"/>
        <w:rPr>
          <w:sz w:val="22"/>
          <w:szCs w:val="22"/>
          <w:lang w:val="de-DE"/>
        </w:rPr>
      </w:pPr>
    </w:p>
    <w:p w14:paraId="6EA2DFD6" w14:textId="77777777" w:rsidR="00FE291A" w:rsidRDefault="00C8738F">
      <w:pPr>
        <w:pStyle w:val="Heading1"/>
        <w:keepNext/>
        <w:keepLines/>
        <w:widowControl/>
        <w:kinsoku w:val="0"/>
        <w:overflowPunct w:val="0"/>
        <w:ind w:left="0"/>
        <w:rPr>
          <w:lang w:val="de-DE"/>
        </w:rPr>
      </w:pPr>
      <w:r>
        <w:rPr>
          <w:lang w:val="de-DE"/>
        </w:rPr>
        <w:t>AMGEVITA enthält Natrium</w:t>
      </w:r>
    </w:p>
    <w:p w14:paraId="797203A2" w14:textId="77777777" w:rsidR="00FE291A" w:rsidRDefault="00FE291A">
      <w:pPr>
        <w:keepNext/>
        <w:keepLines/>
        <w:widowControl/>
        <w:kinsoku w:val="0"/>
        <w:overflowPunct w:val="0"/>
        <w:rPr>
          <w:sz w:val="22"/>
          <w:szCs w:val="22"/>
          <w:lang w:val="de-DE"/>
        </w:rPr>
      </w:pPr>
    </w:p>
    <w:p w14:paraId="26025776" w14:textId="77777777" w:rsidR="00FE291A" w:rsidRDefault="00C8738F">
      <w:pPr>
        <w:pStyle w:val="BodyText"/>
        <w:widowControl/>
        <w:kinsoku w:val="0"/>
        <w:overflowPunct w:val="0"/>
        <w:ind w:left="0"/>
        <w:rPr>
          <w:lang w:val="de-DE"/>
        </w:rPr>
      </w:pPr>
      <w:r>
        <w:rPr>
          <w:lang w:val="de-DE"/>
        </w:rPr>
        <w:t>Dieses Arzneimittel enthält weniger als 1 mmol Natrium (23 mg) pro 0,8 ml Dosis, d. h., es ist nahezu „natriumfrei“.</w:t>
      </w:r>
    </w:p>
    <w:p w14:paraId="42E21C37" w14:textId="77777777" w:rsidR="00FE291A" w:rsidRDefault="00FE291A">
      <w:pPr>
        <w:widowControl/>
        <w:kinsoku w:val="0"/>
        <w:overflowPunct w:val="0"/>
        <w:rPr>
          <w:sz w:val="22"/>
          <w:szCs w:val="22"/>
          <w:lang w:val="de-DE"/>
        </w:rPr>
      </w:pPr>
    </w:p>
    <w:p w14:paraId="7761355B" w14:textId="77777777" w:rsidR="00FE291A" w:rsidRDefault="00FE291A">
      <w:pPr>
        <w:widowControl/>
        <w:kinsoku w:val="0"/>
        <w:overflowPunct w:val="0"/>
        <w:rPr>
          <w:sz w:val="22"/>
          <w:szCs w:val="22"/>
          <w:lang w:val="de-DE"/>
        </w:rPr>
      </w:pPr>
    </w:p>
    <w:p w14:paraId="6748D9EB" w14:textId="77777777" w:rsidR="00FE291A" w:rsidRDefault="00C8738F">
      <w:pPr>
        <w:pStyle w:val="Heading1"/>
        <w:keepNext/>
        <w:widowControl/>
        <w:tabs>
          <w:tab w:val="left" w:pos="567"/>
        </w:tabs>
        <w:kinsoku w:val="0"/>
        <w:overflowPunct w:val="0"/>
        <w:ind w:left="0"/>
        <w:rPr>
          <w:b w:val="0"/>
          <w:bCs w:val="0"/>
          <w:lang w:val="de-DE"/>
        </w:rPr>
      </w:pPr>
      <w:r>
        <w:rPr>
          <w:lang w:val="de-DE"/>
        </w:rPr>
        <w:t>3.</w:t>
      </w:r>
      <w:r>
        <w:rPr>
          <w:lang w:val="de-DE"/>
        </w:rPr>
        <w:tab/>
        <w:t>Wie ist AMGEVITA anzuwenden?</w:t>
      </w:r>
    </w:p>
    <w:p w14:paraId="70DD01EE" w14:textId="77777777" w:rsidR="00FE291A" w:rsidRDefault="00FE291A">
      <w:pPr>
        <w:keepNext/>
        <w:widowControl/>
        <w:kinsoku w:val="0"/>
        <w:overflowPunct w:val="0"/>
        <w:rPr>
          <w:sz w:val="22"/>
          <w:szCs w:val="22"/>
          <w:lang w:val="de-DE"/>
        </w:rPr>
      </w:pPr>
    </w:p>
    <w:p w14:paraId="69A00770" w14:textId="77777777" w:rsidR="00FE291A" w:rsidRDefault="00C8738F">
      <w:pPr>
        <w:pStyle w:val="BodyText"/>
        <w:widowControl/>
        <w:kinsoku w:val="0"/>
        <w:overflowPunct w:val="0"/>
        <w:ind w:left="0"/>
        <w:rPr>
          <w:lang w:val="de-DE"/>
        </w:rPr>
      </w:pPr>
      <w:r>
        <w:rPr>
          <w:lang w:val="de-DE"/>
        </w:rPr>
        <w:t>Wenden Sie dieses Arzneimittel immer genau nach Absprache mit Ihrem Arzt oder Apotheker an. Fragen Sie bei Ihrem Arzt oder Apotheker nach, wenn Sie sich nicht sicher sind.</w:t>
      </w:r>
    </w:p>
    <w:p w14:paraId="3B4A36D1" w14:textId="77777777" w:rsidR="00FE291A" w:rsidRDefault="00FE291A">
      <w:pPr>
        <w:widowControl/>
        <w:kinsoku w:val="0"/>
        <w:overflowPunct w:val="0"/>
        <w:rPr>
          <w:sz w:val="22"/>
          <w:szCs w:val="22"/>
          <w:lang w:val="de-DE"/>
        </w:rPr>
      </w:pPr>
    </w:p>
    <w:p w14:paraId="2925D5AE" w14:textId="77777777" w:rsidR="00FE291A" w:rsidRDefault="00C8738F">
      <w:pPr>
        <w:pStyle w:val="BodyText"/>
        <w:keepNext/>
        <w:widowControl/>
        <w:kinsoku w:val="0"/>
        <w:overflowPunct w:val="0"/>
        <w:ind w:left="0"/>
        <w:rPr>
          <w:lang w:val="de-DE"/>
        </w:rPr>
      </w:pPr>
      <w:r>
        <w:rPr>
          <w:u w:val="single"/>
          <w:lang w:val="de-DE"/>
        </w:rPr>
        <w:t>Erwachsene mit rheumatoider Arthritis, Psoriasis-Arthritis, ankylosierender Spondylitis oder axialer</w:t>
      </w:r>
      <w:r>
        <w:rPr>
          <w:lang w:val="de-DE"/>
        </w:rPr>
        <w:t xml:space="preserve"> </w:t>
      </w:r>
      <w:r>
        <w:rPr>
          <w:u w:val="single"/>
          <w:lang w:val="de-DE"/>
        </w:rPr>
        <w:t>Spondyloarthritis, bei der im Röntgenbild noch keine Verknöcherung nachweisbar ist</w:t>
      </w:r>
    </w:p>
    <w:p w14:paraId="2B834150" w14:textId="77777777" w:rsidR="00FE291A" w:rsidRDefault="00FE291A">
      <w:pPr>
        <w:keepNext/>
        <w:widowControl/>
        <w:kinsoku w:val="0"/>
        <w:overflowPunct w:val="0"/>
        <w:rPr>
          <w:sz w:val="22"/>
          <w:szCs w:val="22"/>
          <w:lang w:val="de-DE"/>
        </w:rPr>
      </w:pPr>
    </w:p>
    <w:p w14:paraId="656D7061" w14:textId="77777777" w:rsidR="00FE291A" w:rsidRDefault="00C8738F">
      <w:pPr>
        <w:pStyle w:val="BodyText"/>
        <w:widowControl/>
        <w:kinsoku w:val="0"/>
        <w:overflowPunct w:val="0"/>
        <w:ind w:left="0"/>
        <w:rPr>
          <w:lang w:val="de-DE"/>
        </w:rPr>
      </w:pPr>
      <w:r>
        <w:rPr>
          <w:lang w:val="de-DE"/>
        </w:rPr>
        <w:t>AMGEVITA wird unter die Haut gespritzt (subkutane Anwendung). Die übliche Dosis für Erwachsene mit rheumatoider Arthritis, ankylosierender Spondylitis, axialer Spondyloarthritis, bei der im Röntgenbild noch keine Verknöcherung nachweisbar ist, und für Patienten mit Psoriasis-Arthritis beträgt 40 mg, die alle zwei Wochen als Einzeldosis verabreicht wird.</w:t>
      </w:r>
    </w:p>
    <w:p w14:paraId="327D1CAB" w14:textId="77777777" w:rsidR="00FE291A" w:rsidRDefault="00FE291A">
      <w:pPr>
        <w:widowControl/>
        <w:kinsoku w:val="0"/>
        <w:overflowPunct w:val="0"/>
        <w:rPr>
          <w:sz w:val="22"/>
          <w:szCs w:val="22"/>
          <w:lang w:val="de-DE"/>
        </w:rPr>
      </w:pPr>
    </w:p>
    <w:p w14:paraId="04C1A763" w14:textId="77777777" w:rsidR="00FE291A" w:rsidRDefault="00C8738F">
      <w:pPr>
        <w:pStyle w:val="BodyText"/>
        <w:widowControl/>
        <w:kinsoku w:val="0"/>
        <w:overflowPunct w:val="0"/>
        <w:ind w:left="0"/>
        <w:rPr>
          <w:lang w:val="de-DE"/>
        </w:rPr>
      </w:pPr>
      <w:r>
        <w:rPr>
          <w:lang w:val="de-DE"/>
        </w:rPr>
        <w:t>Während Sie AMGEVITA bei rheumatoider Arthritis anwenden, wird die Gabe von Methotrexat fortgesetzt. Sollte Ihr Arzt die Gabe von Methotrexat als nicht geeignet erachten, kann AMGEVITA auch alleine angewendet werden.</w:t>
      </w:r>
    </w:p>
    <w:p w14:paraId="143F3D96" w14:textId="77777777" w:rsidR="00FE291A" w:rsidRDefault="00FE291A">
      <w:pPr>
        <w:widowControl/>
        <w:kinsoku w:val="0"/>
        <w:overflowPunct w:val="0"/>
        <w:rPr>
          <w:sz w:val="22"/>
          <w:szCs w:val="22"/>
          <w:lang w:val="de-DE"/>
        </w:rPr>
      </w:pPr>
    </w:p>
    <w:p w14:paraId="592A54F2" w14:textId="77777777" w:rsidR="00FE291A" w:rsidRDefault="00C8738F">
      <w:pPr>
        <w:pStyle w:val="BodyText"/>
        <w:widowControl/>
        <w:kinsoku w:val="0"/>
        <w:overflowPunct w:val="0"/>
        <w:ind w:left="0"/>
        <w:rPr>
          <w:lang w:val="de-DE"/>
        </w:rPr>
      </w:pPr>
      <w:r>
        <w:rPr>
          <w:lang w:val="de-DE"/>
        </w:rPr>
        <w:t>Falls Sie an rheumatoider Arthritis erkrankt sind und kein Methotrexat begleitend zu Ihrer Behandlung mit AMGEVITA erhalten, kann Ihr Arzt sich für eine Gabe von 40 mg jede Woche oder 80 mg jede zweite Woche entscheiden.</w:t>
      </w:r>
    </w:p>
    <w:p w14:paraId="48099D42" w14:textId="77777777" w:rsidR="00FE291A" w:rsidRDefault="00FE291A">
      <w:pPr>
        <w:widowControl/>
        <w:kinsoku w:val="0"/>
        <w:overflowPunct w:val="0"/>
        <w:rPr>
          <w:sz w:val="22"/>
          <w:szCs w:val="22"/>
          <w:lang w:val="de-DE"/>
        </w:rPr>
      </w:pPr>
    </w:p>
    <w:p w14:paraId="33E2C28C" w14:textId="77777777" w:rsidR="00FE291A" w:rsidRDefault="00C8738F">
      <w:pPr>
        <w:pStyle w:val="BodyText"/>
        <w:keepNext/>
        <w:widowControl/>
        <w:kinsoku w:val="0"/>
        <w:overflowPunct w:val="0"/>
        <w:ind w:left="0"/>
        <w:rPr>
          <w:lang w:val="de-DE"/>
        </w:rPr>
      </w:pPr>
      <w:r>
        <w:rPr>
          <w:u w:val="single"/>
          <w:lang w:val="de-DE"/>
        </w:rPr>
        <w:t>Erwachsene mit Plaque-Psoriasis</w:t>
      </w:r>
    </w:p>
    <w:p w14:paraId="1D4E38F9" w14:textId="77777777" w:rsidR="00FE291A" w:rsidRDefault="00FE291A">
      <w:pPr>
        <w:keepNext/>
        <w:widowControl/>
        <w:kinsoku w:val="0"/>
        <w:overflowPunct w:val="0"/>
        <w:rPr>
          <w:sz w:val="22"/>
          <w:szCs w:val="22"/>
          <w:lang w:val="de-DE"/>
        </w:rPr>
      </w:pPr>
    </w:p>
    <w:p w14:paraId="5CEC6034" w14:textId="77777777" w:rsidR="00FE291A" w:rsidRDefault="00C8738F">
      <w:pPr>
        <w:pStyle w:val="BodyText"/>
        <w:widowControl/>
        <w:kinsoku w:val="0"/>
        <w:overflowPunct w:val="0"/>
        <w:ind w:left="0"/>
        <w:rPr>
          <w:lang w:val="de-DE"/>
        </w:rPr>
      </w:pPr>
      <w:r>
        <w:rPr>
          <w:lang w:val="de-DE"/>
        </w:rPr>
        <w:t>Die übliche Dosierung für erwachsene Plaque-Psoriasispatienten beträgt 80 mg als Anfangsdosis, gefolgt von 40 mg jede zweite Woche, beginnend eine Woche nach der Anfangsdosis. Sie sollten AMGEVITA so lange spritzen, wie Sie dies mit Ihrem Arzt besprochen haben. Je nachdem, wie Sie auf die Behandlung ansprechen, kann Ihr Arzt die Dosis auf 40 mg jede Woche oder 80 mg jede zweite Woche erhöhen.</w:t>
      </w:r>
    </w:p>
    <w:p w14:paraId="73338A1F" w14:textId="77777777" w:rsidR="00FE291A" w:rsidRDefault="00FE291A">
      <w:pPr>
        <w:widowControl/>
        <w:kinsoku w:val="0"/>
        <w:overflowPunct w:val="0"/>
        <w:rPr>
          <w:sz w:val="22"/>
          <w:szCs w:val="22"/>
          <w:lang w:val="de-DE"/>
        </w:rPr>
      </w:pPr>
    </w:p>
    <w:p w14:paraId="1B46C24C" w14:textId="77777777" w:rsidR="00FE291A" w:rsidRDefault="00C8738F">
      <w:pPr>
        <w:pStyle w:val="BodyText"/>
        <w:keepNext/>
        <w:widowControl/>
        <w:kinsoku w:val="0"/>
        <w:overflowPunct w:val="0"/>
        <w:ind w:left="0"/>
        <w:rPr>
          <w:lang w:val="de-DE"/>
        </w:rPr>
      </w:pPr>
      <w:r>
        <w:rPr>
          <w:u w:val="single"/>
          <w:lang w:val="de-DE"/>
        </w:rPr>
        <w:t>Erwachsene mit Hidradenitis suppurativa (Acne inversa)</w:t>
      </w:r>
    </w:p>
    <w:p w14:paraId="04989AFB" w14:textId="77777777" w:rsidR="00FE291A" w:rsidRDefault="00FE291A">
      <w:pPr>
        <w:keepNext/>
        <w:widowControl/>
        <w:kinsoku w:val="0"/>
        <w:overflowPunct w:val="0"/>
        <w:rPr>
          <w:sz w:val="22"/>
          <w:szCs w:val="22"/>
          <w:lang w:val="de-DE"/>
        </w:rPr>
      </w:pPr>
    </w:p>
    <w:p w14:paraId="6D7E3997" w14:textId="77777777" w:rsidR="00FE291A" w:rsidRDefault="00C8738F">
      <w:pPr>
        <w:pStyle w:val="BodyText"/>
        <w:widowControl/>
        <w:kinsoku w:val="0"/>
        <w:overflowPunct w:val="0"/>
        <w:ind w:left="0"/>
        <w:rPr>
          <w:lang w:val="de-DE"/>
        </w:rPr>
      </w:pPr>
      <w:r>
        <w:rPr>
          <w:lang w:val="de-DE"/>
        </w:rPr>
        <w:t>Die übliche Dosierung für Hidradenitis suppurativa ist eine Anfangsdosis von 160 mg (zwei 80 mg-Injektionen innerhalb eines Tages oder eine 80 mg-Injektion pro Tag an zwei aufeinanderfolgenden Tagen), gefolgt von einer Dosis von 80 mg (eine 80 mg-Injektion) zwei Wochen später. Nach zwei weiteren Wochen wird die Behandlung mit einer Dosis von 40 mg jede Woche oder 80 mg jede zweite Woche nach Anweisung Ihres Arztes fortgesetzt. Es wird empfohlen, dass Sie an den betroffenen Stellen täglich eine antiseptische Waschlösung anwenden.</w:t>
      </w:r>
    </w:p>
    <w:p w14:paraId="1E744EB8" w14:textId="77777777" w:rsidR="00FE291A" w:rsidRDefault="00FE291A">
      <w:pPr>
        <w:widowControl/>
        <w:kinsoku w:val="0"/>
        <w:overflowPunct w:val="0"/>
        <w:rPr>
          <w:sz w:val="22"/>
          <w:szCs w:val="22"/>
          <w:lang w:val="de-DE"/>
        </w:rPr>
      </w:pPr>
    </w:p>
    <w:p w14:paraId="6EFC9BDE" w14:textId="77777777" w:rsidR="00FE291A" w:rsidRDefault="00C8738F">
      <w:pPr>
        <w:numPr>
          <w:ilvl w:val="12"/>
          <w:numId w:val="0"/>
        </w:numPr>
        <w:ind w:right="-2"/>
        <w:rPr>
          <w:sz w:val="22"/>
          <w:szCs w:val="22"/>
          <w:u w:val="single"/>
          <w:lang w:val="de-DE"/>
        </w:rPr>
      </w:pPr>
      <w:r>
        <w:rPr>
          <w:sz w:val="22"/>
          <w:szCs w:val="22"/>
          <w:u w:val="single"/>
          <w:lang w:val="de-DE"/>
        </w:rPr>
        <w:t>Jugendliche mit Hidradenitis suppurativa (Acne inversa) zwischen 12 und 17 Jahren und einem Körpergewicht von 30 kg oder mehr</w:t>
      </w:r>
    </w:p>
    <w:p w14:paraId="6BF4883C" w14:textId="77777777" w:rsidR="00FE291A" w:rsidRDefault="00FE291A">
      <w:pPr>
        <w:numPr>
          <w:ilvl w:val="12"/>
          <w:numId w:val="0"/>
        </w:numPr>
        <w:ind w:right="-2"/>
        <w:rPr>
          <w:sz w:val="22"/>
          <w:szCs w:val="22"/>
          <w:lang w:val="de-DE"/>
        </w:rPr>
      </w:pPr>
    </w:p>
    <w:p w14:paraId="1F1B57EA" w14:textId="77777777" w:rsidR="00FE291A" w:rsidRDefault="00C8738F">
      <w:pPr>
        <w:numPr>
          <w:ilvl w:val="12"/>
          <w:numId w:val="0"/>
        </w:numPr>
        <w:ind w:right="-2"/>
        <w:rPr>
          <w:sz w:val="22"/>
          <w:szCs w:val="22"/>
          <w:lang w:val="de-DE"/>
        </w:rPr>
      </w:pPr>
      <w:r>
        <w:rPr>
          <w:sz w:val="22"/>
          <w:szCs w:val="22"/>
          <w:lang w:val="de-DE"/>
        </w:rPr>
        <w:t>Die empfohlene Anfangsdosis von AMGEVITA beträgt 80 mg. Nach einer Woche werden 40 mg jede zweite Woche verabreicht. Wenn der Patient unzureichend auf die Behandlung mit AMGEVITA 40 mg jede zweite Woche anspricht, kann der Arzt die Dosis auf 40 mg jede Woche oder 80 mg jede zweite Woche erhöhen.</w:t>
      </w:r>
    </w:p>
    <w:p w14:paraId="7708780F" w14:textId="77777777" w:rsidR="00FE291A" w:rsidRDefault="00FE291A">
      <w:pPr>
        <w:numPr>
          <w:ilvl w:val="12"/>
          <w:numId w:val="0"/>
        </w:numPr>
        <w:ind w:right="-2"/>
        <w:rPr>
          <w:sz w:val="22"/>
          <w:szCs w:val="22"/>
          <w:lang w:val="de-DE"/>
        </w:rPr>
      </w:pPr>
    </w:p>
    <w:p w14:paraId="1AF2BF4D" w14:textId="77777777" w:rsidR="00FE291A" w:rsidRDefault="00C8738F">
      <w:pPr>
        <w:widowControl/>
        <w:kinsoku w:val="0"/>
        <w:overflowPunct w:val="0"/>
        <w:rPr>
          <w:sz w:val="22"/>
          <w:szCs w:val="22"/>
          <w:lang w:val="de-DE"/>
        </w:rPr>
      </w:pPr>
      <w:r>
        <w:rPr>
          <w:sz w:val="22"/>
          <w:szCs w:val="22"/>
          <w:lang w:val="de-DE"/>
        </w:rPr>
        <w:t>Es wird empfohlen, dass der Patient an den betroffenen Stellen täglich eine antiseptische Waschlösung anwendet.</w:t>
      </w:r>
    </w:p>
    <w:p w14:paraId="6DA1BD85" w14:textId="77777777" w:rsidR="00FE291A" w:rsidRDefault="00FE291A">
      <w:pPr>
        <w:widowControl/>
        <w:kinsoku w:val="0"/>
        <w:overflowPunct w:val="0"/>
        <w:rPr>
          <w:sz w:val="22"/>
          <w:szCs w:val="22"/>
          <w:lang w:val="de-DE"/>
        </w:rPr>
      </w:pPr>
    </w:p>
    <w:p w14:paraId="70F07B45" w14:textId="77777777" w:rsidR="00FE291A" w:rsidRDefault="00C8738F">
      <w:pPr>
        <w:pStyle w:val="BodyText"/>
        <w:keepNext/>
        <w:keepLines/>
        <w:widowControl/>
        <w:kinsoku w:val="0"/>
        <w:overflowPunct w:val="0"/>
        <w:ind w:left="0"/>
        <w:rPr>
          <w:lang w:val="de-DE"/>
        </w:rPr>
      </w:pPr>
      <w:r>
        <w:rPr>
          <w:u w:val="single"/>
          <w:lang w:val="de-DE"/>
        </w:rPr>
        <w:t>Erwachsene mit Morbus Crohn</w:t>
      </w:r>
    </w:p>
    <w:p w14:paraId="54B5EBE5" w14:textId="77777777" w:rsidR="00FE291A" w:rsidRDefault="00FE291A">
      <w:pPr>
        <w:keepNext/>
        <w:keepLines/>
        <w:widowControl/>
        <w:kinsoku w:val="0"/>
        <w:overflowPunct w:val="0"/>
        <w:rPr>
          <w:sz w:val="22"/>
          <w:szCs w:val="22"/>
          <w:lang w:val="de-DE"/>
        </w:rPr>
      </w:pPr>
    </w:p>
    <w:p w14:paraId="62278456" w14:textId="77777777" w:rsidR="00FE291A" w:rsidRDefault="00C8738F">
      <w:pPr>
        <w:pStyle w:val="BodyText"/>
        <w:widowControl/>
        <w:kinsoku w:val="0"/>
        <w:overflowPunct w:val="0"/>
        <w:ind w:left="0"/>
        <w:rPr>
          <w:lang w:val="de-DE"/>
        </w:rPr>
      </w:pPr>
      <w:r>
        <w:rPr>
          <w:lang w:val="de-DE"/>
        </w:rPr>
        <w:t>Die übliche Dosierung für Morbus Crohn ist zu Beginn 80 mg, zwei Wochen später 40 mg und danach 40 mg alle zwei Wochen. Wenn ein schnelleres Eintreten der Wirkung erforderlich ist, kann Ihnen Ihr Arzt eine Anfangsdosis von 160 mg (zwei 80 mg-Injektionen an einem Tag oder eine 80 mg-Injektion pro Tag an zwei aufeinanderfolgenden Tagen) verschreiben, gefolgt von 80 mg zwei Wochen später und danach 40 mg jede zweite Woche. Abhängig davon, wie Sie auf die Behandlung ansprechen, kann Ihr Arzt die Dosis auf 40 mg jede Woche oder 80 mg jede zweite Woche erhöhen.</w:t>
      </w:r>
    </w:p>
    <w:p w14:paraId="210CB069" w14:textId="77777777" w:rsidR="00FE291A" w:rsidRDefault="00FE291A">
      <w:pPr>
        <w:widowControl/>
        <w:kinsoku w:val="0"/>
        <w:overflowPunct w:val="0"/>
        <w:rPr>
          <w:sz w:val="22"/>
          <w:szCs w:val="22"/>
          <w:lang w:val="de-DE"/>
        </w:rPr>
      </w:pPr>
    </w:p>
    <w:p w14:paraId="7ED86576" w14:textId="77777777" w:rsidR="00FE291A" w:rsidRDefault="00C8738F">
      <w:pPr>
        <w:pStyle w:val="BodyText"/>
        <w:keepNext/>
        <w:widowControl/>
        <w:kinsoku w:val="0"/>
        <w:overflowPunct w:val="0"/>
        <w:ind w:left="0"/>
        <w:rPr>
          <w:lang w:val="de-DE"/>
        </w:rPr>
      </w:pPr>
      <w:r>
        <w:rPr>
          <w:u w:val="single"/>
          <w:lang w:val="de-DE"/>
        </w:rPr>
        <w:t>Kinder und Jugendliche mit Morbus Crohn</w:t>
      </w:r>
    </w:p>
    <w:p w14:paraId="4EB95E58" w14:textId="77777777" w:rsidR="00FE291A" w:rsidRDefault="00FE291A">
      <w:pPr>
        <w:keepNext/>
        <w:widowControl/>
        <w:kinsoku w:val="0"/>
        <w:overflowPunct w:val="0"/>
        <w:rPr>
          <w:sz w:val="22"/>
          <w:szCs w:val="22"/>
          <w:lang w:val="de-DE"/>
        </w:rPr>
      </w:pPr>
    </w:p>
    <w:p w14:paraId="38654730" w14:textId="77777777" w:rsidR="00FE291A" w:rsidRDefault="00C8738F">
      <w:pPr>
        <w:pStyle w:val="BodyText"/>
        <w:keepNext/>
        <w:widowControl/>
        <w:kinsoku w:val="0"/>
        <w:overflowPunct w:val="0"/>
        <w:ind w:left="0"/>
        <w:rPr>
          <w:i/>
          <w:lang w:val="de-DE"/>
        </w:rPr>
      </w:pPr>
      <w:r>
        <w:rPr>
          <w:i/>
          <w:lang w:val="de-DE"/>
        </w:rPr>
        <w:t xml:space="preserve">Kinder und Jugendliche </w:t>
      </w:r>
      <w:r>
        <w:rPr>
          <w:bCs/>
          <w:i/>
          <w:lang w:val="de-DE"/>
        </w:rPr>
        <w:t xml:space="preserve">zwischen 6 und 17 Jahren und </w:t>
      </w:r>
      <w:r>
        <w:rPr>
          <w:i/>
          <w:lang w:val="de-DE"/>
        </w:rPr>
        <w:t>einem Körpergewicht unter 40 kg</w:t>
      </w:r>
    </w:p>
    <w:p w14:paraId="2068C186" w14:textId="77777777" w:rsidR="00FE291A" w:rsidRDefault="00FE291A">
      <w:pPr>
        <w:keepNext/>
        <w:widowControl/>
        <w:kinsoku w:val="0"/>
        <w:overflowPunct w:val="0"/>
        <w:rPr>
          <w:sz w:val="22"/>
          <w:szCs w:val="22"/>
          <w:lang w:val="de-DE"/>
        </w:rPr>
      </w:pPr>
    </w:p>
    <w:p w14:paraId="6DD4F749" w14:textId="77777777" w:rsidR="00FE291A" w:rsidRDefault="00C8738F">
      <w:pPr>
        <w:pStyle w:val="BodyText"/>
        <w:widowControl/>
        <w:kinsoku w:val="0"/>
        <w:overflowPunct w:val="0"/>
        <w:ind w:left="0"/>
        <w:rPr>
          <w:lang w:val="de-DE"/>
        </w:rPr>
      </w:pPr>
      <w:r>
        <w:rPr>
          <w:lang w:val="de-DE"/>
        </w:rPr>
        <w:t>Die übliche Dosierung beträgt zu Beginn 40 mg, gefolgt von 20 mg zwei Wochen später. Wenn ein schnelleres Eintreten der Wirkung erforderlich ist, kann der Arzt des Kindes eine Anfangsdosis von 80 mg verschreiben, gefolgt von 40 mg zwei Wochen später.</w:t>
      </w:r>
    </w:p>
    <w:p w14:paraId="1E1FA1E9" w14:textId="77777777" w:rsidR="00FE291A" w:rsidRDefault="00FE291A">
      <w:pPr>
        <w:widowControl/>
        <w:kinsoku w:val="0"/>
        <w:overflowPunct w:val="0"/>
        <w:rPr>
          <w:sz w:val="22"/>
          <w:szCs w:val="22"/>
          <w:lang w:val="de-DE"/>
        </w:rPr>
      </w:pPr>
    </w:p>
    <w:p w14:paraId="3E931AD2" w14:textId="77777777" w:rsidR="00FE291A" w:rsidRDefault="00C8738F">
      <w:pPr>
        <w:pStyle w:val="BodyText"/>
        <w:widowControl/>
        <w:kinsoku w:val="0"/>
        <w:overflowPunct w:val="0"/>
        <w:ind w:left="0"/>
        <w:rPr>
          <w:lang w:val="de-DE"/>
        </w:rPr>
      </w:pPr>
      <w:r>
        <w:rPr>
          <w:lang w:val="de-DE"/>
        </w:rPr>
        <w:t>Danach beträgt die übliche Dosierung 20 mg jede zweite Woche. Je nachdem, wie das Kind anspricht, kann der Arzt die Dosishäufigkeit auf 20 mg jede Woche erhöhen.</w:t>
      </w:r>
    </w:p>
    <w:p w14:paraId="2C78C674" w14:textId="77777777" w:rsidR="00FE291A" w:rsidRDefault="00FE291A">
      <w:pPr>
        <w:pStyle w:val="BodyText"/>
        <w:widowControl/>
        <w:kinsoku w:val="0"/>
        <w:overflowPunct w:val="0"/>
        <w:ind w:left="0"/>
        <w:rPr>
          <w:lang w:val="de-DE"/>
        </w:rPr>
      </w:pPr>
    </w:p>
    <w:p w14:paraId="306213A7" w14:textId="77777777" w:rsidR="00FE291A" w:rsidRDefault="00C8738F">
      <w:pPr>
        <w:widowControl/>
        <w:kinsoku w:val="0"/>
        <w:overflowPunct w:val="0"/>
        <w:rPr>
          <w:sz w:val="22"/>
          <w:szCs w:val="22"/>
          <w:lang w:val="de-DE"/>
        </w:rPr>
      </w:pPr>
      <w:r>
        <w:rPr>
          <w:sz w:val="22"/>
          <w:szCs w:val="22"/>
          <w:lang w:val="de-DE"/>
        </w:rPr>
        <w:t>Der 40 mg Fertigpen kann nicht für die 20 mg Dosierung angewendet werden. Eine AMGEVITA 20 mg </w:t>
      </w:r>
      <w:r>
        <w:rPr>
          <w:i/>
          <w:sz w:val="22"/>
          <w:szCs w:val="22"/>
          <w:lang w:val="de-DE"/>
        </w:rPr>
        <w:t>Fertigspritze</w:t>
      </w:r>
      <w:r>
        <w:rPr>
          <w:sz w:val="22"/>
          <w:szCs w:val="22"/>
          <w:lang w:val="de-DE"/>
        </w:rPr>
        <w:t xml:space="preserve"> ist allerdings für die 20 mg Dosierung erhältlich.</w:t>
      </w:r>
    </w:p>
    <w:p w14:paraId="3D98BA65" w14:textId="77777777" w:rsidR="00FE291A" w:rsidRDefault="00FE291A">
      <w:pPr>
        <w:widowControl/>
        <w:kinsoku w:val="0"/>
        <w:overflowPunct w:val="0"/>
        <w:rPr>
          <w:sz w:val="22"/>
          <w:szCs w:val="22"/>
          <w:lang w:val="de-DE"/>
        </w:rPr>
      </w:pPr>
    </w:p>
    <w:p w14:paraId="27338E88" w14:textId="77777777" w:rsidR="00FE291A" w:rsidRDefault="00C8738F">
      <w:pPr>
        <w:pStyle w:val="BodyText"/>
        <w:keepNext/>
        <w:widowControl/>
        <w:kinsoku w:val="0"/>
        <w:overflowPunct w:val="0"/>
        <w:ind w:left="0"/>
        <w:rPr>
          <w:i/>
          <w:lang w:val="de-DE"/>
        </w:rPr>
      </w:pPr>
      <w:r>
        <w:rPr>
          <w:i/>
          <w:lang w:val="de-DE"/>
        </w:rPr>
        <w:t xml:space="preserve">Kinder und Jugendliche </w:t>
      </w:r>
      <w:r>
        <w:rPr>
          <w:bCs/>
          <w:i/>
          <w:lang w:val="de-DE"/>
        </w:rPr>
        <w:t xml:space="preserve">zwischen 6 und 17 Jahren und </w:t>
      </w:r>
      <w:r>
        <w:rPr>
          <w:i/>
          <w:lang w:val="de-DE"/>
        </w:rPr>
        <w:t>einem Körpergewicht von 40 kg oder mehr</w:t>
      </w:r>
    </w:p>
    <w:p w14:paraId="7FEFC913" w14:textId="77777777" w:rsidR="00FE291A" w:rsidRDefault="00FE291A">
      <w:pPr>
        <w:keepNext/>
        <w:widowControl/>
        <w:kinsoku w:val="0"/>
        <w:overflowPunct w:val="0"/>
        <w:rPr>
          <w:sz w:val="22"/>
          <w:szCs w:val="22"/>
          <w:lang w:val="de-DE"/>
        </w:rPr>
      </w:pPr>
    </w:p>
    <w:p w14:paraId="2D01DDA8" w14:textId="77777777" w:rsidR="00FE291A" w:rsidRDefault="00C8738F">
      <w:pPr>
        <w:pStyle w:val="BodyText"/>
        <w:keepNext/>
        <w:widowControl/>
        <w:kinsoku w:val="0"/>
        <w:overflowPunct w:val="0"/>
        <w:ind w:left="0"/>
        <w:rPr>
          <w:lang w:val="de-DE"/>
        </w:rPr>
      </w:pPr>
      <w:r>
        <w:rPr>
          <w:lang w:val="de-DE"/>
        </w:rPr>
        <w:t>Die übliche Dosierung beträgt zu Beginn 80 mg, gefolgt von 40 mg zwei Wochen später. Wenn ein schnelleres Eintreten der Wirkung erforderlich ist, kann der Arzt des Kindes eine Anfangsdosis von 160 mg (zwei 80 mg-Injektionen an einem Tag oder eine 80 mg-Injektion pro Tag an zwei aufeinanderfolgenden Tagen) verschreiben, gefolgt von 80 mg zwei Wochen später.</w:t>
      </w:r>
    </w:p>
    <w:p w14:paraId="3BA14455" w14:textId="77777777" w:rsidR="00FE291A" w:rsidRDefault="00FE291A">
      <w:pPr>
        <w:widowControl/>
        <w:kinsoku w:val="0"/>
        <w:overflowPunct w:val="0"/>
        <w:rPr>
          <w:sz w:val="22"/>
          <w:szCs w:val="22"/>
          <w:lang w:val="de-DE"/>
        </w:rPr>
      </w:pPr>
    </w:p>
    <w:p w14:paraId="34C7439A" w14:textId="77777777" w:rsidR="00FE291A" w:rsidRDefault="00C8738F">
      <w:pPr>
        <w:pStyle w:val="BodyText"/>
        <w:widowControl/>
        <w:kinsoku w:val="0"/>
        <w:overflowPunct w:val="0"/>
        <w:ind w:left="0"/>
        <w:rPr>
          <w:lang w:val="de-DE"/>
        </w:rPr>
      </w:pPr>
      <w:r>
        <w:rPr>
          <w:lang w:val="de-DE"/>
        </w:rPr>
        <w:t xml:space="preserve">Danach beträgt die übliche Dosis 40 mg jede zweite Woche. Je nachdem, wie das Kind anspricht, kann der Arzt die Dosis auf 40 mg jede Woche </w:t>
      </w:r>
      <w:r>
        <w:rPr>
          <w:bCs/>
          <w:lang w:val="de-DE"/>
        </w:rPr>
        <w:t>oder 80 mg jede zweite Woche</w:t>
      </w:r>
      <w:r>
        <w:rPr>
          <w:lang w:val="de-DE"/>
        </w:rPr>
        <w:t xml:space="preserve"> erhöhen.</w:t>
      </w:r>
    </w:p>
    <w:p w14:paraId="5B7932CD" w14:textId="77777777" w:rsidR="00FE291A" w:rsidRDefault="00FE291A">
      <w:pPr>
        <w:widowControl/>
        <w:kinsoku w:val="0"/>
        <w:overflowPunct w:val="0"/>
        <w:rPr>
          <w:sz w:val="22"/>
          <w:szCs w:val="22"/>
          <w:lang w:val="de-DE"/>
        </w:rPr>
      </w:pPr>
    </w:p>
    <w:p w14:paraId="539EC3BB" w14:textId="77777777" w:rsidR="00FE291A" w:rsidRDefault="00C8738F">
      <w:pPr>
        <w:pStyle w:val="BodyText"/>
        <w:keepNext/>
        <w:widowControl/>
        <w:kinsoku w:val="0"/>
        <w:overflowPunct w:val="0"/>
        <w:ind w:left="0"/>
        <w:rPr>
          <w:lang w:val="de-DE"/>
        </w:rPr>
      </w:pPr>
      <w:r>
        <w:rPr>
          <w:u w:val="single"/>
          <w:lang w:val="de-DE"/>
        </w:rPr>
        <w:t>Erwachsene mit Colitis ulcerosa</w:t>
      </w:r>
    </w:p>
    <w:p w14:paraId="0CC7ADEF" w14:textId="77777777" w:rsidR="00FE291A" w:rsidRDefault="00FE291A">
      <w:pPr>
        <w:keepNext/>
        <w:widowControl/>
        <w:kinsoku w:val="0"/>
        <w:overflowPunct w:val="0"/>
        <w:rPr>
          <w:sz w:val="22"/>
          <w:szCs w:val="22"/>
          <w:lang w:val="de-DE"/>
        </w:rPr>
      </w:pPr>
    </w:p>
    <w:p w14:paraId="63686ADC" w14:textId="77777777" w:rsidR="00FE291A" w:rsidRDefault="00C8738F">
      <w:pPr>
        <w:pStyle w:val="BodyText"/>
        <w:keepNext/>
        <w:widowControl/>
        <w:kinsoku w:val="0"/>
        <w:overflowPunct w:val="0"/>
        <w:ind w:left="0"/>
        <w:rPr>
          <w:lang w:val="de-DE"/>
        </w:rPr>
      </w:pPr>
      <w:r>
        <w:rPr>
          <w:lang w:val="de-DE"/>
        </w:rPr>
        <w:t>Die übliche Dosis von AMGEVITA beträgt für Erwachsene mit Colitis ulcerosa zu Beginn 160 mg (zwei 80 mg-Injektionen an einem Tag oder eine 80 mg-Injektion pro Tag an zwei aufeinanderfolgenden Tagen), gefolgt von 80 mg zwei Wochen später und danach 40 mg jede zweite Woche. Je nachdem, wie Sie ansprechen, kann Ihr Arzt die Dosis auf 40 mg jede Woche oder 80 mg jede zweite Woche erhöhen.</w:t>
      </w:r>
    </w:p>
    <w:p w14:paraId="37D86D3D" w14:textId="77777777" w:rsidR="00FE291A" w:rsidRDefault="00FE291A">
      <w:pPr>
        <w:pStyle w:val="BodyText"/>
        <w:kinsoku w:val="0"/>
        <w:overflowPunct w:val="0"/>
        <w:ind w:left="0"/>
        <w:rPr>
          <w:lang w:val="de-DE"/>
        </w:rPr>
      </w:pPr>
    </w:p>
    <w:p w14:paraId="04E3858B" w14:textId="77777777" w:rsidR="00FE291A" w:rsidRDefault="00C8738F">
      <w:pPr>
        <w:keepNext/>
        <w:keepLines/>
        <w:widowControl/>
        <w:rPr>
          <w:color w:val="000000"/>
          <w:sz w:val="22"/>
          <w:szCs w:val="22"/>
          <w:u w:val="single"/>
          <w:lang w:val="de-DE"/>
        </w:rPr>
      </w:pPr>
      <w:r>
        <w:rPr>
          <w:color w:val="000000"/>
          <w:sz w:val="22"/>
          <w:szCs w:val="22"/>
          <w:u w:val="single"/>
          <w:lang w:val="de-DE"/>
        </w:rPr>
        <w:t>Kinder und Jugendliche mit Colitis ulcerosa</w:t>
      </w:r>
    </w:p>
    <w:p w14:paraId="2786EACE" w14:textId="77777777" w:rsidR="00FE291A" w:rsidRDefault="00FE291A">
      <w:pPr>
        <w:keepNext/>
        <w:keepLines/>
        <w:widowControl/>
        <w:rPr>
          <w:color w:val="000000"/>
          <w:sz w:val="22"/>
          <w:szCs w:val="22"/>
          <w:lang w:val="de-DE"/>
        </w:rPr>
      </w:pPr>
    </w:p>
    <w:p w14:paraId="7DEABB59" w14:textId="77777777" w:rsidR="00FE291A" w:rsidRDefault="00C8738F">
      <w:pPr>
        <w:widowControl/>
        <w:rPr>
          <w:i/>
          <w:iCs/>
          <w:color w:val="000000"/>
          <w:sz w:val="22"/>
          <w:szCs w:val="22"/>
          <w:lang w:val="de-DE"/>
        </w:rPr>
      </w:pPr>
      <w:r>
        <w:rPr>
          <w:i/>
          <w:iCs/>
          <w:color w:val="000000"/>
          <w:sz w:val="22"/>
          <w:szCs w:val="22"/>
          <w:lang w:val="de-DE"/>
        </w:rPr>
        <w:t>Kinder und Jugendliche ab 6 Jahren mit einem Körpergewicht unter 40 kg</w:t>
      </w:r>
    </w:p>
    <w:p w14:paraId="31222F5B" w14:textId="77777777" w:rsidR="00FE291A" w:rsidRDefault="00FE291A">
      <w:pPr>
        <w:widowControl/>
        <w:rPr>
          <w:color w:val="000000"/>
          <w:sz w:val="22"/>
          <w:szCs w:val="22"/>
          <w:lang w:val="de-DE"/>
        </w:rPr>
      </w:pPr>
    </w:p>
    <w:p w14:paraId="077F90CD" w14:textId="77777777" w:rsidR="00FE291A" w:rsidRDefault="00C8738F">
      <w:pPr>
        <w:pStyle w:val="BodyText"/>
        <w:widowControl/>
        <w:kinsoku w:val="0"/>
        <w:overflowPunct w:val="0"/>
        <w:ind w:left="0"/>
        <w:rPr>
          <w:color w:val="000000"/>
          <w:lang w:val="de-DE"/>
        </w:rPr>
      </w:pPr>
      <w:r>
        <w:rPr>
          <w:color w:val="000000"/>
          <w:lang w:val="de-DE"/>
        </w:rPr>
        <w:t>Die übliche Dosierung von AMGEVITA beträgt zu Beginn 80 mg, gefolgt von 40 mg (als eine Injektion von 40 mg) zwei Wochen später. Danach beträgt die übliche Dosierung 40 mg jede zweite Woche.</w:t>
      </w:r>
    </w:p>
    <w:p w14:paraId="43E2BAAD" w14:textId="77777777" w:rsidR="00FE291A" w:rsidRDefault="00FE291A">
      <w:pPr>
        <w:pStyle w:val="BodyText"/>
        <w:widowControl/>
        <w:kinsoku w:val="0"/>
        <w:overflowPunct w:val="0"/>
        <w:ind w:left="0"/>
        <w:rPr>
          <w:color w:val="000000"/>
          <w:lang w:val="de-DE"/>
        </w:rPr>
      </w:pPr>
    </w:p>
    <w:p w14:paraId="6C204D25" w14:textId="77777777" w:rsidR="00FE291A" w:rsidRDefault="00C8738F">
      <w:pPr>
        <w:widowControl/>
        <w:rPr>
          <w:color w:val="000000"/>
          <w:sz w:val="22"/>
          <w:szCs w:val="22"/>
          <w:lang w:val="de-DE"/>
        </w:rPr>
      </w:pPr>
      <w:r>
        <w:rPr>
          <w:color w:val="000000"/>
          <w:sz w:val="22"/>
          <w:szCs w:val="22"/>
          <w:lang w:val="de-DE"/>
        </w:rPr>
        <w:t xml:space="preserve">Patienten, die 18 Jahre alt werden, während sie jede zweite Woche 40 mg erhalten, sollten die verschriebene Dosis weiterhin spritzen. </w:t>
      </w:r>
    </w:p>
    <w:p w14:paraId="2E3C7D87" w14:textId="77777777" w:rsidR="00FE291A" w:rsidRDefault="00FE291A">
      <w:pPr>
        <w:widowControl/>
        <w:rPr>
          <w:color w:val="000000"/>
          <w:sz w:val="22"/>
          <w:szCs w:val="22"/>
          <w:lang w:val="de-DE"/>
        </w:rPr>
      </w:pPr>
    </w:p>
    <w:p w14:paraId="61A86BE6" w14:textId="77777777" w:rsidR="00FE291A" w:rsidRDefault="00C8738F">
      <w:pPr>
        <w:widowControl/>
        <w:rPr>
          <w:i/>
          <w:iCs/>
          <w:color w:val="000000"/>
          <w:sz w:val="22"/>
          <w:szCs w:val="22"/>
          <w:lang w:val="de-DE"/>
        </w:rPr>
      </w:pPr>
      <w:r>
        <w:rPr>
          <w:i/>
          <w:iCs/>
          <w:color w:val="000000"/>
          <w:sz w:val="22"/>
          <w:szCs w:val="22"/>
          <w:lang w:val="de-DE"/>
        </w:rPr>
        <w:t>Kinder und Jugendliche ab 6 Jahren mit einem Körpergewicht von 40 kg oder mehr</w:t>
      </w:r>
    </w:p>
    <w:p w14:paraId="154037D1" w14:textId="77777777" w:rsidR="00FE291A" w:rsidRDefault="00FE291A">
      <w:pPr>
        <w:widowControl/>
        <w:rPr>
          <w:color w:val="000000"/>
          <w:sz w:val="22"/>
          <w:szCs w:val="22"/>
          <w:lang w:val="de-DE"/>
        </w:rPr>
      </w:pPr>
    </w:p>
    <w:p w14:paraId="5BA9F78F" w14:textId="77777777" w:rsidR="00FE291A" w:rsidRDefault="00C8738F">
      <w:pPr>
        <w:widowControl/>
        <w:rPr>
          <w:color w:val="000000"/>
          <w:sz w:val="22"/>
          <w:szCs w:val="22"/>
          <w:lang w:val="de-DE"/>
        </w:rPr>
      </w:pPr>
      <w:r>
        <w:rPr>
          <w:color w:val="000000"/>
          <w:sz w:val="22"/>
          <w:szCs w:val="22"/>
          <w:lang w:val="de-DE"/>
        </w:rPr>
        <w:t xml:space="preserve">Die übliche Dosierung von AMGEVITA beträgt zu Beginn 160 mg (zwei Injektionen von 80 mg an einem Tag oder eine Injektion von 80 mg pro Tag an zwei aufeinanderfolgenden Tagen), gefolgt von 80 mg zwei Wochen später. Danach beträgt die übliche Dosierung 80 mg jede zweite Woche. </w:t>
      </w:r>
    </w:p>
    <w:p w14:paraId="228B105A" w14:textId="77777777" w:rsidR="00FE291A" w:rsidRDefault="00FE291A">
      <w:pPr>
        <w:widowControl/>
        <w:rPr>
          <w:color w:val="000000"/>
          <w:sz w:val="22"/>
          <w:szCs w:val="22"/>
          <w:lang w:val="de-DE"/>
        </w:rPr>
      </w:pPr>
    </w:p>
    <w:p w14:paraId="4BFF19A5" w14:textId="77777777" w:rsidR="00FE291A" w:rsidRDefault="00C8738F">
      <w:pPr>
        <w:pStyle w:val="BodyText"/>
        <w:widowControl/>
        <w:kinsoku w:val="0"/>
        <w:overflowPunct w:val="0"/>
        <w:ind w:left="0"/>
        <w:rPr>
          <w:lang w:val="de-DE"/>
        </w:rPr>
      </w:pPr>
      <w:r>
        <w:rPr>
          <w:color w:val="000000"/>
          <w:lang w:val="de-DE"/>
        </w:rPr>
        <w:t>Patienten, die 18 Jahre alt werden, während sie jede zweite Woche 80 mg erhalten, sollten die verschriebene Dosis weiterhin spritzen.</w:t>
      </w:r>
    </w:p>
    <w:p w14:paraId="1487BDB0" w14:textId="77777777" w:rsidR="00FE291A" w:rsidRDefault="00FE291A">
      <w:pPr>
        <w:pStyle w:val="BodyText"/>
        <w:widowControl/>
        <w:kinsoku w:val="0"/>
        <w:overflowPunct w:val="0"/>
        <w:ind w:left="0"/>
        <w:rPr>
          <w:lang w:val="de-DE"/>
        </w:rPr>
      </w:pPr>
    </w:p>
    <w:p w14:paraId="3684CE3F" w14:textId="77777777" w:rsidR="00FE291A" w:rsidRDefault="00C8738F">
      <w:pPr>
        <w:pStyle w:val="BodyText"/>
        <w:keepNext/>
        <w:widowControl/>
        <w:kinsoku w:val="0"/>
        <w:overflowPunct w:val="0"/>
        <w:ind w:left="0"/>
        <w:rPr>
          <w:lang w:val="de-DE"/>
        </w:rPr>
      </w:pPr>
      <w:r>
        <w:rPr>
          <w:u w:val="single"/>
          <w:lang w:val="de-DE"/>
        </w:rPr>
        <w:t>Erwachsene mit nicht infektiöser Uveitis</w:t>
      </w:r>
    </w:p>
    <w:p w14:paraId="1FE92167" w14:textId="77777777" w:rsidR="00FE291A" w:rsidRDefault="00FE291A">
      <w:pPr>
        <w:keepNext/>
        <w:widowControl/>
        <w:kinsoku w:val="0"/>
        <w:overflowPunct w:val="0"/>
        <w:rPr>
          <w:sz w:val="22"/>
          <w:szCs w:val="22"/>
          <w:lang w:val="de-DE"/>
        </w:rPr>
      </w:pPr>
    </w:p>
    <w:p w14:paraId="4DB33014" w14:textId="77777777" w:rsidR="00FE291A" w:rsidRDefault="00C8738F">
      <w:pPr>
        <w:pStyle w:val="BodyText"/>
        <w:widowControl/>
        <w:kinsoku w:val="0"/>
        <w:overflowPunct w:val="0"/>
        <w:ind w:left="0"/>
        <w:rPr>
          <w:lang w:val="de-DE"/>
        </w:rPr>
      </w:pPr>
      <w:r>
        <w:rPr>
          <w:lang w:val="de-DE"/>
        </w:rPr>
        <w:t>Die übliche Dosierung für Erwachsene mit nicht infektiöser Uveitis beträgt 80 mg als Anfangsdosis, gefolgt von 40 mg eine Woche später und danach 40 mg alle zwei Wochen. Sie sollten AMGEVITA so lange anwenden, wie Ihr Arzt es Ihnen gesagt hat.</w:t>
      </w:r>
    </w:p>
    <w:p w14:paraId="6E4849ED" w14:textId="77777777" w:rsidR="00FE291A" w:rsidRDefault="00FE291A">
      <w:pPr>
        <w:widowControl/>
        <w:kinsoku w:val="0"/>
        <w:overflowPunct w:val="0"/>
        <w:rPr>
          <w:sz w:val="22"/>
          <w:szCs w:val="22"/>
          <w:lang w:val="de-DE"/>
        </w:rPr>
      </w:pPr>
    </w:p>
    <w:p w14:paraId="6649010E" w14:textId="77777777" w:rsidR="00FE291A" w:rsidRDefault="00C8738F">
      <w:pPr>
        <w:pStyle w:val="BodyText"/>
        <w:widowControl/>
        <w:kinsoku w:val="0"/>
        <w:overflowPunct w:val="0"/>
        <w:ind w:left="0"/>
        <w:rPr>
          <w:lang w:val="de-DE"/>
        </w:rPr>
      </w:pPr>
      <w:r>
        <w:rPr>
          <w:lang w:val="de-DE"/>
        </w:rPr>
        <w:t>Bei nicht infektiöser Uveitis können Kortikosteroide oder andere Arzneimittel, die das körpereigene Abwehrsystem beeinflussen, während der Behandlung mit AMGEVITA weiter genommen werden. AMGEVITA kann auch alleine angewendet werden.</w:t>
      </w:r>
    </w:p>
    <w:p w14:paraId="19BA6EF3" w14:textId="77777777" w:rsidR="00FE291A" w:rsidRDefault="00FE291A">
      <w:pPr>
        <w:pStyle w:val="BodyText"/>
        <w:widowControl/>
        <w:kinsoku w:val="0"/>
        <w:overflowPunct w:val="0"/>
        <w:ind w:left="0"/>
        <w:rPr>
          <w:lang w:val="de-DE"/>
        </w:rPr>
      </w:pPr>
    </w:p>
    <w:p w14:paraId="203F133B" w14:textId="77777777" w:rsidR="00FE291A" w:rsidRDefault="00C8738F">
      <w:pPr>
        <w:keepNext/>
        <w:rPr>
          <w:rFonts w:cs="Calibri"/>
          <w:sz w:val="22"/>
          <w:szCs w:val="22"/>
          <w:u w:val="single"/>
          <w:lang w:val="de-DE"/>
        </w:rPr>
      </w:pPr>
      <w:r>
        <w:rPr>
          <w:rFonts w:cs="Calibri"/>
          <w:sz w:val="22"/>
          <w:szCs w:val="22"/>
          <w:u w:val="single"/>
          <w:lang w:val="de-DE"/>
        </w:rPr>
        <w:t>Kinder ab 2 Jahren und Jugendliche mit chronischer nicht infektiöser Uveitis</w:t>
      </w:r>
    </w:p>
    <w:p w14:paraId="2ED185B1" w14:textId="77777777" w:rsidR="00FE291A" w:rsidRDefault="00FE291A">
      <w:pPr>
        <w:keepNext/>
        <w:rPr>
          <w:rFonts w:cs="Calibri"/>
          <w:sz w:val="22"/>
          <w:szCs w:val="22"/>
          <w:u w:val="single"/>
          <w:lang w:val="de-DE"/>
        </w:rPr>
      </w:pPr>
    </w:p>
    <w:p w14:paraId="3702A72D" w14:textId="77777777" w:rsidR="00FE291A" w:rsidRDefault="00C8738F">
      <w:pPr>
        <w:keepNext/>
        <w:rPr>
          <w:rFonts w:cs="Calibri"/>
          <w:i/>
          <w:sz w:val="22"/>
          <w:szCs w:val="22"/>
          <w:lang w:val="de-DE"/>
        </w:rPr>
      </w:pPr>
      <w:r>
        <w:rPr>
          <w:rFonts w:cs="Calibri"/>
          <w:i/>
          <w:sz w:val="22"/>
          <w:szCs w:val="22"/>
          <w:lang w:val="de-DE"/>
        </w:rPr>
        <w:t>Kinder ab 2 Jahren und Jugendliche mit einem Körpergewicht unter 30 kg</w:t>
      </w:r>
    </w:p>
    <w:p w14:paraId="7BD434F2" w14:textId="77777777" w:rsidR="00FE291A" w:rsidRDefault="00FE291A">
      <w:pPr>
        <w:keepNext/>
        <w:rPr>
          <w:rFonts w:cs="Calibri"/>
          <w:sz w:val="22"/>
          <w:szCs w:val="22"/>
          <w:lang w:val="de-DE"/>
        </w:rPr>
      </w:pPr>
    </w:p>
    <w:p w14:paraId="170032AF" w14:textId="77777777" w:rsidR="00FE291A" w:rsidRDefault="00C8738F">
      <w:pPr>
        <w:rPr>
          <w:rFonts w:cs="Calibri"/>
          <w:sz w:val="22"/>
          <w:szCs w:val="22"/>
          <w:lang w:val="de-DE"/>
        </w:rPr>
      </w:pPr>
      <w:r>
        <w:rPr>
          <w:rFonts w:cs="Calibri"/>
          <w:sz w:val="22"/>
          <w:szCs w:val="22"/>
          <w:lang w:val="de-DE"/>
        </w:rPr>
        <w:t>Die übliche Dosierung von AMGEVITA beträgt 20 mg alle 2 Wochen gemeinsam mit Methotrexat.</w:t>
      </w:r>
    </w:p>
    <w:p w14:paraId="7DA52655" w14:textId="77777777" w:rsidR="00FE291A" w:rsidRDefault="00FE291A">
      <w:pPr>
        <w:rPr>
          <w:rFonts w:cs="Calibri"/>
          <w:sz w:val="22"/>
          <w:szCs w:val="22"/>
          <w:lang w:val="de-DE"/>
        </w:rPr>
      </w:pPr>
    </w:p>
    <w:p w14:paraId="43BC8503" w14:textId="77777777" w:rsidR="00FE291A" w:rsidRDefault="00C8738F">
      <w:pPr>
        <w:rPr>
          <w:rFonts w:cs="Calibri"/>
          <w:sz w:val="22"/>
          <w:szCs w:val="22"/>
          <w:lang w:val="de-DE"/>
        </w:rPr>
      </w:pPr>
      <w:r>
        <w:rPr>
          <w:rFonts w:cs="Calibri"/>
          <w:sz w:val="22"/>
          <w:szCs w:val="22"/>
          <w:lang w:val="de-DE"/>
        </w:rPr>
        <w:t>Ihr Arzt kann auch eine Anfangsdosis von 40 mg verschreiben, die eine Woche vor Beginn der üblichen Dosis verabreicht werden kann.</w:t>
      </w:r>
    </w:p>
    <w:p w14:paraId="3247A0ED" w14:textId="77777777" w:rsidR="00FE291A" w:rsidRDefault="00FE291A">
      <w:pPr>
        <w:rPr>
          <w:rFonts w:cs="Calibri"/>
          <w:sz w:val="22"/>
          <w:szCs w:val="22"/>
          <w:lang w:val="de-DE"/>
        </w:rPr>
      </w:pPr>
    </w:p>
    <w:p w14:paraId="00F57FF7" w14:textId="77777777" w:rsidR="00FE291A" w:rsidRDefault="00C8738F">
      <w:pPr>
        <w:rPr>
          <w:rFonts w:cs="Calibri"/>
          <w:sz w:val="22"/>
          <w:szCs w:val="22"/>
          <w:lang w:val="de-DE"/>
        </w:rPr>
      </w:pPr>
      <w:r>
        <w:rPr>
          <w:sz w:val="22"/>
          <w:szCs w:val="22"/>
          <w:lang w:val="de-DE"/>
        </w:rPr>
        <w:t>Der 40 mg Fertigpen kann nicht für die 20 mg Dosierung angewendet werden. Eine AMGEVITA 20 mg </w:t>
      </w:r>
      <w:r>
        <w:rPr>
          <w:i/>
          <w:sz w:val="22"/>
          <w:szCs w:val="22"/>
          <w:lang w:val="de-DE"/>
        </w:rPr>
        <w:t>Fertigspritze</w:t>
      </w:r>
      <w:r>
        <w:rPr>
          <w:sz w:val="22"/>
          <w:szCs w:val="22"/>
          <w:lang w:val="de-DE"/>
        </w:rPr>
        <w:t xml:space="preserve"> ist allerdings für die 20 mg Dosierung erhältlich.</w:t>
      </w:r>
    </w:p>
    <w:p w14:paraId="653ACE5E" w14:textId="77777777" w:rsidR="00FE291A" w:rsidRDefault="00FE291A">
      <w:pPr>
        <w:rPr>
          <w:rFonts w:cs="Calibri"/>
          <w:sz w:val="22"/>
          <w:szCs w:val="22"/>
          <w:lang w:val="de-DE"/>
        </w:rPr>
      </w:pPr>
    </w:p>
    <w:p w14:paraId="1C0BC95D" w14:textId="77777777" w:rsidR="00FE291A" w:rsidRDefault="00C8738F">
      <w:pPr>
        <w:keepNext/>
        <w:rPr>
          <w:i/>
          <w:sz w:val="22"/>
          <w:szCs w:val="22"/>
          <w:u w:val="single"/>
          <w:lang w:val="de-DE"/>
        </w:rPr>
      </w:pPr>
      <w:r>
        <w:rPr>
          <w:i/>
          <w:sz w:val="22"/>
          <w:szCs w:val="22"/>
          <w:lang w:val="de-DE"/>
        </w:rPr>
        <w:t>Kinder ab 2 Jahren und Jugendliche mit einem Körpergewicht von 30 kg oder mehr</w:t>
      </w:r>
    </w:p>
    <w:p w14:paraId="0B38B23B" w14:textId="77777777" w:rsidR="00FE291A" w:rsidRDefault="00FE291A">
      <w:pPr>
        <w:keepNext/>
        <w:rPr>
          <w:rFonts w:cs="Calibri"/>
          <w:sz w:val="22"/>
          <w:szCs w:val="22"/>
          <w:lang w:val="de-DE"/>
        </w:rPr>
      </w:pPr>
    </w:p>
    <w:p w14:paraId="191A32D0" w14:textId="77777777" w:rsidR="00FE291A" w:rsidRDefault="00C8738F">
      <w:pPr>
        <w:keepNext/>
        <w:rPr>
          <w:rFonts w:cs="Calibri"/>
          <w:sz w:val="22"/>
          <w:szCs w:val="22"/>
          <w:lang w:val="de-DE"/>
        </w:rPr>
      </w:pPr>
      <w:r>
        <w:rPr>
          <w:rFonts w:cs="Calibri"/>
          <w:sz w:val="22"/>
          <w:szCs w:val="22"/>
          <w:lang w:val="de-DE"/>
        </w:rPr>
        <w:t>Die übliche Dosierung von AMGEVITA beträgt 40 mg alle 2 Wochen gemeinsam mit Methotrexat.</w:t>
      </w:r>
    </w:p>
    <w:p w14:paraId="1D1C23F1" w14:textId="77777777" w:rsidR="00FE291A" w:rsidRDefault="00FE291A">
      <w:pPr>
        <w:rPr>
          <w:rFonts w:cs="Calibri"/>
          <w:sz w:val="22"/>
          <w:szCs w:val="22"/>
          <w:lang w:val="de-DE"/>
        </w:rPr>
      </w:pPr>
    </w:p>
    <w:p w14:paraId="5B9B87E0" w14:textId="77777777" w:rsidR="00FE291A" w:rsidRDefault="00C8738F">
      <w:pPr>
        <w:pStyle w:val="BodyText"/>
        <w:widowControl/>
        <w:kinsoku w:val="0"/>
        <w:overflowPunct w:val="0"/>
        <w:ind w:left="0"/>
        <w:rPr>
          <w:lang w:val="de-DE"/>
        </w:rPr>
      </w:pPr>
      <w:r>
        <w:rPr>
          <w:rFonts w:cs="Calibri"/>
          <w:lang w:val="de-DE"/>
        </w:rPr>
        <w:t>Ihr Arzt kann auch eine Anfangsdosis von 80 mg verschreiben, die eine Woche vor Beginn der üblichen Dosis verabreicht werden kann.</w:t>
      </w:r>
    </w:p>
    <w:p w14:paraId="78B88678" w14:textId="77777777" w:rsidR="00FE291A" w:rsidRDefault="00FE291A">
      <w:pPr>
        <w:pStyle w:val="BodyText"/>
        <w:widowControl/>
        <w:kinsoku w:val="0"/>
        <w:overflowPunct w:val="0"/>
        <w:ind w:left="0"/>
        <w:rPr>
          <w:lang w:val="de-DE"/>
        </w:rPr>
      </w:pPr>
    </w:p>
    <w:p w14:paraId="5A0BB196" w14:textId="77777777" w:rsidR="00FE291A" w:rsidRDefault="00C8738F">
      <w:pPr>
        <w:pStyle w:val="Heading1"/>
        <w:widowControl/>
        <w:kinsoku w:val="0"/>
        <w:overflowPunct w:val="0"/>
        <w:ind w:left="0"/>
        <w:rPr>
          <w:b w:val="0"/>
          <w:bCs w:val="0"/>
          <w:lang w:val="de-DE"/>
        </w:rPr>
      </w:pPr>
      <w:r>
        <w:rPr>
          <w:lang w:val="de-DE"/>
        </w:rPr>
        <w:t>Art der Anwendung</w:t>
      </w:r>
    </w:p>
    <w:p w14:paraId="0DA8BB69" w14:textId="77777777" w:rsidR="00FE291A" w:rsidRDefault="00FE291A">
      <w:pPr>
        <w:widowControl/>
        <w:kinsoku w:val="0"/>
        <w:overflowPunct w:val="0"/>
        <w:rPr>
          <w:sz w:val="22"/>
          <w:szCs w:val="22"/>
          <w:lang w:val="de-DE"/>
        </w:rPr>
      </w:pPr>
    </w:p>
    <w:p w14:paraId="1D2A5E8C" w14:textId="77777777" w:rsidR="00FE291A" w:rsidRDefault="00C8738F">
      <w:pPr>
        <w:pStyle w:val="BodyText"/>
        <w:widowControl/>
        <w:kinsoku w:val="0"/>
        <w:overflowPunct w:val="0"/>
        <w:ind w:left="0"/>
        <w:rPr>
          <w:lang w:val="de-DE"/>
        </w:rPr>
      </w:pPr>
      <w:r>
        <w:rPr>
          <w:lang w:val="de-DE"/>
        </w:rPr>
        <w:t>AMGEVITA wird unter die Haut gespritzt (subkutane Injektion).</w:t>
      </w:r>
    </w:p>
    <w:p w14:paraId="7D79EB8F" w14:textId="77777777" w:rsidR="00FE291A" w:rsidRDefault="00FE291A">
      <w:pPr>
        <w:pStyle w:val="BodyText"/>
        <w:widowControl/>
        <w:kinsoku w:val="0"/>
        <w:overflowPunct w:val="0"/>
        <w:ind w:left="0"/>
        <w:rPr>
          <w:lang w:val="de-DE"/>
        </w:rPr>
      </w:pPr>
    </w:p>
    <w:p w14:paraId="494ED0D3" w14:textId="77777777" w:rsidR="00FE291A" w:rsidRDefault="00C8738F">
      <w:pPr>
        <w:pStyle w:val="BodyText"/>
        <w:widowControl/>
        <w:kinsoku w:val="0"/>
        <w:overflowPunct w:val="0"/>
        <w:ind w:left="0"/>
        <w:rPr>
          <w:lang w:val="de-DE"/>
        </w:rPr>
      </w:pPr>
      <w:r>
        <w:rPr>
          <w:lang w:val="de-DE"/>
        </w:rPr>
        <w:t>Eine genaue Anleitung wie AMGEVITA gespritzt wird, finden Sie im Abschnitt „Gebrauchsanleitung“.</w:t>
      </w:r>
    </w:p>
    <w:p w14:paraId="6FADFC80" w14:textId="77777777" w:rsidR="00FE291A" w:rsidRDefault="00FE291A">
      <w:pPr>
        <w:widowControl/>
        <w:kinsoku w:val="0"/>
        <w:overflowPunct w:val="0"/>
        <w:rPr>
          <w:sz w:val="22"/>
          <w:szCs w:val="22"/>
          <w:lang w:val="de-DE"/>
        </w:rPr>
      </w:pPr>
    </w:p>
    <w:p w14:paraId="00BCB024" w14:textId="77777777" w:rsidR="00FE291A" w:rsidRDefault="00C8738F">
      <w:pPr>
        <w:pStyle w:val="Heading1"/>
        <w:keepNext/>
        <w:keepLines/>
        <w:widowControl/>
        <w:kinsoku w:val="0"/>
        <w:overflowPunct w:val="0"/>
        <w:ind w:left="0"/>
        <w:rPr>
          <w:b w:val="0"/>
          <w:bCs w:val="0"/>
          <w:lang w:val="de-DE"/>
        </w:rPr>
      </w:pPr>
      <w:r>
        <w:rPr>
          <w:lang w:val="de-DE"/>
        </w:rPr>
        <w:t>Wenn Sie eine größere Menge von AMGEVITA gespritzt haben, als Sie sollten</w:t>
      </w:r>
    </w:p>
    <w:p w14:paraId="61BE0F72" w14:textId="77777777" w:rsidR="00FE291A" w:rsidRDefault="00FE291A">
      <w:pPr>
        <w:widowControl/>
        <w:kinsoku w:val="0"/>
        <w:overflowPunct w:val="0"/>
        <w:rPr>
          <w:sz w:val="22"/>
          <w:szCs w:val="22"/>
          <w:lang w:val="de-DE"/>
        </w:rPr>
      </w:pPr>
    </w:p>
    <w:p w14:paraId="5363755C" w14:textId="77777777" w:rsidR="00FE291A" w:rsidRDefault="00C8738F">
      <w:pPr>
        <w:pStyle w:val="BodyText"/>
        <w:widowControl/>
        <w:kinsoku w:val="0"/>
        <w:overflowPunct w:val="0"/>
        <w:ind w:left="0"/>
        <w:rPr>
          <w:lang w:val="de-DE"/>
        </w:rPr>
      </w:pPr>
      <w:r>
        <w:rPr>
          <w:lang w:val="de-DE"/>
        </w:rPr>
        <w:t>Falls Sie AMGEVITA versehentlich häufiger gespritzt haben, als der Arzt Ihnen verordnet hat, informieren Sie Ihren Arzt oder Apotheker darüber. Nehmen Sie immer die Faltschachtel des Arzneimittels mit, auch wenn sie leer ist.</w:t>
      </w:r>
    </w:p>
    <w:p w14:paraId="299A33C6" w14:textId="77777777" w:rsidR="00FE291A" w:rsidRDefault="00FE291A">
      <w:pPr>
        <w:widowControl/>
        <w:kinsoku w:val="0"/>
        <w:overflowPunct w:val="0"/>
        <w:rPr>
          <w:sz w:val="22"/>
          <w:szCs w:val="22"/>
          <w:lang w:val="de-DE"/>
        </w:rPr>
      </w:pPr>
    </w:p>
    <w:p w14:paraId="1BC0F53E" w14:textId="77777777" w:rsidR="00FE291A" w:rsidRDefault="00C8738F">
      <w:pPr>
        <w:pStyle w:val="Heading1"/>
        <w:widowControl/>
        <w:kinsoku w:val="0"/>
        <w:overflowPunct w:val="0"/>
        <w:ind w:left="0"/>
        <w:rPr>
          <w:b w:val="0"/>
          <w:bCs w:val="0"/>
          <w:lang w:val="de-DE"/>
        </w:rPr>
      </w:pPr>
      <w:r>
        <w:rPr>
          <w:lang w:val="de-DE"/>
        </w:rPr>
        <w:t>Wenn Sie die Injektion von AMGEVITA vergessen haben</w:t>
      </w:r>
    </w:p>
    <w:p w14:paraId="548D1BD8" w14:textId="77777777" w:rsidR="00FE291A" w:rsidRDefault="00FE291A">
      <w:pPr>
        <w:widowControl/>
        <w:kinsoku w:val="0"/>
        <w:overflowPunct w:val="0"/>
        <w:rPr>
          <w:sz w:val="22"/>
          <w:szCs w:val="22"/>
          <w:lang w:val="de-DE"/>
        </w:rPr>
      </w:pPr>
    </w:p>
    <w:p w14:paraId="447222E2" w14:textId="77777777" w:rsidR="00FE291A" w:rsidRDefault="00C8738F">
      <w:pPr>
        <w:pStyle w:val="BodyText"/>
        <w:widowControl/>
        <w:kinsoku w:val="0"/>
        <w:overflowPunct w:val="0"/>
        <w:ind w:left="0"/>
        <w:rPr>
          <w:lang w:val="de-DE"/>
        </w:rPr>
      </w:pPr>
      <w:r>
        <w:rPr>
          <w:lang w:val="de-DE"/>
        </w:rPr>
        <w:t>Wenn Sie einmal eine Injektion vergessen haben, sollten Sie die nächste AMGEVITA-Dosis spritzen, sobald Ihnen dies auffällt. Spritzen Sie Ihre darauffolgende Dosis an dem ursprünglich vorgesehenen Tag, wie Sie es getan hätten, wenn Sie die Injektion nicht vergessen hätten.</w:t>
      </w:r>
    </w:p>
    <w:p w14:paraId="69B103C7" w14:textId="77777777" w:rsidR="00FE291A" w:rsidRDefault="00FE291A">
      <w:pPr>
        <w:widowControl/>
        <w:kinsoku w:val="0"/>
        <w:overflowPunct w:val="0"/>
        <w:rPr>
          <w:sz w:val="22"/>
          <w:szCs w:val="22"/>
          <w:lang w:val="de-DE"/>
        </w:rPr>
      </w:pPr>
    </w:p>
    <w:p w14:paraId="46EAD4AA" w14:textId="77777777" w:rsidR="00FE291A" w:rsidRDefault="00C8738F">
      <w:pPr>
        <w:pStyle w:val="Heading1"/>
        <w:keepNext/>
        <w:keepLines/>
        <w:widowControl/>
        <w:kinsoku w:val="0"/>
        <w:overflowPunct w:val="0"/>
        <w:ind w:left="0"/>
        <w:rPr>
          <w:b w:val="0"/>
          <w:bCs w:val="0"/>
          <w:lang w:val="de-DE"/>
        </w:rPr>
      </w:pPr>
      <w:r>
        <w:rPr>
          <w:lang w:val="de-DE"/>
        </w:rPr>
        <w:t>Wenn Sie die Anwendung von AMGEVITA abbrechen</w:t>
      </w:r>
    </w:p>
    <w:p w14:paraId="39ED62C3" w14:textId="77777777" w:rsidR="00FE291A" w:rsidRDefault="00FE291A">
      <w:pPr>
        <w:widowControl/>
        <w:kinsoku w:val="0"/>
        <w:overflowPunct w:val="0"/>
        <w:rPr>
          <w:sz w:val="22"/>
          <w:szCs w:val="22"/>
          <w:lang w:val="de-DE"/>
        </w:rPr>
      </w:pPr>
    </w:p>
    <w:p w14:paraId="62F2A6FC" w14:textId="77777777" w:rsidR="00FE291A" w:rsidRDefault="00C8738F">
      <w:pPr>
        <w:pStyle w:val="BodyText"/>
        <w:widowControl/>
        <w:kinsoku w:val="0"/>
        <w:overflowPunct w:val="0"/>
        <w:ind w:left="0"/>
        <w:rPr>
          <w:lang w:val="de-DE"/>
        </w:rPr>
      </w:pPr>
      <w:r>
        <w:rPr>
          <w:lang w:val="de-DE"/>
        </w:rPr>
        <w:t>Die Entscheidung, die Anwendung von AMGEVITA abzubrechen, müssen Sie mit Ihrem Arzt besprechen. Die Anzeichen Ihrer Erkrankung können nach Abbruch der Behandlung zurückkehren.</w:t>
      </w:r>
    </w:p>
    <w:p w14:paraId="11FCEAB7" w14:textId="77777777" w:rsidR="00FE291A" w:rsidRDefault="00FE291A">
      <w:pPr>
        <w:widowControl/>
        <w:kinsoku w:val="0"/>
        <w:overflowPunct w:val="0"/>
        <w:rPr>
          <w:sz w:val="22"/>
          <w:szCs w:val="22"/>
          <w:lang w:val="de-DE"/>
        </w:rPr>
      </w:pPr>
    </w:p>
    <w:p w14:paraId="2EC527CD" w14:textId="77777777" w:rsidR="00FE291A" w:rsidRDefault="00C8738F">
      <w:pPr>
        <w:pStyle w:val="BodyText"/>
        <w:widowControl/>
        <w:kinsoku w:val="0"/>
        <w:overflowPunct w:val="0"/>
        <w:ind w:left="0"/>
        <w:rPr>
          <w:lang w:val="de-DE"/>
        </w:rPr>
      </w:pPr>
      <w:r>
        <w:rPr>
          <w:lang w:val="de-DE"/>
        </w:rPr>
        <w:t>Sollten Sie weitere Fragen zur Anwendung dieses Arzneimittels haben, fragen Sie Ihren Arzt oder Apotheker.</w:t>
      </w:r>
    </w:p>
    <w:p w14:paraId="5C94BB96" w14:textId="77777777" w:rsidR="00FE291A" w:rsidRDefault="00FE291A">
      <w:pPr>
        <w:widowControl/>
        <w:kinsoku w:val="0"/>
        <w:overflowPunct w:val="0"/>
        <w:rPr>
          <w:sz w:val="22"/>
          <w:szCs w:val="22"/>
          <w:lang w:val="de-DE"/>
        </w:rPr>
      </w:pPr>
    </w:p>
    <w:p w14:paraId="50ED5AB5" w14:textId="77777777" w:rsidR="00FE291A" w:rsidRDefault="00FE291A">
      <w:pPr>
        <w:widowControl/>
        <w:kinsoku w:val="0"/>
        <w:overflowPunct w:val="0"/>
        <w:rPr>
          <w:sz w:val="22"/>
          <w:szCs w:val="22"/>
          <w:lang w:val="de-DE"/>
        </w:rPr>
      </w:pPr>
    </w:p>
    <w:p w14:paraId="3CBDBD34" w14:textId="77777777" w:rsidR="00FE291A" w:rsidRDefault="00C8738F">
      <w:pPr>
        <w:pStyle w:val="Heading1"/>
        <w:keepNext/>
        <w:widowControl/>
        <w:tabs>
          <w:tab w:val="left" w:pos="567"/>
        </w:tabs>
        <w:kinsoku w:val="0"/>
        <w:overflowPunct w:val="0"/>
        <w:ind w:left="0"/>
        <w:rPr>
          <w:b w:val="0"/>
          <w:bCs w:val="0"/>
          <w:lang w:val="de-DE"/>
        </w:rPr>
      </w:pPr>
      <w:r>
        <w:rPr>
          <w:lang w:val="de-DE"/>
        </w:rPr>
        <w:t>4.</w:t>
      </w:r>
      <w:r>
        <w:rPr>
          <w:lang w:val="de-DE"/>
        </w:rPr>
        <w:tab/>
        <w:t>Welche Nebenwirkungen sind möglich?</w:t>
      </w:r>
    </w:p>
    <w:p w14:paraId="5610397F" w14:textId="77777777" w:rsidR="00FE291A" w:rsidRDefault="00FE291A">
      <w:pPr>
        <w:keepNext/>
        <w:widowControl/>
        <w:kinsoku w:val="0"/>
        <w:overflowPunct w:val="0"/>
        <w:rPr>
          <w:sz w:val="22"/>
          <w:szCs w:val="26"/>
          <w:lang w:val="de-DE"/>
        </w:rPr>
      </w:pPr>
    </w:p>
    <w:p w14:paraId="477AB386" w14:textId="77777777" w:rsidR="00FE291A" w:rsidRDefault="00C8738F">
      <w:pPr>
        <w:pStyle w:val="BodyText"/>
        <w:widowControl/>
        <w:kinsoku w:val="0"/>
        <w:overflowPunct w:val="0"/>
        <w:ind w:left="0"/>
        <w:rPr>
          <w:lang w:val="de-DE"/>
        </w:rPr>
      </w:pPr>
      <w:r>
        <w:rPr>
          <w:lang w:val="de-DE"/>
        </w:rPr>
        <w:t>Wie alle Arzneimittel kann dieses Arzneimittel Nebenwirkungen haben, die aber nicht bei jedem auftreten müssen. Die meisten Nebenwirkungen sind leicht bis mäßig ausgeprägt. Einige können jedoch auch schwerwiegend sein und müssen behandelt werden. Nebenwirkungen können mindestens bis vier Monate nach der letzten Injektion von AMGEVITA auftreten.</w:t>
      </w:r>
    </w:p>
    <w:p w14:paraId="4945F538" w14:textId="77777777" w:rsidR="00FE291A" w:rsidRDefault="00FE291A">
      <w:pPr>
        <w:widowControl/>
        <w:kinsoku w:val="0"/>
        <w:overflowPunct w:val="0"/>
        <w:rPr>
          <w:sz w:val="22"/>
          <w:lang w:val="de-DE"/>
        </w:rPr>
      </w:pPr>
    </w:p>
    <w:p w14:paraId="1BDD4182" w14:textId="77777777" w:rsidR="00FE291A" w:rsidRDefault="00C8738F">
      <w:pPr>
        <w:pStyle w:val="BodyText"/>
        <w:widowControl/>
        <w:kinsoku w:val="0"/>
        <w:overflowPunct w:val="0"/>
        <w:ind w:left="0"/>
        <w:rPr>
          <w:lang w:val="de-DE"/>
        </w:rPr>
      </w:pPr>
      <w:r>
        <w:rPr>
          <w:lang w:val="de-DE"/>
        </w:rPr>
        <w:t>Benachrichtigen Sie unverzüglich Ihren Arzt, wenn Sie eines der folgenden Anzeichen einer allergischen Reaktion oder einer Herzschwäche bemerken:</w:t>
      </w:r>
    </w:p>
    <w:p w14:paraId="1226DBBD" w14:textId="77777777" w:rsidR="00FE291A" w:rsidRDefault="00C8738F">
      <w:pPr>
        <w:pStyle w:val="BodyText"/>
        <w:widowControl/>
        <w:numPr>
          <w:ilvl w:val="0"/>
          <w:numId w:val="56"/>
        </w:numPr>
        <w:kinsoku w:val="0"/>
        <w:overflowPunct w:val="0"/>
        <w:ind w:left="567"/>
        <w:rPr>
          <w:lang w:val="de-DE"/>
        </w:rPr>
      </w:pPr>
      <w:r>
        <w:rPr>
          <w:lang w:val="de-DE"/>
        </w:rPr>
        <w:t>Starker Hautausschlag, Nesselsucht oder andere Anzeichen einer allergischen Reaktion;</w:t>
      </w:r>
    </w:p>
    <w:p w14:paraId="77C8AE62" w14:textId="77777777" w:rsidR="00FE291A" w:rsidRDefault="00C8738F">
      <w:pPr>
        <w:pStyle w:val="BodyText"/>
        <w:widowControl/>
        <w:numPr>
          <w:ilvl w:val="0"/>
          <w:numId w:val="56"/>
        </w:numPr>
        <w:kinsoku w:val="0"/>
        <w:overflowPunct w:val="0"/>
        <w:ind w:left="567"/>
        <w:rPr>
          <w:lang w:val="de-DE"/>
        </w:rPr>
      </w:pPr>
      <w:r>
        <w:rPr>
          <w:lang w:val="de-DE"/>
        </w:rPr>
        <w:t>Schwellung im Gesicht, an Händen oder Füßen;</w:t>
      </w:r>
    </w:p>
    <w:p w14:paraId="68D6E5CD" w14:textId="77777777" w:rsidR="00FE291A" w:rsidRDefault="00C8738F">
      <w:pPr>
        <w:pStyle w:val="BodyText"/>
        <w:widowControl/>
        <w:numPr>
          <w:ilvl w:val="0"/>
          <w:numId w:val="56"/>
        </w:numPr>
        <w:kinsoku w:val="0"/>
        <w:overflowPunct w:val="0"/>
        <w:ind w:left="567"/>
        <w:rPr>
          <w:lang w:val="de-DE"/>
        </w:rPr>
      </w:pPr>
      <w:r>
        <w:rPr>
          <w:lang w:val="de-DE"/>
        </w:rPr>
        <w:t>Schwierigkeiten beim Atmen oder Schlucken;</w:t>
      </w:r>
    </w:p>
    <w:p w14:paraId="173AE196" w14:textId="77777777" w:rsidR="00FE291A" w:rsidRDefault="00C8738F">
      <w:pPr>
        <w:pStyle w:val="BodyText"/>
        <w:widowControl/>
        <w:numPr>
          <w:ilvl w:val="0"/>
          <w:numId w:val="56"/>
        </w:numPr>
        <w:kinsoku w:val="0"/>
        <w:overflowPunct w:val="0"/>
        <w:ind w:left="567"/>
        <w:rPr>
          <w:lang w:val="de-DE"/>
        </w:rPr>
      </w:pPr>
      <w:r>
        <w:rPr>
          <w:lang w:val="de-DE"/>
        </w:rPr>
        <w:t>Kurzatmigkeit bei Belastung oder im Liegen oder Schwellung der Füße.</w:t>
      </w:r>
    </w:p>
    <w:p w14:paraId="48ECF17D" w14:textId="77777777" w:rsidR="00FE291A" w:rsidRDefault="00FE291A">
      <w:pPr>
        <w:widowControl/>
        <w:kinsoku w:val="0"/>
        <w:overflowPunct w:val="0"/>
        <w:rPr>
          <w:sz w:val="22"/>
          <w:szCs w:val="26"/>
          <w:lang w:val="de-DE"/>
        </w:rPr>
      </w:pPr>
    </w:p>
    <w:p w14:paraId="44F91284" w14:textId="77777777" w:rsidR="00FE291A" w:rsidRDefault="00C8738F">
      <w:pPr>
        <w:pStyle w:val="BodyText"/>
        <w:widowControl/>
        <w:kinsoku w:val="0"/>
        <w:overflowPunct w:val="0"/>
        <w:ind w:left="0"/>
        <w:rPr>
          <w:lang w:val="de-DE"/>
        </w:rPr>
      </w:pPr>
      <w:r>
        <w:rPr>
          <w:lang w:val="de-DE"/>
        </w:rPr>
        <w:t>Benachrichtigen Sie so bald wie möglich Ihren Arzt, wenn Sie eines der folgenden Anzeichen bemerken:</w:t>
      </w:r>
    </w:p>
    <w:p w14:paraId="22481E1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Anzeichen einer Infektion wie Fieber, Krankheitsgefühl, Wunden, Zahnprobleme, Brennen beim Wasserlassen;</w:t>
      </w:r>
    </w:p>
    <w:p w14:paraId="43B6D41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Gefühl der Schwäche oder Müdigkeit;</w:t>
      </w:r>
    </w:p>
    <w:p w14:paraId="57F31C4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Husten;</w:t>
      </w:r>
    </w:p>
    <w:p w14:paraId="2490597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Kribbeln;</w:t>
      </w:r>
    </w:p>
    <w:p w14:paraId="50C4C7E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Taubheit;</w:t>
      </w:r>
    </w:p>
    <w:p w14:paraId="2835C01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Doppeltsehen;</w:t>
      </w:r>
    </w:p>
    <w:p w14:paraId="3115E2C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Schwäche in Armen oder Beinen;</w:t>
      </w:r>
    </w:p>
    <w:p w14:paraId="2FAACD2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Anzeichen für eine Hautkrebserkrankung wie eine Beule oder offene Stellen, die nicht abheilen;</w:t>
      </w:r>
    </w:p>
    <w:p w14:paraId="468C521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Anzeichen und Krankheitserscheinungen, die auf eine mögliche Erkrankung des blutbildenden Systems hinweisen, wie anhaltendes Fieber, Blutergüsse, Blutungen, Blässe.</w:t>
      </w:r>
    </w:p>
    <w:p w14:paraId="103613CD" w14:textId="77777777" w:rsidR="00FE291A" w:rsidRDefault="00FE291A">
      <w:pPr>
        <w:pStyle w:val="BodyText"/>
        <w:widowControl/>
        <w:kinsoku w:val="0"/>
        <w:overflowPunct w:val="0"/>
        <w:ind w:left="0"/>
        <w:rPr>
          <w:lang w:val="de-DE"/>
        </w:rPr>
      </w:pPr>
    </w:p>
    <w:p w14:paraId="05A251FA" w14:textId="77777777" w:rsidR="00FE291A" w:rsidRDefault="00C8738F">
      <w:pPr>
        <w:pStyle w:val="BodyText"/>
        <w:widowControl/>
        <w:kinsoku w:val="0"/>
        <w:overflowPunct w:val="0"/>
        <w:ind w:left="0"/>
        <w:rPr>
          <w:lang w:val="de-DE"/>
        </w:rPr>
      </w:pPr>
      <w:r>
        <w:rPr>
          <w:lang w:val="de-DE"/>
        </w:rPr>
        <w:t>Die oben beschriebenen Anzeichen können ein Hinweis sein auf die nachfolgend aufgelisteten Nebenwirkungen, die mit Adalimumab beobachtet wurden:</w:t>
      </w:r>
    </w:p>
    <w:p w14:paraId="3F2FA7A1" w14:textId="77777777" w:rsidR="00FE291A" w:rsidRDefault="00FE291A">
      <w:pPr>
        <w:widowControl/>
        <w:kinsoku w:val="0"/>
        <w:overflowPunct w:val="0"/>
        <w:rPr>
          <w:sz w:val="22"/>
          <w:szCs w:val="22"/>
          <w:lang w:val="de-DE"/>
        </w:rPr>
      </w:pPr>
    </w:p>
    <w:p w14:paraId="223EB417" w14:textId="77777777" w:rsidR="00FE291A" w:rsidRDefault="00C8738F">
      <w:pPr>
        <w:pStyle w:val="BodyText"/>
        <w:widowControl/>
        <w:kinsoku w:val="0"/>
        <w:overflowPunct w:val="0"/>
        <w:ind w:left="0"/>
        <w:rPr>
          <w:lang w:val="de-DE"/>
        </w:rPr>
      </w:pPr>
      <w:r>
        <w:rPr>
          <w:lang w:val="de-DE"/>
        </w:rPr>
        <w:t>Sehr häufig (kann mehr als 1 von 10 Behandelten betreffen):</w:t>
      </w:r>
    </w:p>
    <w:p w14:paraId="5A8F9FB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Reaktionen an der Injektionsstelle (einschließlich Schmerz, Schwellung, Rötung oder Juckreiz);</w:t>
      </w:r>
    </w:p>
    <w:p w14:paraId="52EEDC4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der Atemwege (einschließlich Erkältung, Fließschnupfen, Infektion der Nasennebenhöhlen, Lungenentzündung);</w:t>
      </w:r>
    </w:p>
    <w:p w14:paraId="3085CE3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Kopfschmerzen;</w:t>
      </w:r>
    </w:p>
    <w:p w14:paraId="1843CFF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Bauchschmerzen;</w:t>
      </w:r>
    </w:p>
    <w:p w14:paraId="7C8E305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Übelkeit und Erbrechen;</w:t>
      </w:r>
    </w:p>
    <w:p w14:paraId="75E14BE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Hautausschlag;</w:t>
      </w:r>
    </w:p>
    <w:p w14:paraId="5F28BB4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Schmerzen in Muskeln und Knochen.</w:t>
      </w:r>
    </w:p>
    <w:p w14:paraId="38A6343E" w14:textId="77777777" w:rsidR="00FE291A" w:rsidRDefault="00FE291A">
      <w:pPr>
        <w:widowControl/>
        <w:kinsoku w:val="0"/>
        <w:overflowPunct w:val="0"/>
        <w:rPr>
          <w:sz w:val="22"/>
          <w:szCs w:val="26"/>
          <w:lang w:val="de-DE"/>
        </w:rPr>
      </w:pPr>
    </w:p>
    <w:p w14:paraId="5B2EFBFF" w14:textId="77777777" w:rsidR="00FE291A" w:rsidRDefault="00C8738F">
      <w:pPr>
        <w:pStyle w:val="BodyText"/>
        <w:widowControl/>
        <w:kinsoku w:val="0"/>
        <w:overflowPunct w:val="0"/>
        <w:ind w:left="0"/>
        <w:rPr>
          <w:lang w:val="de-DE"/>
        </w:rPr>
      </w:pPr>
      <w:r>
        <w:rPr>
          <w:lang w:val="de-DE"/>
        </w:rPr>
        <w:t>Häufig (kann bis zu 1 von 10 Behandelten betreffen):</w:t>
      </w:r>
    </w:p>
    <w:p w14:paraId="34865EC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Schwere Infektionen (einschließlich Blutvergiftung und Virusgrippe);</w:t>
      </w:r>
    </w:p>
    <w:p w14:paraId="21EF86F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Darminfektionen (einschließlich Magen-Darm-Grippe);</w:t>
      </w:r>
    </w:p>
    <w:p w14:paraId="7D185BF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der Haut (einschließlich Entzündung des Unterhautzellgewebes und Gürtelrose);</w:t>
      </w:r>
    </w:p>
    <w:p w14:paraId="2A8CBDB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des Ohres;</w:t>
      </w:r>
    </w:p>
    <w:p w14:paraId="7457DFB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des Mundes (einschließlich Zahninfektionen und Fieberbläschen);</w:t>
      </w:r>
    </w:p>
    <w:p w14:paraId="6A2D4F9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Infektionen der Fortpflanzungsorgane;</w:t>
      </w:r>
    </w:p>
    <w:p w14:paraId="6752EFA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Harnwegsinfektion;</w:t>
      </w:r>
    </w:p>
    <w:p w14:paraId="73C0C26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Pilzinfektionen;</w:t>
      </w:r>
    </w:p>
    <w:p w14:paraId="44EF5A2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Gelenkinfektionen;</w:t>
      </w:r>
    </w:p>
    <w:p w14:paraId="2D62C84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Gutartige Tumoren;</w:t>
      </w:r>
    </w:p>
    <w:p w14:paraId="41A9855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Hautkrebs;</w:t>
      </w:r>
    </w:p>
    <w:p w14:paraId="1F6DFE2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Allergische Reaktionen (einschließlich durch Jahreszeiten bedingte Allergie);</w:t>
      </w:r>
    </w:p>
    <w:p w14:paraId="59BBEEF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Flüssigkeitsverlust (Dehydratation);</w:t>
      </w:r>
    </w:p>
    <w:p w14:paraId="19CA660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Stimmungsschwankungen (einschließlich Depression);</w:t>
      </w:r>
    </w:p>
    <w:p w14:paraId="04B9B3A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Angstgefühl;</w:t>
      </w:r>
    </w:p>
    <w:p w14:paraId="632EBB1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Schlafstörungen;</w:t>
      </w:r>
    </w:p>
    <w:p w14:paraId="12CCCAA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Empfindungsstörungen (einschließlich Kribbeln, Prickeln oder Taubheitsgefühl);</w:t>
      </w:r>
    </w:p>
    <w:p w14:paraId="5588672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Migräne;</w:t>
      </w:r>
    </w:p>
    <w:p w14:paraId="6CEB0DC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Nervenwurzelkompression (Hexenschuss, einschließlich Rückenschmerzen und Beinschmerzen);</w:t>
      </w:r>
    </w:p>
    <w:p w14:paraId="107B67E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Sehstörungen;</w:t>
      </w:r>
    </w:p>
    <w:p w14:paraId="694CD03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Augenentzündung;</w:t>
      </w:r>
    </w:p>
    <w:p w14:paraId="42DCD80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des Augenlides und Anschwellen des Auges;</w:t>
      </w:r>
    </w:p>
    <w:p w14:paraId="2D5741C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Schwindel (Schwindelgefühl oder Gefühl, dass sich der Raum dreht);</w:t>
      </w:r>
    </w:p>
    <w:p w14:paraId="0784527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Herzrasen;</w:t>
      </w:r>
    </w:p>
    <w:p w14:paraId="7A5C051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Hoher Blutdruck;</w:t>
      </w:r>
    </w:p>
    <w:p w14:paraId="373BC16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Hitzegefühl;</w:t>
      </w:r>
    </w:p>
    <w:p w14:paraId="0A77976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Blutergüsse;</w:t>
      </w:r>
    </w:p>
    <w:p w14:paraId="28F86ED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Husten;</w:t>
      </w:r>
    </w:p>
    <w:p w14:paraId="5DBFE8F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Asthma;</w:t>
      </w:r>
    </w:p>
    <w:p w14:paraId="26594FE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Kurzatmigkeit;</w:t>
      </w:r>
    </w:p>
    <w:p w14:paraId="4B5B3AA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Magen-Darm-Blutungen;</w:t>
      </w:r>
    </w:p>
    <w:p w14:paraId="05E58AB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Verdauungsstörung (Magenverstimmung, Blähungen, Sodbrennen);</w:t>
      </w:r>
    </w:p>
    <w:p w14:paraId="52080A0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Saures Aufstoßen;</w:t>
      </w:r>
    </w:p>
    <w:p w14:paraId="19750C6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Sicca-Syndrom (einschließlich trockener Augen und trockenem Mund);</w:t>
      </w:r>
    </w:p>
    <w:p w14:paraId="3A689F4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Juckreiz;</w:t>
      </w:r>
    </w:p>
    <w:p w14:paraId="5AB46AC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Juckender Hautausschlag;</w:t>
      </w:r>
    </w:p>
    <w:p w14:paraId="5670F5E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Blaue Flecken;</w:t>
      </w:r>
    </w:p>
    <w:p w14:paraId="4697C10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der Haut (wie z. B. Ekzeme);</w:t>
      </w:r>
    </w:p>
    <w:p w14:paraId="46D4A59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Brüchige Finger- und Fußnägel;</w:t>
      </w:r>
    </w:p>
    <w:p w14:paraId="66E0BA3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Vermehrtes Schwitzen;</w:t>
      </w:r>
    </w:p>
    <w:p w14:paraId="5653AFB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Haarausfall;</w:t>
      </w:r>
    </w:p>
    <w:p w14:paraId="63889EA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Neuer Ausbruch oder Verschlechterung von Schuppenflechte (Psoriasis);</w:t>
      </w:r>
    </w:p>
    <w:p w14:paraId="0B3B35B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Muskelkrämpfe;</w:t>
      </w:r>
    </w:p>
    <w:p w14:paraId="7988D7D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Blut im Urin;</w:t>
      </w:r>
    </w:p>
    <w:p w14:paraId="11CE3B7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Nierenprobleme;</w:t>
      </w:r>
    </w:p>
    <w:p w14:paraId="2FCAFEC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Schmerzen im Brustraum;</w:t>
      </w:r>
    </w:p>
    <w:p w14:paraId="199D9A0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Wasseransammlungen (Ödeme);</w:t>
      </w:r>
    </w:p>
    <w:p w14:paraId="4E2B923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Fieber;</w:t>
      </w:r>
    </w:p>
    <w:p w14:paraId="7894B88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Verringerung der Blutplättchen, dadurch erhöhtes Risiko für Blutungen oder blaue Flecken;</w:t>
      </w:r>
    </w:p>
    <w:p w14:paraId="7C789CA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Verzögerte Wundheilung.</w:t>
      </w:r>
    </w:p>
    <w:p w14:paraId="3A1EFC73" w14:textId="77777777" w:rsidR="00FE291A" w:rsidRDefault="00FE291A">
      <w:pPr>
        <w:widowControl/>
        <w:kinsoku w:val="0"/>
        <w:overflowPunct w:val="0"/>
        <w:rPr>
          <w:sz w:val="22"/>
          <w:szCs w:val="26"/>
          <w:lang w:val="de-DE"/>
        </w:rPr>
      </w:pPr>
    </w:p>
    <w:p w14:paraId="51C7A7C2" w14:textId="77777777" w:rsidR="00FE291A" w:rsidRDefault="00C8738F">
      <w:pPr>
        <w:pStyle w:val="BodyText"/>
        <w:widowControl/>
        <w:kinsoku w:val="0"/>
        <w:overflowPunct w:val="0"/>
        <w:ind w:left="0"/>
        <w:rPr>
          <w:lang w:val="de-DE"/>
        </w:rPr>
      </w:pPr>
      <w:r>
        <w:rPr>
          <w:lang w:val="de-DE"/>
        </w:rPr>
        <w:t>Gelegentlich (kann bis zu 1 von 100 Behandelten betreffen):</w:t>
      </w:r>
    </w:p>
    <w:p w14:paraId="737BB17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Tuberkulose und andere Infektionen, die auftreten, wenn die Widerstandskraft gegenüber Krankheiten vermindert ist (opportunistische Infektionen);</w:t>
      </w:r>
    </w:p>
    <w:p w14:paraId="6B5402F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Neurologische Infekte (einschließlich viraler Hirnhautentzündung);</w:t>
      </w:r>
    </w:p>
    <w:p w14:paraId="1102846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Augeninfektionen;</w:t>
      </w:r>
    </w:p>
    <w:p w14:paraId="289DAEE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Bakterielle Infektionen;</w:t>
      </w:r>
    </w:p>
    <w:p w14:paraId="444B545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und Infektion des Dickdarms (Divertikulitis);</w:t>
      </w:r>
    </w:p>
    <w:p w14:paraId="18F0777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Krebs, einschließlich Krebs, der das Lymphsystem betrifft (Lymphom), und Melanom (Hautkrebs);</w:t>
      </w:r>
    </w:p>
    <w:p w14:paraId="5C22BCA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Immunstörungen, welche die Lunge, Haut und Lymphknoten betreffen können (kommen am häufigsten als Sarkoidose vor);</w:t>
      </w:r>
    </w:p>
    <w:p w14:paraId="3BAB6E7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Vaskulitis (Entzündung der Blutgefäße);</w:t>
      </w:r>
    </w:p>
    <w:p w14:paraId="3ABA90D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Zittern (Tremor);</w:t>
      </w:r>
    </w:p>
    <w:p w14:paraId="22547E3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Nervenerkrankungen (Neuropathie);</w:t>
      </w:r>
    </w:p>
    <w:p w14:paraId="1E7B27E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Schlaganfall;</w:t>
      </w:r>
    </w:p>
    <w:p w14:paraId="75B7730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Hörverlust, Ohrensausen;</w:t>
      </w:r>
    </w:p>
    <w:p w14:paraId="19C5D6A0"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Unregelmäßiger Herzschlag, wie z. B. übersprungene Schläge;</w:t>
      </w:r>
    </w:p>
    <w:p w14:paraId="55C7796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Herzprobleme, die zu Kurzatmigkeit und Anschwellen der Fußknöchel führen können;</w:t>
      </w:r>
    </w:p>
    <w:p w14:paraId="6088ACD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Herzinfarkt;</w:t>
      </w:r>
    </w:p>
    <w:p w14:paraId="765AD6A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Eine Ausbuchtung in der Wand einer Hauptarterie, Entzündung und Blutgerinnsel in einer Vene, Verstopfung eines Blutgefäßes;</w:t>
      </w:r>
    </w:p>
    <w:p w14:paraId="15EA4AE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Lungenerkrankungen, die sich in Kurzatmigkeit äußern (einschließlich Entzündung);</w:t>
      </w:r>
    </w:p>
    <w:p w14:paraId="5848E952"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Lungenembolie (Verschluss in einer Lungenarterie);</w:t>
      </w:r>
    </w:p>
    <w:p w14:paraId="002BC15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Nicht normale Ansammlung von Flüssigkeit in der Umgebung der Lunge (Pleuraerguss);</w:t>
      </w:r>
    </w:p>
    <w:p w14:paraId="29A5C6B5"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der Bauchspeicheldrüse, die starke Schmerzen im Bauchraum und Rücken verursacht;</w:t>
      </w:r>
    </w:p>
    <w:p w14:paraId="57C4D0E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Schluckstörungen;</w:t>
      </w:r>
    </w:p>
    <w:p w14:paraId="348E997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Gesichtsschwellung;</w:t>
      </w:r>
    </w:p>
    <w:p w14:paraId="5DA22D8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Gallenblasenentzündung, Gallensteine;</w:t>
      </w:r>
    </w:p>
    <w:p w14:paraId="31B8FF2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Fettleber;</w:t>
      </w:r>
    </w:p>
    <w:p w14:paraId="2120C7E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Nächtliches Schwitzen;</w:t>
      </w:r>
    </w:p>
    <w:p w14:paraId="01A252E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Narbenbildung;</w:t>
      </w:r>
    </w:p>
    <w:p w14:paraId="4B53E55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Abnormaler Muskelabbau;</w:t>
      </w:r>
    </w:p>
    <w:p w14:paraId="6C9186D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Systemischer Lupus erythematodes (einschließlich Entzündung von Haut, Herz, Lunge, Gelenken und anderen Organsystemen);</w:t>
      </w:r>
    </w:p>
    <w:p w14:paraId="25EE6AF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Schlafstörungen;</w:t>
      </w:r>
    </w:p>
    <w:p w14:paraId="468ACB5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Impotenz;</w:t>
      </w:r>
    </w:p>
    <w:p w14:paraId="55A6BBB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Entzündungen.</w:t>
      </w:r>
    </w:p>
    <w:p w14:paraId="787D2F47" w14:textId="77777777" w:rsidR="00FE291A" w:rsidRDefault="00FE291A">
      <w:pPr>
        <w:pStyle w:val="BodyText"/>
        <w:widowControl/>
        <w:kinsoku w:val="0"/>
        <w:overflowPunct w:val="0"/>
        <w:ind w:left="0"/>
        <w:rPr>
          <w:lang w:val="de-DE"/>
        </w:rPr>
      </w:pPr>
    </w:p>
    <w:p w14:paraId="758BAD07" w14:textId="77777777" w:rsidR="00FE291A" w:rsidRDefault="00C8738F">
      <w:pPr>
        <w:pStyle w:val="BodyText"/>
        <w:widowControl/>
        <w:kinsoku w:val="0"/>
        <w:overflowPunct w:val="0"/>
        <w:ind w:left="0"/>
        <w:rPr>
          <w:lang w:val="de-DE"/>
        </w:rPr>
      </w:pPr>
      <w:r>
        <w:rPr>
          <w:lang w:val="de-DE"/>
        </w:rPr>
        <w:t>Selten (kann bis zu 1 von 1 000 Behandelten betreffen):</w:t>
      </w:r>
    </w:p>
    <w:p w14:paraId="0A79D7A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Leukämie (Krebs, der das Blut und das Knochenmark betrifft);</w:t>
      </w:r>
    </w:p>
    <w:p w14:paraId="7F533A7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Schwere allergische Reaktionen mit Schock;</w:t>
      </w:r>
    </w:p>
    <w:p w14:paraId="36F60F4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Multiple Sklerose;</w:t>
      </w:r>
    </w:p>
    <w:p w14:paraId="18B4744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Nervenerkrankungen (z. B. Entzündung des Augennervs und Guillain-Barré-Syndrom, das zu Muskelschwäche, gestörten Sinnesempfindungen, Kribbeln in Armen und Oberkörper führen kann);</w:t>
      </w:r>
    </w:p>
    <w:p w14:paraId="5DDC9F3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Herzstillstand;</w:t>
      </w:r>
    </w:p>
    <w:p w14:paraId="73D4739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Lungenfibrose (Narbenbildung in der Lunge);</w:t>
      </w:r>
    </w:p>
    <w:p w14:paraId="38626E2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Darmwanddurchbruch (Loch in der Darmwand);</w:t>
      </w:r>
    </w:p>
    <w:p w14:paraId="3329686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Hepatitis (Leberentzündung);</w:t>
      </w:r>
    </w:p>
    <w:p w14:paraId="5697DA4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Erneuter Ausbruch von Hepatitis B;</w:t>
      </w:r>
    </w:p>
    <w:p w14:paraId="1A9E27A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der Leber, die durch das körpereigene Abwehrsystem ausgelöst wird (Autoimmunhepatitis);</w:t>
      </w:r>
    </w:p>
    <w:p w14:paraId="40649C5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Entzündung der Blutgefäße der Haut (kutane Vaskulitis);</w:t>
      </w:r>
    </w:p>
    <w:p w14:paraId="6ECEB1E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Stevens-Johnson-Syndrom (lebensbedrohliche Reaktion mit grippeähnlichen Symptomen und blasenbildendem Ausschlag);</w:t>
      </w:r>
    </w:p>
    <w:p w14:paraId="0A8C1E9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Gesichtsschwellung (Ödem) in Verbindung mit allergischen Reaktionen;</w:t>
      </w:r>
    </w:p>
    <w:p w14:paraId="3C7E9D3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Entzündlicher Hautausschlag (Erythema multiforme);</w:t>
      </w:r>
    </w:p>
    <w:p w14:paraId="6062F5D7"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Lupusähnliches Syndrom;</w:t>
      </w:r>
    </w:p>
    <w:p w14:paraId="4F7E1A49" w14:textId="77777777" w:rsidR="00FE291A" w:rsidRDefault="00C8738F">
      <w:pPr>
        <w:widowControl/>
        <w:numPr>
          <w:ilvl w:val="0"/>
          <w:numId w:val="56"/>
        </w:numPr>
        <w:autoSpaceDE/>
        <w:autoSpaceDN/>
        <w:adjustRightInd/>
        <w:ind w:left="567"/>
        <w:rPr>
          <w:sz w:val="22"/>
          <w:szCs w:val="22"/>
          <w:lang w:val="de-DE"/>
        </w:rPr>
      </w:pPr>
      <w:r>
        <w:rPr>
          <w:sz w:val="22"/>
          <w:szCs w:val="22"/>
          <w:lang w:val="de-DE"/>
        </w:rPr>
        <w:t>Angioödem (lokalisierte Schwellung der Haut);</w:t>
      </w:r>
    </w:p>
    <w:p w14:paraId="33C352EA" w14:textId="77777777" w:rsidR="00FE291A" w:rsidRDefault="00C8738F">
      <w:pPr>
        <w:widowControl/>
        <w:numPr>
          <w:ilvl w:val="0"/>
          <w:numId w:val="56"/>
        </w:numPr>
        <w:autoSpaceDE/>
        <w:autoSpaceDN/>
        <w:adjustRightInd/>
        <w:ind w:left="567"/>
        <w:rPr>
          <w:sz w:val="22"/>
          <w:szCs w:val="22"/>
          <w:lang w:val="de-DE"/>
        </w:rPr>
      </w:pPr>
      <w:r>
        <w:rPr>
          <w:sz w:val="22"/>
          <w:szCs w:val="22"/>
          <w:lang w:val="de-DE"/>
        </w:rPr>
        <w:t>Lichenoide Hautreaktion (juckender, rötlicher bis violetter Hautausschlag).</w:t>
      </w:r>
    </w:p>
    <w:p w14:paraId="6750A02A" w14:textId="77777777" w:rsidR="00FE291A" w:rsidRDefault="00FE291A">
      <w:pPr>
        <w:widowControl/>
        <w:kinsoku w:val="0"/>
        <w:overflowPunct w:val="0"/>
        <w:rPr>
          <w:sz w:val="22"/>
          <w:szCs w:val="26"/>
          <w:lang w:val="de-DE"/>
        </w:rPr>
      </w:pPr>
    </w:p>
    <w:p w14:paraId="1B1D5E33" w14:textId="77777777" w:rsidR="00FE291A" w:rsidRDefault="00C8738F">
      <w:pPr>
        <w:pStyle w:val="BodyText"/>
        <w:keepNext/>
        <w:keepLines/>
        <w:widowControl/>
        <w:kinsoku w:val="0"/>
        <w:overflowPunct w:val="0"/>
        <w:ind w:left="0"/>
        <w:rPr>
          <w:lang w:val="de-DE"/>
        </w:rPr>
      </w:pPr>
      <w:r>
        <w:rPr>
          <w:lang w:val="de-DE"/>
        </w:rPr>
        <w:t>Nicht bekannt (Häufigkeit auf Grundlage der vorliegenden Daten nicht abschätzbar):</w:t>
      </w:r>
    </w:p>
    <w:p w14:paraId="50B3966E"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Hepatosplenales T-Zell-Lymphom (ein selten auftretender Blutkrebs, der oft tödlich ist);</w:t>
      </w:r>
    </w:p>
    <w:p w14:paraId="149ED3E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Merkelzellkarzinom (eine Art von Hautkrebs);</w:t>
      </w:r>
    </w:p>
    <w:p w14:paraId="2C33110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Kaposi-Sarkom, eine seltene Krebserkrankung, die mit einer Infektion mit dem humanen Herpesvirus 8 assoziiert ist. Das Kaposi-Sarkom tritt am häufigsten in Form von violetten Hautläsionen auf.</w:t>
      </w:r>
    </w:p>
    <w:p w14:paraId="3E209BB9"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Leberversagen;</w:t>
      </w:r>
    </w:p>
    <w:p w14:paraId="0402D6D0" w14:textId="77777777" w:rsidR="00FE291A" w:rsidRDefault="00C8738F">
      <w:pPr>
        <w:pStyle w:val="BodyText"/>
        <w:keepNext/>
        <w:widowControl/>
        <w:numPr>
          <w:ilvl w:val="0"/>
          <w:numId w:val="56"/>
        </w:numPr>
        <w:tabs>
          <w:tab w:val="left" w:pos="567"/>
        </w:tabs>
        <w:kinsoku w:val="0"/>
        <w:overflowPunct w:val="0"/>
        <w:ind w:left="567"/>
        <w:rPr>
          <w:lang w:val="de-DE"/>
        </w:rPr>
      </w:pPr>
      <w:r>
        <w:rPr>
          <w:lang w:val="de-DE"/>
        </w:rPr>
        <w:t>Verschlechterung einer sogenannten Dermatomyositis (tritt als Hautausschlag in Verbindung mit Muskelschwäche in Erscheinung);</w:t>
      </w:r>
    </w:p>
    <w:p w14:paraId="7BF78B6D"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Gewichtszunahme (bei den meisten Patienten war die Gewichtszunahme gering).</w:t>
      </w:r>
    </w:p>
    <w:p w14:paraId="62ACD8B2" w14:textId="77777777" w:rsidR="00FE291A" w:rsidRDefault="00FE291A">
      <w:pPr>
        <w:widowControl/>
        <w:kinsoku w:val="0"/>
        <w:overflowPunct w:val="0"/>
        <w:rPr>
          <w:sz w:val="22"/>
          <w:lang w:val="de-DE"/>
        </w:rPr>
      </w:pPr>
    </w:p>
    <w:p w14:paraId="1C02077F" w14:textId="77777777" w:rsidR="00FE291A" w:rsidRDefault="00C8738F">
      <w:pPr>
        <w:pStyle w:val="BodyText"/>
        <w:keepNext/>
        <w:keepLines/>
        <w:widowControl/>
        <w:kinsoku w:val="0"/>
        <w:overflowPunct w:val="0"/>
        <w:ind w:left="0"/>
        <w:rPr>
          <w:lang w:val="de-DE"/>
        </w:rPr>
      </w:pPr>
      <w:r>
        <w:rPr>
          <w:lang w:val="de-DE"/>
        </w:rPr>
        <w:t>Mit Adalimumab wurden einige Nebenwirkungen beobachtet, die keine Anzeichen haben und nur durch Bluttests erkannt werden können. Dazu gehören:</w:t>
      </w:r>
    </w:p>
    <w:p w14:paraId="14E65D05" w14:textId="77777777" w:rsidR="00FE291A" w:rsidRDefault="00FE291A">
      <w:pPr>
        <w:keepNext/>
        <w:keepLines/>
        <w:widowControl/>
        <w:kinsoku w:val="0"/>
        <w:overflowPunct w:val="0"/>
        <w:rPr>
          <w:sz w:val="22"/>
          <w:szCs w:val="26"/>
          <w:lang w:val="de-DE"/>
        </w:rPr>
      </w:pPr>
    </w:p>
    <w:p w14:paraId="648B4009" w14:textId="77777777" w:rsidR="00FE291A" w:rsidRDefault="00C8738F">
      <w:pPr>
        <w:pStyle w:val="BodyText"/>
        <w:keepNext/>
        <w:keepLines/>
        <w:widowControl/>
        <w:kinsoku w:val="0"/>
        <w:overflowPunct w:val="0"/>
        <w:ind w:left="0"/>
        <w:rPr>
          <w:lang w:val="de-DE"/>
        </w:rPr>
      </w:pPr>
      <w:r>
        <w:rPr>
          <w:lang w:val="de-DE"/>
        </w:rPr>
        <w:t>Sehr häufig (kann mehr als 1 von 10 Behandelten betreffen):</w:t>
      </w:r>
    </w:p>
    <w:p w14:paraId="4D24947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Verringerte Anzahl weißer Blutkörperchen;</w:t>
      </w:r>
    </w:p>
    <w:p w14:paraId="0F5FF14C"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Verringerte Anzahl roter Blutkörperchen;</w:t>
      </w:r>
    </w:p>
    <w:p w14:paraId="6EB8AB3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Erhöhte Blutfettwerte;</w:t>
      </w:r>
    </w:p>
    <w:p w14:paraId="3D8CC561"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Erhöhte Werte für Leberenzyme.</w:t>
      </w:r>
    </w:p>
    <w:p w14:paraId="5C7CEBD5" w14:textId="77777777" w:rsidR="00FE291A" w:rsidRDefault="00FE291A">
      <w:pPr>
        <w:widowControl/>
        <w:kinsoku w:val="0"/>
        <w:overflowPunct w:val="0"/>
        <w:rPr>
          <w:sz w:val="22"/>
          <w:szCs w:val="26"/>
          <w:lang w:val="de-DE"/>
        </w:rPr>
      </w:pPr>
    </w:p>
    <w:p w14:paraId="3F70432A" w14:textId="77777777" w:rsidR="00FE291A" w:rsidRDefault="00C8738F">
      <w:pPr>
        <w:pStyle w:val="BodyText"/>
        <w:widowControl/>
        <w:kinsoku w:val="0"/>
        <w:overflowPunct w:val="0"/>
        <w:ind w:left="0"/>
        <w:rPr>
          <w:lang w:val="de-DE"/>
        </w:rPr>
      </w:pPr>
      <w:r>
        <w:rPr>
          <w:lang w:val="de-DE"/>
        </w:rPr>
        <w:t>Häufig (kann bis zu 1 von 10 Behandelten betreffen):</w:t>
      </w:r>
    </w:p>
    <w:p w14:paraId="50CD749A"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Erhöhte Anzahl weißer Blutkörperchen;</w:t>
      </w:r>
    </w:p>
    <w:p w14:paraId="74FF29A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Verringerte Anzahl von Blutplättchen;</w:t>
      </w:r>
    </w:p>
    <w:p w14:paraId="7BEF146F"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Erhöhte Harnsäurewerte;</w:t>
      </w:r>
    </w:p>
    <w:p w14:paraId="1DEFDBE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Abnormale Blutwerte für Natrium;</w:t>
      </w:r>
    </w:p>
    <w:p w14:paraId="15D36D28"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Niedrige Blutwerte für Kalzium;</w:t>
      </w:r>
    </w:p>
    <w:p w14:paraId="6B0F5B44"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Niedrige Blutwerte für Phosphat;</w:t>
      </w:r>
    </w:p>
    <w:p w14:paraId="472D2156"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Hohe Blutzuckerwerte;</w:t>
      </w:r>
    </w:p>
    <w:p w14:paraId="2964ADC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Hohe Blutwerte für Lactatdehydrogenase;</w:t>
      </w:r>
    </w:p>
    <w:p w14:paraId="166C1E83"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Nachweis von Autoantikörpern im Blut;</w:t>
      </w:r>
    </w:p>
    <w:p w14:paraId="4CDB524B" w14:textId="77777777" w:rsidR="00FE291A" w:rsidRDefault="00C8738F">
      <w:pPr>
        <w:pStyle w:val="BodyText"/>
        <w:widowControl/>
        <w:numPr>
          <w:ilvl w:val="0"/>
          <w:numId w:val="56"/>
        </w:numPr>
        <w:tabs>
          <w:tab w:val="left" w:pos="567"/>
        </w:tabs>
        <w:kinsoku w:val="0"/>
        <w:overflowPunct w:val="0"/>
        <w:ind w:left="567"/>
        <w:rPr>
          <w:lang w:val="de-DE"/>
        </w:rPr>
      </w:pPr>
      <w:r>
        <w:rPr>
          <w:lang w:val="de-DE"/>
        </w:rPr>
        <w:t>Hypokaliämie (Kaliummangel im Blut).</w:t>
      </w:r>
    </w:p>
    <w:p w14:paraId="14F0E4C2" w14:textId="77777777" w:rsidR="00FE291A" w:rsidRDefault="00FE291A">
      <w:pPr>
        <w:widowControl/>
        <w:kinsoku w:val="0"/>
        <w:overflowPunct w:val="0"/>
        <w:rPr>
          <w:sz w:val="22"/>
          <w:szCs w:val="26"/>
          <w:lang w:val="de-DE"/>
        </w:rPr>
      </w:pPr>
    </w:p>
    <w:p w14:paraId="7884B453" w14:textId="77777777" w:rsidR="00FE291A" w:rsidRDefault="00C8738F">
      <w:pPr>
        <w:keepNext/>
        <w:rPr>
          <w:sz w:val="22"/>
          <w:szCs w:val="22"/>
          <w:lang w:val="de-DE"/>
        </w:rPr>
      </w:pPr>
      <w:r>
        <w:rPr>
          <w:sz w:val="22"/>
          <w:szCs w:val="22"/>
          <w:lang w:val="de-DE"/>
        </w:rPr>
        <w:t>Gelegentlich (kann bis zu 1 von 100 Behandelten betreffen):</w:t>
      </w:r>
    </w:p>
    <w:p w14:paraId="1606C9CB" w14:textId="77777777" w:rsidR="00FE291A" w:rsidRDefault="00C8738F">
      <w:pPr>
        <w:keepNext/>
        <w:widowControl/>
        <w:numPr>
          <w:ilvl w:val="0"/>
          <w:numId w:val="57"/>
        </w:numPr>
        <w:tabs>
          <w:tab w:val="left" w:pos="567"/>
        </w:tabs>
        <w:autoSpaceDE/>
        <w:autoSpaceDN/>
        <w:adjustRightInd/>
        <w:ind w:hanging="720"/>
        <w:rPr>
          <w:sz w:val="22"/>
          <w:szCs w:val="22"/>
          <w:lang w:val="de-DE"/>
        </w:rPr>
      </w:pPr>
      <w:r>
        <w:rPr>
          <w:sz w:val="22"/>
          <w:szCs w:val="22"/>
          <w:lang w:val="de-DE"/>
        </w:rPr>
        <w:t>Erhöhte Bilirubin-Konzentration im Blut (Leberwerte).</w:t>
      </w:r>
    </w:p>
    <w:p w14:paraId="1D782B1E" w14:textId="77777777" w:rsidR="00FE291A" w:rsidRDefault="00FE291A">
      <w:pPr>
        <w:widowControl/>
        <w:kinsoku w:val="0"/>
        <w:overflowPunct w:val="0"/>
        <w:rPr>
          <w:sz w:val="22"/>
          <w:szCs w:val="26"/>
          <w:lang w:val="de-DE"/>
        </w:rPr>
      </w:pPr>
    </w:p>
    <w:p w14:paraId="261AE47C" w14:textId="77777777" w:rsidR="00FE291A" w:rsidRDefault="00C8738F">
      <w:pPr>
        <w:pStyle w:val="BodyText"/>
        <w:keepNext/>
        <w:widowControl/>
        <w:kinsoku w:val="0"/>
        <w:overflowPunct w:val="0"/>
        <w:ind w:left="0"/>
        <w:rPr>
          <w:lang w:val="de-DE"/>
        </w:rPr>
      </w:pPr>
      <w:r>
        <w:rPr>
          <w:lang w:val="de-DE"/>
        </w:rPr>
        <w:t>Selten (kann bis zu 1 von 1 000 Behandelten betreffen):</w:t>
      </w:r>
    </w:p>
    <w:p w14:paraId="70BC2091" w14:textId="77777777" w:rsidR="00FE291A" w:rsidRDefault="00C8738F">
      <w:pPr>
        <w:pStyle w:val="BodyText"/>
        <w:keepNext/>
        <w:widowControl/>
        <w:numPr>
          <w:ilvl w:val="0"/>
          <w:numId w:val="56"/>
        </w:numPr>
        <w:tabs>
          <w:tab w:val="left" w:pos="567"/>
        </w:tabs>
        <w:kinsoku w:val="0"/>
        <w:overflowPunct w:val="0"/>
        <w:ind w:left="0" w:firstLine="0"/>
        <w:rPr>
          <w:lang w:val="de-DE"/>
        </w:rPr>
      </w:pPr>
      <w:r>
        <w:rPr>
          <w:lang w:val="de-DE"/>
        </w:rPr>
        <w:t xml:space="preserve">Verringerte Anzahl von weißen und roten Blutkörperchen sowie von Blutplättchen. </w:t>
      </w:r>
    </w:p>
    <w:p w14:paraId="7C3A4B5D" w14:textId="77777777" w:rsidR="00FE291A" w:rsidRDefault="00FE291A">
      <w:pPr>
        <w:pStyle w:val="BodyText"/>
        <w:widowControl/>
        <w:tabs>
          <w:tab w:val="left" w:pos="690"/>
        </w:tabs>
        <w:kinsoku w:val="0"/>
        <w:overflowPunct w:val="0"/>
        <w:ind w:left="0"/>
        <w:rPr>
          <w:lang w:val="de-DE"/>
        </w:rPr>
      </w:pPr>
    </w:p>
    <w:p w14:paraId="636A362E" w14:textId="77777777" w:rsidR="00FE291A" w:rsidRDefault="00C8738F">
      <w:pPr>
        <w:pStyle w:val="Heading1"/>
        <w:widowControl/>
        <w:kinsoku w:val="0"/>
        <w:overflowPunct w:val="0"/>
        <w:ind w:left="0"/>
        <w:rPr>
          <w:b w:val="0"/>
          <w:bCs w:val="0"/>
          <w:lang w:val="de-DE"/>
        </w:rPr>
      </w:pPr>
      <w:r>
        <w:rPr>
          <w:lang w:val="de-DE"/>
        </w:rPr>
        <w:t>Meldung von Nebenwirkungen</w:t>
      </w:r>
    </w:p>
    <w:p w14:paraId="7CAD653D" w14:textId="77777777" w:rsidR="00FE291A" w:rsidRDefault="00FE291A">
      <w:pPr>
        <w:widowControl/>
        <w:kinsoku w:val="0"/>
        <w:overflowPunct w:val="0"/>
        <w:rPr>
          <w:sz w:val="22"/>
          <w:szCs w:val="22"/>
          <w:lang w:val="de-DE"/>
        </w:rPr>
      </w:pPr>
    </w:p>
    <w:p w14:paraId="2311CFE5" w14:textId="77777777" w:rsidR="00FE291A" w:rsidRDefault="00C8738F">
      <w:pPr>
        <w:pStyle w:val="BodyText"/>
        <w:widowControl/>
        <w:kinsoku w:val="0"/>
        <w:overflowPunct w:val="0"/>
        <w:ind w:left="0"/>
        <w:rPr>
          <w:color w:val="000000"/>
          <w:lang w:val="de-DE"/>
        </w:rPr>
      </w:pPr>
      <w:r>
        <w:rPr>
          <w:lang w:val="de-DE"/>
        </w:rPr>
        <w:t xml:space="preserve">Wenn Sie Nebenwirkungen bemerken, wenden Sie sich an Ihren Arzt oder Apotheker. Dies gilt auch für Nebenwirkungen, die nicht in dieser Packungsbeilage angegeben sind. Sie können Nebenwirkungen auch direkt über </w:t>
      </w:r>
      <w:r>
        <w:rPr>
          <w:highlight w:val="lightGray"/>
          <w:lang w:val="de-DE"/>
        </w:rPr>
        <w:t xml:space="preserve">das in </w:t>
      </w:r>
      <w:r>
        <w:fldChar w:fldCharType="begin"/>
      </w:r>
      <w:r w:rsidRPr="00F076DE">
        <w:rPr>
          <w:lang w:val="de-DE"/>
          <w:rPrChange w:id="582" w:author="Author">
            <w:rPr/>
          </w:rPrChange>
        </w:rPr>
        <w:instrText>HYPERLINK "https://www.ema.europa.eu/en/documents/template-form/qrd-appendix-v-adverse-drug-reaction-reporting-details_en.docx" \h</w:instrText>
      </w:r>
      <w:r>
        <w:fldChar w:fldCharType="separate"/>
      </w:r>
      <w:r>
        <w:rPr>
          <w:rStyle w:val="Hyperlink"/>
          <w:rFonts w:eastAsia="Times New Roman"/>
          <w:color w:val="0000FF"/>
          <w:szCs w:val="20"/>
          <w:highlight w:val="lightGray"/>
          <w:lang w:val="de-DE" w:eastAsia="de-DE" w:bidi="de-DE"/>
        </w:rPr>
        <w:t>Anhang V</w:t>
      </w:r>
      <w:r>
        <w:fldChar w:fldCharType="end"/>
      </w:r>
      <w:r>
        <w:rPr>
          <w:rStyle w:val="Hyperlink"/>
          <w:color w:val="auto"/>
          <w:highlight w:val="lightGray"/>
          <w:u w:val="none"/>
          <w:lang w:val="de-DE"/>
        </w:rPr>
        <w:t xml:space="preserve"> </w:t>
      </w:r>
      <w:r>
        <w:rPr>
          <w:color w:val="000000"/>
          <w:highlight w:val="lightGray"/>
          <w:lang w:val="de-DE"/>
        </w:rPr>
        <w:t>aufgeführte nationale Meldesystem</w:t>
      </w:r>
      <w:r>
        <w:rPr>
          <w:color w:val="000000"/>
          <w:lang w:val="de-DE"/>
        </w:rPr>
        <w:t xml:space="preserve"> anzeigen. Indem Sie Nebenwirkungen melden, können Sie dazu beitragen, dass mehr Informationen über die Sicherheit dieses Arzneimittels zur Verfügung gestellt werden.</w:t>
      </w:r>
    </w:p>
    <w:p w14:paraId="7D614C0B" w14:textId="77777777" w:rsidR="00FE291A" w:rsidRDefault="00FE291A">
      <w:pPr>
        <w:widowControl/>
        <w:kinsoku w:val="0"/>
        <w:overflowPunct w:val="0"/>
        <w:rPr>
          <w:sz w:val="22"/>
          <w:szCs w:val="22"/>
          <w:lang w:val="de-DE"/>
        </w:rPr>
      </w:pPr>
    </w:p>
    <w:p w14:paraId="18AF499E" w14:textId="77777777" w:rsidR="00FE291A" w:rsidRDefault="00FE291A">
      <w:pPr>
        <w:widowControl/>
        <w:kinsoku w:val="0"/>
        <w:overflowPunct w:val="0"/>
        <w:rPr>
          <w:sz w:val="22"/>
          <w:szCs w:val="22"/>
          <w:lang w:val="de-DE"/>
        </w:rPr>
      </w:pPr>
    </w:p>
    <w:p w14:paraId="17A8038C" w14:textId="77777777" w:rsidR="00FE291A" w:rsidRDefault="00C8738F">
      <w:pPr>
        <w:pStyle w:val="Heading1"/>
        <w:keepNext/>
        <w:widowControl/>
        <w:tabs>
          <w:tab w:val="left" w:pos="567"/>
        </w:tabs>
        <w:kinsoku w:val="0"/>
        <w:overflowPunct w:val="0"/>
        <w:ind w:left="0"/>
        <w:rPr>
          <w:b w:val="0"/>
          <w:bCs w:val="0"/>
          <w:lang w:val="de-DE"/>
        </w:rPr>
      </w:pPr>
      <w:r>
        <w:rPr>
          <w:lang w:val="de-DE"/>
        </w:rPr>
        <w:t>5.</w:t>
      </w:r>
      <w:r>
        <w:rPr>
          <w:lang w:val="de-DE"/>
        </w:rPr>
        <w:tab/>
        <w:t>Wie ist AMGEVITA aufzubewahren?</w:t>
      </w:r>
    </w:p>
    <w:p w14:paraId="239CE0D6" w14:textId="77777777" w:rsidR="00FE291A" w:rsidRDefault="00FE291A">
      <w:pPr>
        <w:keepNext/>
        <w:widowControl/>
        <w:kinsoku w:val="0"/>
        <w:overflowPunct w:val="0"/>
        <w:rPr>
          <w:sz w:val="22"/>
          <w:szCs w:val="22"/>
          <w:lang w:val="de-DE"/>
        </w:rPr>
      </w:pPr>
    </w:p>
    <w:p w14:paraId="546A3673" w14:textId="77777777" w:rsidR="00FE291A" w:rsidRDefault="00C8738F">
      <w:pPr>
        <w:pStyle w:val="BodyText"/>
        <w:widowControl/>
        <w:kinsoku w:val="0"/>
        <w:overflowPunct w:val="0"/>
        <w:ind w:left="0"/>
        <w:rPr>
          <w:lang w:val="de-DE"/>
        </w:rPr>
      </w:pPr>
      <w:r>
        <w:rPr>
          <w:lang w:val="de-DE"/>
        </w:rPr>
        <w:t>Für Kinder unzugänglich aufbewahren.</w:t>
      </w:r>
    </w:p>
    <w:p w14:paraId="09B7C946" w14:textId="77777777" w:rsidR="00FE291A" w:rsidRDefault="00FE291A">
      <w:pPr>
        <w:widowControl/>
        <w:kinsoku w:val="0"/>
        <w:overflowPunct w:val="0"/>
        <w:rPr>
          <w:sz w:val="22"/>
          <w:szCs w:val="22"/>
          <w:lang w:val="de-DE"/>
        </w:rPr>
      </w:pPr>
    </w:p>
    <w:p w14:paraId="6AB140B1" w14:textId="77777777" w:rsidR="00FE291A" w:rsidRDefault="00C8738F">
      <w:pPr>
        <w:pStyle w:val="BodyText"/>
        <w:widowControl/>
        <w:kinsoku w:val="0"/>
        <w:overflowPunct w:val="0"/>
        <w:ind w:left="0"/>
        <w:rPr>
          <w:lang w:val="de-DE"/>
        </w:rPr>
      </w:pPr>
      <w:r>
        <w:rPr>
          <w:lang w:val="de-DE"/>
        </w:rPr>
        <w:t>Sie dürfen dieses Arzneimittel nach dem auf dem Etikett und Umkarton nach „EXP“ bzw. „verwendbar bis“ angegebenen Verfalldatum nicht mehr verwenden. Das Verfalldatum bezieht sich auf den letzten Tag des angegebenen Monats.</w:t>
      </w:r>
    </w:p>
    <w:p w14:paraId="2D0BC455" w14:textId="77777777" w:rsidR="00FE291A" w:rsidRDefault="00FE291A">
      <w:pPr>
        <w:widowControl/>
        <w:kinsoku w:val="0"/>
        <w:overflowPunct w:val="0"/>
        <w:rPr>
          <w:sz w:val="22"/>
          <w:szCs w:val="22"/>
          <w:lang w:val="de-DE"/>
        </w:rPr>
      </w:pPr>
    </w:p>
    <w:p w14:paraId="3777B849" w14:textId="77777777" w:rsidR="00FE291A" w:rsidRDefault="00C8738F">
      <w:pPr>
        <w:pStyle w:val="BodyText"/>
        <w:widowControl/>
        <w:kinsoku w:val="0"/>
        <w:overflowPunct w:val="0"/>
        <w:ind w:left="0"/>
        <w:rPr>
          <w:lang w:val="de-DE"/>
        </w:rPr>
      </w:pPr>
      <w:r>
        <w:rPr>
          <w:lang w:val="de-DE"/>
        </w:rPr>
        <w:t>Im Kühlschrank lagern (2 °C – 8 °C). Nicht einfrieren.</w:t>
      </w:r>
    </w:p>
    <w:p w14:paraId="06E5A655" w14:textId="77777777" w:rsidR="00FE291A" w:rsidRDefault="00FE291A">
      <w:pPr>
        <w:pStyle w:val="BodyText"/>
        <w:widowControl/>
        <w:kinsoku w:val="0"/>
        <w:overflowPunct w:val="0"/>
        <w:ind w:left="0"/>
        <w:rPr>
          <w:lang w:val="de-DE"/>
        </w:rPr>
      </w:pPr>
    </w:p>
    <w:p w14:paraId="332ACE3E" w14:textId="77777777" w:rsidR="00FE291A" w:rsidRDefault="00C8738F">
      <w:pPr>
        <w:pStyle w:val="BodyText"/>
        <w:widowControl/>
        <w:kinsoku w:val="0"/>
        <w:overflowPunct w:val="0"/>
        <w:ind w:left="0"/>
        <w:rPr>
          <w:lang w:val="de-DE"/>
        </w:rPr>
      </w:pPr>
      <w:r>
        <w:rPr>
          <w:lang w:val="de-DE"/>
        </w:rPr>
        <w:t xml:space="preserve">In der Originalverpackung aufbewahren, um den Inhalt vor Licht zu schützen. </w:t>
      </w:r>
    </w:p>
    <w:p w14:paraId="0C36DF51" w14:textId="77777777" w:rsidR="00FE291A" w:rsidRDefault="00FE291A">
      <w:pPr>
        <w:pStyle w:val="BodyText"/>
        <w:widowControl/>
        <w:kinsoku w:val="0"/>
        <w:overflowPunct w:val="0"/>
        <w:ind w:left="0"/>
        <w:rPr>
          <w:lang w:val="de-DE"/>
        </w:rPr>
      </w:pPr>
    </w:p>
    <w:p w14:paraId="3021E225" w14:textId="77777777" w:rsidR="00FE291A" w:rsidRDefault="00C8738F">
      <w:pPr>
        <w:pStyle w:val="BodyText"/>
        <w:widowControl/>
        <w:kinsoku w:val="0"/>
        <w:overflowPunct w:val="0"/>
        <w:ind w:left="0"/>
        <w:rPr>
          <w:lang w:val="de-DE"/>
        </w:rPr>
      </w:pPr>
      <w:r>
        <w:rPr>
          <w:lang w:val="de-DE"/>
        </w:rPr>
        <w:t>Ein einzelner AMGEVITA-Fertigpen kann für einen Zeitraum von bis zu 14 Tagen bei Temperaturen bis zu 25 °C aufbewahrt werden. Der Fertigpen muss vor Licht geschützt aufbewahrt und weggeworfen werden, wenn er nicht innerhalb des Zeitraums von 14 Tagen verbraucht wurde.</w:t>
      </w:r>
    </w:p>
    <w:p w14:paraId="1EED765E" w14:textId="77777777" w:rsidR="00FE291A" w:rsidRDefault="00FE291A">
      <w:pPr>
        <w:pStyle w:val="BodyText"/>
        <w:widowControl/>
        <w:kinsoku w:val="0"/>
        <w:overflowPunct w:val="0"/>
        <w:ind w:left="0"/>
        <w:rPr>
          <w:lang w:val="de-DE"/>
        </w:rPr>
      </w:pPr>
    </w:p>
    <w:p w14:paraId="16E2AE38" w14:textId="77777777" w:rsidR="00FE291A" w:rsidRDefault="00C8738F">
      <w:pPr>
        <w:pStyle w:val="BodyText"/>
        <w:widowControl/>
        <w:kinsoku w:val="0"/>
        <w:overflowPunct w:val="0"/>
        <w:ind w:left="0"/>
        <w:rPr>
          <w:lang w:val="de-DE"/>
        </w:rPr>
      </w:pPr>
      <w:r>
        <w:rPr>
          <w:lang w:val="de-DE"/>
        </w:rPr>
        <w:t>Entsorgen Sie Arzneimittel nicht im Abwasser oder Haushaltsabfall. Fragen Sie Ihren Apotheker, wie das Arzneimittel zu entsorgen ist, wenn Sie es nicht mehr verwenden. Sie tragen damit zum Schutz der Umwelt bei.</w:t>
      </w:r>
    </w:p>
    <w:p w14:paraId="11426B6B" w14:textId="77777777" w:rsidR="00FE291A" w:rsidRDefault="00FE291A">
      <w:pPr>
        <w:widowControl/>
        <w:kinsoku w:val="0"/>
        <w:overflowPunct w:val="0"/>
        <w:rPr>
          <w:sz w:val="22"/>
          <w:szCs w:val="22"/>
          <w:lang w:val="de-DE"/>
        </w:rPr>
      </w:pPr>
    </w:p>
    <w:p w14:paraId="3C1FAFE1" w14:textId="77777777" w:rsidR="00FE291A" w:rsidRDefault="00FE291A">
      <w:pPr>
        <w:widowControl/>
        <w:kinsoku w:val="0"/>
        <w:overflowPunct w:val="0"/>
        <w:rPr>
          <w:sz w:val="22"/>
          <w:szCs w:val="22"/>
          <w:lang w:val="de-DE"/>
        </w:rPr>
      </w:pPr>
    </w:p>
    <w:p w14:paraId="26AB1392" w14:textId="77777777" w:rsidR="00FE291A" w:rsidRDefault="00C8738F">
      <w:pPr>
        <w:pStyle w:val="Heading1"/>
        <w:keepNext/>
        <w:widowControl/>
        <w:tabs>
          <w:tab w:val="left" w:pos="567"/>
        </w:tabs>
        <w:kinsoku w:val="0"/>
        <w:overflowPunct w:val="0"/>
        <w:ind w:left="0"/>
        <w:rPr>
          <w:b w:val="0"/>
          <w:bCs w:val="0"/>
          <w:lang w:val="de-DE"/>
        </w:rPr>
      </w:pPr>
      <w:r>
        <w:rPr>
          <w:lang w:val="de-DE"/>
        </w:rPr>
        <w:t>6.</w:t>
      </w:r>
      <w:r>
        <w:rPr>
          <w:lang w:val="de-DE"/>
        </w:rPr>
        <w:tab/>
        <w:t xml:space="preserve">Inhalt der Packung und weitere Informationen </w:t>
      </w:r>
    </w:p>
    <w:p w14:paraId="0C1A90CC" w14:textId="77777777" w:rsidR="00FE291A" w:rsidRDefault="00FE291A">
      <w:pPr>
        <w:pStyle w:val="Heading1"/>
        <w:keepNext/>
        <w:widowControl/>
        <w:tabs>
          <w:tab w:val="left" w:pos="684"/>
        </w:tabs>
        <w:kinsoku w:val="0"/>
        <w:overflowPunct w:val="0"/>
        <w:ind w:left="0"/>
        <w:rPr>
          <w:b w:val="0"/>
          <w:bCs w:val="0"/>
          <w:lang w:val="de-DE"/>
        </w:rPr>
      </w:pPr>
    </w:p>
    <w:p w14:paraId="7231A3E5" w14:textId="77777777" w:rsidR="00FE291A" w:rsidRDefault="00C8738F">
      <w:pPr>
        <w:pStyle w:val="Heading1"/>
        <w:keepNext/>
        <w:widowControl/>
        <w:tabs>
          <w:tab w:val="left" w:pos="684"/>
        </w:tabs>
        <w:kinsoku w:val="0"/>
        <w:overflowPunct w:val="0"/>
        <w:ind w:left="0"/>
        <w:rPr>
          <w:b w:val="0"/>
          <w:bCs w:val="0"/>
          <w:lang w:val="de-DE"/>
        </w:rPr>
      </w:pPr>
      <w:r>
        <w:rPr>
          <w:lang w:val="de-DE"/>
        </w:rPr>
        <w:t>Was AMGEVITA enthält</w:t>
      </w:r>
    </w:p>
    <w:p w14:paraId="75697476" w14:textId="77777777" w:rsidR="00FE291A" w:rsidRDefault="00C8738F">
      <w:pPr>
        <w:pStyle w:val="BodyText"/>
        <w:widowControl/>
        <w:numPr>
          <w:ilvl w:val="0"/>
          <w:numId w:val="58"/>
        </w:numPr>
        <w:kinsoku w:val="0"/>
        <w:overflowPunct w:val="0"/>
        <w:ind w:left="567"/>
        <w:rPr>
          <w:lang w:val="de-DE"/>
        </w:rPr>
      </w:pPr>
      <w:r>
        <w:rPr>
          <w:lang w:val="de-DE"/>
        </w:rPr>
        <w:t>Der Wirkstoff ist: Adalimumab. Jeder Fertigpen enthält 80 mg Adalimumab in 0,8 ml Lösung.</w:t>
      </w:r>
    </w:p>
    <w:p w14:paraId="69A5BED6" w14:textId="77777777" w:rsidR="00FE291A" w:rsidRDefault="00C8738F">
      <w:pPr>
        <w:pStyle w:val="BodyText"/>
        <w:widowControl/>
        <w:numPr>
          <w:ilvl w:val="0"/>
          <w:numId w:val="58"/>
        </w:numPr>
        <w:kinsoku w:val="0"/>
        <w:overflowPunct w:val="0"/>
        <w:ind w:left="567"/>
        <w:rPr>
          <w:lang w:val="de-DE"/>
        </w:rPr>
      </w:pPr>
      <w:r>
        <w:rPr>
          <w:lang w:val="de-DE"/>
        </w:rPr>
        <w:t>Die sonstigen Bestandteile sind: (S)-Milchsäure, Saccharose, Polysorbat 80, Natriumhydroxid und Wasser für Injektionszwecke.</w:t>
      </w:r>
    </w:p>
    <w:p w14:paraId="16970E35" w14:textId="77777777" w:rsidR="00FE291A" w:rsidRDefault="00FE291A">
      <w:pPr>
        <w:widowControl/>
        <w:kinsoku w:val="0"/>
        <w:overflowPunct w:val="0"/>
        <w:rPr>
          <w:sz w:val="22"/>
          <w:szCs w:val="22"/>
          <w:lang w:val="de-DE"/>
        </w:rPr>
      </w:pPr>
    </w:p>
    <w:p w14:paraId="3C08C166" w14:textId="77777777" w:rsidR="00FE291A" w:rsidRDefault="00C8738F">
      <w:pPr>
        <w:pStyle w:val="Heading1"/>
        <w:widowControl/>
        <w:kinsoku w:val="0"/>
        <w:overflowPunct w:val="0"/>
        <w:ind w:left="0"/>
        <w:rPr>
          <w:b w:val="0"/>
          <w:bCs w:val="0"/>
          <w:lang w:val="de-DE"/>
        </w:rPr>
      </w:pPr>
      <w:r>
        <w:rPr>
          <w:lang w:val="de-DE"/>
        </w:rPr>
        <w:t>Wie AMGEVITA aussieht und Inhalt der Packung</w:t>
      </w:r>
    </w:p>
    <w:p w14:paraId="36F03E19" w14:textId="77777777" w:rsidR="00FE291A" w:rsidRDefault="00FE291A">
      <w:pPr>
        <w:widowControl/>
        <w:kinsoku w:val="0"/>
        <w:overflowPunct w:val="0"/>
        <w:rPr>
          <w:sz w:val="22"/>
          <w:szCs w:val="22"/>
          <w:lang w:val="de-DE"/>
        </w:rPr>
      </w:pPr>
    </w:p>
    <w:p w14:paraId="398B08F8" w14:textId="77777777" w:rsidR="00FE291A" w:rsidRDefault="00C8738F">
      <w:pPr>
        <w:pStyle w:val="BodyText"/>
        <w:widowControl/>
        <w:kinsoku w:val="0"/>
        <w:overflowPunct w:val="0"/>
        <w:ind w:left="0"/>
        <w:rPr>
          <w:lang w:val="de-DE"/>
        </w:rPr>
      </w:pPr>
      <w:r>
        <w:rPr>
          <w:lang w:val="de-DE"/>
        </w:rPr>
        <w:t>AMGEVITA ist eine klare und farblose bis leicht gelbliche Lösung.</w:t>
      </w:r>
    </w:p>
    <w:p w14:paraId="25E3DB4D" w14:textId="77777777" w:rsidR="00FE291A" w:rsidRDefault="00FE291A">
      <w:pPr>
        <w:pStyle w:val="BodyText"/>
        <w:widowControl/>
        <w:kinsoku w:val="0"/>
        <w:overflowPunct w:val="0"/>
        <w:ind w:left="0"/>
        <w:rPr>
          <w:lang w:val="de-DE"/>
        </w:rPr>
      </w:pPr>
    </w:p>
    <w:p w14:paraId="3160DE35" w14:textId="77777777" w:rsidR="00FE291A" w:rsidRDefault="00C8738F">
      <w:pPr>
        <w:pStyle w:val="BodyText"/>
        <w:widowControl/>
        <w:kinsoku w:val="0"/>
        <w:overflowPunct w:val="0"/>
        <w:ind w:left="0"/>
        <w:rPr>
          <w:lang w:val="de-DE"/>
        </w:rPr>
      </w:pPr>
      <w:r>
        <w:rPr>
          <w:lang w:val="de-DE"/>
        </w:rPr>
        <w:t>Jede Packung enthält einen, zwei oder drei 80 mg SureClick Fertigpen(s) zum Einmalgebrauch.</w:t>
      </w:r>
    </w:p>
    <w:p w14:paraId="6C396ACC" w14:textId="77777777" w:rsidR="00FE291A" w:rsidRDefault="00FE291A">
      <w:pPr>
        <w:pStyle w:val="BodyText"/>
        <w:widowControl/>
        <w:kinsoku w:val="0"/>
        <w:overflowPunct w:val="0"/>
        <w:ind w:left="0"/>
        <w:rPr>
          <w:lang w:val="de-DE"/>
        </w:rPr>
      </w:pPr>
    </w:p>
    <w:p w14:paraId="71C30240" w14:textId="77777777" w:rsidR="00FE291A" w:rsidRDefault="00C8738F">
      <w:pPr>
        <w:pStyle w:val="BodyText"/>
        <w:keepNext/>
        <w:widowControl/>
        <w:kinsoku w:val="0"/>
        <w:overflowPunct w:val="0"/>
        <w:ind w:left="0"/>
        <w:rPr>
          <w:lang w:val="de-DE"/>
        </w:rPr>
      </w:pPr>
      <w:r>
        <w:rPr>
          <w:b/>
          <w:bCs/>
          <w:lang w:val="de-DE"/>
        </w:rPr>
        <w:t>Pharmazeutischer Unternehmer und Hersteller</w:t>
      </w:r>
    </w:p>
    <w:p w14:paraId="613A520D" w14:textId="77777777" w:rsidR="00FE291A" w:rsidRDefault="00C8738F">
      <w:pPr>
        <w:pStyle w:val="lbltxt"/>
        <w:keepNext/>
        <w:rPr>
          <w:lang w:val="de-DE"/>
        </w:rPr>
      </w:pPr>
      <w:r>
        <w:rPr>
          <w:lang w:val="de-DE"/>
        </w:rPr>
        <w:t>Amgen Europe B.V.</w:t>
      </w:r>
    </w:p>
    <w:p w14:paraId="156A9FDB" w14:textId="77777777" w:rsidR="00FE291A" w:rsidRDefault="00C8738F">
      <w:pPr>
        <w:pStyle w:val="lbltxt"/>
        <w:keepNext/>
        <w:rPr>
          <w:lang w:val="de-DE"/>
        </w:rPr>
      </w:pPr>
      <w:r>
        <w:rPr>
          <w:lang w:val="de-DE"/>
        </w:rPr>
        <w:t>Minervum 7061</w:t>
      </w:r>
    </w:p>
    <w:p w14:paraId="368353F3" w14:textId="77777777" w:rsidR="00FE291A" w:rsidRDefault="00C8738F">
      <w:pPr>
        <w:pStyle w:val="lbltxt"/>
        <w:keepNext/>
        <w:rPr>
          <w:lang w:val="de-DE"/>
        </w:rPr>
      </w:pPr>
      <w:r>
        <w:rPr>
          <w:lang w:val="de-DE"/>
        </w:rPr>
        <w:t>4817 ZK Breda</w:t>
      </w:r>
    </w:p>
    <w:p w14:paraId="67385E60" w14:textId="77777777" w:rsidR="00FE291A" w:rsidRDefault="00C8738F">
      <w:pPr>
        <w:pStyle w:val="lbltxt"/>
        <w:keepNext/>
        <w:rPr>
          <w:lang w:val="de-DE"/>
        </w:rPr>
      </w:pPr>
      <w:r>
        <w:rPr>
          <w:lang w:val="de-DE"/>
        </w:rPr>
        <w:t>Niederlande</w:t>
      </w:r>
    </w:p>
    <w:p w14:paraId="7889858D" w14:textId="77777777" w:rsidR="00FE291A" w:rsidRDefault="00FE291A">
      <w:pPr>
        <w:widowControl/>
        <w:kinsoku w:val="0"/>
        <w:overflowPunct w:val="0"/>
        <w:rPr>
          <w:sz w:val="22"/>
          <w:lang w:val="de-DE"/>
        </w:rPr>
      </w:pPr>
    </w:p>
    <w:p w14:paraId="4ED57C04" w14:textId="77777777" w:rsidR="00FE291A" w:rsidRDefault="00C8738F">
      <w:pPr>
        <w:pStyle w:val="BodyText"/>
        <w:widowControl/>
        <w:kinsoku w:val="0"/>
        <w:overflowPunct w:val="0"/>
        <w:ind w:left="0"/>
        <w:rPr>
          <w:b/>
          <w:bCs/>
          <w:highlight w:val="lightGray"/>
          <w:lang w:val="de-DE"/>
        </w:rPr>
      </w:pPr>
      <w:r>
        <w:rPr>
          <w:b/>
          <w:bCs/>
          <w:highlight w:val="lightGray"/>
          <w:lang w:val="de-DE"/>
        </w:rPr>
        <w:t>Pharmazeutischer Unternehmer</w:t>
      </w:r>
    </w:p>
    <w:p w14:paraId="6F0380CA" w14:textId="77777777" w:rsidR="00FE291A" w:rsidRDefault="00C8738F">
      <w:pPr>
        <w:pStyle w:val="lbltxt"/>
        <w:rPr>
          <w:highlight w:val="lightGray"/>
          <w:lang w:val="de-DE"/>
        </w:rPr>
      </w:pPr>
      <w:r>
        <w:rPr>
          <w:highlight w:val="lightGray"/>
          <w:lang w:val="de-DE"/>
        </w:rPr>
        <w:t xml:space="preserve">Amgen Europe B.V. </w:t>
      </w:r>
    </w:p>
    <w:p w14:paraId="7470AF54" w14:textId="77777777" w:rsidR="00FE291A" w:rsidRDefault="00C8738F">
      <w:pPr>
        <w:pStyle w:val="lbltxt"/>
        <w:rPr>
          <w:highlight w:val="lightGray"/>
          <w:lang w:val="de-DE"/>
        </w:rPr>
      </w:pPr>
      <w:r>
        <w:rPr>
          <w:highlight w:val="lightGray"/>
          <w:lang w:val="de-DE"/>
        </w:rPr>
        <w:t xml:space="preserve">Minervum 7061 </w:t>
      </w:r>
    </w:p>
    <w:p w14:paraId="220323BA" w14:textId="77777777" w:rsidR="00FE291A" w:rsidRDefault="00C8738F">
      <w:pPr>
        <w:pStyle w:val="lbltxt"/>
        <w:rPr>
          <w:highlight w:val="lightGray"/>
          <w:lang w:val="de-DE"/>
        </w:rPr>
      </w:pPr>
      <w:r>
        <w:rPr>
          <w:highlight w:val="lightGray"/>
          <w:lang w:val="de-DE"/>
        </w:rPr>
        <w:t xml:space="preserve">4817 ZK Breda </w:t>
      </w:r>
    </w:p>
    <w:p w14:paraId="6D7E53EF" w14:textId="77777777" w:rsidR="00FE291A" w:rsidRDefault="00C8738F">
      <w:pPr>
        <w:pStyle w:val="lbltxt"/>
        <w:rPr>
          <w:highlight w:val="lightGray"/>
          <w:lang w:val="de-DE"/>
        </w:rPr>
      </w:pPr>
      <w:r>
        <w:rPr>
          <w:highlight w:val="lightGray"/>
          <w:lang w:val="de-DE"/>
        </w:rPr>
        <w:t>Niederlande</w:t>
      </w:r>
    </w:p>
    <w:p w14:paraId="2266EEF6" w14:textId="77777777" w:rsidR="00FE291A" w:rsidRDefault="00FE291A">
      <w:pPr>
        <w:pStyle w:val="BodyText"/>
        <w:widowControl/>
        <w:kinsoku w:val="0"/>
        <w:overflowPunct w:val="0"/>
        <w:ind w:left="0"/>
        <w:rPr>
          <w:bCs/>
          <w:highlight w:val="lightGray"/>
          <w:lang w:val="de-DE"/>
        </w:rPr>
      </w:pPr>
    </w:p>
    <w:p w14:paraId="61EA2603" w14:textId="77777777" w:rsidR="00FE291A" w:rsidRDefault="00C8738F">
      <w:pPr>
        <w:pStyle w:val="BodyText"/>
        <w:widowControl/>
        <w:kinsoku w:val="0"/>
        <w:overflowPunct w:val="0"/>
        <w:ind w:left="0"/>
        <w:rPr>
          <w:highlight w:val="lightGray"/>
          <w:lang w:val="de-DE"/>
        </w:rPr>
      </w:pPr>
      <w:r>
        <w:rPr>
          <w:b/>
          <w:bCs/>
          <w:highlight w:val="lightGray"/>
          <w:lang w:val="de-DE"/>
        </w:rPr>
        <w:t>Hersteller</w:t>
      </w:r>
    </w:p>
    <w:p w14:paraId="6EC12857" w14:textId="77777777" w:rsidR="00FE291A" w:rsidRDefault="00C8738F">
      <w:pPr>
        <w:pStyle w:val="lbltxt"/>
        <w:rPr>
          <w:highlight w:val="lightGray"/>
          <w:lang w:val="de-DE"/>
        </w:rPr>
      </w:pPr>
      <w:r>
        <w:rPr>
          <w:highlight w:val="lightGray"/>
          <w:lang w:val="de-DE"/>
        </w:rPr>
        <w:t xml:space="preserve">Amgen Technology Ireland UC </w:t>
      </w:r>
    </w:p>
    <w:p w14:paraId="033576FD" w14:textId="77777777" w:rsidR="00FE291A" w:rsidRDefault="00C8738F">
      <w:pPr>
        <w:pStyle w:val="lbltxt"/>
        <w:rPr>
          <w:highlight w:val="lightGray"/>
          <w:lang w:val="de-DE"/>
          <w:rPrChange w:id="583" w:author="Author">
            <w:rPr>
              <w:highlight w:val="lightGray"/>
              <w:lang w:val="en-US"/>
            </w:rPr>
          </w:rPrChange>
        </w:rPr>
      </w:pPr>
      <w:r>
        <w:rPr>
          <w:highlight w:val="lightGray"/>
          <w:lang w:val="de-DE"/>
          <w:rPrChange w:id="584" w:author="Author">
            <w:rPr>
              <w:highlight w:val="lightGray"/>
              <w:lang w:val="en-US"/>
            </w:rPr>
          </w:rPrChange>
        </w:rPr>
        <w:t>Pottery Road</w:t>
      </w:r>
    </w:p>
    <w:p w14:paraId="3522723F" w14:textId="77777777" w:rsidR="00FE291A" w:rsidRDefault="00C8738F">
      <w:pPr>
        <w:pStyle w:val="lbltxt"/>
        <w:rPr>
          <w:highlight w:val="lightGray"/>
          <w:lang w:val="de-DE"/>
          <w:rPrChange w:id="585" w:author="Author">
            <w:rPr>
              <w:highlight w:val="lightGray"/>
              <w:lang w:val="en-US"/>
            </w:rPr>
          </w:rPrChange>
        </w:rPr>
      </w:pPr>
      <w:r>
        <w:rPr>
          <w:highlight w:val="lightGray"/>
          <w:lang w:val="de-DE"/>
          <w:rPrChange w:id="586" w:author="Author">
            <w:rPr>
              <w:highlight w:val="lightGray"/>
              <w:lang w:val="en-US"/>
            </w:rPr>
          </w:rPrChange>
        </w:rPr>
        <w:t>Dun Laoghaire</w:t>
      </w:r>
    </w:p>
    <w:p w14:paraId="0585A66C" w14:textId="77777777" w:rsidR="00FE291A" w:rsidRDefault="00C8738F">
      <w:pPr>
        <w:pStyle w:val="lbltxt"/>
        <w:rPr>
          <w:highlight w:val="lightGray"/>
          <w:lang w:val="de-DE"/>
          <w:rPrChange w:id="587" w:author="Author">
            <w:rPr>
              <w:highlight w:val="lightGray"/>
              <w:lang w:val="en-US"/>
            </w:rPr>
          </w:rPrChange>
        </w:rPr>
      </w:pPr>
      <w:r>
        <w:rPr>
          <w:highlight w:val="lightGray"/>
          <w:lang w:val="de-DE"/>
          <w:rPrChange w:id="588" w:author="Author">
            <w:rPr>
              <w:highlight w:val="lightGray"/>
              <w:lang w:val="en-US"/>
            </w:rPr>
          </w:rPrChange>
        </w:rPr>
        <w:t>Co Dublin</w:t>
      </w:r>
    </w:p>
    <w:p w14:paraId="734E24F2" w14:textId="77777777" w:rsidR="00FE291A" w:rsidRDefault="00C8738F">
      <w:pPr>
        <w:pStyle w:val="lbltxt"/>
        <w:rPr>
          <w:lang w:val="de-DE"/>
        </w:rPr>
      </w:pPr>
      <w:r>
        <w:rPr>
          <w:highlight w:val="lightGray"/>
          <w:lang w:val="de-DE"/>
        </w:rPr>
        <w:t>Irland</w:t>
      </w:r>
    </w:p>
    <w:p w14:paraId="17EC3C19" w14:textId="77777777" w:rsidR="00FE291A" w:rsidRDefault="00FE291A">
      <w:pPr>
        <w:widowControl/>
        <w:kinsoku w:val="0"/>
        <w:overflowPunct w:val="0"/>
        <w:rPr>
          <w:sz w:val="22"/>
          <w:szCs w:val="22"/>
          <w:lang w:val="de-DE"/>
        </w:rPr>
      </w:pPr>
    </w:p>
    <w:p w14:paraId="5CCA3903" w14:textId="77777777" w:rsidR="00FE291A" w:rsidRDefault="00C8738F">
      <w:pPr>
        <w:pStyle w:val="BodyText"/>
        <w:widowControl/>
        <w:kinsoku w:val="0"/>
        <w:overflowPunct w:val="0"/>
        <w:ind w:left="0"/>
        <w:rPr>
          <w:highlight w:val="lightGray"/>
          <w:lang w:val="de-DE"/>
        </w:rPr>
      </w:pPr>
      <w:r>
        <w:rPr>
          <w:b/>
          <w:bCs/>
          <w:highlight w:val="lightGray"/>
          <w:lang w:val="de-DE"/>
        </w:rPr>
        <w:t>Hersteller</w:t>
      </w:r>
    </w:p>
    <w:p w14:paraId="54FA0F31" w14:textId="77777777" w:rsidR="00FE291A" w:rsidRDefault="00C8738F">
      <w:pPr>
        <w:rPr>
          <w:sz w:val="22"/>
          <w:szCs w:val="22"/>
          <w:highlight w:val="lightGray"/>
          <w:lang w:val="de-DE" w:eastAsia="ja-JP"/>
        </w:rPr>
      </w:pPr>
      <w:r>
        <w:rPr>
          <w:sz w:val="22"/>
          <w:szCs w:val="22"/>
          <w:highlight w:val="lightGray"/>
          <w:lang w:val="de-DE" w:eastAsia="ja-JP"/>
        </w:rPr>
        <w:t>Amgen NV</w:t>
      </w:r>
    </w:p>
    <w:p w14:paraId="1825A23F" w14:textId="77777777" w:rsidR="00FE291A" w:rsidRDefault="00C8738F">
      <w:pPr>
        <w:rPr>
          <w:sz w:val="22"/>
          <w:szCs w:val="22"/>
          <w:highlight w:val="lightGray"/>
          <w:lang w:val="de-DE" w:eastAsia="ja-JP"/>
        </w:rPr>
      </w:pPr>
      <w:r>
        <w:rPr>
          <w:sz w:val="22"/>
          <w:szCs w:val="22"/>
          <w:highlight w:val="lightGray"/>
          <w:lang w:val="de-DE" w:eastAsia="ja-JP"/>
        </w:rPr>
        <w:t>Telecomlaan 5-7</w:t>
      </w:r>
    </w:p>
    <w:p w14:paraId="76CDFD63" w14:textId="77777777" w:rsidR="00FE291A" w:rsidRDefault="00C8738F">
      <w:pPr>
        <w:rPr>
          <w:sz w:val="22"/>
          <w:szCs w:val="22"/>
          <w:highlight w:val="lightGray"/>
          <w:lang w:val="de-DE" w:eastAsia="ja-JP"/>
        </w:rPr>
      </w:pPr>
      <w:r>
        <w:rPr>
          <w:sz w:val="22"/>
          <w:szCs w:val="22"/>
          <w:highlight w:val="lightGray"/>
          <w:lang w:val="de-DE" w:eastAsia="ja-JP"/>
        </w:rPr>
        <w:t>1831 Diegem</w:t>
      </w:r>
    </w:p>
    <w:p w14:paraId="577EA923" w14:textId="77777777" w:rsidR="00FE291A" w:rsidRDefault="00C8738F">
      <w:pPr>
        <w:pStyle w:val="BodyText"/>
        <w:widowControl/>
        <w:kinsoku w:val="0"/>
        <w:overflowPunct w:val="0"/>
        <w:ind w:left="0"/>
        <w:rPr>
          <w:lang w:val="de-DE"/>
        </w:rPr>
      </w:pPr>
      <w:r>
        <w:rPr>
          <w:highlight w:val="lightGray"/>
          <w:lang w:val="de-DE"/>
        </w:rPr>
        <w:t>Belgien</w:t>
      </w:r>
      <w:r>
        <w:rPr>
          <w:lang w:val="de-DE"/>
        </w:rPr>
        <w:t xml:space="preserve"> </w:t>
      </w:r>
    </w:p>
    <w:p w14:paraId="312B8C64" w14:textId="77777777" w:rsidR="00FE291A" w:rsidRDefault="00FE291A">
      <w:pPr>
        <w:pStyle w:val="BodyText"/>
        <w:widowControl/>
        <w:kinsoku w:val="0"/>
        <w:overflowPunct w:val="0"/>
        <w:ind w:left="0"/>
        <w:rPr>
          <w:lang w:val="de-DE"/>
        </w:rPr>
      </w:pPr>
    </w:p>
    <w:p w14:paraId="6EB5A8A6" w14:textId="77777777" w:rsidR="00FE291A" w:rsidRDefault="00C8738F">
      <w:pPr>
        <w:pStyle w:val="BodyText"/>
        <w:widowControl/>
        <w:kinsoku w:val="0"/>
        <w:overflowPunct w:val="0"/>
        <w:ind w:left="0"/>
        <w:rPr>
          <w:lang w:val="de-DE"/>
        </w:rPr>
      </w:pPr>
      <w:r>
        <w:rPr>
          <w:lang w:val="de-DE"/>
        </w:rPr>
        <w:t>Falls Sie weitere Informationen über dieses Arzneimittel wünschen, setzen Sie sich bitte mit dem örtlichen Vertreter des pharmazeutischen Unternehmers in Verbindung:</w:t>
      </w:r>
    </w:p>
    <w:p w14:paraId="4A13DDB8" w14:textId="77777777" w:rsidR="00FE291A" w:rsidRDefault="00FE291A">
      <w:pPr>
        <w:pStyle w:val="Heading1"/>
        <w:keepNext/>
        <w:widowControl/>
        <w:kinsoku w:val="0"/>
        <w:overflowPunct w:val="0"/>
        <w:ind w:left="0"/>
        <w:rPr>
          <w:b w:val="0"/>
          <w:lang w:val="de-DE"/>
        </w:rPr>
      </w:pPr>
    </w:p>
    <w:tbl>
      <w:tblPr>
        <w:tblW w:w="0" w:type="auto"/>
        <w:tblInd w:w="108" w:type="dxa"/>
        <w:tblLook w:val="04A0" w:firstRow="1" w:lastRow="0" w:firstColumn="1" w:lastColumn="0" w:noHBand="0" w:noVBand="1"/>
      </w:tblPr>
      <w:tblGrid>
        <w:gridCol w:w="4426"/>
        <w:gridCol w:w="4537"/>
      </w:tblGrid>
      <w:tr w:rsidR="00FE291A" w14:paraId="5FDD6DF3" w14:textId="77777777">
        <w:tc>
          <w:tcPr>
            <w:tcW w:w="4463" w:type="dxa"/>
          </w:tcPr>
          <w:p w14:paraId="772DA798" w14:textId="77777777" w:rsidR="00FE291A" w:rsidRDefault="00C8738F">
            <w:pPr>
              <w:pStyle w:val="lbltxt"/>
              <w:rPr>
                <w:szCs w:val="22"/>
                <w:lang w:val="de-DE"/>
              </w:rPr>
            </w:pPr>
            <w:r>
              <w:rPr>
                <w:b/>
                <w:szCs w:val="22"/>
                <w:lang w:val="de-DE"/>
              </w:rPr>
              <w:t>België/Belgique/Belgien</w:t>
            </w:r>
          </w:p>
          <w:p w14:paraId="2D836490" w14:textId="77777777" w:rsidR="00FE291A" w:rsidRDefault="00C8738F">
            <w:pPr>
              <w:pStyle w:val="lbltxt"/>
              <w:rPr>
                <w:szCs w:val="22"/>
                <w:lang w:val="de-DE"/>
              </w:rPr>
            </w:pPr>
            <w:r>
              <w:rPr>
                <w:szCs w:val="22"/>
                <w:lang w:val="de-DE"/>
              </w:rPr>
              <w:t>s.a. Amgen n.v.</w:t>
            </w:r>
          </w:p>
          <w:p w14:paraId="24B5A2FC" w14:textId="77777777" w:rsidR="00FE291A" w:rsidRDefault="00C8738F">
            <w:pPr>
              <w:widowControl/>
              <w:rPr>
                <w:sz w:val="22"/>
                <w:szCs w:val="22"/>
                <w:lang w:val="de-DE"/>
              </w:rPr>
            </w:pPr>
            <w:r>
              <w:rPr>
                <w:sz w:val="22"/>
                <w:szCs w:val="22"/>
                <w:lang w:val="de-DE"/>
              </w:rPr>
              <w:t>Tél/Tel: +32 (0)2 7752711</w:t>
            </w:r>
          </w:p>
          <w:p w14:paraId="673A59A3" w14:textId="77777777" w:rsidR="00FE291A" w:rsidRDefault="00FE291A">
            <w:pPr>
              <w:widowControl/>
              <w:kinsoku w:val="0"/>
              <w:overflowPunct w:val="0"/>
              <w:rPr>
                <w:sz w:val="22"/>
                <w:szCs w:val="22"/>
                <w:lang w:val="de-DE"/>
              </w:rPr>
            </w:pPr>
          </w:p>
        </w:tc>
        <w:tc>
          <w:tcPr>
            <w:tcW w:w="4572" w:type="dxa"/>
          </w:tcPr>
          <w:p w14:paraId="448DB5FB" w14:textId="77777777" w:rsidR="00FE291A" w:rsidRDefault="00C8738F">
            <w:pPr>
              <w:pStyle w:val="lbltxt"/>
              <w:rPr>
                <w:b/>
                <w:szCs w:val="22"/>
                <w:lang w:val="de-DE"/>
              </w:rPr>
            </w:pPr>
            <w:r>
              <w:rPr>
                <w:b/>
                <w:szCs w:val="22"/>
                <w:lang w:val="de-DE"/>
              </w:rPr>
              <w:t>Lietuva</w:t>
            </w:r>
          </w:p>
          <w:p w14:paraId="0B8B2A04" w14:textId="77777777" w:rsidR="00FE291A" w:rsidRDefault="00C8738F">
            <w:pPr>
              <w:pStyle w:val="lbltxt"/>
              <w:rPr>
                <w:bCs/>
                <w:szCs w:val="22"/>
                <w:lang w:val="de-DE"/>
              </w:rPr>
            </w:pPr>
            <w:r>
              <w:rPr>
                <w:szCs w:val="22"/>
                <w:lang w:val="de-DE"/>
              </w:rPr>
              <w:t>Amgen Switzerland AG Vilniaus filialas</w:t>
            </w:r>
          </w:p>
          <w:p w14:paraId="74D78808" w14:textId="77777777" w:rsidR="00FE291A" w:rsidRDefault="00C8738F">
            <w:pPr>
              <w:pStyle w:val="lbltxt"/>
              <w:rPr>
                <w:bCs/>
                <w:szCs w:val="22"/>
                <w:lang w:val="de-DE"/>
              </w:rPr>
            </w:pPr>
            <w:r>
              <w:rPr>
                <w:bCs/>
                <w:szCs w:val="22"/>
                <w:lang w:val="de-DE"/>
              </w:rPr>
              <w:t>Tel</w:t>
            </w:r>
            <w:ins w:id="589" w:author="Author">
              <w:r>
                <w:rPr>
                  <w:bCs/>
                  <w:szCs w:val="22"/>
                  <w:lang w:val="de-DE"/>
                </w:rPr>
                <w:t>.</w:t>
              </w:r>
            </w:ins>
            <w:del w:id="590" w:author="Author">
              <w:r>
                <w:rPr>
                  <w:bCs/>
                  <w:szCs w:val="22"/>
                  <w:lang w:val="de-DE"/>
                </w:rPr>
                <w:delText>:</w:delText>
              </w:r>
            </w:del>
            <w:r>
              <w:rPr>
                <w:bCs/>
                <w:szCs w:val="22"/>
                <w:lang w:val="de-DE"/>
              </w:rPr>
              <w:t xml:space="preserve"> +370 5 219 7474</w:t>
            </w:r>
          </w:p>
          <w:p w14:paraId="0B8A9E09" w14:textId="77777777" w:rsidR="00FE291A" w:rsidRDefault="00FE291A">
            <w:pPr>
              <w:widowControl/>
              <w:kinsoku w:val="0"/>
              <w:overflowPunct w:val="0"/>
              <w:rPr>
                <w:sz w:val="22"/>
                <w:szCs w:val="22"/>
                <w:lang w:val="de-DE"/>
              </w:rPr>
            </w:pPr>
          </w:p>
        </w:tc>
      </w:tr>
      <w:tr w:rsidR="00FE291A" w:rsidRPr="002E6CD3" w14:paraId="126DFA6F" w14:textId="77777777">
        <w:tc>
          <w:tcPr>
            <w:tcW w:w="4463" w:type="dxa"/>
          </w:tcPr>
          <w:p w14:paraId="4CCFE356" w14:textId="77777777" w:rsidR="00FE291A" w:rsidRDefault="00C8738F">
            <w:pPr>
              <w:widowControl/>
              <w:rPr>
                <w:rFonts w:eastAsia="Arial Unicode MS"/>
                <w:b/>
                <w:bCs/>
                <w:sz w:val="22"/>
                <w:szCs w:val="22"/>
                <w:lang w:val="ru-RU"/>
              </w:rPr>
            </w:pPr>
            <w:r>
              <w:rPr>
                <w:rFonts w:eastAsia="Arial Unicode MS"/>
                <w:b/>
                <w:bCs/>
                <w:sz w:val="22"/>
                <w:szCs w:val="22"/>
                <w:lang w:val="ru-RU"/>
              </w:rPr>
              <w:t>България</w:t>
            </w:r>
          </w:p>
          <w:p w14:paraId="5E512ED6" w14:textId="77777777" w:rsidR="00FE291A" w:rsidRDefault="00C8738F">
            <w:pPr>
              <w:pStyle w:val="lbltxt"/>
              <w:rPr>
                <w:rFonts w:eastAsia="Arial Unicode MS"/>
                <w:szCs w:val="22"/>
                <w:lang w:val="ru-RU" w:eastAsia="en-GB"/>
              </w:rPr>
            </w:pPr>
            <w:r>
              <w:rPr>
                <w:rFonts w:eastAsia="Arial Unicode MS"/>
                <w:szCs w:val="22"/>
                <w:lang w:val="ru-RU" w:eastAsia="en-GB"/>
              </w:rPr>
              <w:t>Амджен България ЕООД</w:t>
            </w:r>
          </w:p>
          <w:p w14:paraId="6B7EA45A" w14:textId="77777777" w:rsidR="00FE291A" w:rsidRDefault="00C8738F">
            <w:pPr>
              <w:pStyle w:val="lbltxt"/>
              <w:rPr>
                <w:rFonts w:eastAsia="Arial Unicode MS"/>
                <w:bCs/>
                <w:szCs w:val="22"/>
                <w:lang w:val="ru-RU"/>
              </w:rPr>
            </w:pPr>
            <w:r>
              <w:rPr>
                <w:rFonts w:eastAsia="Arial Unicode MS"/>
                <w:szCs w:val="22"/>
                <w:lang w:val="ru-RU" w:eastAsia="en-GB"/>
              </w:rPr>
              <w:t xml:space="preserve">Тел.: +359 </w:t>
            </w:r>
            <w:r>
              <w:rPr>
                <w:rFonts w:eastAsia="Arial Unicode MS"/>
                <w:bCs/>
                <w:szCs w:val="22"/>
                <w:lang w:val="ru-RU"/>
              </w:rPr>
              <w:t>(0)2</w:t>
            </w:r>
            <w:r>
              <w:rPr>
                <w:rFonts w:eastAsia="Arial Unicode MS"/>
                <w:bCs/>
                <w:szCs w:val="22"/>
                <w:lang w:val="en-IN"/>
              </w:rPr>
              <w:t> </w:t>
            </w:r>
            <w:r>
              <w:rPr>
                <w:rFonts w:eastAsia="Arial Unicode MS"/>
                <w:bCs/>
                <w:szCs w:val="22"/>
                <w:lang w:val="ru-RU"/>
              </w:rPr>
              <w:t>424 7440</w:t>
            </w:r>
          </w:p>
          <w:p w14:paraId="7473FE03" w14:textId="77777777" w:rsidR="00FE291A" w:rsidRDefault="00FE291A">
            <w:pPr>
              <w:widowControl/>
              <w:kinsoku w:val="0"/>
              <w:overflowPunct w:val="0"/>
              <w:rPr>
                <w:sz w:val="22"/>
                <w:szCs w:val="22"/>
                <w:lang w:val="ru-RU"/>
              </w:rPr>
            </w:pPr>
          </w:p>
        </w:tc>
        <w:tc>
          <w:tcPr>
            <w:tcW w:w="4572" w:type="dxa"/>
          </w:tcPr>
          <w:p w14:paraId="20E4B9E5" w14:textId="77777777" w:rsidR="00FE291A" w:rsidRDefault="00C8738F">
            <w:pPr>
              <w:pStyle w:val="lbltxt"/>
              <w:rPr>
                <w:szCs w:val="22"/>
                <w:lang w:val="de-DE"/>
              </w:rPr>
            </w:pPr>
            <w:r>
              <w:rPr>
                <w:b/>
                <w:szCs w:val="22"/>
                <w:lang w:val="de-DE"/>
              </w:rPr>
              <w:t>Luxembourg/Luxemburg</w:t>
            </w:r>
          </w:p>
          <w:p w14:paraId="01BC42F6" w14:textId="77777777" w:rsidR="00FE291A" w:rsidRDefault="00C8738F">
            <w:pPr>
              <w:pStyle w:val="lbltxt"/>
              <w:rPr>
                <w:szCs w:val="22"/>
                <w:lang w:val="de-DE"/>
              </w:rPr>
            </w:pPr>
            <w:r>
              <w:rPr>
                <w:szCs w:val="22"/>
                <w:lang w:val="de-DE"/>
              </w:rPr>
              <w:t xml:space="preserve">s.a. Amgen </w:t>
            </w:r>
          </w:p>
          <w:p w14:paraId="2E6196C2" w14:textId="77777777" w:rsidR="00FE291A" w:rsidRDefault="00C8738F">
            <w:pPr>
              <w:pStyle w:val="lbltxt"/>
              <w:rPr>
                <w:szCs w:val="22"/>
                <w:lang w:val="de-DE"/>
              </w:rPr>
            </w:pPr>
            <w:r>
              <w:rPr>
                <w:szCs w:val="22"/>
                <w:lang w:val="de-DE"/>
              </w:rPr>
              <w:t>Belgique/Belgien</w:t>
            </w:r>
          </w:p>
          <w:p w14:paraId="70E15D94" w14:textId="77777777" w:rsidR="00FE291A" w:rsidRDefault="00C8738F">
            <w:pPr>
              <w:pStyle w:val="lbltxt"/>
              <w:rPr>
                <w:szCs w:val="22"/>
                <w:lang w:val="de-DE"/>
              </w:rPr>
            </w:pPr>
            <w:r>
              <w:rPr>
                <w:szCs w:val="22"/>
                <w:lang w:val="de-DE"/>
              </w:rPr>
              <w:t>Tél/Tel: +32 (0)2 7752711</w:t>
            </w:r>
          </w:p>
          <w:p w14:paraId="10CFE417" w14:textId="77777777" w:rsidR="00FE291A" w:rsidRDefault="00FE291A">
            <w:pPr>
              <w:widowControl/>
              <w:kinsoku w:val="0"/>
              <w:overflowPunct w:val="0"/>
              <w:rPr>
                <w:sz w:val="22"/>
                <w:szCs w:val="22"/>
                <w:lang w:val="de-DE"/>
              </w:rPr>
            </w:pPr>
          </w:p>
        </w:tc>
      </w:tr>
      <w:tr w:rsidR="00FE291A" w14:paraId="59B82885" w14:textId="77777777">
        <w:tc>
          <w:tcPr>
            <w:tcW w:w="4463" w:type="dxa"/>
          </w:tcPr>
          <w:p w14:paraId="202D3105" w14:textId="77777777" w:rsidR="00FE291A" w:rsidRDefault="00C8738F">
            <w:pPr>
              <w:pStyle w:val="lbltxt"/>
              <w:rPr>
                <w:b/>
                <w:szCs w:val="22"/>
                <w:lang w:val="sv-SE"/>
              </w:rPr>
            </w:pPr>
            <w:r>
              <w:rPr>
                <w:b/>
                <w:szCs w:val="22"/>
                <w:lang w:val="sv-SE"/>
              </w:rPr>
              <w:t>Česká republika</w:t>
            </w:r>
          </w:p>
          <w:p w14:paraId="00BE453E" w14:textId="77777777" w:rsidR="00FE291A" w:rsidRDefault="00C8738F">
            <w:pPr>
              <w:pStyle w:val="lbltxt"/>
              <w:rPr>
                <w:bCs/>
                <w:szCs w:val="22"/>
                <w:lang w:val="sv-SE"/>
              </w:rPr>
            </w:pPr>
            <w:r>
              <w:rPr>
                <w:bCs/>
                <w:szCs w:val="22"/>
                <w:lang w:val="sv-SE"/>
              </w:rPr>
              <w:t>Amgen s.r.o.</w:t>
            </w:r>
          </w:p>
          <w:p w14:paraId="1E730663" w14:textId="77777777" w:rsidR="00FE291A" w:rsidRDefault="00C8738F">
            <w:pPr>
              <w:pStyle w:val="lbltxt"/>
              <w:rPr>
                <w:bCs/>
                <w:szCs w:val="22"/>
                <w:lang w:val="de-DE"/>
              </w:rPr>
            </w:pPr>
            <w:r>
              <w:rPr>
                <w:bCs/>
                <w:szCs w:val="22"/>
                <w:lang w:val="de-DE"/>
              </w:rPr>
              <w:t>Tel: +420 221 773 500</w:t>
            </w:r>
          </w:p>
          <w:p w14:paraId="3DC8B38C" w14:textId="77777777" w:rsidR="00FE291A" w:rsidRDefault="00FE291A">
            <w:pPr>
              <w:widowControl/>
              <w:kinsoku w:val="0"/>
              <w:overflowPunct w:val="0"/>
              <w:rPr>
                <w:sz w:val="22"/>
                <w:szCs w:val="22"/>
                <w:lang w:val="de-DE"/>
              </w:rPr>
            </w:pPr>
          </w:p>
        </w:tc>
        <w:tc>
          <w:tcPr>
            <w:tcW w:w="4572" w:type="dxa"/>
          </w:tcPr>
          <w:p w14:paraId="579CCDF3" w14:textId="77777777" w:rsidR="00FE291A" w:rsidRDefault="00C8738F">
            <w:pPr>
              <w:pStyle w:val="lbltxt"/>
              <w:rPr>
                <w:b/>
                <w:szCs w:val="22"/>
                <w:lang w:val="de-DE"/>
              </w:rPr>
            </w:pPr>
            <w:r>
              <w:rPr>
                <w:b/>
                <w:szCs w:val="22"/>
                <w:lang w:val="de-DE"/>
              </w:rPr>
              <w:t>Magyarország</w:t>
            </w:r>
          </w:p>
          <w:p w14:paraId="3595BB65" w14:textId="77777777" w:rsidR="00FE291A" w:rsidRDefault="00C8738F">
            <w:pPr>
              <w:pStyle w:val="lbltxt"/>
              <w:rPr>
                <w:bCs/>
                <w:szCs w:val="22"/>
                <w:lang w:val="de-DE"/>
              </w:rPr>
            </w:pPr>
            <w:r>
              <w:rPr>
                <w:bCs/>
                <w:szCs w:val="22"/>
                <w:lang w:val="de-DE"/>
              </w:rPr>
              <w:t>Amgen Kft.</w:t>
            </w:r>
          </w:p>
          <w:p w14:paraId="4C42DC8B" w14:textId="77777777" w:rsidR="00FE291A" w:rsidRDefault="00C8738F">
            <w:pPr>
              <w:pStyle w:val="lbltxt"/>
              <w:rPr>
                <w:bCs/>
                <w:szCs w:val="22"/>
                <w:lang w:val="de-DE"/>
              </w:rPr>
            </w:pPr>
            <w:r>
              <w:rPr>
                <w:bCs/>
                <w:szCs w:val="22"/>
                <w:lang w:val="de-DE"/>
              </w:rPr>
              <w:t>Tel.: +36 1 35 44 700</w:t>
            </w:r>
          </w:p>
          <w:p w14:paraId="3C13ABF2" w14:textId="77777777" w:rsidR="00FE291A" w:rsidRDefault="00FE291A">
            <w:pPr>
              <w:widowControl/>
              <w:kinsoku w:val="0"/>
              <w:overflowPunct w:val="0"/>
              <w:rPr>
                <w:sz w:val="22"/>
                <w:szCs w:val="22"/>
                <w:lang w:val="de-DE"/>
              </w:rPr>
            </w:pPr>
          </w:p>
        </w:tc>
      </w:tr>
      <w:tr w:rsidR="00FE291A" w14:paraId="3C4F8957" w14:textId="77777777">
        <w:tc>
          <w:tcPr>
            <w:tcW w:w="4463" w:type="dxa"/>
          </w:tcPr>
          <w:p w14:paraId="08F76CB5" w14:textId="77777777" w:rsidR="00FE291A" w:rsidRDefault="00C8738F">
            <w:pPr>
              <w:pStyle w:val="lbltxt"/>
              <w:keepNext/>
              <w:keepLines/>
              <w:rPr>
                <w:szCs w:val="22"/>
                <w:lang w:val="da-DK"/>
              </w:rPr>
            </w:pPr>
            <w:r>
              <w:rPr>
                <w:b/>
                <w:szCs w:val="22"/>
                <w:lang w:val="da-DK"/>
              </w:rPr>
              <w:t>Danmark</w:t>
            </w:r>
          </w:p>
          <w:p w14:paraId="17120EEF" w14:textId="77777777" w:rsidR="00FE291A" w:rsidRDefault="00C8738F">
            <w:pPr>
              <w:pStyle w:val="lbltxt"/>
              <w:keepNext/>
              <w:keepLines/>
              <w:rPr>
                <w:szCs w:val="22"/>
                <w:lang w:val="da-DK"/>
              </w:rPr>
            </w:pPr>
            <w:r>
              <w:rPr>
                <w:szCs w:val="22"/>
                <w:lang w:val="da-DK"/>
              </w:rPr>
              <w:t>Amgen, filial af Amgen AB, Sverige</w:t>
            </w:r>
          </w:p>
          <w:p w14:paraId="2AD39CA0" w14:textId="77777777" w:rsidR="00FE291A" w:rsidRDefault="00C8738F">
            <w:pPr>
              <w:pStyle w:val="lbltxt"/>
              <w:keepNext/>
              <w:keepLines/>
              <w:rPr>
                <w:szCs w:val="22"/>
                <w:lang w:val="de-DE"/>
              </w:rPr>
            </w:pPr>
            <w:r>
              <w:rPr>
                <w:szCs w:val="22"/>
                <w:lang w:val="de-DE"/>
              </w:rPr>
              <w:t>Tlf</w:t>
            </w:r>
            <w:ins w:id="591" w:author="Author">
              <w:r>
                <w:rPr>
                  <w:szCs w:val="22"/>
                  <w:lang w:val="de-DE"/>
                </w:rPr>
                <w:t>.</w:t>
              </w:r>
            </w:ins>
            <w:r>
              <w:rPr>
                <w:szCs w:val="22"/>
                <w:lang w:val="de-DE"/>
              </w:rPr>
              <w:t>: +45 39617500</w:t>
            </w:r>
          </w:p>
          <w:p w14:paraId="132C69A3" w14:textId="77777777" w:rsidR="00FE291A" w:rsidRDefault="00FE291A">
            <w:pPr>
              <w:keepNext/>
              <w:keepLines/>
              <w:widowControl/>
              <w:kinsoku w:val="0"/>
              <w:overflowPunct w:val="0"/>
              <w:rPr>
                <w:sz w:val="22"/>
                <w:szCs w:val="22"/>
                <w:lang w:val="de-DE"/>
              </w:rPr>
            </w:pPr>
          </w:p>
        </w:tc>
        <w:tc>
          <w:tcPr>
            <w:tcW w:w="4572" w:type="dxa"/>
          </w:tcPr>
          <w:p w14:paraId="29DD5EF1" w14:textId="77777777" w:rsidR="00FE291A" w:rsidRDefault="00C8738F">
            <w:pPr>
              <w:pStyle w:val="lbltxt"/>
              <w:keepNext/>
              <w:keepLines/>
              <w:rPr>
                <w:b/>
                <w:szCs w:val="22"/>
                <w:lang w:val="nb-NO"/>
              </w:rPr>
            </w:pPr>
            <w:r>
              <w:rPr>
                <w:b/>
                <w:szCs w:val="22"/>
                <w:lang w:val="nb-NO"/>
              </w:rPr>
              <w:t>Malta</w:t>
            </w:r>
          </w:p>
          <w:p w14:paraId="2C901D64" w14:textId="77777777" w:rsidR="00FE291A" w:rsidRDefault="00C8738F">
            <w:pPr>
              <w:pStyle w:val="lbltxt"/>
              <w:keepNext/>
              <w:keepLines/>
              <w:rPr>
                <w:szCs w:val="22"/>
                <w:lang w:val="nb-NO"/>
              </w:rPr>
            </w:pPr>
            <w:r>
              <w:rPr>
                <w:szCs w:val="22"/>
                <w:lang w:val="nb-NO"/>
              </w:rPr>
              <w:t>Amgen S.r.l.</w:t>
            </w:r>
          </w:p>
          <w:p w14:paraId="2FC45700" w14:textId="77777777" w:rsidR="00FE291A" w:rsidRDefault="00C8738F">
            <w:pPr>
              <w:pStyle w:val="lbltxt"/>
              <w:keepNext/>
              <w:keepLines/>
              <w:rPr>
                <w:szCs w:val="22"/>
                <w:lang w:val="es-ES"/>
              </w:rPr>
            </w:pPr>
            <w:r>
              <w:rPr>
                <w:szCs w:val="22"/>
                <w:lang w:val="es-ES"/>
              </w:rPr>
              <w:t>Italy</w:t>
            </w:r>
          </w:p>
          <w:p w14:paraId="1A4A7464" w14:textId="77777777" w:rsidR="00FE291A" w:rsidRDefault="00C8738F">
            <w:pPr>
              <w:pStyle w:val="lbltxt"/>
              <w:keepNext/>
              <w:keepLines/>
              <w:rPr>
                <w:szCs w:val="22"/>
                <w:lang w:val="es-ES"/>
              </w:rPr>
            </w:pPr>
            <w:r>
              <w:rPr>
                <w:szCs w:val="22"/>
                <w:lang w:val="es-ES"/>
              </w:rPr>
              <w:t>Tel: +39 02 6241121</w:t>
            </w:r>
          </w:p>
          <w:p w14:paraId="355FEE8E" w14:textId="77777777" w:rsidR="00FE291A" w:rsidRDefault="00FE291A">
            <w:pPr>
              <w:keepNext/>
              <w:keepLines/>
              <w:widowControl/>
              <w:kinsoku w:val="0"/>
              <w:overflowPunct w:val="0"/>
              <w:rPr>
                <w:sz w:val="22"/>
                <w:szCs w:val="22"/>
                <w:lang w:val="es-ES"/>
              </w:rPr>
            </w:pPr>
          </w:p>
        </w:tc>
      </w:tr>
      <w:tr w:rsidR="00FE291A" w:rsidRPr="002E6CD3" w14:paraId="65E8D385" w14:textId="77777777">
        <w:tc>
          <w:tcPr>
            <w:tcW w:w="4463" w:type="dxa"/>
          </w:tcPr>
          <w:p w14:paraId="52549A95" w14:textId="77777777" w:rsidR="00FE291A" w:rsidRDefault="00C8738F">
            <w:pPr>
              <w:pStyle w:val="lbltxt"/>
              <w:rPr>
                <w:szCs w:val="22"/>
                <w:lang w:val="de-DE"/>
              </w:rPr>
            </w:pPr>
            <w:r>
              <w:rPr>
                <w:b/>
                <w:szCs w:val="22"/>
                <w:lang w:val="de-DE"/>
              </w:rPr>
              <w:t>Deutschland</w:t>
            </w:r>
          </w:p>
          <w:p w14:paraId="12BB2704" w14:textId="77777777" w:rsidR="00FE291A" w:rsidRDefault="00C8738F">
            <w:pPr>
              <w:pStyle w:val="lbltxt"/>
              <w:rPr>
                <w:szCs w:val="22"/>
                <w:lang w:val="de-DE"/>
              </w:rPr>
            </w:pPr>
            <w:r>
              <w:rPr>
                <w:szCs w:val="22"/>
                <w:lang w:val="de-DE"/>
              </w:rPr>
              <w:t>Amgen GmbH</w:t>
            </w:r>
          </w:p>
          <w:p w14:paraId="30D4729C" w14:textId="77777777" w:rsidR="00FE291A" w:rsidRDefault="00C8738F">
            <w:pPr>
              <w:pStyle w:val="lbltxt"/>
              <w:rPr>
                <w:szCs w:val="22"/>
                <w:lang w:val="de-DE"/>
              </w:rPr>
            </w:pPr>
            <w:r>
              <w:rPr>
                <w:szCs w:val="22"/>
                <w:lang w:val="de-DE"/>
              </w:rPr>
              <w:t>Tel.: +49 89 1490960</w:t>
            </w:r>
          </w:p>
          <w:p w14:paraId="613DA050" w14:textId="77777777" w:rsidR="00FE291A" w:rsidRDefault="00FE291A">
            <w:pPr>
              <w:widowControl/>
              <w:kinsoku w:val="0"/>
              <w:overflowPunct w:val="0"/>
              <w:rPr>
                <w:sz w:val="22"/>
                <w:szCs w:val="22"/>
                <w:lang w:val="de-DE"/>
              </w:rPr>
            </w:pPr>
          </w:p>
        </w:tc>
        <w:tc>
          <w:tcPr>
            <w:tcW w:w="4572" w:type="dxa"/>
          </w:tcPr>
          <w:p w14:paraId="143C0E82" w14:textId="77777777" w:rsidR="00FE291A" w:rsidRDefault="00C8738F">
            <w:pPr>
              <w:pStyle w:val="lbltxt"/>
              <w:rPr>
                <w:szCs w:val="22"/>
                <w:lang w:val="de-DE"/>
              </w:rPr>
            </w:pPr>
            <w:r>
              <w:rPr>
                <w:b/>
                <w:szCs w:val="22"/>
                <w:lang w:val="de-DE"/>
              </w:rPr>
              <w:t>Nederland</w:t>
            </w:r>
          </w:p>
          <w:p w14:paraId="5F0544DA" w14:textId="77777777" w:rsidR="00FE291A" w:rsidRDefault="00C8738F">
            <w:pPr>
              <w:pStyle w:val="lbltxt"/>
              <w:rPr>
                <w:szCs w:val="22"/>
                <w:lang w:val="de-DE"/>
              </w:rPr>
            </w:pPr>
            <w:r>
              <w:rPr>
                <w:szCs w:val="22"/>
                <w:lang w:val="de-DE"/>
              </w:rPr>
              <w:t>Amgen B.V.</w:t>
            </w:r>
          </w:p>
          <w:p w14:paraId="682F3ECD" w14:textId="77777777" w:rsidR="00FE291A" w:rsidRDefault="00C8738F">
            <w:pPr>
              <w:pStyle w:val="lbltxt"/>
              <w:rPr>
                <w:bCs/>
                <w:szCs w:val="22"/>
                <w:lang w:val="de-DE"/>
              </w:rPr>
            </w:pPr>
            <w:r>
              <w:rPr>
                <w:szCs w:val="22"/>
                <w:lang w:val="de-DE"/>
              </w:rPr>
              <w:t>Tel: +31 (0)76 5732500</w:t>
            </w:r>
          </w:p>
          <w:p w14:paraId="778935FB" w14:textId="77777777" w:rsidR="00FE291A" w:rsidRDefault="00FE291A">
            <w:pPr>
              <w:widowControl/>
              <w:kinsoku w:val="0"/>
              <w:overflowPunct w:val="0"/>
              <w:rPr>
                <w:sz w:val="22"/>
                <w:szCs w:val="22"/>
                <w:lang w:val="de-DE"/>
              </w:rPr>
            </w:pPr>
          </w:p>
        </w:tc>
      </w:tr>
      <w:tr w:rsidR="00FE291A" w14:paraId="7999ADAC" w14:textId="77777777">
        <w:tc>
          <w:tcPr>
            <w:tcW w:w="4463" w:type="dxa"/>
          </w:tcPr>
          <w:p w14:paraId="3007808A" w14:textId="77777777" w:rsidR="00FE291A" w:rsidRPr="00211AE1" w:rsidRDefault="00C8738F">
            <w:pPr>
              <w:pStyle w:val="lbltxt"/>
              <w:rPr>
                <w:b/>
                <w:szCs w:val="22"/>
                <w:lang w:val="de-DE"/>
              </w:rPr>
            </w:pPr>
            <w:r w:rsidRPr="00211AE1">
              <w:rPr>
                <w:b/>
                <w:szCs w:val="22"/>
                <w:lang w:val="de-DE"/>
              </w:rPr>
              <w:t>Eesti</w:t>
            </w:r>
          </w:p>
          <w:p w14:paraId="2ADB0533" w14:textId="77777777" w:rsidR="00FE291A" w:rsidRPr="00211AE1" w:rsidRDefault="00C8738F">
            <w:pPr>
              <w:pStyle w:val="lbltxt"/>
              <w:rPr>
                <w:bCs/>
                <w:szCs w:val="22"/>
                <w:lang w:val="de-DE"/>
              </w:rPr>
            </w:pPr>
            <w:r w:rsidRPr="00211AE1">
              <w:rPr>
                <w:bCs/>
                <w:szCs w:val="22"/>
                <w:lang w:val="de-DE"/>
              </w:rPr>
              <w:t xml:space="preserve">Amgen Switzerland AG </w:t>
            </w:r>
            <w:r w:rsidRPr="00211AE1">
              <w:rPr>
                <w:szCs w:val="22"/>
                <w:lang w:val="de-DE"/>
              </w:rPr>
              <w:t>Vilniaus filialas</w:t>
            </w:r>
          </w:p>
          <w:p w14:paraId="2F6351EA" w14:textId="77777777" w:rsidR="00FE291A" w:rsidRDefault="00C8738F">
            <w:pPr>
              <w:pStyle w:val="lbltxt"/>
              <w:rPr>
                <w:szCs w:val="22"/>
                <w:lang w:val="de-DE"/>
              </w:rPr>
            </w:pPr>
            <w:r>
              <w:rPr>
                <w:bCs/>
                <w:szCs w:val="22"/>
                <w:lang w:val="de-DE"/>
              </w:rPr>
              <w:t>Tel: +</w:t>
            </w:r>
            <w:r>
              <w:rPr>
                <w:szCs w:val="22"/>
                <w:lang w:val="de-DE"/>
              </w:rPr>
              <w:t>372 586 09553</w:t>
            </w:r>
          </w:p>
          <w:p w14:paraId="104A566D" w14:textId="77777777" w:rsidR="00FE291A" w:rsidRDefault="00FE291A">
            <w:pPr>
              <w:widowControl/>
              <w:kinsoku w:val="0"/>
              <w:overflowPunct w:val="0"/>
              <w:rPr>
                <w:sz w:val="22"/>
                <w:szCs w:val="22"/>
                <w:lang w:val="de-DE"/>
              </w:rPr>
            </w:pPr>
          </w:p>
        </w:tc>
        <w:tc>
          <w:tcPr>
            <w:tcW w:w="4572" w:type="dxa"/>
          </w:tcPr>
          <w:p w14:paraId="0EE253F7" w14:textId="77777777" w:rsidR="00FE291A" w:rsidRDefault="00C8738F">
            <w:pPr>
              <w:pStyle w:val="lbltxt"/>
              <w:rPr>
                <w:b/>
                <w:szCs w:val="22"/>
                <w:lang w:val="de-DE"/>
              </w:rPr>
            </w:pPr>
            <w:r>
              <w:rPr>
                <w:b/>
                <w:szCs w:val="22"/>
                <w:lang w:val="de-DE"/>
              </w:rPr>
              <w:t>Norge</w:t>
            </w:r>
          </w:p>
          <w:p w14:paraId="1BBBDF55" w14:textId="77777777" w:rsidR="00FE291A" w:rsidRDefault="00C8738F">
            <w:pPr>
              <w:pStyle w:val="lbltxt"/>
              <w:rPr>
                <w:szCs w:val="22"/>
                <w:lang w:val="de-DE"/>
              </w:rPr>
            </w:pPr>
            <w:r>
              <w:rPr>
                <w:szCs w:val="22"/>
                <w:lang w:val="de-DE"/>
              </w:rPr>
              <w:t>Amgen AB</w:t>
            </w:r>
          </w:p>
          <w:p w14:paraId="117386FD" w14:textId="77777777" w:rsidR="00FE291A" w:rsidRDefault="00C8738F">
            <w:pPr>
              <w:pStyle w:val="lbltxt"/>
              <w:rPr>
                <w:szCs w:val="22"/>
                <w:lang w:val="de-DE"/>
              </w:rPr>
            </w:pPr>
            <w:r>
              <w:rPr>
                <w:szCs w:val="22"/>
                <w:lang w:val="de-DE"/>
              </w:rPr>
              <w:t>Tlf: +47 23308000</w:t>
            </w:r>
          </w:p>
          <w:p w14:paraId="180E59DA" w14:textId="77777777" w:rsidR="00FE291A" w:rsidRDefault="00FE291A">
            <w:pPr>
              <w:widowControl/>
              <w:kinsoku w:val="0"/>
              <w:overflowPunct w:val="0"/>
              <w:rPr>
                <w:sz w:val="22"/>
                <w:szCs w:val="22"/>
                <w:lang w:val="de-DE"/>
              </w:rPr>
            </w:pPr>
          </w:p>
        </w:tc>
      </w:tr>
      <w:tr w:rsidR="00FE291A" w14:paraId="7B21FBA3" w14:textId="77777777">
        <w:tc>
          <w:tcPr>
            <w:tcW w:w="4463" w:type="dxa"/>
          </w:tcPr>
          <w:p w14:paraId="17A8A981" w14:textId="77777777" w:rsidR="00FE291A" w:rsidRDefault="00C8738F">
            <w:pPr>
              <w:pStyle w:val="lbltxt"/>
              <w:rPr>
                <w:b/>
                <w:bCs/>
                <w:szCs w:val="22"/>
                <w:lang w:val="el-GR"/>
              </w:rPr>
            </w:pPr>
            <w:r>
              <w:rPr>
                <w:b/>
                <w:bCs/>
                <w:szCs w:val="22"/>
                <w:lang w:val="el-GR"/>
              </w:rPr>
              <w:t>Ελλάδα</w:t>
            </w:r>
          </w:p>
          <w:p w14:paraId="3C7B83D1" w14:textId="77777777" w:rsidR="00FE291A" w:rsidRDefault="00C8738F">
            <w:pPr>
              <w:pStyle w:val="lbltxt"/>
              <w:rPr>
                <w:szCs w:val="22"/>
                <w:lang w:val="el-GR"/>
              </w:rPr>
            </w:pPr>
            <w:r>
              <w:rPr>
                <w:szCs w:val="22"/>
                <w:lang w:val="en-IN"/>
              </w:rPr>
              <w:t>Amgen</w:t>
            </w:r>
            <w:r>
              <w:rPr>
                <w:szCs w:val="22"/>
                <w:lang w:val="el-GR"/>
              </w:rPr>
              <w:t xml:space="preserve"> Ελλάς Φαρμακευτικά Ε.Π.Ε. </w:t>
            </w:r>
          </w:p>
          <w:p w14:paraId="697CCD7A" w14:textId="77777777" w:rsidR="00FE291A" w:rsidRDefault="00C8738F">
            <w:pPr>
              <w:pStyle w:val="lbltxt"/>
              <w:rPr>
                <w:szCs w:val="22"/>
                <w:lang w:val="de-DE"/>
              </w:rPr>
            </w:pPr>
            <w:r>
              <w:rPr>
                <w:szCs w:val="22"/>
                <w:lang w:val="de-DE"/>
              </w:rPr>
              <w:t>Τηλ: +30 210 3447000</w:t>
            </w:r>
          </w:p>
          <w:p w14:paraId="73E3B861" w14:textId="77777777" w:rsidR="00FE291A" w:rsidRDefault="00FE291A">
            <w:pPr>
              <w:widowControl/>
              <w:kinsoku w:val="0"/>
              <w:overflowPunct w:val="0"/>
              <w:rPr>
                <w:sz w:val="22"/>
                <w:szCs w:val="22"/>
                <w:lang w:val="de-DE"/>
              </w:rPr>
            </w:pPr>
          </w:p>
        </w:tc>
        <w:tc>
          <w:tcPr>
            <w:tcW w:w="4572" w:type="dxa"/>
          </w:tcPr>
          <w:p w14:paraId="02255322" w14:textId="77777777" w:rsidR="00FE291A" w:rsidRDefault="00C8738F">
            <w:pPr>
              <w:pStyle w:val="lbltxt"/>
              <w:rPr>
                <w:szCs w:val="22"/>
                <w:lang w:val="de-DE"/>
              </w:rPr>
            </w:pPr>
            <w:r>
              <w:rPr>
                <w:b/>
                <w:szCs w:val="22"/>
                <w:lang w:val="de-DE"/>
              </w:rPr>
              <w:t>Österreich</w:t>
            </w:r>
          </w:p>
          <w:p w14:paraId="6CF2F66C" w14:textId="77777777" w:rsidR="00FE291A" w:rsidRDefault="00C8738F">
            <w:pPr>
              <w:pStyle w:val="lbltxt"/>
              <w:rPr>
                <w:szCs w:val="22"/>
                <w:lang w:val="de-DE"/>
              </w:rPr>
            </w:pPr>
            <w:r>
              <w:rPr>
                <w:szCs w:val="22"/>
                <w:lang w:val="de-DE"/>
              </w:rPr>
              <w:t xml:space="preserve">Amgen GmbH </w:t>
            </w:r>
          </w:p>
          <w:p w14:paraId="3FE47A7C" w14:textId="77777777" w:rsidR="00FE291A" w:rsidRDefault="00C8738F">
            <w:pPr>
              <w:pStyle w:val="lbltxt"/>
              <w:rPr>
                <w:szCs w:val="22"/>
                <w:lang w:val="de-DE"/>
              </w:rPr>
            </w:pPr>
            <w:r>
              <w:rPr>
                <w:szCs w:val="22"/>
                <w:lang w:val="de-DE"/>
              </w:rPr>
              <w:t>Tel: +43 (0)1 50 217</w:t>
            </w:r>
          </w:p>
          <w:p w14:paraId="3B3BAB28" w14:textId="77777777" w:rsidR="00FE291A" w:rsidRDefault="00FE291A">
            <w:pPr>
              <w:widowControl/>
              <w:kinsoku w:val="0"/>
              <w:overflowPunct w:val="0"/>
              <w:rPr>
                <w:sz w:val="22"/>
                <w:szCs w:val="22"/>
                <w:lang w:val="de-DE"/>
              </w:rPr>
            </w:pPr>
          </w:p>
        </w:tc>
      </w:tr>
      <w:tr w:rsidR="00FE291A" w14:paraId="0EEF79D4" w14:textId="77777777">
        <w:tc>
          <w:tcPr>
            <w:tcW w:w="4463" w:type="dxa"/>
          </w:tcPr>
          <w:p w14:paraId="61BFA1CF" w14:textId="77777777" w:rsidR="00FE291A" w:rsidRDefault="00C8738F">
            <w:pPr>
              <w:pStyle w:val="lbltxt"/>
              <w:keepLines/>
              <w:rPr>
                <w:szCs w:val="22"/>
                <w:lang w:val="es-ES"/>
              </w:rPr>
            </w:pPr>
            <w:r>
              <w:rPr>
                <w:b/>
                <w:szCs w:val="22"/>
                <w:lang w:val="es-ES"/>
              </w:rPr>
              <w:t>España</w:t>
            </w:r>
          </w:p>
          <w:p w14:paraId="0FAF7D4F" w14:textId="77777777" w:rsidR="00FE291A" w:rsidRDefault="00C8738F">
            <w:pPr>
              <w:pStyle w:val="lbltxt"/>
              <w:keepLines/>
              <w:rPr>
                <w:szCs w:val="22"/>
                <w:lang w:val="es-ES"/>
              </w:rPr>
            </w:pPr>
            <w:r>
              <w:rPr>
                <w:szCs w:val="22"/>
                <w:lang w:val="es-ES"/>
              </w:rPr>
              <w:t>Amgen S.A.</w:t>
            </w:r>
          </w:p>
          <w:p w14:paraId="5A6703E2" w14:textId="77777777" w:rsidR="00FE291A" w:rsidRDefault="00C8738F">
            <w:pPr>
              <w:pStyle w:val="lbltxt"/>
              <w:keepLines/>
              <w:rPr>
                <w:rStyle w:val="Initial"/>
                <w:sz w:val="22"/>
                <w:szCs w:val="22"/>
                <w:lang w:val="es-ES"/>
              </w:rPr>
            </w:pPr>
            <w:r>
              <w:rPr>
                <w:szCs w:val="22"/>
                <w:lang w:val="es-ES"/>
              </w:rPr>
              <w:t xml:space="preserve">Tel: +34 93 600 18 60 </w:t>
            </w:r>
          </w:p>
          <w:p w14:paraId="3D0CDA2E" w14:textId="77777777" w:rsidR="00FE291A" w:rsidRDefault="00FE291A">
            <w:pPr>
              <w:keepLines/>
              <w:widowControl/>
              <w:kinsoku w:val="0"/>
              <w:overflowPunct w:val="0"/>
              <w:rPr>
                <w:sz w:val="22"/>
                <w:szCs w:val="22"/>
                <w:lang w:val="es-ES"/>
              </w:rPr>
            </w:pPr>
          </w:p>
        </w:tc>
        <w:tc>
          <w:tcPr>
            <w:tcW w:w="4572" w:type="dxa"/>
          </w:tcPr>
          <w:p w14:paraId="311AF1D3" w14:textId="77777777" w:rsidR="00FE291A" w:rsidRDefault="00C8738F">
            <w:pPr>
              <w:pStyle w:val="lbltxt"/>
              <w:keepNext/>
              <w:rPr>
                <w:b/>
                <w:szCs w:val="22"/>
                <w:lang w:val="pl-PL"/>
              </w:rPr>
            </w:pPr>
            <w:r>
              <w:rPr>
                <w:b/>
                <w:szCs w:val="22"/>
                <w:lang w:val="pl-PL"/>
              </w:rPr>
              <w:t>Polska</w:t>
            </w:r>
          </w:p>
          <w:p w14:paraId="71BC00B1" w14:textId="77777777" w:rsidR="00FE291A" w:rsidRDefault="00C8738F">
            <w:pPr>
              <w:pStyle w:val="lbltxt"/>
              <w:keepNext/>
              <w:rPr>
                <w:szCs w:val="22"/>
                <w:lang w:val="pl-PL"/>
              </w:rPr>
            </w:pPr>
            <w:r>
              <w:rPr>
                <w:szCs w:val="22"/>
                <w:lang w:val="pl-PL"/>
              </w:rPr>
              <w:t xml:space="preserve">Amgen </w:t>
            </w:r>
            <w:r>
              <w:rPr>
                <w:color w:val="000000"/>
                <w:szCs w:val="22"/>
                <w:lang w:val="pl-PL" w:eastAsia="en-GB"/>
              </w:rPr>
              <w:t>Biotechnologia</w:t>
            </w:r>
            <w:r>
              <w:rPr>
                <w:szCs w:val="22"/>
                <w:lang w:val="pl-PL"/>
              </w:rPr>
              <w:t xml:space="preserve"> Sp. z o.o.</w:t>
            </w:r>
          </w:p>
          <w:p w14:paraId="54738CB9" w14:textId="77777777" w:rsidR="00FE291A" w:rsidRDefault="00C8738F">
            <w:pPr>
              <w:pStyle w:val="lbltxt"/>
              <w:keepNext/>
              <w:rPr>
                <w:bCs/>
                <w:szCs w:val="22"/>
                <w:lang w:val="de-DE"/>
              </w:rPr>
            </w:pPr>
            <w:r>
              <w:rPr>
                <w:bCs/>
                <w:szCs w:val="22"/>
                <w:lang w:val="de-DE"/>
              </w:rPr>
              <w:t>Tel.: +48 22 581 3000</w:t>
            </w:r>
          </w:p>
          <w:p w14:paraId="6FEA69F3" w14:textId="77777777" w:rsidR="00FE291A" w:rsidRDefault="00FE291A">
            <w:pPr>
              <w:widowControl/>
              <w:kinsoku w:val="0"/>
              <w:overflowPunct w:val="0"/>
              <w:rPr>
                <w:sz w:val="22"/>
                <w:szCs w:val="22"/>
                <w:lang w:val="de-DE"/>
              </w:rPr>
            </w:pPr>
          </w:p>
        </w:tc>
      </w:tr>
      <w:tr w:rsidR="00FE291A" w14:paraId="18BB71E2" w14:textId="77777777">
        <w:tc>
          <w:tcPr>
            <w:tcW w:w="4463" w:type="dxa"/>
          </w:tcPr>
          <w:p w14:paraId="142178E2" w14:textId="77777777" w:rsidR="00FE291A" w:rsidRDefault="00C8738F">
            <w:pPr>
              <w:pStyle w:val="lbltxt"/>
              <w:rPr>
                <w:szCs w:val="22"/>
                <w:lang w:val="fr-FR"/>
              </w:rPr>
            </w:pPr>
            <w:r>
              <w:rPr>
                <w:b/>
                <w:szCs w:val="22"/>
                <w:lang w:val="fr-FR"/>
              </w:rPr>
              <w:t>France</w:t>
            </w:r>
          </w:p>
          <w:p w14:paraId="632738C9" w14:textId="77777777" w:rsidR="00FE291A" w:rsidRDefault="00C8738F">
            <w:pPr>
              <w:pStyle w:val="lbltxt"/>
              <w:rPr>
                <w:szCs w:val="22"/>
                <w:lang w:val="fr-FR"/>
              </w:rPr>
            </w:pPr>
            <w:r>
              <w:rPr>
                <w:szCs w:val="22"/>
                <w:lang w:val="fr-FR"/>
              </w:rPr>
              <w:t>Amgen S.A.S.</w:t>
            </w:r>
          </w:p>
          <w:p w14:paraId="72BA6A2E" w14:textId="77777777" w:rsidR="00FE291A" w:rsidRDefault="00C8738F">
            <w:pPr>
              <w:widowControl/>
              <w:rPr>
                <w:sz w:val="22"/>
                <w:szCs w:val="22"/>
                <w:lang w:val="fr-FR"/>
              </w:rPr>
            </w:pPr>
            <w:r>
              <w:rPr>
                <w:sz w:val="22"/>
                <w:szCs w:val="22"/>
                <w:lang w:val="fr-FR"/>
              </w:rPr>
              <w:t>Tél: +33 (0)9 69 363 363</w:t>
            </w:r>
          </w:p>
          <w:p w14:paraId="74886DE1" w14:textId="77777777" w:rsidR="00FE291A" w:rsidRDefault="00FE291A">
            <w:pPr>
              <w:widowControl/>
              <w:kinsoku w:val="0"/>
              <w:overflowPunct w:val="0"/>
              <w:rPr>
                <w:sz w:val="22"/>
                <w:szCs w:val="22"/>
                <w:lang w:val="fr-FR"/>
              </w:rPr>
            </w:pPr>
          </w:p>
        </w:tc>
        <w:tc>
          <w:tcPr>
            <w:tcW w:w="4572" w:type="dxa"/>
          </w:tcPr>
          <w:p w14:paraId="30EC44A7" w14:textId="77777777" w:rsidR="00FE291A" w:rsidRDefault="00C8738F">
            <w:pPr>
              <w:pStyle w:val="lbltxt"/>
              <w:rPr>
                <w:szCs w:val="22"/>
                <w:lang w:val="es-ES"/>
              </w:rPr>
            </w:pPr>
            <w:r>
              <w:rPr>
                <w:b/>
                <w:szCs w:val="22"/>
                <w:lang w:val="es-ES"/>
              </w:rPr>
              <w:t>Portugal</w:t>
            </w:r>
          </w:p>
          <w:p w14:paraId="73129481" w14:textId="77777777" w:rsidR="00FE291A" w:rsidRDefault="00C8738F">
            <w:pPr>
              <w:pStyle w:val="lbltxt"/>
              <w:rPr>
                <w:szCs w:val="22"/>
                <w:lang w:val="es-ES"/>
              </w:rPr>
            </w:pPr>
            <w:r>
              <w:rPr>
                <w:szCs w:val="22"/>
                <w:lang w:val="es-ES"/>
              </w:rPr>
              <w:t>Amgen Biofarmacêutica, Lda.</w:t>
            </w:r>
          </w:p>
          <w:p w14:paraId="2AD810E6" w14:textId="77777777" w:rsidR="00FE291A" w:rsidRDefault="00C8738F">
            <w:pPr>
              <w:pStyle w:val="lbltxt"/>
              <w:rPr>
                <w:szCs w:val="22"/>
                <w:lang w:val="es-ES"/>
              </w:rPr>
            </w:pPr>
            <w:r>
              <w:rPr>
                <w:szCs w:val="22"/>
                <w:lang w:val="es-ES"/>
              </w:rPr>
              <w:t>Tel: +351 21 4220606</w:t>
            </w:r>
          </w:p>
          <w:p w14:paraId="3E0D2118" w14:textId="77777777" w:rsidR="00FE291A" w:rsidRDefault="00FE291A">
            <w:pPr>
              <w:widowControl/>
              <w:kinsoku w:val="0"/>
              <w:overflowPunct w:val="0"/>
              <w:rPr>
                <w:sz w:val="22"/>
                <w:szCs w:val="22"/>
                <w:lang w:val="es-ES"/>
              </w:rPr>
            </w:pPr>
          </w:p>
        </w:tc>
      </w:tr>
      <w:tr w:rsidR="00FE291A" w14:paraId="30E37864" w14:textId="77777777">
        <w:tc>
          <w:tcPr>
            <w:tcW w:w="4463" w:type="dxa"/>
          </w:tcPr>
          <w:p w14:paraId="6A0CAE9C" w14:textId="77777777" w:rsidR="00FE291A" w:rsidRDefault="00C8738F">
            <w:pPr>
              <w:keepNext/>
              <w:keepLines/>
              <w:widowControl/>
              <w:rPr>
                <w:sz w:val="22"/>
                <w:szCs w:val="22"/>
                <w:lang w:val="sv-SE"/>
              </w:rPr>
            </w:pPr>
            <w:r>
              <w:rPr>
                <w:b/>
                <w:sz w:val="22"/>
                <w:szCs w:val="22"/>
                <w:lang w:val="sv-SE"/>
              </w:rPr>
              <w:t>Hrvatska</w:t>
            </w:r>
          </w:p>
          <w:p w14:paraId="039389C4" w14:textId="77777777" w:rsidR="00FE291A" w:rsidRDefault="00C8738F">
            <w:pPr>
              <w:keepNext/>
              <w:keepLines/>
              <w:widowControl/>
              <w:rPr>
                <w:sz w:val="22"/>
                <w:szCs w:val="22"/>
                <w:lang w:val="sv-SE"/>
              </w:rPr>
            </w:pPr>
            <w:r>
              <w:rPr>
                <w:sz w:val="22"/>
                <w:szCs w:val="22"/>
                <w:lang w:val="sv-SE"/>
              </w:rPr>
              <w:t>Amgen d.o.o.</w:t>
            </w:r>
          </w:p>
          <w:p w14:paraId="4E18D7AE" w14:textId="77777777" w:rsidR="00FE291A" w:rsidRDefault="00C8738F">
            <w:pPr>
              <w:keepNext/>
              <w:keepLines/>
              <w:widowControl/>
              <w:rPr>
                <w:sz w:val="22"/>
                <w:szCs w:val="22"/>
                <w:lang w:val="de-DE"/>
              </w:rPr>
            </w:pPr>
            <w:r>
              <w:rPr>
                <w:sz w:val="22"/>
                <w:szCs w:val="22"/>
                <w:lang w:val="de-DE"/>
              </w:rPr>
              <w:t>Tel: +385 (0)1 562 57 20</w:t>
            </w:r>
          </w:p>
          <w:p w14:paraId="2A16FFE2" w14:textId="77777777" w:rsidR="00FE291A" w:rsidRDefault="00FE291A">
            <w:pPr>
              <w:widowControl/>
              <w:kinsoku w:val="0"/>
              <w:overflowPunct w:val="0"/>
              <w:rPr>
                <w:sz w:val="22"/>
                <w:szCs w:val="22"/>
                <w:lang w:val="de-DE"/>
              </w:rPr>
            </w:pPr>
          </w:p>
        </w:tc>
        <w:tc>
          <w:tcPr>
            <w:tcW w:w="4572" w:type="dxa"/>
          </w:tcPr>
          <w:p w14:paraId="4F635A7E" w14:textId="77777777" w:rsidR="00FE291A" w:rsidRDefault="00C8738F">
            <w:pPr>
              <w:keepNext/>
              <w:keepLines/>
              <w:widowControl/>
              <w:suppressAutoHyphens/>
              <w:rPr>
                <w:b/>
                <w:sz w:val="22"/>
                <w:szCs w:val="22"/>
                <w:lang w:val="it-IT"/>
              </w:rPr>
            </w:pPr>
            <w:r>
              <w:rPr>
                <w:b/>
                <w:sz w:val="22"/>
                <w:szCs w:val="22"/>
                <w:lang w:val="it-IT"/>
              </w:rPr>
              <w:t>România</w:t>
            </w:r>
          </w:p>
          <w:p w14:paraId="31936200" w14:textId="77777777" w:rsidR="00FE291A" w:rsidRDefault="00C8738F">
            <w:pPr>
              <w:keepNext/>
              <w:keepLines/>
              <w:widowControl/>
              <w:rPr>
                <w:color w:val="000000"/>
                <w:sz w:val="22"/>
                <w:szCs w:val="22"/>
                <w:lang w:val="it-IT"/>
              </w:rPr>
            </w:pPr>
            <w:r>
              <w:rPr>
                <w:color w:val="000000"/>
                <w:sz w:val="22"/>
                <w:szCs w:val="22"/>
                <w:lang w:val="it-IT"/>
              </w:rPr>
              <w:t>Amgen România SRL</w:t>
            </w:r>
          </w:p>
          <w:p w14:paraId="7E2365C0" w14:textId="77777777" w:rsidR="00FE291A" w:rsidRDefault="00C8738F">
            <w:pPr>
              <w:pStyle w:val="lbltxt"/>
              <w:keepNext/>
              <w:keepLines/>
              <w:rPr>
                <w:szCs w:val="22"/>
                <w:lang w:val="it-IT"/>
              </w:rPr>
            </w:pPr>
            <w:r>
              <w:rPr>
                <w:szCs w:val="22"/>
                <w:lang w:val="it-IT"/>
              </w:rPr>
              <w:t>Tel: +4021 527 3000</w:t>
            </w:r>
          </w:p>
          <w:p w14:paraId="2F036918" w14:textId="77777777" w:rsidR="00FE291A" w:rsidRDefault="00FE291A">
            <w:pPr>
              <w:widowControl/>
              <w:kinsoku w:val="0"/>
              <w:overflowPunct w:val="0"/>
              <w:rPr>
                <w:sz w:val="22"/>
                <w:szCs w:val="22"/>
                <w:lang w:val="it-IT"/>
              </w:rPr>
            </w:pPr>
          </w:p>
        </w:tc>
      </w:tr>
      <w:tr w:rsidR="00FE291A" w14:paraId="64540206" w14:textId="77777777">
        <w:tc>
          <w:tcPr>
            <w:tcW w:w="4463" w:type="dxa"/>
          </w:tcPr>
          <w:p w14:paraId="218E506C" w14:textId="77777777" w:rsidR="00FE291A" w:rsidRDefault="00C8738F">
            <w:pPr>
              <w:pStyle w:val="lbltxt"/>
              <w:rPr>
                <w:rFonts w:eastAsia="Arial Unicode MS"/>
                <w:b/>
                <w:szCs w:val="22"/>
                <w:lang w:val="en-US"/>
              </w:rPr>
            </w:pPr>
            <w:r>
              <w:rPr>
                <w:rFonts w:eastAsia="Arial Unicode MS"/>
                <w:b/>
                <w:szCs w:val="22"/>
                <w:lang w:val="en-US"/>
              </w:rPr>
              <w:t>Ireland</w:t>
            </w:r>
          </w:p>
          <w:p w14:paraId="6BB00CA2" w14:textId="77777777" w:rsidR="00FE291A" w:rsidRDefault="00C8738F">
            <w:pPr>
              <w:pStyle w:val="lbltxt"/>
              <w:rPr>
                <w:rFonts w:eastAsia="Arial Unicode MS"/>
                <w:bCs/>
                <w:szCs w:val="22"/>
                <w:lang w:val="en-US"/>
              </w:rPr>
            </w:pPr>
            <w:r>
              <w:rPr>
                <w:rFonts w:eastAsia="Arial Unicode MS"/>
                <w:bCs/>
                <w:szCs w:val="22"/>
                <w:lang w:val="en-US"/>
              </w:rPr>
              <w:t>Amgen Ireland Limited</w:t>
            </w:r>
          </w:p>
          <w:p w14:paraId="5BE1950A" w14:textId="77777777" w:rsidR="00FE291A" w:rsidRDefault="00C8738F">
            <w:pPr>
              <w:pStyle w:val="lbltxt"/>
              <w:rPr>
                <w:rStyle w:val="Initial"/>
                <w:rFonts w:eastAsia="Arial Unicode MS"/>
                <w:bCs/>
                <w:sz w:val="22"/>
                <w:szCs w:val="22"/>
                <w:lang w:val="en-US"/>
              </w:rPr>
            </w:pPr>
            <w:r>
              <w:rPr>
                <w:rFonts w:eastAsia="Arial Unicode MS"/>
                <w:bCs/>
                <w:szCs w:val="22"/>
                <w:lang w:val="en-US"/>
              </w:rPr>
              <w:t>Tel: +353 1 8527400</w:t>
            </w:r>
          </w:p>
          <w:p w14:paraId="781F99F0" w14:textId="77777777" w:rsidR="00FE291A" w:rsidRDefault="00FE291A">
            <w:pPr>
              <w:widowControl/>
              <w:kinsoku w:val="0"/>
              <w:overflowPunct w:val="0"/>
              <w:rPr>
                <w:sz w:val="22"/>
                <w:szCs w:val="22"/>
                <w:lang w:val="en-US"/>
              </w:rPr>
            </w:pPr>
          </w:p>
        </w:tc>
        <w:tc>
          <w:tcPr>
            <w:tcW w:w="4572" w:type="dxa"/>
          </w:tcPr>
          <w:p w14:paraId="6F618F4F" w14:textId="77777777" w:rsidR="00FE291A" w:rsidRDefault="00C8738F">
            <w:pPr>
              <w:pStyle w:val="lbltxt"/>
              <w:rPr>
                <w:b/>
                <w:szCs w:val="22"/>
                <w:lang w:val="en-US"/>
              </w:rPr>
            </w:pPr>
            <w:r>
              <w:rPr>
                <w:b/>
                <w:szCs w:val="22"/>
                <w:lang w:val="en-US"/>
              </w:rPr>
              <w:t>Slovenija</w:t>
            </w:r>
          </w:p>
          <w:p w14:paraId="0CC3C51C" w14:textId="77777777" w:rsidR="00FE291A" w:rsidRDefault="00C8738F">
            <w:pPr>
              <w:pStyle w:val="lbltxt"/>
              <w:rPr>
                <w:bCs/>
                <w:szCs w:val="22"/>
                <w:lang w:val="en-US"/>
              </w:rPr>
            </w:pPr>
            <w:r>
              <w:rPr>
                <w:szCs w:val="22"/>
                <w:lang w:val="en-US"/>
              </w:rPr>
              <w:t>AMGEN zdravila d.o.o.</w:t>
            </w:r>
          </w:p>
          <w:p w14:paraId="4D6D7CF1" w14:textId="77777777" w:rsidR="00FE291A" w:rsidRDefault="00C8738F">
            <w:pPr>
              <w:pStyle w:val="lbltxt"/>
              <w:rPr>
                <w:bCs/>
                <w:szCs w:val="22"/>
                <w:lang w:val="en-US"/>
              </w:rPr>
            </w:pPr>
            <w:r>
              <w:rPr>
                <w:bCs/>
                <w:szCs w:val="22"/>
                <w:lang w:val="en-US"/>
              </w:rPr>
              <w:t>Tel: +386 (0)1 585 1767</w:t>
            </w:r>
          </w:p>
          <w:p w14:paraId="7C5F051C" w14:textId="77777777" w:rsidR="00FE291A" w:rsidRDefault="00FE291A">
            <w:pPr>
              <w:widowControl/>
              <w:kinsoku w:val="0"/>
              <w:overflowPunct w:val="0"/>
              <w:rPr>
                <w:sz w:val="22"/>
                <w:szCs w:val="22"/>
                <w:lang w:val="en-US"/>
              </w:rPr>
            </w:pPr>
          </w:p>
        </w:tc>
      </w:tr>
      <w:tr w:rsidR="00FE291A" w14:paraId="3079CFFF" w14:textId="77777777">
        <w:tc>
          <w:tcPr>
            <w:tcW w:w="4463" w:type="dxa"/>
          </w:tcPr>
          <w:p w14:paraId="05DE8DF4" w14:textId="77777777" w:rsidR="00FE291A" w:rsidRDefault="00C8738F">
            <w:pPr>
              <w:pStyle w:val="lbltxt"/>
              <w:keepNext/>
              <w:keepLines/>
              <w:rPr>
                <w:b/>
                <w:szCs w:val="22"/>
                <w:lang w:val="de-DE"/>
              </w:rPr>
            </w:pPr>
            <w:r>
              <w:rPr>
                <w:b/>
                <w:szCs w:val="22"/>
                <w:lang w:val="de-DE"/>
              </w:rPr>
              <w:t>Ísland</w:t>
            </w:r>
          </w:p>
          <w:p w14:paraId="45F88116" w14:textId="77777777" w:rsidR="00FE291A" w:rsidRDefault="00C8738F">
            <w:pPr>
              <w:pStyle w:val="lbltxt"/>
              <w:keepNext/>
              <w:keepLines/>
              <w:rPr>
                <w:szCs w:val="22"/>
                <w:lang w:val="de-DE"/>
              </w:rPr>
            </w:pPr>
            <w:r>
              <w:rPr>
                <w:szCs w:val="22"/>
                <w:lang w:val="de-DE"/>
              </w:rPr>
              <w:t>Vistor</w:t>
            </w:r>
            <w:del w:id="592" w:author="Author">
              <w:r>
                <w:rPr>
                  <w:szCs w:val="22"/>
                  <w:lang w:val="de-DE"/>
                </w:rPr>
                <w:delText xml:space="preserve"> hf.</w:delText>
              </w:r>
            </w:del>
          </w:p>
          <w:p w14:paraId="697D12B7" w14:textId="77777777" w:rsidR="00FE291A" w:rsidRDefault="00C8738F">
            <w:pPr>
              <w:pStyle w:val="lbltxt"/>
              <w:keepNext/>
              <w:keepLines/>
              <w:rPr>
                <w:szCs w:val="22"/>
                <w:lang w:val="de-DE"/>
              </w:rPr>
            </w:pPr>
            <w:r>
              <w:rPr>
                <w:szCs w:val="22"/>
                <w:lang w:val="de-DE"/>
              </w:rPr>
              <w:t>Sími: +354 535 7000</w:t>
            </w:r>
          </w:p>
          <w:p w14:paraId="7E43DBA1" w14:textId="77777777" w:rsidR="00FE291A" w:rsidRDefault="00FE291A">
            <w:pPr>
              <w:keepNext/>
              <w:keepLines/>
              <w:widowControl/>
              <w:kinsoku w:val="0"/>
              <w:overflowPunct w:val="0"/>
              <w:rPr>
                <w:sz w:val="22"/>
                <w:szCs w:val="22"/>
                <w:lang w:val="de-DE"/>
              </w:rPr>
            </w:pPr>
          </w:p>
        </w:tc>
        <w:tc>
          <w:tcPr>
            <w:tcW w:w="4572" w:type="dxa"/>
          </w:tcPr>
          <w:p w14:paraId="0C4DB7F0" w14:textId="77777777" w:rsidR="00FE291A" w:rsidRDefault="00C8738F">
            <w:pPr>
              <w:pStyle w:val="lbltxt"/>
              <w:keepNext/>
              <w:keepLines/>
              <w:rPr>
                <w:b/>
                <w:szCs w:val="22"/>
                <w:lang w:val="de-DE"/>
              </w:rPr>
            </w:pPr>
            <w:r>
              <w:rPr>
                <w:b/>
                <w:szCs w:val="22"/>
                <w:lang w:val="de-DE"/>
              </w:rPr>
              <w:t>Slovenská republika</w:t>
            </w:r>
          </w:p>
          <w:p w14:paraId="1C961CD3" w14:textId="77777777" w:rsidR="00FE291A" w:rsidRDefault="00C8738F">
            <w:pPr>
              <w:pStyle w:val="lbltxt"/>
              <w:keepNext/>
              <w:keepLines/>
              <w:rPr>
                <w:bCs/>
                <w:szCs w:val="22"/>
                <w:lang w:val="de-DE"/>
              </w:rPr>
            </w:pPr>
            <w:r>
              <w:rPr>
                <w:bCs/>
                <w:szCs w:val="22"/>
                <w:lang w:val="de-DE"/>
              </w:rPr>
              <w:t>Amgen Slovakia s.r.o.</w:t>
            </w:r>
          </w:p>
          <w:p w14:paraId="45DC8BB1" w14:textId="77777777" w:rsidR="00FE291A" w:rsidRDefault="00C8738F">
            <w:pPr>
              <w:pStyle w:val="lbltxt"/>
              <w:keepNext/>
              <w:keepLines/>
              <w:rPr>
                <w:bCs/>
                <w:szCs w:val="22"/>
                <w:lang w:val="de-DE"/>
              </w:rPr>
            </w:pPr>
            <w:r>
              <w:rPr>
                <w:bCs/>
                <w:szCs w:val="22"/>
                <w:lang w:val="de-DE"/>
              </w:rPr>
              <w:t>Tel: +421 2 321 114 49</w:t>
            </w:r>
          </w:p>
          <w:p w14:paraId="38E7D241" w14:textId="77777777" w:rsidR="00FE291A" w:rsidRDefault="00FE291A">
            <w:pPr>
              <w:keepNext/>
              <w:keepLines/>
              <w:widowControl/>
              <w:kinsoku w:val="0"/>
              <w:overflowPunct w:val="0"/>
              <w:rPr>
                <w:sz w:val="22"/>
                <w:szCs w:val="22"/>
                <w:lang w:val="de-DE"/>
              </w:rPr>
            </w:pPr>
          </w:p>
        </w:tc>
      </w:tr>
      <w:tr w:rsidR="00FE291A" w14:paraId="7E6C12EE" w14:textId="77777777">
        <w:tc>
          <w:tcPr>
            <w:tcW w:w="4463" w:type="dxa"/>
          </w:tcPr>
          <w:p w14:paraId="4C2D2EF2" w14:textId="77777777" w:rsidR="00FE291A" w:rsidRDefault="00C8738F">
            <w:pPr>
              <w:pStyle w:val="lbltxt"/>
              <w:rPr>
                <w:szCs w:val="22"/>
                <w:lang w:val="es-ES"/>
              </w:rPr>
            </w:pPr>
            <w:r>
              <w:rPr>
                <w:b/>
                <w:szCs w:val="22"/>
                <w:lang w:val="es-ES"/>
              </w:rPr>
              <w:t>Italia</w:t>
            </w:r>
          </w:p>
          <w:p w14:paraId="7C6ED46D" w14:textId="77777777" w:rsidR="00FE291A" w:rsidRDefault="00C8738F">
            <w:pPr>
              <w:pStyle w:val="lbltxt"/>
              <w:rPr>
                <w:szCs w:val="22"/>
                <w:lang w:val="es-ES"/>
              </w:rPr>
            </w:pPr>
            <w:r>
              <w:rPr>
                <w:szCs w:val="22"/>
                <w:lang w:val="es-ES"/>
              </w:rPr>
              <w:t>Amgen S.r.l.</w:t>
            </w:r>
          </w:p>
          <w:p w14:paraId="42D8439F" w14:textId="77777777" w:rsidR="00FE291A" w:rsidRDefault="00C8738F">
            <w:pPr>
              <w:pStyle w:val="lbltxt"/>
              <w:rPr>
                <w:szCs w:val="22"/>
                <w:lang w:val="de-DE"/>
              </w:rPr>
            </w:pPr>
            <w:r>
              <w:rPr>
                <w:szCs w:val="22"/>
                <w:lang w:val="de-DE"/>
              </w:rPr>
              <w:t>Tel: +39 02 6241121</w:t>
            </w:r>
          </w:p>
          <w:p w14:paraId="7DA7057F" w14:textId="77777777" w:rsidR="00FE291A" w:rsidRDefault="00FE291A">
            <w:pPr>
              <w:widowControl/>
              <w:kinsoku w:val="0"/>
              <w:overflowPunct w:val="0"/>
              <w:rPr>
                <w:sz w:val="22"/>
                <w:szCs w:val="22"/>
                <w:lang w:val="de-DE"/>
              </w:rPr>
            </w:pPr>
          </w:p>
        </w:tc>
        <w:tc>
          <w:tcPr>
            <w:tcW w:w="4572" w:type="dxa"/>
          </w:tcPr>
          <w:p w14:paraId="0B8AD812" w14:textId="77777777" w:rsidR="00FE291A" w:rsidRDefault="00C8738F">
            <w:pPr>
              <w:pStyle w:val="lbltxt"/>
              <w:rPr>
                <w:szCs w:val="22"/>
                <w:lang w:val="de-DE"/>
              </w:rPr>
            </w:pPr>
            <w:r>
              <w:rPr>
                <w:b/>
                <w:szCs w:val="22"/>
                <w:lang w:val="de-DE"/>
              </w:rPr>
              <w:t>Suomi/Finland</w:t>
            </w:r>
          </w:p>
          <w:p w14:paraId="688FD2A0" w14:textId="77777777" w:rsidR="00FE291A" w:rsidRDefault="00C8738F">
            <w:pPr>
              <w:pStyle w:val="lbltxt"/>
              <w:rPr>
                <w:szCs w:val="22"/>
                <w:lang w:val="de-DE"/>
              </w:rPr>
            </w:pPr>
            <w:r>
              <w:rPr>
                <w:szCs w:val="22"/>
                <w:lang w:val="de-DE"/>
              </w:rPr>
              <w:t>Amgen AB, sivuliike Suomessa/Amgen AB, filial i Finland</w:t>
            </w:r>
          </w:p>
          <w:p w14:paraId="709024C8" w14:textId="77777777" w:rsidR="00FE291A" w:rsidRDefault="00C8738F">
            <w:pPr>
              <w:pStyle w:val="lbltxt"/>
              <w:rPr>
                <w:szCs w:val="22"/>
                <w:lang w:val="de-DE"/>
              </w:rPr>
            </w:pPr>
            <w:r>
              <w:rPr>
                <w:szCs w:val="22"/>
                <w:lang w:val="nl-NL"/>
              </w:rPr>
              <w:t>Puh/Tel: +358 (0)9 54900500</w:t>
            </w:r>
          </w:p>
          <w:p w14:paraId="64DFF2A2" w14:textId="77777777" w:rsidR="00FE291A" w:rsidRDefault="00FE291A">
            <w:pPr>
              <w:pStyle w:val="lbltxt"/>
              <w:rPr>
                <w:szCs w:val="22"/>
                <w:lang w:val="de-DE"/>
              </w:rPr>
            </w:pPr>
          </w:p>
        </w:tc>
      </w:tr>
      <w:tr w:rsidR="00FE291A" w14:paraId="5B058166" w14:textId="77777777">
        <w:tc>
          <w:tcPr>
            <w:tcW w:w="4463" w:type="dxa"/>
          </w:tcPr>
          <w:p w14:paraId="131F2BC0" w14:textId="77777777" w:rsidR="00FE291A" w:rsidRDefault="00C8738F">
            <w:pPr>
              <w:pStyle w:val="lbltxt"/>
              <w:rPr>
                <w:b/>
                <w:szCs w:val="22"/>
                <w:lang w:val="en-IN"/>
              </w:rPr>
            </w:pPr>
            <w:r>
              <w:rPr>
                <w:b/>
                <w:szCs w:val="22"/>
                <w:lang w:val="en-IN"/>
              </w:rPr>
              <w:t>K</w:t>
            </w:r>
            <w:r>
              <w:rPr>
                <w:b/>
                <w:szCs w:val="22"/>
                <w:lang w:val="de-DE"/>
              </w:rPr>
              <w:t>ύπρος</w:t>
            </w:r>
          </w:p>
          <w:p w14:paraId="2DDE1ED2" w14:textId="77777777" w:rsidR="00FE291A" w:rsidRDefault="00C8738F">
            <w:pPr>
              <w:widowControl/>
              <w:rPr>
                <w:sz w:val="22"/>
                <w:szCs w:val="22"/>
              </w:rPr>
            </w:pPr>
            <w:r>
              <w:rPr>
                <w:sz w:val="22"/>
                <w:szCs w:val="22"/>
              </w:rPr>
              <w:t>C.A. Papaellinas Ltd</w:t>
            </w:r>
          </w:p>
          <w:p w14:paraId="3D512F5D" w14:textId="77777777" w:rsidR="00FE291A" w:rsidRDefault="00C8738F">
            <w:pPr>
              <w:pStyle w:val="lbltxt"/>
              <w:rPr>
                <w:szCs w:val="22"/>
                <w:lang w:val="en-IN"/>
              </w:rPr>
            </w:pPr>
            <w:r>
              <w:rPr>
                <w:szCs w:val="22"/>
                <w:lang w:val="de-DE"/>
              </w:rPr>
              <w:t>Τηλ</w:t>
            </w:r>
            <w:r>
              <w:rPr>
                <w:szCs w:val="22"/>
                <w:lang w:val="en-IN"/>
              </w:rPr>
              <w:t>: +357 22741 741</w:t>
            </w:r>
          </w:p>
          <w:p w14:paraId="6E92CACA" w14:textId="77777777" w:rsidR="00FE291A" w:rsidRDefault="00FE291A">
            <w:pPr>
              <w:widowControl/>
              <w:kinsoku w:val="0"/>
              <w:overflowPunct w:val="0"/>
              <w:rPr>
                <w:sz w:val="22"/>
                <w:szCs w:val="22"/>
              </w:rPr>
            </w:pPr>
          </w:p>
        </w:tc>
        <w:tc>
          <w:tcPr>
            <w:tcW w:w="4572" w:type="dxa"/>
          </w:tcPr>
          <w:p w14:paraId="107A9694" w14:textId="77777777" w:rsidR="00FE291A" w:rsidRDefault="00C8738F">
            <w:pPr>
              <w:pStyle w:val="lbltxt"/>
              <w:rPr>
                <w:szCs w:val="22"/>
                <w:lang w:val="de-DE"/>
              </w:rPr>
            </w:pPr>
            <w:r>
              <w:rPr>
                <w:b/>
                <w:szCs w:val="22"/>
                <w:lang w:val="de-DE"/>
              </w:rPr>
              <w:t>Sverige</w:t>
            </w:r>
          </w:p>
          <w:p w14:paraId="49EF7485" w14:textId="77777777" w:rsidR="00FE291A" w:rsidRDefault="00C8738F">
            <w:pPr>
              <w:pStyle w:val="lbltxt"/>
              <w:rPr>
                <w:szCs w:val="22"/>
                <w:lang w:val="de-DE"/>
              </w:rPr>
            </w:pPr>
            <w:r>
              <w:rPr>
                <w:szCs w:val="22"/>
                <w:lang w:val="de-DE"/>
              </w:rPr>
              <w:t xml:space="preserve">Amgen AB </w:t>
            </w:r>
          </w:p>
          <w:p w14:paraId="0255FA79" w14:textId="77777777" w:rsidR="00FE291A" w:rsidRDefault="00C8738F">
            <w:pPr>
              <w:pStyle w:val="lbltxt"/>
              <w:rPr>
                <w:szCs w:val="22"/>
                <w:lang w:val="de-DE"/>
              </w:rPr>
            </w:pPr>
            <w:r>
              <w:rPr>
                <w:szCs w:val="22"/>
                <w:lang w:val="de-DE"/>
              </w:rPr>
              <w:t>Tel: +46 (0)8 6951100</w:t>
            </w:r>
          </w:p>
          <w:p w14:paraId="37769381" w14:textId="77777777" w:rsidR="00FE291A" w:rsidRDefault="00FE291A">
            <w:pPr>
              <w:widowControl/>
              <w:kinsoku w:val="0"/>
              <w:overflowPunct w:val="0"/>
              <w:rPr>
                <w:sz w:val="22"/>
                <w:szCs w:val="22"/>
                <w:lang w:val="de-DE"/>
              </w:rPr>
            </w:pPr>
          </w:p>
        </w:tc>
      </w:tr>
      <w:tr w:rsidR="00FE291A" w14:paraId="5A7C0972" w14:textId="77777777">
        <w:tc>
          <w:tcPr>
            <w:tcW w:w="4463" w:type="dxa"/>
          </w:tcPr>
          <w:p w14:paraId="7D42061C" w14:textId="77777777" w:rsidR="00FE291A" w:rsidRPr="00211AE1" w:rsidRDefault="00C8738F">
            <w:pPr>
              <w:pStyle w:val="lbltxt"/>
              <w:rPr>
                <w:b/>
                <w:bCs/>
                <w:szCs w:val="22"/>
                <w:lang w:val="de-DE"/>
              </w:rPr>
            </w:pPr>
            <w:r w:rsidRPr="00211AE1">
              <w:rPr>
                <w:b/>
                <w:bCs/>
                <w:szCs w:val="22"/>
                <w:lang w:val="de-DE"/>
              </w:rPr>
              <w:t>Latvija</w:t>
            </w:r>
          </w:p>
          <w:p w14:paraId="68F15B21" w14:textId="77777777" w:rsidR="00FE291A" w:rsidRPr="00211AE1" w:rsidRDefault="00C8738F">
            <w:pPr>
              <w:pStyle w:val="lbltxt"/>
              <w:rPr>
                <w:szCs w:val="22"/>
                <w:lang w:val="de-DE"/>
              </w:rPr>
            </w:pPr>
            <w:r w:rsidRPr="00211AE1">
              <w:rPr>
                <w:szCs w:val="22"/>
                <w:lang w:val="de-DE"/>
              </w:rPr>
              <w:t>Amgen Switzerland AG Rīgas filiāle</w:t>
            </w:r>
          </w:p>
          <w:p w14:paraId="0E41DDAE" w14:textId="77777777" w:rsidR="00FE291A" w:rsidRDefault="00C8738F">
            <w:pPr>
              <w:pStyle w:val="lbltxt"/>
              <w:rPr>
                <w:szCs w:val="22"/>
                <w:lang w:val="de-DE"/>
              </w:rPr>
            </w:pPr>
            <w:r>
              <w:rPr>
                <w:bCs/>
                <w:szCs w:val="22"/>
                <w:lang w:val="de-DE"/>
              </w:rPr>
              <w:t>Tel: +</w:t>
            </w:r>
            <w:r>
              <w:rPr>
                <w:szCs w:val="22"/>
                <w:lang w:val="de-DE"/>
              </w:rPr>
              <w:t>371 257 25888</w:t>
            </w:r>
          </w:p>
          <w:p w14:paraId="0FE203C7" w14:textId="77777777" w:rsidR="00FE291A" w:rsidRDefault="00FE291A">
            <w:pPr>
              <w:widowControl/>
              <w:kinsoku w:val="0"/>
              <w:overflowPunct w:val="0"/>
              <w:rPr>
                <w:sz w:val="22"/>
                <w:szCs w:val="22"/>
                <w:lang w:val="de-DE"/>
              </w:rPr>
            </w:pPr>
          </w:p>
        </w:tc>
        <w:tc>
          <w:tcPr>
            <w:tcW w:w="4572" w:type="dxa"/>
          </w:tcPr>
          <w:p w14:paraId="6CB7992B" w14:textId="77777777" w:rsidR="00FE291A" w:rsidRDefault="00FE291A">
            <w:pPr>
              <w:pStyle w:val="lbltxt"/>
              <w:rPr>
                <w:szCs w:val="22"/>
                <w:lang w:val="de-DE"/>
              </w:rPr>
            </w:pPr>
          </w:p>
        </w:tc>
      </w:tr>
    </w:tbl>
    <w:p w14:paraId="638339F2" w14:textId="77777777" w:rsidR="00FE291A" w:rsidRDefault="00FE291A">
      <w:pPr>
        <w:widowControl/>
        <w:rPr>
          <w:sz w:val="22"/>
          <w:lang w:val="de-DE"/>
        </w:rPr>
      </w:pPr>
    </w:p>
    <w:p w14:paraId="3C52E975" w14:textId="77777777" w:rsidR="00FE291A" w:rsidRDefault="00C8738F">
      <w:pPr>
        <w:pStyle w:val="Heading1"/>
        <w:keepNext/>
        <w:widowControl/>
        <w:kinsoku w:val="0"/>
        <w:overflowPunct w:val="0"/>
        <w:ind w:left="0"/>
        <w:rPr>
          <w:b w:val="0"/>
          <w:bCs w:val="0"/>
          <w:lang w:val="de-DE"/>
        </w:rPr>
      </w:pPr>
      <w:r>
        <w:rPr>
          <w:lang w:val="de-DE"/>
        </w:rPr>
        <w:t>Diese Packungsbeilage wurde zuletzt überarbeitet im</w:t>
      </w:r>
    </w:p>
    <w:p w14:paraId="53D30099" w14:textId="77777777" w:rsidR="00FE291A" w:rsidRDefault="00FE291A">
      <w:pPr>
        <w:keepNext/>
        <w:widowControl/>
        <w:kinsoku w:val="0"/>
        <w:overflowPunct w:val="0"/>
        <w:rPr>
          <w:sz w:val="22"/>
          <w:szCs w:val="22"/>
          <w:lang w:val="de-DE"/>
        </w:rPr>
      </w:pPr>
    </w:p>
    <w:p w14:paraId="60CAD847" w14:textId="77777777" w:rsidR="00FE291A" w:rsidRDefault="00C8738F">
      <w:pPr>
        <w:keepNext/>
        <w:widowControl/>
        <w:kinsoku w:val="0"/>
        <w:overflowPunct w:val="0"/>
        <w:rPr>
          <w:b/>
          <w:sz w:val="22"/>
          <w:szCs w:val="22"/>
          <w:lang w:val="de-DE"/>
        </w:rPr>
      </w:pPr>
      <w:r>
        <w:rPr>
          <w:b/>
          <w:sz w:val="22"/>
          <w:szCs w:val="22"/>
          <w:lang w:val="de-DE"/>
        </w:rPr>
        <w:t>Weitere Informationsquellen</w:t>
      </w:r>
    </w:p>
    <w:p w14:paraId="60D80ECE" w14:textId="77777777" w:rsidR="00FE291A" w:rsidRDefault="00FE291A">
      <w:pPr>
        <w:widowControl/>
        <w:kinsoku w:val="0"/>
        <w:overflowPunct w:val="0"/>
        <w:rPr>
          <w:sz w:val="22"/>
          <w:szCs w:val="22"/>
          <w:lang w:val="de-DE"/>
        </w:rPr>
      </w:pPr>
    </w:p>
    <w:p w14:paraId="5BBCEE12" w14:textId="77777777" w:rsidR="00FE291A" w:rsidRDefault="00C8738F">
      <w:pPr>
        <w:pStyle w:val="BodyText"/>
        <w:widowControl/>
        <w:kinsoku w:val="0"/>
        <w:overflowPunct w:val="0"/>
        <w:ind w:left="0"/>
        <w:rPr>
          <w:color w:val="000000"/>
          <w:lang w:val="de-DE"/>
        </w:rPr>
      </w:pPr>
      <w:r>
        <w:rPr>
          <w:lang w:val="de-DE"/>
        </w:rPr>
        <w:t xml:space="preserve">Ausführliche Informationen zu diesem Arzneimittel sind auf den Internetseiten der Europäischen Arzneimittel-Agentur </w:t>
      </w:r>
      <w:r>
        <w:fldChar w:fldCharType="begin"/>
      </w:r>
      <w:r w:rsidRPr="00F076DE">
        <w:rPr>
          <w:lang w:val="de-DE"/>
          <w:rPrChange w:id="593" w:author="Author">
            <w:rPr/>
          </w:rPrChange>
        </w:rPr>
        <w:instrText>HYPERLINK "https://www.ema.europa.eu/"</w:instrText>
      </w:r>
      <w:r>
        <w:fldChar w:fldCharType="separate"/>
      </w:r>
      <w:r>
        <w:rPr>
          <w:rStyle w:val="Hyperlink"/>
          <w:color w:val="0000FF"/>
          <w:lang w:val="de-DE" w:eastAsia="en-US"/>
        </w:rPr>
        <w:t>https://www.ema.europa.eu/</w:t>
      </w:r>
      <w:r>
        <w:fldChar w:fldCharType="end"/>
      </w:r>
      <w:r>
        <w:rPr>
          <w:rStyle w:val="Hyperlink"/>
          <w:color w:val="auto"/>
          <w:u w:val="none"/>
          <w:lang w:val="de-DE"/>
        </w:rPr>
        <w:t xml:space="preserve"> </w:t>
      </w:r>
      <w:r>
        <w:rPr>
          <w:color w:val="000000"/>
          <w:lang w:val="de-DE"/>
        </w:rPr>
        <w:t>verfügbar.</w:t>
      </w:r>
    </w:p>
    <w:p w14:paraId="7A05FE54" w14:textId="77777777" w:rsidR="00FE291A" w:rsidRDefault="00FE291A">
      <w:pPr>
        <w:pageBreakBefore/>
        <w:numPr>
          <w:ilvl w:val="12"/>
          <w:numId w:val="0"/>
        </w:numPr>
        <w:rPr>
          <w:szCs w:val="22"/>
          <w:lang w:val="de-DE"/>
        </w:rPr>
      </w:pPr>
    </w:p>
    <w:tbl>
      <w:tblPr>
        <w:tblpPr w:leftFromText="141" w:rightFromText="141" w:vertAnchor="text" w:tblpX="108" w:tblpY="1"/>
        <w:tblOverlap w:val="neve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9"/>
        <w:gridCol w:w="2552"/>
        <w:gridCol w:w="2977"/>
      </w:tblGrid>
      <w:tr w:rsidR="00FE291A" w14:paraId="7CD2B1EF" w14:textId="77777777">
        <w:trPr>
          <w:cantSplit/>
          <w:trHeight w:val="57"/>
        </w:trPr>
        <w:tc>
          <w:tcPr>
            <w:tcW w:w="5000" w:type="pct"/>
            <w:gridSpan w:val="3"/>
            <w:tcBorders>
              <w:bottom w:val="single" w:sz="4" w:space="0" w:color="auto"/>
            </w:tcBorders>
          </w:tcPr>
          <w:p w14:paraId="52FADBE5" w14:textId="00A87E45" w:rsidR="00FE291A" w:rsidRDefault="00C8738F">
            <w:pPr>
              <w:keepNext/>
              <w:keepLines/>
              <w:jc w:val="center"/>
              <w:rPr>
                <w:b/>
                <w:bCs/>
                <w:sz w:val="22"/>
                <w:szCs w:val="22"/>
                <w:lang w:val="de-DE"/>
              </w:rPr>
            </w:pPr>
            <w:r>
              <w:rPr>
                <w:b/>
                <w:sz w:val="22"/>
                <w:szCs w:val="22"/>
                <w:lang w:val="de-DE"/>
              </w:rPr>
              <w:t>GEBRAUCHSANLEITUNG 80 mg/0,8</w:t>
            </w:r>
            <w:ins w:id="594" w:author="Author">
              <w:r w:rsidR="00815562">
                <w:rPr>
                  <w:b/>
                  <w:sz w:val="22"/>
                  <w:szCs w:val="22"/>
                  <w:lang w:val="de-DE"/>
                </w:rPr>
                <w:t> </w:t>
              </w:r>
            </w:ins>
            <w:r>
              <w:rPr>
                <w:b/>
                <w:sz w:val="22"/>
                <w:szCs w:val="22"/>
                <w:lang w:val="de-DE"/>
              </w:rPr>
              <w:t>ml</w:t>
            </w:r>
          </w:p>
        </w:tc>
      </w:tr>
      <w:tr w:rsidR="00FE291A" w14:paraId="58E3D91D" w14:textId="77777777">
        <w:trPr>
          <w:cantSplit/>
          <w:trHeight w:val="57"/>
        </w:trPr>
        <w:tc>
          <w:tcPr>
            <w:tcW w:w="5000" w:type="pct"/>
            <w:gridSpan w:val="3"/>
            <w:tcBorders>
              <w:top w:val="single" w:sz="4" w:space="0" w:color="auto"/>
              <w:left w:val="nil"/>
              <w:bottom w:val="single" w:sz="4" w:space="0" w:color="auto"/>
              <w:right w:val="nil"/>
            </w:tcBorders>
          </w:tcPr>
          <w:p w14:paraId="3A01248C" w14:textId="77777777" w:rsidR="00FE291A" w:rsidRDefault="00FE291A">
            <w:pPr>
              <w:keepNext/>
              <w:keepLines/>
              <w:jc w:val="center"/>
              <w:rPr>
                <w:bCs/>
                <w:sz w:val="22"/>
                <w:szCs w:val="22"/>
                <w:lang w:val="de-DE"/>
              </w:rPr>
            </w:pPr>
          </w:p>
        </w:tc>
      </w:tr>
      <w:tr w:rsidR="00FE291A" w:rsidRPr="00723069" w14:paraId="66E95F28" w14:textId="77777777">
        <w:trPr>
          <w:cantSplit/>
          <w:trHeight w:val="57"/>
        </w:trPr>
        <w:tc>
          <w:tcPr>
            <w:tcW w:w="5000" w:type="pct"/>
            <w:gridSpan w:val="3"/>
            <w:tcBorders>
              <w:top w:val="single" w:sz="4" w:space="0" w:color="auto"/>
            </w:tcBorders>
          </w:tcPr>
          <w:p w14:paraId="380D079A" w14:textId="77777777" w:rsidR="00FE291A" w:rsidRDefault="00C8738F">
            <w:pPr>
              <w:keepNext/>
              <w:keepLines/>
              <w:rPr>
                <w:sz w:val="22"/>
                <w:szCs w:val="22"/>
                <w:lang w:val="de-DE"/>
              </w:rPr>
            </w:pPr>
            <w:r>
              <w:rPr>
                <w:sz w:val="22"/>
                <w:szCs w:val="22"/>
                <w:lang w:val="de-DE"/>
              </w:rPr>
              <w:t>Machen Sie sich mit Ihrem SureClick Fertigpen vertraut.</w:t>
            </w:r>
          </w:p>
        </w:tc>
      </w:tr>
      <w:tr w:rsidR="00FE291A" w14:paraId="1C7AE2FE" w14:textId="77777777">
        <w:trPr>
          <w:cantSplit/>
          <w:trHeight w:val="5566"/>
        </w:trPr>
        <w:tc>
          <w:tcPr>
            <w:tcW w:w="1865" w:type="pct"/>
            <w:tcBorders>
              <w:right w:val="nil"/>
            </w:tcBorders>
          </w:tcPr>
          <w:tbl>
            <w:tblPr>
              <w:tblW w:w="1763" w:type="dxa"/>
              <w:tblInd w:w="1288" w:type="dxa"/>
              <w:tblLayout w:type="fixed"/>
              <w:tblCellMar>
                <w:left w:w="0" w:type="dxa"/>
                <w:right w:w="113" w:type="dxa"/>
              </w:tblCellMar>
              <w:tblLook w:val="04A0" w:firstRow="1" w:lastRow="0" w:firstColumn="1" w:lastColumn="0" w:noHBand="0" w:noVBand="1"/>
            </w:tblPr>
            <w:tblGrid>
              <w:gridCol w:w="1763"/>
            </w:tblGrid>
            <w:tr w:rsidR="00FE291A" w:rsidRPr="00723069" w14:paraId="3A365116" w14:textId="77777777">
              <w:trPr>
                <w:trHeight w:val="680"/>
              </w:trPr>
              <w:tc>
                <w:tcPr>
                  <w:tcW w:w="1763" w:type="dxa"/>
                </w:tcPr>
                <w:p w14:paraId="21F474EC" w14:textId="77777777" w:rsidR="00FE291A" w:rsidRDefault="00FE291A">
                  <w:pPr>
                    <w:framePr w:hSpace="141" w:wrap="around" w:vAnchor="text" w:hAnchor="text" w:x="108" w:y="1"/>
                    <w:suppressOverlap/>
                    <w:jc w:val="center"/>
                    <w:rPr>
                      <w:sz w:val="22"/>
                      <w:szCs w:val="22"/>
                      <w:lang w:val="de-DE"/>
                    </w:rPr>
                  </w:pPr>
                </w:p>
              </w:tc>
            </w:tr>
            <w:tr w:rsidR="00FE291A" w14:paraId="0F49119A" w14:textId="77777777">
              <w:trPr>
                <w:trHeight w:val="990"/>
              </w:trPr>
              <w:tc>
                <w:tcPr>
                  <w:tcW w:w="1763" w:type="dxa"/>
                </w:tcPr>
                <w:p w14:paraId="50D17A2E" w14:textId="77777777" w:rsidR="00FE291A" w:rsidRDefault="00C8738F">
                  <w:pPr>
                    <w:framePr w:hSpace="141" w:wrap="around" w:vAnchor="text" w:hAnchor="text" w:x="108" w:y="1"/>
                    <w:suppressOverlap/>
                    <w:jc w:val="right"/>
                    <w:rPr>
                      <w:sz w:val="22"/>
                      <w:szCs w:val="22"/>
                      <w:lang w:val="de-DE"/>
                    </w:rPr>
                  </w:pPr>
                  <w:r>
                    <w:rPr>
                      <w:sz w:val="22"/>
                      <w:szCs w:val="22"/>
                      <w:lang w:val="de-DE"/>
                    </w:rPr>
                    <w:t>Verfalldatum</w:t>
                  </w:r>
                </w:p>
              </w:tc>
            </w:tr>
            <w:tr w:rsidR="00FE291A" w14:paraId="69776F0C" w14:textId="77777777">
              <w:trPr>
                <w:trHeight w:val="852"/>
              </w:trPr>
              <w:tc>
                <w:tcPr>
                  <w:tcW w:w="1763" w:type="dxa"/>
                </w:tcPr>
                <w:p w14:paraId="01350117" w14:textId="77777777" w:rsidR="00FE291A" w:rsidRDefault="00FE291A">
                  <w:pPr>
                    <w:framePr w:hSpace="141" w:wrap="around" w:vAnchor="text" w:hAnchor="text" w:x="108" w:y="1"/>
                    <w:suppressOverlap/>
                    <w:jc w:val="right"/>
                    <w:rPr>
                      <w:sz w:val="22"/>
                      <w:szCs w:val="22"/>
                      <w:lang w:val="de-DE"/>
                    </w:rPr>
                  </w:pPr>
                </w:p>
              </w:tc>
            </w:tr>
            <w:tr w:rsidR="00FE291A" w14:paraId="6D8F5F70" w14:textId="77777777">
              <w:trPr>
                <w:trHeight w:val="860"/>
              </w:trPr>
              <w:tc>
                <w:tcPr>
                  <w:tcW w:w="1763" w:type="dxa"/>
                </w:tcPr>
                <w:p w14:paraId="25EC1932" w14:textId="77777777" w:rsidR="00FE291A" w:rsidRDefault="00FE291A">
                  <w:pPr>
                    <w:framePr w:hSpace="141" w:wrap="around" w:vAnchor="text" w:hAnchor="text" w:x="108" w:y="1"/>
                    <w:suppressOverlap/>
                    <w:jc w:val="right"/>
                    <w:rPr>
                      <w:sz w:val="22"/>
                      <w:szCs w:val="22"/>
                      <w:lang w:val="de-DE"/>
                    </w:rPr>
                  </w:pPr>
                </w:p>
              </w:tc>
            </w:tr>
            <w:tr w:rsidR="00FE291A" w14:paraId="1FE10187" w14:textId="77777777">
              <w:trPr>
                <w:trHeight w:val="972"/>
              </w:trPr>
              <w:tc>
                <w:tcPr>
                  <w:tcW w:w="1763" w:type="dxa"/>
                </w:tcPr>
                <w:p w14:paraId="304D4872" w14:textId="77777777" w:rsidR="00FE291A" w:rsidRDefault="00C8738F">
                  <w:pPr>
                    <w:framePr w:hSpace="141" w:wrap="around" w:vAnchor="text" w:hAnchor="text" w:x="108" w:y="1"/>
                    <w:suppressOverlap/>
                    <w:jc w:val="right"/>
                    <w:rPr>
                      <w:sz w:val="22"/>
                      <w:szCs w:val="22"/>
                      <w:lang w:val="de-DE"/>
                    </w:rPr>
                  </w:pPr>
                  <w:r>
                    <w:rPr>
                      <w:sz w:val="22"/>
                      <w:szCs w:val="22"/>
                      <w:lang w:val="de-DE"/>
                    </w:rPr>
                    <w:t>Sichtfenster</w:t>
                  </w:r>
                </w:p>
              </w:tc>
            </w:tr>
            <w:tr w:rsidR="00FE291A" w:rsidRPr="00723069" w14:paraId="49DD9D11" w14:textId="77777777">
              <w:trPr>
                <w:trHeight w:val="1128"/>
              </w:trPr>
              <w:tc>
                <w:tcPr>
                  <w:tcW w:w="1763" w:type="dxa"/>
                </w:tcPr>
                <w:p w14:paraId="16044FCB" w14:textId="77777777" w:rsidR="00FE291A" w:rsidRDefault="00C8738F">
                  <w:pPr>
                    <w:framePr w:hSpace="141" w:wrap="around" w:vAnchor="text" w:hAnchor="text" w:x="108" w:y="1"/>
                    <w:suppressOverlap/>
                    <w:jc w:val="right"/>
                    <w:rPr>
                      <w:sz w:val="22"/>
                      <w:szCs w:val="22"/>
                      <w:lang w:val="de-DE"/>
                    </w:rPr>
                  </w:pPr>
                  <w:r>
                    <w:rPr>
                      <w:color w:val="000000"/>
                      <w:sz w:val="22"/>
                      <w:szCs w:val="22"/>
                      <w:lang w:val="de-DE"/>
                    </w:rPr>
                    <w:t xml:space="preserve">Cremefarbene </w:t>
                  </w:r>
                  <w:r>
                    <w:rPr>
                      <w:sz w:val="22"/>
                      <w:szCs w:val="22"/>
                      <w:lang w:val="de-DE"/>
                    </w:rPr>
                    <w:t>Sicherheitshülse</w:t>
                  </w:r>
                </w:p>
                <w:p w14:paraId="3E75D79E" w14:textId="77777777" w:rsidR="00FE291A" w:rsidRDefault="00C8738F">
                  <w:pPr>
                    <w:framePr w:hSpace="141" w:wrap="around" w:vAnchor="text" w:hAnchor="text" w:x="108" w:y="1"/>
                    <w:suppressOverlap/>
                    <w:jc w:val="right"/>
                    <w:rPr>
                      <w:sz w:val="22"/>
                      <w:szCs w:val="22"/>
                      <w:lang w:val="de-DE"/>
                    </w:rPr>
                  </w:pPr>
                  <w:r>
                    <w:rPr>
                      <w:sz w:val="22"/>
                      <w:szCs w:val="22"/>
                      <w:lang w:val="de-DE"/>
                    </w:rPr>
                    <w:t xml:space="preserve"> (Nadel im Inneren)</w:t>
                  </w:r>
                </w:p>
              </w:tc>
            </w:tr>
          </w:tbl>
          <w:p w14:paraId="55DF78C1" w14:textId="77777777" w:rsidR="00FE291A" w:rsidRDefault="00FE291A">
            <w:pPr>
              <w:keepNext/>
              <w:jc w:val="right"/>
              <w:rPr>
                <w:sz w:val="22"/>
                <w:szCs w:val="22"/>
                <w:lang w:val="de-DE"/>
              </w:rPr>
            </w:pPr>
          </w:p>
        </w:tc>
        <w:tc>
          <w:tcPr>
            <w:tcW w:w="1447" w:type="pct"/>
            <w:tcBorders>
              <w:top w:val="nil"/>
              <w:left w:val="nil"/>
              <w:bottom w:val="single" w:sz="4" w:space="0" w:color="auto"/>
              <w:right w:val="nil"/>
            </w:tcBorders>
          </w:tcPr>
          <w:p w14:paraId="79286D4F" w14:textId="413DD909" w:rsidR="00FE291A" w:rsidRDefault="009C5B62">
            <w:pPr>
              <w:jc w:val="center"/>
              <w:rPr>
                <w:sz w:val="22"/>
                <w:szCs w:val="22"/>
                <w:lang w:val="de-DE"/>
              </w:rPr>
            </w:pPr>
            <w:r>
              <w:rPr>
                <w:noProof/>
              </w:rPr>
              <w:drawing>
                <wp:inline distT="0" distB="0" distL="0" distR="0" wp14:anchorId="06547C3F" wp14:editId="6131740C">
                  <wp:extent cx="1143000" cy="3343275"/>
                  <wp:effectExtent l="0" t="0" r="0" b="0"/>
                  <wp:docPr id="7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143000" cy="3343275"/>
                          </a:xfrm>
                          <a:prstGeom prst="rect">
                            <a:avLst/>
                          </a:prstGeom>
                          <a:noFill/>
                          <a:ln>
                            <a:noFill/>
                          </a:ln>
                        </pic:spPr>
                      </pic:pic>
                    </a:graphicData>
                  </a:graphic>
                </wp:inline>
              </w:drawing>
            </w:r>
          </w:p>
          <w:p w14:paraId="1EF670CE" w14:textId="77777777" w:rsidR="00FE291A" w:rsidRDefault="00FE291A">
            <w:pPr>
              <w:jc w:val="center"/>
              <w:rPr>
                <w:sz w:val="22"/>
                <w:szCs w:val="22"/>
                <w:lang w:val="de-DE"/>
              </w:rPr>
            </w:pPr>
          </w:p>
          <w:p w14:paraId="6F52411C" w14:textId="77777777" w:rsidR="00FE291A" w:rsidRDefault="00FE291A">
            <w:pPr>
              <w:jc w:val="center"/>
              <w:rPr>
                <w:sz w:val="22"/>
                <w:szCs w:val="22"/>
                <w:lang w:val="de-DE"/>
              </w:rPr>
            </w:pPr>
          </w:p>
          <w:p w14:paraId="4198CACE" w14:textId="77777777" w:rsidR="00FE291A" w:rsidRDefault="00C8738F">
            <w:pPr>
              <w:jc w:val="center"/>
              <w:rPr>
                <w:sz w:val="22"/>
                <w:szCs w:val="22"/>
                <w:lang w:val="de-DE"/>
              </w:rPr>
            </w:pPr>
            <w:r>
              <w:rPr>
                <w:sz w:val="22"/>
                <w:szCs w:val="22"/>
                <w:lang w:val="de-DE"/>
              </w:rPr>
              <w:t>80 mg/0,8 ml</w:t>
            </w:r>
          </w:p>
        </w:tc>
        <w:tc>
          <w:tcPr>
            <w:tcW w:w="1688" w:type="pct"/>
            <w:tcBorders>
              <w:left w:val="nil"/>
            </w:tcBorders>
          </w:tcPr>
          <w:tbl>
            <w:tblPr>
              <w:tblW w:w="1852" w:type="dxa"/>
              <w:tblLayout w:type="fixed"/>
              <w:tblCellMar>
                <w:left w:w="113" w:type="dxa"/>
                <w:right w:w="0" w:type="dxa"/>
              </w:tblCellMar>
              <w:tblLook w:val="04A0" w:firstRow="1" w:lastRow="0" w:firstColumn="1" w:lastColumn="0" w:noHBand="0" w:noVBand="1"/>
            </w:tblPr>
            <w:tblGrid>
              <w:gridCol w:w="1852"/>
            </w:tblGrid>
            <w:tr w:rsidR="00FE291A" w14:paraId="79C7C3A8" w14:textId="77777777">
              <w:trPr>
                <w:trHeight w:val="461"/>
              </w:trPr>
              <w:tc>
                <w:tcPr>
                  <w:tcW w:w="1852" w:type="dxa"/>
                </w:tcPr>
                <w:p w14:paraId="1DA90F97" w14:textId="77777777" w:rsidR="00FE291A" w:rsidRDefault="00C8738F">
                  <w:pPr>
                    <w:framePr w:hSpace="141" w:wrap="around" w:vAnchor="text" w:hAnchor="text" w:x="108" w:y="1"/>
                    <w:suppressOverlap/>
                    <w:rPr>
                      <w:sz w:val="22"/>
                      <w:szCs w:val="22"/>
                      <w:lang w:val="de-DE"/>
                    </w:rPr>
                  </w:pPr>
                  <w:r>
                    <w:rPr>
                      <w:sz w:val="22"/>
                      <w:szCs w:val="22"/>
                      <w:lang w:val="de-DE"/>
                    </w:rPr>
                    <w:t>Hellblauer Startknopf</w:t>
                  </w:r>
                </w:p>
              </w:tc>
            </w:tr>
            <w:tr w:rsidR="00FE291A" w14:paraId="37CA8B0C" w14:textId="77777777">
              <w:trPr>
                <w:trHeight w:val="1077"/>
              </w:trPr>
              <w:tc>
                <w:tcPr>
                  <w:tcW w:w="1852" w:type="dxa"/>
                </w:tcPr>
                <w:p w14:paraId="7FA9FFE2" w14:textId="77777777" w:rsidR="00FE291A" w:rsidRDefault="00FE291A">
                  <w:pPr>
                    <w:framePr w:hSpace="141" w:wrap="around" w:vAnchor="text" w:hAnchor="text" w:x="108" w:y="1"/>
                    <w:suppressOverlap/>
                    <w:rPr>
                      <w:sz w:val="22"/>
                      <w:szCs w:val="22"/>
                      <w:lang w:val="de-DE"/>
                    </w:rPr>
                  </w:pPr>
                </w:p>
              </w:tc>
            </w:tr>
            <w:tr w:rsidR="00FE291A" w:rsidRPr="002E6CD3" w14:paraId="24414EC6" w14:textId="77777777">
              <w:trPr>
                <w:trHeight w:val="725"/>
              </w:trPr>
              <w:tc>
                <w:tcPr>
                  <w:tcW w:w="1852" w:type="dxa"/>
                </w:tcPr>
                <w:p w14:paraId="70450E45" w14:textId="77777777" w:rsidR="00FE291A" w:rsidRDefault="00C8738F">
                  <w:pPr>
                    <w:framePr w:hSpace="141" w:wrap="around" w:vAnchor="text" w:hAnchor="text" w:x="108" w:y="1"/>
                    <w:suppressOverlap/>
                    <w:rPr>
                      <w:sz w:val="22"/>
                      <w:szCs w:val="22"/>
                      <w:lang w:val="de-DE"/>
                    </w:rPr>
                  </w:pPr>
                  <w:r>
                    <w:rPr>
                      <w:sz w:val="22"/>
                      <w:szCs w:val="22"/>
                      <w:lang w:val="de-DE"/>
                    </w:rPr>
                    <w:t>Kolben (kann im Sichtfenster sichtbar sein; Position kann variieren)</w:t>
                  </w:r>
                </w:p>
              </w:tc>
            </w:tr>
            <w:tr w:rsidR="00FE291A" w:rsidRPr="002E6CD3" w14:paraId="2867EF8D" w14:textId="77777777">
              <w:trPr>
                <w:trHeight w:val="735"/>
              </w:trPr>
              <w:tc>
                <w:tcPr>
                  <w:tcW w:w="1852" w:type="dxa"/>
                </w:tcPr>
                <w:p w14:paraId="7877D65F" w14:textId="77777777" w:rsidR="00FE291A" w:rsidRDefault="00FE291A">
                  <w:pPr>
                    <w:framePr w:hSpace="141" w:wrap="around" w:vAnchor="text" w:hAnchor="text" w:x="108" w:y="1"/>
                    <w:suppressOverlap/>
                    <w:rPr>
                      <w:sz w:val="22"/>
                      <w:szCs w:val="22"/>
                      <w:lang w:val="de-DE"/>
                    </w:rPr>
                  </w:pPr>
                </w:p>
              </w:tc>
            </w:tr>
            <w:tr w:rsidR="00FE291A" w14:paraId="46249F97" w14:textId="77777777">
              <w:trPr>
                <w:trHeight w:val="1239"/>
              </w:trPr>
              <w:tc>
                <w:tcPr>
                  <w:tcW w:w="1852" w:type="dxa"/>
                </w:tcPr>
                <w:p w14:paraId="365DC393" w14:textId="77777777" w:rsidR="00FE291A" w:rsidRDefault="00C8738F">
                  <w:pPr>
                    <w:framePr w:hSpace="141" w:wrap="around" w:vAnchor="text" w:hAnchor="text" w:x="108" w:y="1"/>
                    <w:suppressOverlap/>
                    <w:rPr>
                      <w:sz w:val="22"/>
                      <w:szCs w:val="22"/>
                      <w:lang w:val="de-DE"/>
                    </w:rPr>
                  </w:pPr>
                  <w:r>
                    <w:rPr>
                      <w:sz w:val="22"/>
                      <w:szCs w:val="22"/>
                      <w:lang w:val="de-DE"/>
                    </w:rPr>
                    <w:t>Arzneimittel</w:t>
                  </w:r>
                </w:p>
              </w:tc>
            </w:tr>
            <w:tr w:rsidR="00FE291A" w14:paraId="7872E586" w14:textId="77777777">
              <w:trPr>
                <w:trHeight w:val="568"/>
              </w:trPr>
              <w:tc>
                <w:tcPr>
                  <w:tcW w:w="1852" w:type="dxa"/>
                </w:tcPr>
                <w:p w14:paraId="060B3EBF" w14:textId="77777777" w:rsidR="00FE291A" w:rsidRDefault="00C8738F">
                  <w:pPr>
                    <w:framePr w:hSpace="141" w:wrap="around" w:vAnchor="text" w:hAnchor="text" w:x="108" w:y="1"/>
                    <w:suppressOverlap/>
                    <w:rPr>
                      <w:sz w:val="22"/>
                      <w:szCs w:val="22"/>
                      <w:lang w:val="de-DE"/>
                    </w:rPr>
                  </w:pPr>
                  <w:r>
                    <w:rPr>
                      <w:sz w:val="22"/>
                      <w:szCs w:val="22"/>
                      <w:lang w:val="de-DE"/>
                    </w:rPr>
                    <w:t>Gelbe Kappe</w:t>
                  </w:r>
                </w:p>
              </w:tc>
            </w:tr>
          </w:tbl>
          <w:p w14:paraId="6ADC3219" w14:textId="77777777" w:rsidR="00FE291A" w:rsidRDefault="00FE291A">
            <w:pPr>
              <w:rPr>
                <w:sz w:val="22"/>
                <w:szCs w:val="22"/>
                <w:lang w:val="de-DE"/>
              </w:rPr>
            </w:pPr>
          </w:p>
        </w:tc>
      </w:tr>
    </w:tbl>
    <w:p w14:paraId="3162F222" w14:textId="77777777" w:rsidR="00FE291A" w:rsidRDefault="00FE291A">
      <w:pPr>
        <w:rPr>
          <w:b/>
          <w:bCs/>
          <w:sz w:val="22"/>
          <w:szCs w:val="22"/>
          <w:lang w:val="de-DE"/>
        </w:rPr>
      </w:pPr>
    </w:p>
    <w:tbl>
      <w:tblPr>
        <w:tblW w:w="4972"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62"/>
        <w:gridCol w:w="8448"/>
      </w:tblGrid>
      <w:tr w:rsidR="00FE291A" w:rsidRPr="00723069" w14:paraId="50AEC780" w14:textId="77777777">
        <w:trPr>
          <w:cantSplit/>
          <w:trHeight w:val="57"/>
        </w:trPr>
        <w:tc>
          <w:tcPr>
            <w:tcW w:w="312" w:type="pct"/>
            <w:tcBorders>
              <w:bottom w:val="single" w:sz="4" w:space="0" w:color="auto"/>
              <w:right w:val="single" w:sz="4" w:space="0" w:color="auto"/>
            </w:tcBorders>
            <w:tcMar>
              <w:top w:w="57" w:type="dxa"/>
              <w:left w:w="57" w:type="dxa"/>
              <w:bottom w:w="57" w:type="dxa"/>
              <w:right w:w="57" w:type="dxa"/>
            </w:tcMar>
          </w:tcPr>
          <w:p w14:paraId="3BEFBD3F" w14:textId="77777777" w:rsidR="00FE291A" w:rsidRDefault="00C8738F">
            <w:pPr>
              <w:rPr>
                <w:b/>
                <w:bCs/>
                <w:sz w:val="22"/>
                <w:szCs w:val="22"/>
                <w:lang w:val="de-DE"/>
              </w:rPr>
            </w:pPr>
            <w:r>
              <w:rPr>
                <w:b/>
                <w:sz w:val="22"/>
                <w:szCs w:val="22"/>
                <w:lang w:val="de-DE"/>
              </w:rPr>
              <w:t>1</w:t>
            </w:r>
          </w:p>
        </w:tc>
        <w:tc>
          <w:tcPr>
            <w:tcW w:w="4688" w:type="pct"/>
            <w:tcBorders>
              <w:left w:val="single" w:sz="4" w:space="0" w:color="auto"/>
              <w:bottom w:val="single" w:sz="4" w:space="0" w:color="auto"/>
            </w:tcBorders>
          </w:tcPr>
          <w:p w14:paraId="773BEAE2" w14:textId="77777777" w:rsidR="00FE291A" w:rsidRDefault="00C8738F">
            <w:pPr>
              <w:rPr>
                <w:b/>
                <w:bCs/>
                <w:sz w:val="22"/>
                <w:szCs w:val="22"/>
                <w:lang w:val="de-DE"/>
              </w:rPr>
            </w:pPr>
            <w:r>
              <w:rPr>
                <w:b/>
                <w:sz w:val="22"/>
                <w:szCs w:val="22"/>
                <w:lang w:val="de-DE"/>
              </w:rPr>
              <w:t>Wichtige Informationen, die Ihnen bekannt sein müssen, bevor Sie AMGEVITA injizieren</w:t>
            </w:r>
          </w:p>
        </w:tc>
      </w:tr>
      <w:tr w:rsidR="00FE291A" w:rsidRPr="00723069" w14:paraId="15E3564F" w14:textId="77777777">
        <w:trPr>
          <w:cantSplit/>
          <w:trHeight w:val="57"/>
          <w:del w:id="595" w:author="Author"/>
        </w:trPr>
        <w:tc>
          <w:tcPr>
            <w:tcW w:w="5000" w:type="pct"/>
            <w:gridSpan w:val="2"/>
            <w:tcBorders>
              <w:bottom w:val="single" w:sz="4" w:space="0" w:color="auto"/>
            </w:tcBorders>
            <w:tcMar>
              <w:top w:w="57" w:type="dxa"/>
              <w:left w:w="57" w:type="dxa"/>
              <w:bottom w:w="57" w:type="dxa"/>
              <w:right w:w="57" w:type="dxa"/>
            </w:tcMar>
          </w:tcPr>
          <w:p w14:paraId="5C286CD0" w14:textId="77777777" w:rsidR="00FE291A" w:rsidRDefault="00C8738F">
            <w:pPr>
              <w:rPr>
                <w:del w:id="596" w:author="Author"/>
                <w:b/>
                <w:bCs/>
                <w:sz w:val="22"/>
                <w:szCs w:val="22"/>
                <w:lang w:val="de-DE"/>
              </w:rPr>
            </w:pPr>
            <w:del w:id="597" w:author="Author">
              <w:r>
                <w:rPr>
                  <w:b/>
                  <w:sz w:val="22"/>
                  <w:szCs w:val="22"/>
                  <w:lang w:val="de-DE"/>
                </w:rPr>
                <w:delText>Anwendung Ihres SureClick Fertigpens:</w:delText>
              </w:r>
            </w:del>
          </w:p>
        </w:tc>
      </w:tr>
      <w:tr w:rsidR="00FE291A" w:rsidRPr="002E6CD3" w14:paraId="22C66330" w14:textId="77777777">
        <w:trPr>
          <w:cantSplit/>
          <w:trHeight w:val="57"/>
        </w:trPr>
        <w:tc>
          <w:tcPr>
            <w:tcW w:w="312" w:type="pct"/>
            <w:tcBorders>
              <w:top w:val="single" w:sz="4" w:space="0" w:color="auto"/>
              <w:bottom w:val="nil"/>
              <w:right w:val="nil"/>
            </w:tcBorders>
          </w:tcPr>
          <w:p w14:paraId="4D72DA02" w14:textId="77777777" w:rsidR="00FE291A" w:rsidRDefault="00FE291A">
            <w:pPr>
              <w:keepNext/>
              <w:widowControl/>
              <w:numPr>
                <w:ilvl w:val="0"/>
                <w:numId w:val="65"/>
              </w:numPr>
              <w:autoSpaceDE/>
              <w:autoSpaceDN/>
              <w:adjustRightInd/>
              <w:ind w:left="567" w:hanging="567"/>
              <w:rPr>
                <w:sz w:val="22"/>
                <w:szCs w:val="22"/>
                <w:lang w:val="de-DE"/>
              </w:rPr>
            </w:pPr>
          </w:p>
        </w:tc>
        <w:tc>
          <w:tcPr>
            <w:tcW w:w="4688" w:type="pct"/>
            <w:tcBorders>
              <w:top w:val="single" w:sz="4" w:space="0" w:color="auto"/>
              <w:left w:val="nil"/>
              <w:bottom w:val="nil"/>
            </w:tcBorders>
            <w:tcMar>
              <w:top w:w="57" w:type="dxa"/>
              <w:left w:w="0" w:type="dxa"/>
              <w:bottom w:w="57" w:type="dxa"/>
              <w:right w:w="57" w:type="dxa"/>
            </w:tcMar>
          </w:tcPr>
          <w:p w14:paraId="4A22593D" w14:textId="77777777" w:rsidR="00FE291A" w:rsidRDefault="00C8738F">
            <w:pPr>
              <w:rPr>
                <w:b/>
                <w:bCs/>
                <w:sz w:val="22"/>
                <w:szCs w:val="22"/>
                <w:lang w:val="de-DE"/>
              </w:rPr>
            </w:pPr>
            <w:r>
              <w:rPr>
                <w:sz w:val="22"/>
                <w:szCs w:val="22"/>
                <w:lang w:val="de-DE"/>
              </w:rPr>
              <w:t>Es ist wichtig, dass Sie nicht versuchen, sich selbst die Injektion zu geben, bevor Sie diese Gebrauchsanleitung vollständig gelesen und verstanden haben und von Ihrem Arzt oder dem medizinischen Fachpersonal geschult wurden.</w:t>
            </w:r>
          </w:p>
        </w:tc>
      </w:tr>
      <w:tr w:rsidR="00FE291A" w:rsidRPr="00723069" w14:paraId="26488666" w14:textId="77777777">
        <w:trPr>
          <w:cantSplit/>
          <w:trHeight w:val="57"/>
        </w:trPr>
        <w:tc>
          <w:tcPr>
            <w:tcW w:w="312" w:type="pct"/>
            <w:tcBorders>
              <w:top w:val="nil"/>
              <w:bottom w:val="nil"/>
              <w:right w:val="nil"/>
            </w:tcBorders>
          </w:tcPr>
          <w:p w14:paraId="2FD7DCBD" w14:textId="77777777" w:rsidR="00FE291A" w:rsidRDefault="00FE291A">
            <w:pPr>
              <w:keepNext/>
              <w:widowControl/>
              <w:numPr>
                <w:ilvl w:val="0"/>
                <w:numId w:val="65"/>
              </w:numPr>
              <w:autoSpaceDE/>
              <w:autoSpaceDN/>
              <w:adjustRightInd/>
              <w:ind w:left="567" w:hanging="567"/>
              <w:rPr>
                <w:sz w:val="22"/>
                <w:szCs w:val="22"/>
                <w:lang w:val="de-DE"/>
              </w:rPr>
            </w:pPr>
          </w:p>
        </w:tc>
        <w:tc>
          <w:tcPr>
            <w:tcW w:w="4688" w:type="pct"/>
            <w:tcBorders>
              <w:top w:val="nil"/>
              <w:left w:val="nil"/>
              <w:bottom w:val="nil"/>
            </w:tcBorders>
            <w:tcMar>
              <w:top w:w="57" w:type="dxa"/>
              <w:left w:w="0" w:type="dxa"/>
              <w:bottom w:w="57" w:type="dxa"/>
              <w:right w:w="57" w:type="dxa"/>
            </w:tcMar>
          </w:tcPr>
          <w:p w14:paraId="073C1043" w14:textId="77777777" w:rsidR="00FE291A" w:rsidRDefault="00C8738F">
            <w:pPr>
              <w:rPr>
                <w:b/>
                <w:bCs/>
                <w:sz w:val="22"/>
                <w:szCs w:val="22"/>
                <w:lang w:val="de-DE"/>
              </w:rPr>
            </w:pPr>
            <w:r>
              <w:rPr>
                <w:sz w:val="22"/>
                <w:szCs w:val="22"/>
                <w:lang w:val="de-DE"/>
              </w:rPr>
              <w:t xml:space="preserve">Verwenden Sie den Fertigpen </w:t>
            </w:r>
            <w:r>
              <w:rPr>
                <w:b/>
                <w:sz w:val="22"/>
                <w:szCs w:val="22"/>
                <w:lang w:val="de-DE"/>
              </w:rPr>
              <w:t>nicht</w:t>
            </w:r>
            <w:r>
              <w:rPr>
                <w:sz w:val="22"/>
                <w:szCs w:val="22"/>
                <w:lang w:val="de-DE"/>
              </w:rPr>
              <w:t>, wenn die Verpackung beschädigt oder die Versiegelung aufgebrochen ist.</w:t>
            </w:r>
          </w:p>
        </w:tc>
      </w:tr>
      <w:tr w:rsidR="00FE291A" w:rsidRPr="002E6CD3" w14:paraId="2D23449C" w14:textId="77777777">
        <w:trPr>
          <w:cantSplit/>
          <w:trHeight w:val="57"/>
        </w:trPr>
        <w:tc>
          <w:tcPr>
            <w:tcW w:w="312" w:type="pct"/>
            <w:tcBorders>
              <w:top w:val="nil"/>
              <w:bottom w:val="nil"/>
              <w:right w:val="nil"/>
            </w:tcBorders>
          </w:tcPr>
          <w:p w14:paraId="4758C967" w14:textId="77777777" w:rsidR="00FE291A" w:rsidRDefault="00FE291A">
            <w:pPr>
              <w:pStyle w:val="ListParagraph"/>
              <w:keepNext/>
              <w:widowControl/>
              <w:numPr>
                <w:ilvl w:val="0"/>
                <w:numId w:val="66"/>
              </w:numPr>
              <w:tabs>
                <w:tab w:val="left" w:pos="474"/>
                <w:tab w:val="left" w:pos="529"/>
              </w:tabs>
              <w:autoSpaceDE/>
              <w:autoSpaceDN/>
              <w:adjustRightInd/>
              <w:ind w:left="567" w:hanging="567"/>
              <w:rPr>
                <w:sz w:val="22"/>
                <w:szCs w:val="22"/>
                <w:lang w:val="de-DE"/>
              </w:rPr>
            </w:pPr>
          </w:p>
        </w:tc>
        <w:tc>
          <w:tcPr>
            <w:tcW w:w="4688" w:type="pct"/>
            <w:tcBorders>
              <w:top w:val="nil"/>
              <w:left w:val="nil"/>
              <w:bottom w:val="nil"/>
            </w:tcBorders>
            <w:tcMar>
              <w:top w:w="57" w:type="dxa"/>
              <w:left w:w="0" w:type="dxa"/>
              <w:bottom w:w="57" w:type="dxa"/>
              <w:right w:w="57" w:type="dxa"/>
            </w:tcMar>
          </w:tcPr>
          <w:p w14:paraId="34333FCC" w14:textId="77777777" w:rsidR="00FE291A" w:rsidRDefault="00C8738F">
            <w:pPr>
              <w:rPr>
                <w:b/>
                <w:bCs/>
                <w:sz w:val="22"/>
                <w:szCs w:val="22"/>
                <w:lang w:val="de-DE"/>
              </w:rPr>
            </w:pPr>
            <w:r>
              <w:rPr>
                <w:sz w:val="22"/>
                <w:szCs w:val="22"/>
                <w:lang w:val="de-DE"/>
              </w:rPr>
              <w:t xml:space="preserve">Verwenden Sie den Fertigpen </w:t>
            </w:r>
            <w:r>
              <w:rPr>
                <w:b/>
                <w:sz w:val="22"/>
                <w:szCs w:val="22"/>
                <w:lang w:val="de-DE"/>
              </w:rPr>
              <w:t>nicht</w:t>
            </w:r>
            <w:r>
              <w:rPr>
                <w:sz w:val="22"/>
                <w:szCs w:val="22"/>
                <w:lang w:val="de-DE"/>
              </w:rPr>
              <w:t xml:space="preserve"> nach dem auf dem Etikett angegebenen Verfalldatum.</w:t>
            </w:r>
          </w:p>
        </w:tc>
      </w:tr>
      <w:tr w:rsidR="00FE291A" w14:paraId="7CB1625C" w14:textId="77777777">
        <w:trPr>
          <w:cantSplit/>
          <w:trHeight w:val="57"/>
        </w:trPr>
        <w:tc>
          <w:tcPr>
            <w:tcW w:w="312" w:type="pct"/>
            <w:tcBorders>
              <w:top w:val="nil"/>
              <w:bottom w:val="nil"/>
              <w:right w:val="nil"/>
            </w:tcBorders>
          </w:tcPr>
          <w:p w14:paraId="3D0BE3CC" w14:textId="77777777" w:rsidR="00FE291A" w:rsidRDefault="00FE291A">
            <w:pPr>
              <w:pStyle w:val="ListParagraph"/>
              <w:keepNext/>
              <w:widowControl/>
              <w:numPr>
                <w:ilvl w:val="0"/>
                <w:numId w:val="66"/>
              </w:numPr>
              <w:tabs>
                <w:tab w:val="left" w:pos="567"/>
              </w:tabs>
              <w:autoSpaceDE/>
              <w:autoSpaceDN/>
              <w:adjustRightInd/>
              <w:ind w:left="567" w:hanging="567"/>
              <w:rPr>
                <w:sz w:val="22"/>
                <w:szCs w:val="22"/>
                <w:lang w:val="de-DE"/>
              </w:rPr>
            </w:pPr>
          </w:p>
        </w:tc>
        <w:tc>
          <w:tcPr>
            <w:tcW w:w="4688" w:type="pct"/>
            <w:tcBorders>
              <w:top w:val="nil"/>
              <w:left w:val="nil"/>
              <w:bottom w:val="nil"/>
            </w:tcBorders>
            <w:tcMar>
              <w:top w:w="57" w:type="dxa"/>
              <w:left w:w="0" w:type="dxa"/>
              <w:bottom w:w="57" w:type="dxa"/>
              <w:right w:w="57" w:type="dxa"/>
            </w:tcMar>
          </w:tcPr>
          <w:p w14:paraId="0C2EDBC2" w14:textId="77777777" w:rsidR="00FE291A" w:rsidRDefault="00C8738F">
            <w:pPr>
              <w:rPr>
                <w:b/>
                <w:bCs/>
                <w:sz w:val="22"/>
                <w:szCs w:val="22"/>
                <w:lang w:val="de-DE"/>
              </w:rPr>
            </w:pPr>
            <w:r>
              <w:rPr>
                <w:sz w:val="22"/>
                <w:szCs w:val="22"/>
                <w:lang w:val="de-DE"/>
              </w:rPr>
              <w:t xml:space="preserve">Den Fertigpen </w:t>
            </w:r>
            <w:r>
              <w:rPr>
                <w:b/>
                <w:sz w:val="22"/>
                <w:szCs w:val="22"/>
                <w:lang w:val="de-DE"/>
              </w:rPr>
              <w:t>nicht</w:t>
            </w:r>
            <w:r>
              <w:rPr>
                <w:sz w:val="22"/>
                <w:szCs w:val="22"/>
                <w:lang w:val="de-DE"/>
              </w:rPr>
              <w:t xml:space="preserve"> schütteln.</w:t>
            </w:r>
          </w:p>
        </w:tc>
      </w:tr>
      <w:tr w:rsidR="00FE291A" w:rsidRPr="002E6CD3" w14:paraId="137D7889" w14:textId="77777777">
        <w:trPr>
          <w:cantSplit/>
          <w:trHeight w:val="57"/>
        </w:trPr>
        <w:tc>
          <w:tcPr>
            <w:tcW w:w="312" w:type="pct"/>
            <w:tcBorders>
              <w:top w:val="nil"/>
              <w:bottom w:val="nil"/>
              <w:right w:val="nil"/>
            </w:tcBorders>
          </w:tcPr>
          <w:p w14:paraId="3C176F2A" w14:textId="77777777" w:rsidR="00FE291A" w:rsidRDefault="00FE291A">
            <w:pPr>
              <w:pStyle w:val="ListParagraph"/>
              <w:keepNext/>
              <w:widowControl/>
              <w:numPr>
                <w:ilvl w:val="0"/>
                <w:numId w:val="67"/>
              </w:numPr>
              <w:tabs>
                <w:tab w:val="left" w:pos="567"/>
              </w:tabs>
              <w:autoSpaceDE/>
              <w:autoSpaceDN/>
              <w:adjustRightInd/>
              <w:ind w:left="567" w:hanging="567"/>
              <w:rPr>
                <w:sz w:val="22"/>
                <w:szCs w:val="22"/>
                <w:lang w:val="de-DE"/>
              </w:rPr>
            </w:pPr>
          </w:p>
        </w:tc>
        <w:tc>
          <w:tcPr>
            <w:tcW w:w="4688" w:type="pct"/>
            <w:tcBorders>
              <w:top w:val="nil"/>
              <w:left w:val="nil"/>
              <w:bottom w:val="nil"/>
            </w:tcBorders>
            <w:tcMar>
              <w:top w:w="57" w:type="dxa"/>
              <w:left w:w="0" w:type="dxa"/>
              <w:bottom w:w="57" w:type="dxa"/>
              <w:right w:w="57" w:type="dxa"/>
            </w:tcMar>
          </w:tcPr>
          <w:p w14:paraId="6A106EF4" w14:textId="77777777" w:rsidR="00FE291A" w:rsidRDefault="00C8738F">
            <w:pPr>
              <w:rPr>
                <w:sz w:val="22"/>
                <w:szCs w:val="22"/>
                <w:lang w:val="de-DE"/>
              </w:rPr>
            </w:pPr>
            <w:r>
              <w:rPr>
                <w:sz w:val="22"/>
                <w:szCs w:val="22"/>
                <w:lang w:val="de-DE"/>
              </w:rPr>
              <w:t xml:space="preserve">Die gelbe Kappe </w:t>
            </w:r>
            <w:r>
              <w:rPr>
                <w:b/>
                <w:sz w:val="22"/>
                <w:szCs w:val="22"/>
                <w:lang w:val="de-DE"/>
              </w:rPr>
              <w:t>nicht</w:t>
            </w:r>
            <w:r>
              <w:rPr>
                <w:sz w:val="22"/>
                <w:szCs w:val="22"/>
                <w:lang w:val="de-DE"/>
              </w:rPr>
              <w:t xml:space="preserve"> vom Fertigpen abnehmen, bevor Sie für die Injektion bereit sind.</w:t>
            </w:r>
          </w:p>
        </w:tc>
      </w:tr>
      <w:tr w:rsidR="00FE291A" w:rsidRPr="002E6CD3" w14:paraId="1711C718" w14:textId="77777777">
        <w:trPr>
          <w:cantSplit/>
          <w:trHeight w:val="57"/>
        </w:trPr>
        <w:tc>
          <w:tcPr>
            <w:tcW w:w="312" w:type="pct"/>
            <w:tcBorders>
              <w:top w:val="nil"/>
              <w:bottom w:val="nil"/>
              <w:right w:val="nil"/>
            </w:tcBorders>
          </w:tcPr>
          <w:p w14:paraId="4F85D6D7" w14:textId="77777777" w:rsidR="00FE291A" w:rsidRDefault="00FE291A">
            <w:pPr>
              <w:pStyle w:val="ListParagraph"/>
              <w:keepNext/>
              <w:widowControl/>
              <w:numPr>
                <w:ilvl w:val="0"/>
                <w:numId w:val="67"/>
              </w:numPr>
              <w:tabs>
                <w:tab w:val="left" w:pos="567"/>
              </w:tabs>
              <w:autoSpaceDE/>
              <w:autoSpaceDN/>
              <w:adjustRightInd/>
              <w:ind w:left="567" w:hanging="567"/>
              <w:rPr>
                <w:sz w:val="22"/>
                <w:szCs w:val="22"/>
                <w:lang w:val="de-DE"/>
              </w:rPr>
            </w:pPr>
          </w:p>
        </w:tc>
        <w:tc>
          <w:tcPr>
            <w:tcW w:w="4688" w:type="pct"/>
            <w:tcBorders>
              <w:top w:val="nil"/>
              <w:left w:val="nil"/>
              <w:bottom w:val="nil"/>
            </w:tcBorders>
            <w:tcMar>
              <w:top w:w="57" w:type="dxa"/>
              <w:left w:w="0" w:type="dxa"/>
              <w:bottom w:w="57" w:type="dxa"/>
              <w:right w:w="57" w:type="dxa"/>
            </w:tcMar>
          </w:tcPr>
          <w:p w14:paraId="5C8FE359" w14:textId="77777777" w:rsidR="00FE291A" w:rsidRDefault="00C8738F">
            <w:pPr>
              <w:rPr>
                <w:sz w:val="22"/>
                <w:szCs w:val="22"/>
                <w:lang w:val="de-DE"/>
              </w:rPr>
            </w:pPr>
            <w:r>
              <w:rPr>
                <w:sz w:val="22"/>
                <w:szCs w:val="22"/>
                <w:lang w:val="de-DE"/>
              </w:rPr>
              <w:t xml:space="preserve">Den </w:t>
            </w:r>
            <w:r>
              <w:rPr>
                <w:color w:val="000000"/>
                <w:sz w:val="22"/>
                <w:szCs w:val="22"/>
                <w:lang w:val="de-DE"/>
              </w:rPr>
              <w:t>Fertigpen</w:t>
            </w:r>
            <w:r>
              <w:rPr>
                <w:sz w:val="22"/>
                <w:szCs w:val="22"/>
                <w:lang w:val="de-DE"/>
              </w:rPr>
              <w:t xml:space="preserve"> </w:t>
            </w:r>
            <w:r>
              <w:rPr>
                <w:b/>
                <w:sz w:val="22"/>
                <w:szCs w:val="22"/>
                <w:lang w:val="de-DE"/>
              </w:rPr>
              <w:t>nicht</w:t>
            </w:r>
            <w:r>
              <w:rPr>
                <w:sz w:val="22"/>
                <w:szCs w:val="22"/>
                <w:lang w:val="de-DE"/>
              </w:rPr>
              <w:t xml:space="preserve"> verwenden, wenn er gefroren war.</w:t>
            </w:r>
          </w:p>
        </w:tc>
      </w:tr>
      <w:tr w:rsidR="00FE291A" w:rsidRPr="002E6CD3" w14:paraId="6A6155D6" w14:textId="77777777">
        <w:trPr>
          <w:cantSplit/>
          <w:trHeight w:val="57"/>
        </w:trPr>
        <w:tc>
          <w:tcPr>
            <w:tcW w:w="312" w:type="pct"/>
            <w:tcBorders>
              <w:top w:val="nil"/>
              <w:bottom w:val="nil"/>
              <w:right w:val="nil"/>
            </w:tcBorders>
          </w:tcPr>
          <w:p w14:paraId="200F9D91" w14:textId="77777777" w:rsidR="00FE291A" w:rsidRDefault="00FE291A">
            <w:pPr>
              <w:pStyle w:val="ListParagraph"/>
              <w:keepNext/>
              <w:widowControl/>
              <w:numPr>
                <w:ilvl w:val="0"/>
                <w:numId w:val="67"/>
              </w:numPr>
              <w:tabs>
                <w:tab w:val="left" w:pos="567"/>
              </w:tabs>
              <w:autoSpaceDE/>
              <w:autoSpaceDN/>
              <w:adjustRightInd/>
              <w:ind w:left="567" w:hanging="567"/>
              <w:rPr>
                <w:sz w:val="22"/>
                <w:szCs w:val="22"/>
                <w:lang w:val="de-DE"/>
              </w:rPr>
            </w:pPr>
          </w:p>
        </w:tc>
        <w:tc>
          <w:tcPr>
            <w:tcW w:w="4688" w:type="pct"/>
            <w:tcBorders>
              <w:top w:val="nil"/>
              <w:left w:val="nil"/>
              <w:bottom w:val="nil"/>
            </w:tcBorders>
            <w:tcMar>
              <w:top w:w="57" w:type="dxa"/>
              <w:left w:w="0" w:type="dxa"/>
              <w:bottom w:w="57" w:type="dxa"/>
              <w:right w:w="57" w:type="dxa"/>
            </w:tcMar>
          </w:tcPr>
          <w:p w14:paraId="121C7FD9" w14:textId="77777777" w:rsidR="00FE291A" w:rsidRDefault="00C8738F">
            <w:pPr>
              <w:rPr>
                <w:sz w:val="22"/>
                <w:szCs w:val="22"/>
                <w:lang w:val="de-DE"/>
              </w:rPr>
            </w:pPr>
            <w:r>
              <w:rPr>
                <w:color w:val="000000"/>
                <w:sz w:val="22"/>
                <w:szCs w:val="22"/>
                <w:lang w:val="de-DE"/>
              </w:rPr>
              <w:t xml:space="preserve">Den Fertigpen </w:t>
            </w:r>
            <w:r>
              <w:rPr>
                <w:b/>
                <w:color w:val="000000"/>
                <w:sz w:val="22"/>
                <w:szCs w:val="22"/>
                <w:lang w:val="de-DE"/>
              </w:rPr>
              <w:t>nicht</w:t>
            </w:r>
            <w:r>
              <w:rPr>
                <w:color w:val="000000"/>
                <w:sz w:val="22"/>
                <w:szCs w:val="22"/>
                <w:lang w:val="de-DE"/>
              </w:rPr>
              <w:t xml:space="preserve"> verwenden, wenn er auf eine harte Oberfläche gefallen ist. Ein Teil des Fertigpens könnte beschädigt sein, selbst wenn Sie keine Beschädigung erkennen können. Verwenden Sie einen neuen Fertigpen und wenden Sie sich an Ihren Arzt oder an das medizinische Fachpersonal.</w:t>
            </w:r>
          </w:p>
        </w:tc>
      </w:tr>
      <w:tr w:rsidR="00FE291A" w14:paraId="758B5EE1" w14:textId="77777777">
        <w:trPr>
          <w:cantSplit/>
          <w:trHeight w:val="57"/>
        </w:trPr>
        <w:tc>
          <w:tcPr>
            <w:tcW w:w="5000" w:type="pct"/>
            <w:gridSpan w:val="2"/>
            <w:tcBorders>
              <w:top w:val="nil"/>
              <w:bottom w:val="single" w:sz="4" w:space="0" w:color="auto"/>
            </w:tcBorders>
          </w:tcPr>
          <w:p w14:paraId="43550EA8" w14:textId="69145D9C" w:rsidR="00FE291A" w:rsidRDefault="009C5B62">
            <w:pPr>
              <w:rPr>
                <w:ins w:id="598" w:author="Author"/>
                <w:b/>
                <w:bCs/>
                <w:sz w:val="22"/>
                <w:szCs w:val="22"/>
                <w:lang w:val="de-DE"/>
              </w:rPr>
            </w:pPr>
            <w:r>
              <w:rPr>
                <w:noProof/>
              </w:rPr>
              <mc:AlternateContent>
                <mc:Choice Requires="wps">
                  <w:drawing>
                    <wp:inline distT="0" distB="0" distL="0" distR="0" wp14:anchorId="6D441102" wp14:editId="7505582B">
                      <wp:extent cx="5576570" cy="431800"/>
                      <wp:effectExtent l="9525" t="9525" r="14605" b="15875"/>
                      <wp:docPr id="364123078"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6570" cy="431800"/>
                              </a:xfrm>
                              <a:prstGeom prst="rect">
                                <a:avLst/>
                              </a:prstGeom>
                              <a:solidFill>
                                <a:srgbClr val="FFFFFF"/>
                              </a:solidFill>
                              <a:ln w="19050">
                                <a:solidFill>
                                  <a:srgbClr val="FF0000"/>
                                </a:solidFill>
                                <a:miter lim="800000"/>
                                <a:headEnd/>
                                <a:tailEnd/>
                              </a:ln>
                            </wps:spPr>
                            <wps:txbx>
                              <w:txbxContent>
                                <w:p w14:paraId="0ABB9746" w14:textId="77777777" w:rsidR="00FE291A" w:rsidRDefault="00C8738F">
                                  <w:pPr>
                                    <w:rPr>
                                      <w:sz w:val="22"/>
                                      <w:lang w:val="de-DE"/>
                                    </w:rPr>
                                  </w:pPr>
                                  <w:r>
                                    <w:rPr>
                                      <w:b/>
                                      <w:sz w:val="22"/>
                                      <w:lang w:val="de-DE"/>
                                    </w:rPr>
                                    <w:t>Wichtig:</w:t>
                                  </w:r>
                                  <w:r>
                                    <w:rPr>
                                      <w:sz w:val="22"/>
                                      <w:lang w:val="de-DE"/>
                                    </w:rPr>
                                    <w:t xml:space="preserve"> Bewahren Sie den </w:t>
                                  </w:r>
                                  <w:r>
                                    <w:rPr>
                                      <w:color w:val="000000"/>
                                      <w:sz w:val="22"/>
                                      <w:lang w:val="de-DE"/>
                                    </w:rPr>
                                    <w:t>Fertigpen</w:t>
                                  </w:r>
                                  <w:r>
                                    <w:rPr>
                                      <w:sz w:val="22"/>
                                      <w:lang w:val="de-DE"/>
                                    </w:rPr>
                                    <w:t xml:space="preserve"> und den durchstichsicheren Behälter für Kinder unzugänglich auf.</w:t>
                                  </w:r>
                                </w:p>
                              </w:txbxContent>
                            </wps:txbx>
                            <wps:bodyPr rot="0" vert="horz" wrap="square" lIns="91440" tIns="45720" rIns="91440" bIns="45720" anchor="t" anchorCtr="0" upright="1">
                              <a:spAutoFit/>
                            </wps:bodyPr>
                          </wps:wsp>
                        </a:graphicData>
                      </a:graphic>
                    </wp:inline>
                  </w:drawing>
                </mc:Choice>
                <mc:Fallback>
                  <w:pict>
                    <v:shape w14:anchorId="6D441102" id="Textfeld 11" o:spid="_x0000_s1047" type="#_x0000_t202" style="width:439.1pt;height: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" strokecolor="red" strokeweight="1.5pt">
                      <v:textbox style="mso-fit-shape-to-text:t">
                        <w:txbxContent>
                          <w:p w14:paraId="0ABB9746" w14:textId="77777777" w:rsidR="00FE291A" w:rsidRDefault="00C8738F">
                            <w:pPr>
                              <w:rPr>
                                <w:sz w:val="22"/>
                                <w:lang w:val="de-DE"/>
                              </w:rPr>
                            </w:pPr>
                            <w:r>
                              <w:rPr>
                                <w:b/>
                                <w:sz w:val="22"/>
                                <w:lang w:val="de-DE"/>
                              </w:rPr>
                              <w:t>Wichtig:</w:t>
                            </w:r>
                            <w:r>
                              <w:rPr>
                                <w:sz w:val="22"/>
                                <w:lang w:val="de-DE"/>
                              </w:rPr>
                              <w:t xml:space="preserve"> Bewahren Sie den </w:t>
                            </w:r>
                            <w:r>
                              <w:rPr>
                                <w:color w:val="000000"/>
                                <w:sz w:val="22"/>
                                <w:lang w:val="de-DE"/>
                              </w:rPr>
                              <w:t>Fertigpen</w:t>
                            </w:r>
                            <w:r>
                              <w:rPr>
                                <w:sz w:val="22"/>
                                <w:lang w:val="de-DE"/>
                              </w:rPr>
                              <w:t xml:space="preserve"> und den durchstichsicheren Behälter für Kinder unzugänglich auf.</w:t>
                            </w:r>
                          </w:p>
                        </w:txbxContent>
                      </v:textbox>
                      <w10:anchorlock/>
                    </v:shape>
                  </w:pict>
                </mc:Fallback>
              </mc:AlternateContent>
            </w:r>
            <w:r w:rsidR="00C8738F">
              <w:rPr>
                <w:b/>
                <w:bCs/>
                <w:sz w:val="22"/>
                <w:szCs w:val="22"/>
                <w:lang w:val="de-DE"/>
              </w:rPr>
              <w:t xml:space="preserve"> </w:t>
            </w:r>
          </w:p>
          <w:p w14:paraId="3326E0D0" w14:textId="1F8E10C4" w:rsidR="005C4114" w:rsidRDefault="005C4114">
            <w:pPr>
              <w:rPr>
                <w:b/>
                <w:bCs/>
                <w:sz w:val="22"/>
                <w:szCs w:val="22"/>
                <w:lang w:val="de-DE"/>
              </w:rPr>
            </w:pPr>
          </w:p>
        </w:tc>
      </w:tr>
    </w:tbl>
    <w:p w14:paraId="7EC3DD56" w14:textId="77777777" w:rsidR="00FE291A" w:rsidRDefault="00FE291A">
      <w:pPr>
        <w:rPr>
          <w:sz w:val="22"/>
          <w:szCs w:val="22"/>
          <w:lang w:val="de-DE"/>
        </w:rPr>
      </w:pPr>
    </w:p>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3"/>
        <w:gridCol w:w="8355"/>
      </w:tblGrid>
      <w:tr w:rsidR="00FE291A" w14:paraId="62EEA172" w14:textId="77777777">
        <w:trPr>
          <w:cantSplit/>
          <w:trHeight w:val="57"/>
        </w:trPr>
        <w:tc>
          <w:tcPr>
            <w:tcW w:w="305" w:type="pct"/>
            <w:tcBorders>
              <w:top w:val="single" w:sz="4" w:space="0" w:color="auto"/>
            </w:tcBorders>
            <w:tcMar>
              <w:top w:w="28" w:type="dxa"/>
              <w:left w:w="57" w:type="dxa"/>
              <w:bottom w:w="28" w:type="dxa"/>
              <w:right w:w="57" w:type="dxa"/>
            </w:tcMar>
          </w:tcPr>
          <w:p w14:paraId="3B0F3955" w14:textId="77777777" w:rsidR="00FE291A" w:rsidRDefault="00C8738F">
            <w:pPr>
              <w:keepNext/>
              <w:rPr>
                <w:sz w:val="22"/>
                <w:szCs w:val="22"/>
                <w:lang w:val="de-DE"/>
              </w:rPr>
            </w:pPr>
            <w:r>
              <w:rPr>
                <w:b/>
                <w:sz w:val="22"/>
                <w:szCs w:val="22"/>
                <w:lang w:val="de-DE"/>
              </w:rPr>
              <w:t>2</w:t>
            </w:r>
          </w:p>
        </w:tc>
        <w:tc>
          <w:tcPr>
            <w:tcW w:w="4695" w:type="pct"/>
            <w:tcBorders>
              <w:top w:val="single" w:sz="4" w:space="0" w:color="auto"/>
            </w:tcBorders>
          </w:tcPr>
          <w:p w14:paraId="52174CEA" w14:textId="77777777" w:rsidR="00FE291A" w:rsidRDefault="00C8738F">
            <w:pPr>
              <w:keepNext/>
              <w:ind w:left="567" w:hanging="567"/>
              <w:rPr>
                <w:sz w:val="22"/>
                <w:szCs w:val="22"/>
                <w:lang w:val="de-DE"/>
              </w:rPr>
            </w:pPr>
            <w:r>
              <w:rPr>
                <w:b/>
                <w:sz w:val="22"/>
                <w:szCs w:val="22"/>
                <w:lang w:val="de-DE"/>
              </w:rPr>
              <w:t>Vorbereitung der AMGEVITA-Injektion</w:t>
            </w:r>
          </w:p>
        </w:tc>
      </w:tr>
    </w:tbl>
    <w:p w14:paraId="77B47697" w14:textId="77777777" w:rsidR="00FE291A" w:rsidRDefault="00FE291A">
      <w:pPr>
        <w:keepNext/>
        <w:rPr>
          <w:sz w:val="22"/>
          <w:szCs w:val="22"/>
          <w:lang w:val="de-DE"/>
        </w:rPr>
      </w:pPr>
    </w:p>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52"/>
        <w:gridCol w:w="78"/>
        <w:gridCol w:w="8268"/>
      </w:tblGrid>
      <w:tr w:rsidR="00FE291A" w:rsidRPr="00723069" w14:paraId="2DFC5CDA" w14:textId="77777777">
        <w:trPr>
          <w:cantSplit/>
          <w:trHeight w:val="57"/>
        </w:trPr>
        <w:tc>
          <w:tcPr>
            <w:tcW w:w="310" w:type="pct"/>
            <w:tcBorders>
              <w:bottom w:val="single" w:sz="4" w:space="0" w:color="auto"/>
            </w:tcBorders>
            <w:tcMar>
              <w:top w:w="28" w:type="dxa"/>
              <w:left w:w="57" w:type="dxa"/>
              <w:bottom w:w="28" w:type="dxa"/>
              <w:right w:w="57" w:type="dxa"/>
            </w:tcMar>
          </w:tcPr>
          <w:p w14:paraId="61367970" w14:textId="77777777" w:rsidR="00FE291A" w:rsidRDefault="00C8738F">
            <w:pPr>
              <w:keepNext/>
              <w:rPr>
                <w:sz w:val="22"/>
                <w:szCs w:val="22"/>
                <w:lang w:val="de-DE"/>
              </w:rPr>
            </w:pPr>
            <w:r>
              <w:rPr>
                <w:b/>
                <w:sz w:val="22"/>
                <w:szCs w:val="22"/>
                <w:lang w:val="de-DE"/>
              </w:rPr>
              <w:t>2a</w:t>
            </w:r>
          </w:p>
        </w:tc>
        <w:tc>
          <w:tcPr>
            <w:tcW w:w="4690" w:type="pct"/>
            <w:gridSpan w:val="2"/>
            <w:tcBorders>
              <w:bottom w:val="single" w:sz="4" w:space="0" w:color="auto"/>
            </w:tcBorders>
          </w:tcPr>
          <w:p w14:paraId="01DD9DD3" w14:textId="77777777" w:rsidR="00FE291A" w:rsidRDefault="00C8738F">
            <w:pPr>
              <w:keepNext/>
              <w:ind w:left="567" w:hanging="567"/>
              <w:rPr>
                <w:sz w:val="22"/>
                <w:szCs w:val="22"/>
                <w:lang w:val="de-DE"/>
              </w:rPr>
            </w:pPr>
            <w:r>
              <w:rPr>
                <w:b/>
                <w:sz w:val="22"/>
                <w:szCs w:val="22"/>
                <w:lang w:val="de-DE"/>
              </w:rPr>
              <w:t xml:space="preserve">Warten Sie </w:t>
            </w:r>
            <w:ins w:id="599" w:author="Author">
              <w:r>
                <w:rPr>
                  <w:b/>
                  <w:sz w:val="22"/>
                  <w:szCs w:val="22"/>
                  <w:lang w:val="de-DE"/>
                </w:rPr>
                <w:t xml:space="preserve">15 bis </w:t>
              </w:r>
            </w:ins>
            <w:r>
              <w:rPr>
                <w:b/>
                <w:sz w:val="22"/>
                <w:szCs w:val="22"/>
                <w:lang w:val="de-DE"/>
              </w:rPr>
              <w:t>30 Minuten, bis der Fertigpen Raumtemperatur angenommen hat.</w:t>
            </w:r>
          </w:p>
        </w:tc>
      </w:tr>
      <w:tr w:rsidR="00FE291A" w14:paraId="5967484D" w14:textId="77777777">
        <w:trPr>
          <w:cantSplit/>
          <w:trHeight w:val="57"/>
        </w:trPr>
        <w:tc>
          <w:tcPr>
            <w:tcW w:w="5000" w:type="pct"/>
            <w:gridSpan w:val="3"/>
            <w:tcBorders>
              <w:bottom w:val="single" w:sz="4" w:space="0" w:color="auto"/>
            </w:tcBorders>
            <w:tcMar>
              <w:top w:w="28" w:type="dxa"/>
              <w:left w:w="57" w:type="dxa"/>
              <w:bottom w:w="28" w:type="dxa"/>
              <w:right w:w="57" w:type="dxa"/>
            </w:tcMar>
          </w:tcPr>
          <w:p w14:paraId="4582EFB0" w14:textId="77777777" w:rsidR="00FE291A" w:rsidRDefault="00FE291A">
            <w:pPr>
              <w:jc w:val="center"/>
              <w:rPr>
                <w:b/>
                <w:bCs/>
                <w:sz w:val="36"/>
                <w:szCs w:val="36"/>
                <w:lang w:val="de-DE"/>
              </w:rPr>
            </w:pPr>
          </w:p>
          <w:p w14:paraId="4B321146" w14:textId="77777777" w:rsidR="00FE291A" w:rsidRDefault="00C8738F">
            <w:pPr>
              <w:jc w:val="center"/>
              <w:rPr>
                <w:b/>
                <w:bCs/>
                <w:sz w:val="36"/>
                <w:szCs w:val="36"/>
                <w:lang w:val="de-DE"/>
              </w:rPr>
            </w:pPr>
            <w:ins w:id="600" w:author="Author">
              <w:r>
                <w:rPr>
                  <w:b/>
                  <w:sz w:val="36"/>
                  <w:szCs w:val="36"/>
                  <w:lang w:val="de-DE"/>
                </w:rPr>
                <w:t xml:space="preserve">15 bis </w:t>
              </w:r>
            </w:ins>
            <w:r>
              <w:rPr>
                <w:b/>
                <w:sz w:val="36"/>
                <w:szCs w:val="36"/>
                <w:lang w:val="de-DE"/>
              </w:rPr>
              <w:t>30</w:t>
            </w:r>
          </w:p>
          <w:p w14:paraId="5ACD7834" w14:textId="77777777" w:rsidR="00FE291A" w:rsidRDefault="00C8738F">
            <w:pPr>
              <w:jc w:val="center"/>
              <w:rPr>
                <w:b/>
                <w:bCs/>
                <w:sz w:val="36"/>
                <w:szCs w:val="36"/>
                <w:lang w:val="de-DE"/>
              </w:rPr>
            </w:pPr>
            <w:r>
              <w:rPr>
                <w:b/>
                <w:sz w:val="36"/>
                <w:szCs w:val="36"/>
                <w:lang w:val="de-DE"/>
              </w:rPr>
              <w:t>Minuten</w:t>
            </w:r>
          </w:p>
          <w:p w14:paraId="17895190" w14:textId="77777777" w:rsidR="00FE291A" w:rsidRDefault="00C8738F">
            <w:pPr>
              <w:jc w:val="center"/>
              <w:rPr>
                <w:b/>
                <w:bCs/>
                <w:sz w:val="36"/>
                <w:szCs w:val="36"/>
                <w:lang w:val="de-DE"/>
              </w:rPr>
            </w:pPr>
            <w:r>
              <w:rPr>
                <w:b/>
                <w:sz w:val="36"/>
                <w:szCs w:val="36"/>
                <w:lang w:val="de-DE"/>
              </w:rPr>
              <w:t>WARTEN</w:t>
            </w:r>
          </w:p>
          <w:p w14:paraId="0A0ABFA8" w14:textId="77777777" w:rsidR="00FE291A" w:rsidRDefault="00FE291A">
            <w:pPr>
              <w:jc w:val="center"/>
              <w:rPr>
                <w:b/>
                <w:bCs/>
                <w:sz w:val="22"/>
                <w:szCs w:val="22"/>
                <w:lang w:val="de-DE"/>
              </w:rPr>
            </w:pPr>
          </w:p>
        </w:tc>
      </w:tr>
      <w:tr w:rsidR="00FE291A" w:rsidRPr="002E6CD3" w14:paraId="51292A1E" w14:textId="77777777">
        <w:trPr>
          <w:cantSplit/>
          <w:trHeight w:val="471"/>
        </w:trPr>
        <w:tc>
          <w:tcPr>
            <w:tcW w:w="354" w:type="pct"/>
            <w:gridSpan w:val="2"/>
            <w:tcBorders>
              <w:top w:val="nil"/>
              <w:bottom w:val="nil"/>
              <w:right w:val="nil"/>
            </w:tcBorders>
            <w:tcMar>
              <w:top w:w="28" w:type="dxa"/>
              <w:left w:w="57" w:type="dxa"/>
              <w:bottom w:w="28" w:type="dxa"/>
              <w:right w:w="57" w:type="dxa"/>
            </w:tcMar>
          </w:tcPr>
          <w:p w14:paraId="6A4D9B9F" w14:textId="77777777" w:rsidR="00FE291A" w:rsidRDefault="00FE291A">
            <w:pPr>
              <w:widowControl/>
              <w:numPr>
                <w:ilvl w:val="0"/>
                <w:numId w:val="65"/>
              </w:numPr>
              <w:autoSpaceDE/>
              <w:autoSpaceDN/>
              <w:adjustRightInd/>
              <w:ind w:left="567" w:hanging="567"/>
              <w:rPr>
                <w:sz w:val="22"/>
                <w:szCs w:val="22"/>
                <w:lang w:val="de-DE"/>
              </w:rPr>
            </w:pPr>
          </w:p>
        </w:tc>
        <w:tc>
          <w:tcPr>
            <w:tcW w:w="4646" w:type="pct"/>
            <w:tcBorders>
              <w:top w:val="nil"/>
              <w:left w:val="nil"/>
              <w:bottom w:val="nil"/>
            </w:tcBorders>
            <w:tcMar>
              <w:left w:w="0" w:type="dxa"/>
            </w:tcMar>
          </w:tcPr>
          <w:p w14:paraId="3E5800F2" w14:textId="77777777" w:rsidR="00FE291A" w:rsidRDefault="00C8738F">
            <w:pPr>
              <w:pStyle w:val="ListBullets"/>
              <w:numPr>
                <w:ilvl w:val="0"/>
                <w:numId w:val="0"/>
              </w:numPr>
              <w:spacing w:after="0"/>
              <w:contextualSpacing w:val="0"/>
              <w:rPr>
                <w:sz w:val="22"/>
                <w:szCs w:val="22"/>
              </w:rPr>
            </w:pPr>
            <w:r>
              <w:rPr>
                <w:rFonts w:ascii="Times New Roman" w:hAnsi="Times New Roman"/>
                <w:sz w:val="22"/>
                <w:szCs w:val="22"/>
              </w:rPr>
              <w:t>Entnehmen Sie die Anzahl an Fertigpens, die Sie für die Injektion benötigen, und legen Sie alle unbenutzten Fertigpens zurück in den Kühlschrank.</w:t>
            </w:r>
          </w:p>
        </w:tc>
      </w:tr>
      <w:tr w:rsidR="00FE291A" w:rsidRPr="002E6CD3" w14:paraId="3D7C49D4" w14:textId="77777777">
        <w:trPr>
          <w:cantSplit/>
          <w:trHeight w:val="57"/>
        </w:trPr>
        <w:tc>
          <w:tcPr>
            <w:tcW w:w="354" w:type="pct"/>
            <w:gridSpan w:val="2"/>
            <w:tcBorders>
              <w:top w:val="nil"/>
              <w:bottom w:val="nil"/>
              <w:right w:val="nil"/>
            </w:tcBorders>
            <w:tcMar>
              <w:top w:w="28" w:type="dxa"/>
              <w:left w:w="57" w:type="dxa"/>
              <w:bottom w:w="28" w:type="dxa"/>
              <w:right w:w="57" w:type="dxa"/>
            </w:tcMar>
          </w:tcPr>
          <w:p w14:paraId="33419173" w14:textId="77777777" w:rsidR="00FE291A" w:rsidRDefault="00FE291A">
            <w:pPr>
              <w:widowControl/>
              <w:numPr>
                <w:ilvl w:val="0"/>
                <w:numId w:val="65"/>
              </w:numPr>
              <w:autoSpaceDE/>
              <w:autoSpaceDN/>
              <w:adjustRightInd/>
              <w:ind w:left="567" w:hanging="567"/>
              <w:rPr>
                <w:sz w:val="22"/>
                <w:szCs w:val="22"/>
                <w:lang w:val="de-DE"/>
              </w:rPr>
            </w:pPr>
          </w:p>
        </w:tc>
        <w:tc>
          <w:tcPr>
            <w:tcW w:w="4646" w:type="pct"/>
            <w:tcBorders>
              <w:top w:val="nil"/>
              <w:left w:val="nil"/>
              <w:bottom w:val="nil"/>
            </w:tcBorders>
            <w:tcMar>
              <w:left w:w="0" w:type="dxa"/>
            </w:tcMar>
          </w:tcPr>
          <w:p w14:paraId="7575A65E" w14:textId="77777777" w:rsidR="00FE291A" w:rsidRDefault="00C8738F">
            <w:pPr>
              <w:rPr>
                <w:b/>
                <w:bCs/>
                <w:sz w:val="22"/>
                <w:szCs w:val="22"/>
                <w:lang w:val="de-DE"/>
              </w:rPr>
            </w:pPr>
            <w:r>
              <w:rPr>
                <w:sz w:val="22"/>
                <w:szCs w:val="22"/>
                <w:lang w:val="de-DE"/>
              </w:rPr>
              <w:t xml:space="preserve">Lassen Sie den </w:t>
            </w:r>
            <w:r>
              <w:rPr>
                <w:color w:val="000000"/>
                <w:sz w:val="22"/>
                <w:szCs w:val="22"/>
                <w:lang w:val="de-DE"/>
              </w:rPr>
              <w:t>Fertigpen von alleine warm werden</w:t>
            </w:r>
            <w:r>
              <w:rPr>
                <w:sz w:val="22"/>
                <w:szCs w:val="22"/>
                <w:lang w:val="de-DE"/>
              </w:rPr>
              <w:t>.</w:t>
            </w:r>
          </w:p>
        </w:tc>
      </w:tr>
      <w:tr w:rsidR="00FE291A" w:rsidRPr="002E6CD3" w14:paraId="04EF0379" w14:textId="77777777">
        <w:trPr>
          <w:cantSplit/>
          <w:trHeight w:val="57"/>
        </w:trPr>
        <w:tc>
          <w:tcPr>
            <w:tcW w:w="354" w:type="pct"/>
            <w:gridSpan w:val="2"/>
            <w:tcBorders>
              <w:top w:val="nil"/>
              <w:bottom w:val="nil"/>
              <w:right w:val="nil"/>
            </w:tcBorders>
            <w:tcMar>
              <w:top w:w="28" w:type="dxa"/>
              <w:left w:w="57" w:type="dxa"/>
              <w:bottom w:w="28" w:type="dxa"/>
              <w:right w:w="57" w:type="dxa"/>
            </w:tcMar>
          </w:tcPr>
          <w:p w14:paraId="64291039" w14:textId="77777777" w:rsidR="00FE291A" w:rsidRDefault="00FE291A">
            <w:pPr>
              <w:widowControl/>
              <w:numPr>
                <w:ilvl w:val="0"/>
                <w:numId w:val="65"/>
              </w:numPr>
              <w:autoSpaceDE/>
              <w:autoSpaceDN/>
              <w:adjustRightInd/>
              <w:ind w:left="567" w:hanging="567"/>
              <w:rPr>
                <w:sz w:val="22"/>
                <w:szCs w:val="22"/>
                <w:lang w:val="de-DE"/>
              </w:rPr>
            </w:pPr>
          </w:p>
        </w:tc>
        <w:tc>
          <w:tcPr>
            <w:tcW w:w="4646" w:type="pct"/>
            <w:tcBorders>
              <w:top w:val="nil"/>
              <w:left w:val="nil"/>
              <w:bottom w:val="nil"/>
            </w:tcBorders>
            <w:tcMar>
              <w:left w:w="0" w:type="dxa"/>
            </w:tcMar>
          </w:tcPr>
          <w:p w14:paraId="16603C1E" w14:textId="77777777" w:rsidR="00FE291A" w:rsidRDefault="00C8738F">
            <w:pPr>
              <w:rPr>
                <w:sz w:val="22"/>
                <w:szCs w:val="22"/>
                <w:lang w:val="de-DE"/>
              </w:rPr>
            </w:pPr>
            <w:ins w:id="601" w:author="Author">
              <w:r w:rsidRPr="00F076DE">
                <w:rPr>
                  <w:bCs/>
                  <w:sz w:val="22"/>
                  <w:szCs w:val="22"/>
                  <w:lang w:val="de-DE"/>
                  <w:rPrChange w:id="602" w:author="Author">
                    <w:rPr>
                      <w:b/>
                      <w:sz w:val="22"/>
                      <w:szCs w:val="22"/>
                      <w:lang w:val="de-DE"/>
                    </w:rPr>
                  </w:rPrChange>
                </w:rPr>
                <w:t>Den Fertigpen</w:t>
              </w:r>
              <w:r>
                <w:rPr>
                  <w:b/>
                  <w:sz w:val="22"/>
                  <w:szCs w:val="22"/>
                  <w:lang w:val="de-DE"/>
                </w:rPr>
                <w:t xml:space="preserve"> </w:t>
              </w:r>
            </w:ins>
            <w:del w:id="603" w:author="Author">
              <w:r>
                <w:rPr>
                  <w:b/>
                  <w:sz w:val="22"/>
                  <w:szCs w:val="22"/>
                  <w:lang w:val="de-DE"/>
                </w:rPr>
                <w:delText>Nicht</w:delText>
              </w:r>
              <w:r>
                <w:rPr>
                  <w:sz w:val="22"/>
                  <w:szCs w:val="22"/>
                  <w:lang w:val="de-DE"/>
                </w:rPr>
                <w:delText xml:space="preserve"> </w:delText>
              </w:r>
            </w:del>
            <w:ins w:id="604" w:author="Author">
              <w:r>
                <w:rPr>
                  <w:b/>
                  <w:sz w:val="22"/>
                  <w:szCs w:val="22"/>
                  <w:lang w:val="de-DE"/>
                </w:rPr>
                <w:t>nicht</w:t>
              </w:r>
              <w:r>
                <w:rPr>
                  <w:sz w:val="22"/>
                  <w:szCs w:val="22"/>
                  <w:lang w:val="de-DE"/>
                </w:rPr>
                <w:t xml:space="preserve"> </w:t>
              </w:r>
            </w:ins>
            <w:r>
              <w:rPr>
                <w:sz w:val="22"/>
                <w:szCs w:val="22"/>
                <w:lang w:val="de-DE"/>
              </w:rPr>
              <w:t>mit heißem Wasser, in der Mikrowelle oder durch direktes Sonnenlicht erwärmen.</w:t>
            </w:r>
          </w:p>
        </w:tc>
      </w:tr>
      <w:tr w:rsidR="00FE291A" w14:paraId="2EF88144" w14:textId="77777777">
        <w:trPr>
          <w:cantSplit/>
          <w:trHeight w:val="57"/>
        </w:trPr>
        <w:tc>
          <w:tcPr>
            <w:tcW w:w="354" w:type="pct"/>
            <w:gridSpan w:val="2"/>
            <w:tcBorders>
              <w:top w:val="nil"/>
              <w:bottom w:val="nil"/>
              <w:right w:val="nil"/>
            </w:tcBorders>
            <w:tcMar>
              <w:top w:w="28" w:type="dxa"/>
              <w:left w:w="57" w:type="dxa"/>
              <w:bottom w:w="28" w:type="dxa"/>
              <w:right w:w="57" w:type="dxa"/>
            </w:tcMar>
          </w:tcPr>
          <w:p w14:paraId="6064F1C0" w14:textId="77777777" w:rsidR="00FE291A" w:rsidRDefault="00FE291A">
            <w:pPr>
              <w:widowControl/>
              <w:numPr>
                <w:ilvl w:val="0"/>
                <w:numId w:val="65"/>
              </w:numPr>
              <w:autoSpaceDE/>
              <w:autoSpaceDN/>
              <w:adjustRightInd/>
              <w:ind w:left="567" w:hanging="567"/>
              <w:rPr>
                <w:sz w:val="22"/>
                <w:szCs w:val="22"/>
                <w:lang w:val="de-DE"/>
              </w:rPr>
            </w:pPr>
          </w:p>
        </w:tc>
        <w:tc>
          <w:tcPr>
            <w:tcW w:w="4646" w:type="pct"/>
            <w:tcBorders>
              <w:top w:val="nil"/>
              <w:left w:val="nil"/>
              <w:bottom w:val="nil"/>
            </w:tcBorders>
            <w:tcMar>
              <w:left w:w="0" w:type="dxa"/>
            </w:tcMar>
          </w:tcPr>
          <w:p w14:paraId="1B9B46D1" w14:textId="77777777" w:rsidR="00FE291A" w:rsidRDefault="00C8738F">
            <w:pPr>
              <w:rPr>
                <w:sz w:val="22"/>
                <w:szCs w:val="22"/>
                <w:lang w:val="de-DE"/>
              </w:rPr>
            </w:pPr>
            <w:r>
              <w:rPr>
                <w:sz w:val="22"/>
                <w:szCs w:val="22"/>
                <w:lang w:val="de-DE"/>
              </w:rPr>
              <w:t xml:space="preserve">Den Fertigpen </w:t>
            </w:r>
            <w:r>
              <w:rPr>
                <w:b/>
                <w:sz w:val="22"/>
                <w:szCs w:val="22"/>
                <w:lang w:val="de-DE"/>
              </w:rPr>
              <w:t>niemals</w:t>
            </w:r>
            <w:r>
              <w:rPr>
                <w:sz w:val="22"/>
                <w:szCs w:val="22"/>
                <w:lang w:val="de-DE"/>
              </w:rPr>
              <w:t xml:space="preserve"> schütteln.</w:t>
            </w:r>
          </w:p>
        </w:tc>
      </w:tr>
      <w:tr w:rsidR="00FE291A" w:rsidRPr="00723069" w14:paraId="2F3AEA20" w14:textId="77777777">
        <w:trPr>
          <w:cantSplit/>
          <w:trHeight w:val="57"/>
        </w:trPr>
        <w:tc>
          <w:tcPr>
            <w:tcW w:w="354" w:type="pct"/>
            <w:gridSpan w:val="2"/>
            <w:tcBorders>
              <w:top w:val="nil"/>
              <w:bottom w:val="nil"/>
              <w:right w:val="nil"/>
            </w:tcBorders>
            <w:tcMar>
              <w:top w:w="28" w:type="dxa"/>
              <w:left w:w="57" w:type="dxa"/>
              <w:bottom w:w="28" w:type="dxa"/>
              <w:right w:w="57" w:type="dxa"/>
            </w:tcMar>
          </w:tcPr>
          <w:p w14:paraId="0E83D02B" w14:textId="77777777" w:rsidR="00FE291A" w:rsidRDefault="00FE291A">
            <w:pPr>
              <w:widowControl/>
              <w:numPr>
                <w:ilvl w:val="0"/>
                <w:numId w:val="65"/>
              </w:numPr>
              <w:autoSpaceDE/>
              <w:autoSpaceDN/>
              <w:adjustRightInd/>
              <w:ind w:left="567" w:hanging="567"/>
              <w:rPr>
                <w:sz w:val="22"/>
                <w:szCs w:val="22"/>
                <w:lang w:val="de-DE"/>
              </w:rPr>
            </w:pPr>
          </w:p>
        </w:tc>
        <w:tc>
          <w:tcPr>
            <w:tcW w:w="4646" w:type="pct"/>
            <w:tcBorders>
              <w:top w:val="nil"/>
              <w:left w:val="nil"/>
              <w:bottom w:val="nil"/>
            </w:tcBorders>
            <w:tcMar>
              <w:left w:w="0" w:type="dxa"/>
            </w:tcMar>
          </w:tcPr>
          <w:p w14:paraId="71D5B984" w14:textId="77777777" w:rsidR="00FE291A" w:rsidRDefault="00C8738F">
            <w:pPr>
              <w:rPr>
                <w:b/>
                <w:bCs/>
                <w:sz w:val="22"/>
                <w:szCs w:val="22"/>
                <w:lang w:val="de-DE"/>
              </w:rPr>
            </w:pPr>
            <w:r>
              <w:rPr>
                <w:sz w:val="22"/>
                <w:szCs w:val="22"/>
                <w:lang w:val="de-DE"/>
              </w:rPr>
              <w:t xml:space="preserve">Legen Sie den Fertigpen </w:t>
            </w:r>
            <w:r>
              <w:rPr>
                <w:b/>
                <w:sz w:val="22"/>
                <w:szCs w:val="22"/>
                <w:lang w:val="de-DE"/>
              </w:rPr>
              <w:t>nicht</w:t>
            </w:r>
            <w:r>
              <w:rPr>
                <w:sz w:val="22"/>
                <w:szCs w:val="22"/>
                <w:lang w:val="de-DE"/>
              </w:rPr>
              <w:t xml:space="preserve"> zurück in den Kühlschrank, nachdem er Raumtemperatur erreicht hat.</w:t>
            </w:r>
          </w:p>
        </w:tc>
      </w:tr>
      <w:tr w:rsidR="00FE291A" w:rsidRPr="002E6CD3" w14:paraId="08A243C7" w14:textId="77777777">
        <w:trPr>
          <w:cantSplit/>
          <w:trHeight w:val="57"/>
        </w:trPr>
        <w:tc>
          <w:tcPr>
            <w:tcW w:w="354" w:type="pct"/>
            <w:gridSpan w:val="2"/>
            <w:tcBorders>
              <w:top w:val="nil"/>
              <w:bottom w:val="single" w:sz="4" w:space="0" w:color="auto"/>
              <w:right w:val="nil"/>
            </w:tcBorders>
            <w:tcMar>
              <w:top w:w="28" w:type="dxa"/>
              <w:left w:w="57" w:type="dxa"/>
              <w:bottom w:w="28" w:type="dxa"/>
              <w:right w:w="57" w:type="dxa"/>
            </w:tcMar>
          </w:tcPr>
          <w:p w14:paraId="02349A22" w14:textId="77777777" w:rsidR="00FE291A" w:rsidRDefault="00FE291A">
            <w:pPr>
              <w:widowControl/>
              <w:numPr>
                <w:ilvl w:val="0"/>
                <w:numId w:val="65"/>
              </w:numPr>
              <w:autoSpaceDE/>
              <w:autoSpaceDN/>
              <w:adjustRightInd/>
              <w:ind w:left="567" w:hanging="567"/>
              <w:rPr>
                <w:sz w:val="22"/>
                <w:szCs w:val="22"/>
                <w:lang w:val="de-DE"/>
              </w:rPr>
            </w:pPr>
          </w:p>
        </w:tc>
        <w:tc>
          <w:tcPr>
            <w:tcW w:w="4646" w:type="pct"/>
            <w:tcBorders>
              <w:top w:val="nil"/>
              <w:left w:val="nil"/>
              <w:bottom w:val="single" w:sz="4" w:space="0" w:color="auto"/>
            </w:tcBorders>
            <w:tcMar>
              <w:left w:w="0" w:type="dxa"/>
            </w:tcMar>
          </w:tcPr>
          <w:p w14:paraId="3709A8EC" w14:textId="6A9FB925" w:rsidR="00FE291A" w:rsidRDefault="00C8738F">
            <w:pPr>
              <w:pStyle w:val="ListParagraph"/>
              <w:rPr>
                <w:sz w:val="22"/>
                <w:szCs w:val="22"/>
                <w:lang w:val="de-DE"/>
              </w:rPr>
            </w:pPr>
            <w:r>
              <w:rPr>
                <w:sz w:val="22"/>
                <w:szCs w:val="22"/>
                <w:lang w:val="de-DE"/>
              </w:rPr>
              <w:t xml:space="preserve">Die Anwendung des </w:t>
            </w:r>
            <w:r>
              <w:rPr>
                <w:color w:val="000000"/>
                <w:sz w:val="22"/>
                <w:szCs w:val="22"/>
                <w:lang w:val="de-DE"/>
              </w:rPr>
              <w:t>Fertigpens</w:t>
            </w:r>
            <w:r>
              <w:rPr>
                <w:sz w:val="22"/>
                <w:szCs w:val="22"/>
                <w:lang w:val="de-DE"/>
              </w:rPr>
              <w:t xml:space="preserve"> bei Raumtemperatur</w:t>
            </w:r>
            <w:ins w:id="605" w:author="Author">
              <w:r>
                <w:rPr>
                  <w:sz w:val="22"/>
                  <w:szCs w:val="22"/>
                  <w:lang w:val="de-DE"/>
                </w:rPr>
                <w:t xml:space="preserve"> gewährleistet, dass die vollständige Dosis </w:t>
              </w:r>
              <w:del w:id="606" w:author="Author">
                <w:r w:rsidDel="00CF4CF5">
                  <w:rPr>
                    <w:sz w:val="22"/>
                    <w:szCs w:val="22"/>
                    <w:lang w:val="de-DE"/>
                  </w:rPr>
                  <w:delText>verabreicht</w:delText>
                </w:r>
              </w:del>
              <w:r w:rsidR="00CF4CF5">
                <w:rPr>
                  <w:sz w:val="22"/>
                  <w:szCs w:val="22"/>
                  <w:lang w:val="de-DE"/>
                </w:rPr>
                <w:t>angewendet</w:t>
              </w:r>
              <w:r>
                <w:rPr>
                  <w:sz w:val="22"/>
                  <w:szCs w:val="22"/>
                  <w:lang w:val="de-DE"/>
                </w:rPr>
                <w:t xml:space="preserve"> wird,</w:t>
              </w:r>
            </w:ins>
            <w:r>
              <w:rPr>
                <w:sz w:val="22"/>
                <w:szCs w:val="22"/>
                <w:lang w:val="de-DE"/>
              </w:rPr>
              <w:t xml:space="preserve"> </w:t>
            </w:r>
            <w:ins w:id="607" w:author="Author">
              <w:r>
                <w:rPr>
                  <w:sz w:val="22"/>
                  <w:szCs w:val="22"/>
                  <w:lang w:val="de-DE"/>
                </w:rPr>
                <w:t xml:space="preserve">und </w:t>
              </w:r>
            </w:ins>
            <w:r>
              <w:rPr>
                <w:sz w:val="22"/>
                <w:szCs w:val="22"/>
                <w:lang w:val="de-DE"/>
              </w:rPr>
              <w:t>ermöglicht eine angenehmere Injektion.</w:t>
            </w:r>
          </w:p>
        </w:tc>
      </w:tr>
    </w:tbl>
    <w:p w14:paraId="540ECBD6" w14:textId="77777777" w:rsidR="00FE291A" w:rsidRDefault="00FE291A">
      <w:pPr>
        <w:rPr>
          <w:b/>
          <w:bCs/>
          <w:sz w:val="22"/>
          <w:szCs w:val="22"/>
          <w:lang w:val="de-DE"/>
        </w:rPr>
      </w:pPr>
    </w:p>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31"/>
        <w:gridCol w:w="3944"/>
        <w:gridCol w:w="4323"/>
      </w:tblGrid>
      <w:tr w:rsidR="00FE291A" w:rsidRPr="002E6CD3" w14:paraId="5FF1A59F" w14:textId="77777777">
        <w:trPr>
          <w:cantSplit/>
          <w:trHeight w:val="382"/>
        </w:trPr>
        <w:tc>
          <w:tcPr>
            <w:tcW w:w="355" w:type="pct"/>
            <w:tcBorders>
              <w:bottom w:val="nil"/>
            </w:tcBorders>
            <w:tcMar>
              <w:top w:w="28" w:type="dxa"/>
              <w:left w:w="57" w:type="dxa"/>
              <w:bottom w:w="28" w:type="dxa"/>
              <w:right w:w="57" w:type="dxa"/>
            </w:tcMar>
          </w:tcPr>
          <w:p w14:paraId="56AEA077" w14:textId="77777777" w:rsidR="00FE291A" w:rsidRDefault="00C8738F">
            <w:pPr>
              <w:keepNext/>
              <w:rPr>
                <w:sz w:val="22"/>
                <w:szCs w:val="22"/>
                <w:lang w:val="de-DE"/>
              </w:rPr>
            </w:pPr>
            <w:r>
              <w:rPr>
                <w:b/>
                <w:sz w:val="22"/>
                <w:szCs w:val="22"/>
                <w:lang w:val="de-DE"/>
              </w:rPr>
              <w:t>2b</w:t>
            </w:r>
          </w:p>
        </w:tc>
        <w:tc>
          <w:tcPr>
            <w:tcW w:w="4645" w:type="pct"/>
            <w:gridSpan w:val="2"/>
            <w:tcBorders>
              <w:bottom w:val="nil"/>
            </w:tcBorders>
          </w:tcPr>
          <w:p w14:paraId="044ED944" w14:textId="77777777" w:rsidR="00FE291A" w:rsidRDefault="00C8738F">
            <w:pPr>
              <w:keepNext/>
              <w:rPr>
                <w:sz w:val="22"/>
                <w:szCs w:val="22"/>
                <w:lang w:val="de-DE"/>
              </w:rPr>
            </w:pPr>
            <w:r>
              <w:rPr>
                <w:b/>
                <w:sz w:val="22"/>
                <w:szCs w:val="22"/>
                <w:lang w:val="de-DE"/>
              </w:rPr>
              <w:t>Überprüfen Sie das Arzneimittel. Es sollte klar und farblos bis leicht gelblich sein.</w:t>
            </w:r>
          </w:p>
        </w:tc>
      </w:tr>
      <w:tr w:rsidR="00FE291A" w14:paraId="7718F9F4" w14:textId="77777777">
        <w:trPr>
          <w:cantSplit/>
          <w:trHeight w:val="2460"/>
        </w:trPr>
        <w:tc>
          <w:tcPr>
            <w:tcW w:w="355" w:type="pct"/>
            <w:tcBorders>
              <w:bottom w:val="nil"/>
              <w:right w:val="nil"/>
            </w:tcBorders>
            <w:tcMar>
              <w:top w:w="28" w:type="dxa"/>
              <w:left w:w="57" w:type="dxa"/>
              <w:bottom w:w="28" w:type="dxa"/>
              <w:right w:w="57" w:type="dxa"/>
            </w:tcMar>
          </w:tcPr>
          <w:p w14:paraId="546BAD23" w14:textId="77777777" w:rsidR="00FE291A" w:rsidRDefault="00FE291A">
            <w:pPr>
              <w:keepNext/>
              <w:rPr>
                <w:b/>
                <w:bCs/>
                <w:sz w:val="22"/>
                <w:szCs w:val="22"/>
                <w:lang w:val="de-DE"/>
              </w:rPr>
            </w:pPr>
          </w:p>
        </w:tc>
        <w:tc>
          <w:tcPr>
            <w:tcW w:w="2216" w:type="pct"/>
            <w:tcBorders>
              <w:top w:val="single" w:sz="4" w:space="0" w:color="auto"/>
              <w:left w:val="nil"/>
              <w:bottom w:val="nil"/>
              <w:right w:val="nil"/>
            </w:tcBorders>
            <w:tcMar>
              <w:top w:w="28" w:type="dxa"/>
              <w:left w:w="57" w:type="dxa"/>
              <w:bottom w:w="28" w:type="dxa"/>
              <w:right w:w="57" w:type="dxa"/>
            </w:tcMar>
          </w:tcPr>
          <w:p w14:paraId="41DDF287" w14:textId="00723CF3" w:rsidR="00FE291A" w:rsidRDefault="009C5B62">
            <w:pPr>
              <w:pStyle w:val="ListParagraph"/>
              <w:keepNext/>
              <w:rPr>
                <w:b/>
                <w:bCs/>
                <w:sz w:val="22"/>
                <w:szCs w:val="22"/>
                <w:lang w:val="de-DE"/>
              </w:rPr>
            </w:pPr>
            <w:r>
              <w:rPr>
                <w:b/>
                <w:noProof/>
                <w:sz w:val="22"/>
                <w:szCs w:val="22"/>
              </w:rPr>
              <w:drawing>
                <wp:inline distT="0" distB="0" distL="0" distR="0" wp14:anchorId="65C4F2F2" wp14:editId="71BD2646">
                  <wp:extent cx="2514600" cy="1360170"/>
                  <wp:effectExtent l="0" t="0" r="0" b="0"/>
                  <wp:docPr id="81"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14600" cy="1360170"/>
                          </a:xfrm>
                          <a:prstGeom prst="rect">
                            <a:avLst/>
                          </a:prstGeom>
                          <a:noFill/>
                          <a:ln>
                            <a:noFill/>
                          </a:ln>
                        </pic:spPr>
                      </pic:pic>
                    </a:graphicData>
                  </a:graphic>
                </wp:inline>
              </w:drawing>
            </w:r>
          </w:p>
        </w:tc>
        <w:tc>
          <w:tcPr>
            <w:tcW w:w="2429" w:type="pct"/>
            <w:tcBorders>
              <w:top w:val="single" w:sz="4" w:space="0" w:color="auto"/>
              <w:left w:val="nil"/>
              <w:bottom w:val="nil"/>
              <w:right w:val="single" w:sz="4" w:space="0" w:color="auto"/>
            </w:tcBorders>
          </w:tcPr>
          <w:p w14:paraId="7AAE0493" w14:textId="77777777" w:rsidR="00FE291A" w:rsidRDefault="00FE291A">
            <w:pPr>
              <w:pStyle w:val="ListParagraph"/>
              <w:keepNext/>
              <w:ind w:left="567" w:hanging="567"/>
              <w:rPr>
                <w:b/>
                <w:bCs/>
                <w:sz w:val="22"/>
                <w:szCs w:val="22"/>
                <w:lang w:val="de-DE"/>
              </w:rPr>
            </w:pPr>
          </w:p>
          <w:p w14:paraId="00F26BF3" w14:textId="77777777" w:rsidR="00FE291A" w:rsidRDefault="00FE291A">
            <w:pPr>
              <w:pStyle w:val="ListParagraph"/>
              <w:keepNext/>
              <w:ind w:left="567" w:hanging="567"/>
              <w:rPr>
                <w:b/>
                <w:bCs/>
                <w:sz w:val="22"/>
                <w:szCs w:val="22"/>
                <w:lang w:val="de-DE"/>
              </w:rPr>
            </w:pPr>
          </w:p>
          <w:p w14:paraId="6F23F628" w14:textId="77777777" w:rsidR="00FE291A" w:rsidRDefault="00FE291A">
            <w:pPr>
              <w:pStyle w:val="ListParagraph"/>
              <w:keepNext/>
              <w:ind w:left="567" w:hanging="567"/>
              <w:rPr>
                <w:b/>
                <w:bCs/>
                <w:sz w:val="22"/>
                <w:szCs w:val="22"/>
                <w:lang w:val="de-DE"/>
              </w:rPr>
            </w:pPr>
          </w:p>
          <w:p w14:paraId="51A7552B" w14:textId="77777777" w:rsidR="00FE291A" w:rsidRDefault="00FE291A">
            <w:pPr>
              <w:pStyle w:val="ListParagraph"/>
              <w:keepNext/>
              <w:ind w:left="567" w:hanging="567"/>
              <w:rPr>
                <w:b/>
                <w:bCs/>
                <w:sz w:val="22"/>
                <w:szCs w:val="22"/>
                <w:lang w:val="de-DE"/>
              </w:rPr>
            </w:pPr>
          </w:p>
          <w:p w14:paraId="1B7B2292" w14:textId="77777777" w:rsidR="00FE291A" w:rsidRDefault="00FE291A">
            <w:pPr>
              <w:pStyle w:val="ListParagraph"/>
              <w:keepNext/>
              <w:ind w:left="567" w:hanging="567"/>
              <w:rPr>
                <w:sz w:val="22"/>
                <w:szCs w:val="22"/>
                <w:lang w:val="de-DE"/>
              </w:rPr>
            </w:pPr>
          </w:p>
          <w:p w14:paraId="5DEA0D9C" w14:textId="77777777" w:rsidR="00FE291A" w:rsidRDefault="00C8738F">
            <w:pPr>
              <w:pStyle w:val="ListParagraph"/>
              <w:keepNext/>
              <w:ind w:left="567" w:hanging="567"/>
              <w:rPr>
                <w:sz w:val="22"/>
                <w:szCs w:val="22"/>
                <w:lang w:val="de-DE"/>
              </w:rPr>
            </w:pPr>
            <w:r>
              <w:rPr>
                <w:sz w:val="22"/>
                <w:szCs w:val="22"/>
                <w:lang w:val="de-DE"/>
              </w:rPr>
              <w:t>Arzneimittel</w:t>
            </w:r>
          </w:p>
        </w:tc>
      </w:tr>
      <w:tr w:rsidR="00FE291A" w:rsidRPr="002E6CD3" w14:paraId="1C844699" w14:textId="77777777">
        <w:trPr>
          <w:cantSplit/>
          <w:trHeight w:val="57"/>
        </w:trPr>
        <w:tc>
          <w:tcPr>
            <w:tcW w:w="355" w:type="pct"/>
            <w:tcBorders>
              <w:top w:val="nil"/>
              <w:bottom w:val="nil"/>
              <w:right w:val="nil"/>
            </w:tcBorders>
            <w:tcMar>
              <w:top w:w="28" w:type="dxa"/>
              <w:left w:w="57" w:type="dxa"/>
              <w:bottom w:w="28" w:type="dxa"/>
              <w:right w:w="57" w:type="dxa"/>
            </w:tcMar>
          </w:tcPr>
          <w:p w14:paraId="1439EF25" w14:textId="77777777" w:rsidR="00FE291A" w:rsidRDefault="00FE291A">
            <w:pPr>
              <w:keepNext/>
              <w:widowControl/>
              <w:numPr>
                <w:ilvl w:val="0"/>
                <w:numId w:val="65"/>
              </w:numPr>
              <w:autoSpaceDE/>
              <w:autoSpaceDN/>
              <w:adjustRightInd/>
              <w:ind w:left="567" w:hanging="567"/>
              <w:rPr>
                <w:sz w:val="22"/>
                <w:szCs w:val="22"/>
                <w:lang w:val="de-DE"/>
              </w:rPr>
            </w:pPr>
          </w:p>
        </w:tc>
        <w:tc>
          <w:tcPr>
            <w:tcW w:w="4645" w:type="pct"/>
            <w:gridSpan w:val="2"/>
            <w:tcBorders>
              <w:top w:val="nil"/>
              <w:left w:val="nil"/>
              <w:bottom w:val="nil"/>
            </w:tcBorders>
            <w:tcMar>
              <w:left w:w="0" w:type="dxa"/>
            </w:tcMar>
          </w:tcPr>
          <w:p w14:paraId="0D980854" w14:textId="77777777" w:rsidR="00FE291A" w:rsidRDefault="00C8738F">
            <w:pPr>
              <w:pStyle w:val="ListBullets"/>
              <w:keepNext/>
              <w:numPr>
                <w:ilvl w:val="0"/>
                <w:numId w:val="0"/>
              </w:numPr>
              <w:spacing w:after="0"/>
              <w:rPr>
                <w:b/>
                <w:bCs/>
                <w:sz w:val="22"/>
                <w:szCs w:val="22"/>
              </w:rPr>
            </w:pPr>
            <w:r>
              <w:rPr>
                <w:rFonts w:ascii="Times New Roman" w:hAnsi="Times New Roman"/>
                <w:sz w:val="22"/>
                <w:szCs w:val="22"/>
              </w:rPr>
              <w:t xml:space="preserve">Es ist in Ordnung, wenn Luftblasen </w:t>
            </w:r>
            <w:ins w:id="608" w:author="Author">
              <w:r>
                <w:rPr>
                  <w:rFonts w:ascii="Times New Roman" w:hAnsi="Times New Roman"/>
                  <w:sz w:val="22"/>
                  <w:szCs w:val="22"/>
                </w:rPr>
                <w:t xml:space="preserve">im Fertigpen </w:t>
              </w:r>
            </w:ins>
            <w:r>
              <w:rPr>
                <w:rFonts w:ascii="Times New Roman" w:hAnsi="Times New Roman"/>
                <w:sz w:val="22"/>
                <w:szCs w:val="22"/>
              </w:rPr>
              <w:t>zu sehen sind.</w:t>
            </w:r>
          </w:p>
        </w:tc>
      </w:tr>
      <w:tr w:rsidR="00FE291A" w:rsidRPr="002E6CD3" w14:paraId="5324CD52" w14:textId="77777777">
        <w:trPr>
          <w:cantSplit/>
          <w:trHeight w:val="57"/>
        </w:trPr>
        <w:tc>
          <w:tcPr>
            <w:tcW w:w="355" w:type="pct"/>
            <w:tcBorders>
              <w:top w:val="nil"/>
              <w:bottom w:val="nil"/>
              <w:right w:val="nil"/>
            </w:tcBorders>
            <w:tcMar>
              <w:top w:w="28" w:type="dxa"/>
              <w:left w:w="57" w:type="dxa"/>
              <w:bottom w:w="28" w:type="dxa"/>
              <w:right w:w="57" w:type="dxa"/>
            </w:tcMar>
          </w:tcPr>
          <w:p w14:paraId="19952B62" w14:textId="77777777" w:rsidR="00FE291A" w:rsidRDefault="00FE291A">
            <w:pPr>
              <w:keepNext/>
              <w:widowControl/>
              <w:numPr>
                <w:ilvl w:val="0"/>
                <w:numId w:val="65"/>
              </w:numPr>
              <w:autoSpaceDE/>
              <w:autoSpaceDN/>
              <w:adjustRightInd/>
              <w:ind w:left="567" w:hanging="567"/>
              <w:rPr>
                <w:sz w:val="22"/>
                <w:szCs w:val="22"/>
                <w:lang w:val="de-DE"/>
              </w:rPr>
            </w:pPr>
          </w:p>
        </w:tc>
        <w:tc>
          <w:tcPr>
            <w:tcW w:w="4645" w:type="pct"/>
            <w:gridSpan w:val="2"/>
            <w:tcBorders>
              <w:top w:val="nil"/>
              <w:left w:val="nil"/>
              <w:bottom w:val="nil"/>
            </w:tcBorders>
            <w:tcMar>
              <w:left w:w="0" w:type="dxa"/>
            </w:tcMar>
          </w:tcPr>
          <w:p w14:paraId="0AAE133D" w14:textId="77777777" w:rsidR="00FE291A" w:rsidRDefault="00C8738F">
            <w:pPr>
              <w:keepNext/>
              <w:rPr>
                <w:sz w:val="22"/>
                <w:szCs w:val="22"/>
                <w:lang w:val="de-DE"/>
              </w:rPr>
            </w:pPr>
            <w:r>
              <w:rPr>
                <w:sz w:val="22"/>
                <w:szCs w:val="22"/>
                <w:lang w:val="de-DE"/>
              </w:rPr>
              <w:t xml:space="preserve">Wenden Sie das Arzneimittel </w:t>
            </w:r>
            <w:r>
              <w:rPr>
                <w:b/>
                <w:sz w:val="22"/>
                <w:szCs w:val="22"/>
                <w:lang w:val="de-DE"/>
              </w:rPr>
              <w:t>nicht</w:t>
            </w:r>
            <w:r>
              <w:rPr>
                <w:sz w:val="22"/>
                <w:szCs w:val="22"/>
                <w:lang w:val="de-DE"/>
              </w:rPr>
              <w:t xml:space="preserve"> an, wenn es trübe oder verfärbt ist oder Flocken</w:t>
            </w:r>
            <w:ins w:id="609" w:author="Author">
              <w:r>
                <w:rPr>
                  <w:sz w:val="22"/>
                  <w:szCs w:val="22"/>
                  <w:lang w:val="de-DE"/>
                </w:rPr>
                <w:t xml:space="preserve"> oder Partikel</w:t>
              </w:r>
            </w:ins>
            <w:r>
              <w:rPr>
                <w:sz w:val="22"/>
                <w:szCs w:val="22"/>
                <w:lang w:val="de-DE"/>
              </w:rPr>
              <w:t xml:space="preserve"> enthält.</w:t>
            </w:r>
          </w:p>
        </w:tc>
      </w:tr>
      <w:tr w:rsidR="00FE291A" w14:paraId="16F2A46D" w14:textId="77777777">
        <w:trPr>
          <w:cantSplit/>
          <w:trHeight w:val="803"/>
          <w:ins w:id="610" w:author="Author"/>
        </w:trPr>
        <w:tc>
          <w:tcPr>
            <w:tcW w:w="5000" w:type="pct"/>
            <w:gridSpan w:val="3"/>
            <w:tcBorders>
              <w:top w:val="nil"/>
              <w:bottom w:val="single" w:sz="4" w:space="0" w:color="auto"/>
            </w:tcBorders>
            <w:tcMar>
              <w:top w:w="28" w:type="dxa"/>
              <w:left w:w="57" w:type="dxa"/>
              <w:bottom w:w="28" w:type="dxa"/>
              <w:right w:w="57" w:type="dxa"/>
            </w:tcMar>
            <w:vAlign w:val="center"/>
          </w:tcPr>
          <w:p w14:paraId="6EDEBA60" w14:textId="7F2E4CB6" w:rsidR="00FE291A" w:rsidRDefault="009C5B62">
            <w:pPr>
              <w:keepNext/>
              <w:rPr>
                <w:ins w:id="611" w:author="Author"/>
              </w:rPr>
            </w:pPr>
            <w:r>
              <w:rPr>
                <w:noProof/>
              </w:rPr>
              <mc:AlternateContent>
                <mc:Choice Requires="wps">
                  <w:drawing>
                    <wp:inline distT="0" distB="0" distL="0" distR="0" wp14:anchorId="7ECF0E67" wp14:editId="72609B2F">
                      <wp:extent cx="5614670" cy="592455"/>
                      <wp:effectExtent l="9525" t="9525" r="14605" b="17145"/>
                      <wp:docPr id="1336785792"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592455"/>
                              </a:xfrm>
                              <a:prstGeom prst="rect">
                                <a:avLst/>
                              </a:prstGeom>
                              <a:solidFill>
                                <a:srgbClr val="FFFFFF"/>
                              </a:solidFill>
                              <a:ln w="19050">
                                <a:solidFill>
                                  <a:srgbClr val="FF0000"/>
                                </a:solidFill>
                                <a:miter lim="800000"/>
                                <a:headEnd/>
                                <a:tailEnd/>
                              </a:ln>
                            </wps:spPr>
                            <wps:txbx>
                              <w:txbxContent>
                                <w:p w14:paraId="7A1E8254" w14:textId="6B36150D" w:rsidR="00FE291A" w:rsidRDefault="00C8738F">
                                  <w:pPr>
                                    <w:rPr>
                                      <w:sz w:val="22"/>
                                      <w:lang w:val="de-DE"/>
                                    </w:rPr>
                                  </w:pPr>
                                  <w:ins w:id="612" w:author="Author">
                                    <w:r>
                                      <w:rPr>
                                        <w:b/>
                                        <w:bCs/>
                                        <w:sz w:val="22"/>
                                        <w:lang w:val="de-DE"/>
                                      </w:rPr>
                                      <w:t>Wichtig:</w:t>
                                    </w:r>
                                    <w:r>
                                      <w:rPr>
                                        <w:sz w:val="22"/>
                                        <w:lang w:val="de-DE"/>
                                      </w:rPr>
                                      <w:t xml:space="preserve"> Wenn das Arzneimittel trübe oder verfärbt ist oder Flocken oder Partikel enthält, oder wenn der Fertigpen beschädigt oder das Verfalldatum überschritten is</w:t>
                                    </w:r>
                                    <w:r w:rsidR="00211AE1">
                                      <w:rPr>
                                        <w:sz w:val="22"/>
                                        <w:lang w:val="de-DE"/>
                                      </w:rPr>
                                      <w:t>t</w:t>
                                    </w:r>
                                    <w:r>
                                      <w:rPr>
                                        <w:sz w:val="22"/>
                                        <w:lang w:val="de-DE"/>
                                      </w:rPr>
                                      <w:t>, wenden Sie sich an Ihren Arzt oder das medizinische Fachpersonal.</w:t>
                                    </w:r>
                                  </w:ins>
                                </w:p>
                              </w:txbxContent>
                            </wps:txbx>
                            <wps:bodyPr rot="0" vert="horz" wrap="square" lIns="91440" tIns="45720" rIns="91440" bIns="45720" anchor="t" anchorCtr="0" upright="1">
                              <a:spAutoFit/>
                            </wps:bodyPr>
                          </wps:wsp>
                        </a:graphicData>
                      </a:graphic>
                    </wp:inline>
                  </w:drawing>
                </mc:Choice>
                <mc:Fallback>
                  <w:pict>
                    <v:shape w14:anchorId="7ECF0E67" id="Text Box 154" o:spid="_x0000_s1048" type="#_x0000_t202" style="width:442.1pt;height:4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" strokecolor="red" strokeweight="1.5pt">
                      <v:textbox style="mso-fit-shape-to-text:t">
                        <w:txbxContent>
                          <w:p w14:paraId="7A1E8254" w14:textId="6B36150D" w:rsidR="00FE291A" w:rsidRDefault="00C8738F">
                            <w:pPr>
                              <w:rPr>
                                <w:sz w:val="22"/>
                                <w:lang w:val="de-DE"/>
                              </w:rPr>
                            </w:pPr>
                            <w:ins w:id="613" w:author="Author">
                              <w:r>
                                <w:rPr>
                                  <w:b/>
                                  <w:bCs/>
                                  <w:sz w:val="22"/>
                                  <w:lang w:val="de-DE"/>
                                </w:rPr>
                                <w:t>Wichtig:</w:t>
                              </w:r>
                              <w:r>
                                <w:rPr>
                                  <w:sz w:val="22"/>
                                  <w:lang w:val="de-DE"/>
                                </w:rPr>
                                <w:t xml:space="preserve"> Wenn das Arzneimittel trübe oder verfärbt ist oder Flocken oder Partikel enthält, oder wenn der Fertigpen beschädigt oder das Verfalldatum überschritten is</w:t>
                              </w:r>
                              <w:r w:rsidR="00211AE1">
                                <w:rPr>
                                  <w:sz w:val="22"/>
                                  <w:lang w:val="de-DE"/>
                                </w:rPr>
                                <w:t>t</w:t>
                              </w:r>
                              <w:r>
                                <w:rPr>
                                  <w:sz w:val="22"/>
                                  <w:lang w:val="de-DE"/>
                                </w:rPr>
                                <w:t>, wenden Sie sich an Ihren Arzt oder das medizinische Fachpersonal.</w:t>
                              </w:r>
                            </w:ins>
                          </w:p>
                        </w:txbxContent>
                      </v:textbox>
                      <w10:anchorlock/>
                    </v:shape>
                  </w:pict>
                </mc:Fallback>
              </mc:AlternateContent>
            </w:r>
          </w:p>
          <w:p w14:paraId="45E5AB8A" w14:textId="2EAA6B29" w:rsidR="005C4114" w:rsidRDefault="005C4114">
            <w:pPr>
              <w:keepNext/>
              <w:rPr>
                <w:ins w:id="614" w:author="Author"/>
                <w:sz w:val="22"/>
                <w:szCs w:val="22"/>
                <w:lang w:val="de-DE"/>
              </w:rPr>
            </w:pPr>
          </w:p>
        </w:tc>
      </w:tr>
    </w:tbl>
    <w:p w14:paraId="759AB486" w14:textId="77777777" w:rsidR="00FE291A" w:rsidRDefault="00FE291A">
      <w:pPr>
        <w:rPr>
          <w:b/>
          <w:bCs/>
          <w:sz w:val="22"/>
          <w:szCs w:val="22"/>
          <w:lang w:val="de-DE"/>
        </w:rPr>
      </w:pPr>
    </w:p>
    <w:tbl>
      <w:tblPr>
        <w:tblW w:w="4904"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82"/>
        <w:gridCol w:w="3340"/>
        <w:gridCol w:w="4865"/>
      </w:tblGrid>
      <w:tr w:rsidR="00FE291A" w:rsidRPr="002E6CD3" w14:paraId="4FE3144F" w14:textId="77777777">
        <w:trPr>
          <w:cantSplit/>
          <w:trHeight w:val="335"/>
        </w:trPr>
        <w:tc>
          <w:tcPr>
            <w:tcW w:w="384" w:type="pct"/>
            <w:tcBorders>
              <w:bottom w:val="nil"/>
            </w:tcBorders>
            <w:tcMar>
              <w:top w:w="28" w:type="dxa"/>
              <w:left w:w="57" w:type="dxa"/>
              <w:bottom w:w="28" w:type="dxa"/>
              <w:right w:w="57" w:type="dxa"/>
            </w:tcMar>
          </w:tcPr>
          <w:p w14:paraId="4B0C6B18" w14:textId="77777777" w:rsidR="00FE291A" w:rsidRDefault="00C8738F">
            <w:pPr>
              <w:keepNext/>
              <w:rPr>
                <w:sz w:val="22"/>
                <w:szCs w:val="22"/>
                <w:lang w:val="de-DE"/>
              </w:rPr>
            </w:pPr>
            <w:r>
              <w:rPr>
                <w:b/>
                <w:sz w:val="22"/>
                <w:szCs w:val="22"/>
                <w:lang w:val="de-DE"/>
              </w:rPr>
              <w:t>2c</w:t>
            </w:r>
          </w:p>
        </w:tc>
        <w:tc>
          <w:tcPr>
            <w:tcW w:w="4616" w:type="pct"/>
            <w:gridSpan w:val="2"/>
            <w:tcBorders>
              <w:bottom w:val="nil"/>
            </w:tcBorders>
          </w:tcPr>
          <w:p w14:paraId="36755FA5" w14:textId="77777777" w:rsidR="00FE291A" w:rsidRDefault="00C8738F">
            <w:pPr>
              <w:keepNext/>
              <w:rPr>
                <w:sz w:val="22"/>
                <w:szCs w:val="22"/>
                <w:lang w:val="de-DE"/>
              </w:rPr>
            </w:pPr>
            <w:r>
              <w:rPr>
                <w:b/>
                <w:sz w:val="22"/>
                <w:szCs w:val="22"/>
                <w:lang w:val="de-DE"/>
              </w:rPr>
              <w:t xml:space="preserve">Überprüfen Sie das Verfalldatum (EXP) und überprüfen Sie den Fertigpen auf Beschädigungen. </w:t>
            </w:r>
          </w:p>
        </w:tc>
      </w:tr>
      <w:tr w:rsidR="00FE291A" w14:paraId="46A338E1" w14:textId="77777777">
        <w:trPr>
          <w:cantSplit/>
          <w:trHeight w:val="1612"/>
        </w:trPr>
        <w:tc>
          <w:tcPr>
            <w:tcW w:w="384" w:type="pct"/>
            <w:tcBorders>
              <w:bottom w:val="nil"/>
              <w:right w:val="nil"/>
            </w:tcBorders>
            <w:tcMar>
              <w:top w:w="28" w:type="dxa"/>
              <w:left w:w="57" w:type="dxa"/>
              <w:bottom w:w="28" w:type="dxa"/>
              <w:right w:w="57" w:type="dxa"/>
            </w:tcMar>
          </w:tcPr>
          <w:p w14:paraId="558EEC98" w14:textId="77777777" w:rsidR="00FE291A" w:rsidRDefault="00FE291A">
            <w:pPr>
              <w:keepNext/>
              <w:rPr>
                <w:b/>
                <w:bCs/>
                <w:sz w:val="22"/>
                <w:szCs w:val="22"/>
                <w:lang w:val="de-DE"/>
              </w:rPr>
            </w:pPr>
          </w:p>
        </w:tc>
        <w:tc>
          <w:tcPr>
            <w:tcW w:w="1879" w:type="pct"/>
            <w:tcBorders>
              <w:top w:val="single" w:sz="4" w:space="0" w:color="auto"/>
              <w:left w:val="nil"/>
              <w:bottom w:val="nil"/>
              <w:right w:val="nil"/>
            </w:tcBorders>
            <w:tcMar>
              <w:top w:w="28" w:type="dxa"/>
              <w:left w:w="57" w:type="dxa"/>
              <w:bottom w:w="28" w:type="dxa"/>
              <w:right w:w="57" w:type="dxa"/>
            </w:tcMar>
          </w:tcPr>
          <w:p w14:paraId="67177183" w14:textId="597C81C4" w:rsidR="00FE291A" w:rsidRDefault="009C5B62">
            <w:pPr>
              <w:keepNext/>
              <w:suppressAutoHyphens/>
              <w:spacing w:line="250" w:lineRule="atLeast"/>
              <w:textAlignment w:val="center"/>
              <w:rPr>
                <w:b/>
                <w:bCs/>
                <w:sz w:val="22"/>
                <w:szCs w:val="22"/>
                <w:lang w:val="de-DE"/>
              </w:rPr>
            </w:pPr>
            <w:r>
              <w:rPr>
                <w:b/>
                <w:noProof/>
                <w:szCs w:val="22"/>
              </w:rPr>
              <w:drawing>
                <wp:inline distT="0" distB="0" distL="0" distR="0" wp14:anchorId="22F859A5" wp14:editId="1196991C">
                  <wp:extent cx="2211705" cy="1297305"/>
                  <wp:effectExtent l="0" t="0" r="0" b="0"/>
                  <wp:docPr id="83" name="Bild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211705" cy="1297305"/>
                          </a:xfrm>
                          <a:prstGeom prst="rect">
                            <a:avLst/>
                          </a:prstGeom>
                          <a:noFill/>
                          <a:ln>
                            <a:noFill/>
                          </a:ln>
                        </pic:spPr>
                      </pic:pic>
                    </a:graphicData>
                  </a:graphic>
                </wp:inline>
              </w:drawing>
            </w:r>
          </w:p>
        </w:tc>
        <w:tc>
          <w:tcPr>
            <w:tcW w:w="2737" w:type="pct"/>
            <w:tcBorders>
              <w:top w:val="single" w:sz="4" w:space="0" w:color="auto"/>
              <w:left w:val="nil"/>
              <w:bottom w:val="nil"/>
              <w:right w:val="single" w:sz="4" w:space="0" w:color="auto"/>
            </w:tcBorders>
          </w:tcPr>
          <w:p w14:paraId="096A96D2" w14:textId="77777777" w:rsidR="00FE291A" w:rsidRDefault="00FE291A">
            <w:pPr>
              <w:keepNext/>
              <w:suppressAutoHyphens/>
              <w:spacing w:line="250" w:lineRule="atLeast"/>
              <w:textAlignment w:val="center"/>
              <w:rPr>
                <w:b/>
                <w:bCs/>
                <w:sz w:val="22"/>
                <w:szCs w:val="22"/>
                <w:lang w:val="de-DE"/>
              </w:rPr>
            </w:pPr>
          </w:p>
          <w:p w14:paraId="59289CCD" w14:textId="77777777" w:rsidR="00FE291A" w:rsidRDefault="00FE291A">
            <w:pPr>
              <w:keepNext/>
              <w:suppressAutoHyphens/>
              <w:spacing w:line="250" w:lineRule="atLeast"/>
              <w:textAlignment w:val="center"/>
              <w:rPr>
                <w:b/>
                <w:bCs/>
                <w:sz w:val="22"/>
                <w:szCs w:val="22"/>
                <w:lang w:val="de-DE"/>
              </w:rPr>
            </w:pPr>
          </w:p>
          <w:p w14:paraId="06144C41" w14:textId="77777777" w:rsidR="00FE291A" w:rsidRDefault="00FE291A">
            <w:pPr>
              <w:keepNext/>
              <w:suppressAutoHyphens/>
              <w:spacing w:line="250" w:lineRule="atLeast"/>
              <w:textAlignment w:val="center"/>
              <w:rPr>
                <w:b/>
                <w:bCs/>
                <w:sz w:val="22"/>
                <w:szCs w:val="22"/>
                <w:lang w:val="de-DE"/>
              </w:rPr>
            </w:pPr>
          </w:p>
          <w:p w14:paraId="53BDFCAE" w14:textId="77777777" w:rsidR="00FE291A" w:rsidRDefault="00FE291A">
            <w:pPr>
              <w:keepNext/>
              <w:suppressAutoHyphens/>
              <w:spacing w:line="250" w:lineRule="atLeast"/>
              <w:textAlignment w:val="center"/>
              <w:rPr>
                <w:b/>
                <w:bCs/>
                <w:sz w:val="22"/>
                <w:szCs w:val="22"/>
                <w:lang w:val="de-DE"/>
              </w:rPr>
            </w:pPr>
          </w:p>
          <w:p w14:paraId="3A93795A" w14:textId="77777777" w:rsidR="00FE291A" w:rsidRDefault="00C8738F">
            <w:pPr>
              <w:keepNext/>
              <w:suppressAutoHyphens/>
              <w:spacing w:line="250" w:lineRule="atLeast"/>
              <w:textAlignment w:val="center"/>
              <w:rPr>
                <w:sz w:val="22"/>
                <w:szCs w:val="22"/>
                <w:lang w:val="de-DE"/>
              </w:rPr>
            </w:pPr>
            <w:r>
              <w:rPr>
                <w:sz w:val="22"/>
                <w:szCs w:val="22"/>
                <w:lang w:val="de-DE"/>
              </w:rPr>
              <w:t>Verfalldatum</w:t>
            </w:r>
          </w:p>
        </w:tc>
      </w:tr>
      <w:tr w:rsidR="00FE291A" w:rsidRPr="002E6CD3" w14:paraId="4311BACA" w14:textId="77777777">
        <w:trPr>
          <w:cantSplit/>
          <w:trHeight w:val="57"/>
        </w:trPr>
        <w:tc>
          <w:tcPr>
            <w:tcW w:w="384" w:type="pct"/>
            <w:tcBorders>
              <w:top w:val="nil"/>
              <w:bottom w:val="nil"/>
              <w:right w:val="nil"/>
            </w:tcBorders>
            <w:tcMar>
              <w:top w:w="28" w:type="dxa"/>
              <w:left w:w="57" w:type="dxa"/>
              <w:bottom w:w="28" w:type="dxa"/>
              <w:right w:w="57" w:type="dxa"/>
            </w:tcMar>
          </w:tcPr>
          <w:p w14:paraId="7EC9D8A4" w14:textId="77777777" w:rsidR="00FE291A" w:rsidRDefault="00FE291A">
            <w:pPr>
              <w:keepNext/>
              <w:widowControl/>
              <w:numPr>
                <w:ilvl w:val="0"/>
                <w:numId w:val="65"/>
              </w:numPr>
              <w:autoSpaceDE/>
              <w:autoSpaceDN/>
              <w:adjustRightInd/>
              <w:ind w:left="567" w:hanging="567"/>
              <w:rPr>
                <w:sz w:val="22"/>
                <w:szCs w:val="22"/>
                <w:lang w:val="de-DE"/>
              </w:rPr>
            </w:pPr>
          </w:p>
        </w:tc>
        <w:tc>
          <w:tcPr>
            <w:tcW w:w="4616" w:type="pct"/>
            <w:gridSpan w:val="2"/>
            <w:tcBorders>
              <w:top w:val="nil"/>
              <w:left w:val="nil"/>
              <w:bottom w:val="nil"/>
            </w:tcBorders>
            <w:tcMar>
              <w:left w:w="0" w:type="dxa"/>
            </w:tcMar>
          </w:tcPr>
          <w:p w14:paraId="208901AB" w14:textId="77777777" w:rsidR="00FE291A" w:rsidRDefault="00C8738F">
            <w:pPr>
              <w:pStyle w:val="ListParagraph"/>
              <w:keepNext/>
              <w:suppressAutoHyphens/>
              <w:textAlignment w:val="center"/>
              <w:rPr>
                <w:b/>
                <w:bCs/>
                <w:sz w:val="22"/>
                <w:szCs w:val="22"/>
                <w:lang w:val="de-DE"/>
              </w:rPr>
            </w:pPr>
            <w:ins w:id="615" w:author="Author">
              <w:r>
                <w:rPr>
                  <w:bCs/>
                  <w:sz w:val="22"/>
                  <w:szCs w:val="22"/>
                  <w:lang w:val="de-DE"/>
                </w:rPr>
                <w:t>Den Fertigpen</w:t>
              </w:r>
              <w:r>
                <w:rPr>
                  <w:b/>
                  <w:bCs/>
                  <w:sz w:val="22"/>
                  <w:szCs w:val="22"/>
                  <w:lang w:val="de-DE"/>
                </w:rPr>
                <w:t xml:space="preserve"> n</w:t>
              </w:r>
            </w:ins>
            <w:del w:id="616" w:author="Author">
              <w:r>
                <w:rPr>
                  <w:b/>
                  <w:bCs/>
                  <w:sz w:val="22"/>
                  <w:szCs w:val="22"/>
                  <w:lang w:val="de-DE"/>
                </w:rPr>
                <w:delText>N</w:delText>
              </w:r>
            </w:del>
            <w:r>
              <w:rPr>
                <w:b/>
                <w:bCs/>
                <w:sz w:val="22"/>
                <w:szCs w:val="22"/>
                <w:lang w:val="de-DE"/>
              </w:rPr>
              <w:t>icht</w:t>
            </w:r>
            <w:r>
              <w:rPr>
                <w:sz w:val="22"/>
                <w:szCs w:val="22"/>
                <w:lang w:val="de-DE"/>
              </w:rPr>
              <w:t xml:space="preserve"> anwenden, wenn das Verfalldatum überschritten ist.</w:t>
            </w:r>
          </w:p>
        </w:tc>
      </w:tr>
      <w:tr w:rsidR="00FE291A" w:rsidRPr="002E6CD3" w14:paraId="268F8C11" w14:textId="77777777">
        <w:trPr>
          <w:cantSplit/>
          <w:trHeight w:val="57"/>
        </w:trPr>
        <w:tc>
          <w:tcPr>
            <w:tcW w:w="384" w:type="pct"/>
            <w:tcBorders>
              <w:top w:val="nil"/>
              <w:bottom w:val="nil"/>
              <w:right w:val="nil"/>
            </w:tcBorders>
            <w:tcMar>
              <w:top w:w="28" w:type="dxa"/>
              <w:left w:w="57" w:type="dxa"/>
              <w:bottom w:w="28" w:type="dxa"/>
              <w:right w:w="57" w:type="dxa"/>
            </w:tcMar>
          </w:tcPr>
          <w:p w14:paraId="1A379DAB" w14:textId="77777777" w:rsidR="00FE291A" w:rsidRDefault="00FE291A">
            <w:pPr>
              <w:keepNext/>
              <w:widowControl/>
              <w:numPr>
                <w:ilvl w:val="0"/>
                <w:numId w:val="65"/>
              </w:numPr>
              <w:autoSpaceDE/>
              <w:autoSpaceDN/>
              <w:adjustRightInd/>
              <w:ind w:left="567" w:hanging="567"/>
              <w:rPr>
                <w:sz w:val="22"/>
                <w:szCs w:val="22"/>
                <w:lang w:val="de-DE"/>
              </w:rPr>
            </w:pPr>
          </w:p>
        </w:tc>
        <w:tc>
          <w:tcPr>
            <w:tcW w:w="4616" w:type="pct"/>
            <w:gridSpan w:val="2"/>
            <w:tcBorders>
              <w:top w:val="nil"/>
              <w:left w:val="nil"/>
              <w:bottom w:val="nil"/>
            </w:tcBorders>
            <w:tcMar>
              <w:left w:w="0" w:type="dxa"/>
            </w:tcMar>
          </w:tcPr>
          <w:p w14:paraId="62A86B22" w14:textId="77777777" w:rsidR="00FE291A" w:rsidRDefault="00C8738F">
            <w:pPr>
              <w:pStyle w:val="ListParagraph"/>
              <w:keepNext/>
              <w:suppressAutoHyphens/>
              <w:textAlignment w:val="center"/>
              <w:rPr>
                <w:sz w:val="22"/>
                <w:szCs w:val="22"/>
                <w:lang w:val="de-DE"/>
              </w:rPr>
            </w:pPr>
            <w:r>
              <w:rPr>
                <w:sz w:val="22"/>
                <w:szCs w:val="22"/>
                <w:lang w:val="de-DE"/>
              </w:rPr>
              <w:t>Wenden Sie den Fertigpen</w:t>
            </w:r>
            <w:r>
              <w:rPr>
                <w:b/>
                <w:sz w:val="22"/>
                <w:szCs w:val="22"/>
                <w:lang w:val="de-DE"/>
              </w:rPr>
              <w:t xml:space="preserve"> nicht</w:t>
            </w:r>
            <w:r>
              <w:rPr>
                <w:sz w:val="22"/>
                <w:szCs w:val="22"/>
                <w:lang w:val="de-DE"/>
              </w:rPr>
              <w:t xml:space="preserve"> an, wenn:</w:t>
            </w:r>
          </w:p>
          <w:p w14:paraId="7222D229" w14:textId="77777777" w:rsidR="00FE291A" w:rsidRDefault="00C8738F">
            <w:pPr>
              <w:pStyle w:val="ListParagraph"/>
              <w:keepNext/>
              <w:widowControl/>
              <w:numPr>
                <w:ilvl w:val="0"/>
                <w:numId w:val="71"/>
              </w:numPr>
              <w:suppressAutoHyphens/>
              <w:ind w:left="677" w:right="-464" w:hanging="357"/>
              <w:contextualSpacing/>
              <w:textAlignment w:val="center"/>
              <w:rPr>
                <w:sz w:val="22"/>
                <w:szCs w:val="22"/>
                <w:lang w:val="de-DE"/>
              </w:rPr>
            </w:pPr>
            <w:r>
              <w:rPr>
                <w:sz w:val="22"/>
                <w:szCs w:val="22"/>
                <w:lang w:val="de-DE"/>
              </w:rPr>
              <w:t>die gelbe Kappe fehlt oder locker ist.</w:t>
            </w:r>
          </w:p>
          <w:p w14:paraId="3CE574CB" w14:textId="77777777" w:rsidR="00FE291A" w:rsidRDefault="00C8738F">
            <w:pPr>
              <w:pStyle w:val="ListParagraph"/>
              <w:keepNext/>
              <w:widowControl/>
              <w:numPr>
                <w:ilvl w:val="0"/>
                <w:numId w:val="71"/>
              </w:numPr>
              <w:suppressAutoHyphens/>
              <w:ind w:left="677" w:hanging="357"/>
              <w:contextualSpacing/>
              <w:textAlignment w:val="center"/>
              <w:rPr>
                <w:sz w:val="22"/>
                <w:szCs w:val="22"/>
                <w:lang w:val="de-DE"/>
              </w:rPr>
            </w:pPr>
            <w:r>
              <w:rPr>
                <w:sz w:val="22"/>
                <w:szCs w:val="22"/>
                <w:lang w:val="de-DE"/>
              </w:rPr>
              <w:t>er Risse oder gebrochene Teile aufweist.</w:t>
            </w:r>
          </w:p>
          <w:p w14:paraId="49BE5A00" w14:textId="77777777" w:rsidR="00FE291A" w:rsidRDefault="00C8738F">
            <w:pPr>
              <w:pStyle w:val="ListParagraph"/>
              <w:keepNext/>
              <w:widowControl/>
              <w:numPr>
                <w:ilvl w:val="0"/>
                <w:numId w:val="71"/>
              </w:numPr>
              <w:suppressAutoHyphens/>
              <w:ind w:left="677" w:hanging="357"/>
              <w:contextualSpacing/>
              <w:textAlignment w:val="center"/>
              <w:rPr>
                <w:sz w:val="22"/>
                <w:szCs w:val="22"/>
                <w:lang w:val="de-DE"/>
              </w:rPr>
            </w:pPr>
            <w:r>
              <w:rPr>
                <w:sz w:val="22"/>
                <w:szCs w:val="22"/>
                <w:lang w:val="de-DE"/>
              </w:rPr>
              <w:t>er auf eine harte Oberfläche gefallen ist.</w:t>
            </w:r>
          </w:p>
        </w:tc>
      </w:tr>
      <w:tr w:rsidR="00FE291A" w:rsidRPr="00723069" w14:paraId="1C54DF69" w14:textId="77777777">
        <w:trPr>
          <w:cantSplit/>
          <w:trHeight w:val="57"/>
        </w:trPr>
        <w:tc>
          <w:tcPr>
            <w:tcW w:w="384" w:type="pct"/>
            <w:tcBorders>
              <w:top w:val="nil"/>
              <w:bottom w:val="nil"/>
              <w:right w:val="nil"/>
            </w:tcBorders>
            <w:tcMar>
              <w:top w:w="28" w:type="dxa"/>
              <w:left w:w="57" w:type="dxa"/>
              <w:bottom w:w="28" w:type="dxa"/>
              <w:right w:w="57" w:type="dxa"/>
            </w:tcMar>
          </w:tcPr>
          <w:p w14:paraId="6BFD2863" w14:textId="77777777" w:rsidR="00FE291A" w:rsidRDefault="00FE291A">
            <w:pPr>
              <w:keepNext/>
              <w:widowControl/>
              <w:numPr>
                <w:ilvl w:val="0"/>
                <w:numId w:val="65"/>
              </w:numPr>
              <w:autoSpaceDE/>
              <w:autoSpaceDN/>
              <w:adjustRightInd/>
              <w:ind w:left="567" w:hanging="567"/>
              <w:rPr>
                <w:sz w:val="22"/>
                <w:szCs w:val="22"/>
                <w:lang w:val="de-DE"/>
              </w:rPr>
            </w:pPr>
          </w:p>
        </w:tc>
        <w:tc>
          <w:tcPr>
            <w:tcW w:w="4616" w:type="pct"/>
            <w:gridSpan w:val="2"/>
            <w:tcBorders>
              <w:top w:val="nil"/>
              <w:left w:val="nil"/>
              <w:bottom w:val="nil"/>
            </w:tcBorders>
            <w:tcMar>
              <w:left w:w="0" w:type="dxa"/>
            </w:tcMar>
          </w:tcPr>
          <w:p w14:paraId="6A03515A" w14:textId="1D827FD2" w:rsidR="00FE291A" w:rsidRDefault="00C8738F">
            <w:pPr>
              <w:keepNext/>
              <w:rPr>
                <w:sz w:val="22"/>
                <w:szCs w:val="22"/>
                <w:lang w:val="de-DE"/>
              </w:rPr>
            </w:pPr>
            <w:r>
              <w:rPr>
                <w:sz w:val="22"/>
                <w:szCs w:val="22"/>
                <w:lang w:val="de-DE"/>
              </w:rPr>
              <w:t xml:space="preserve">Stellen Sie sicher, dass Sie das richtige Arzneimittel und die richtige </w:t>
            </w:r>
            <w:del w:id="617" w:author="Author">
              <w:r w:rsidDel="003047BA">
                <w:rPr>
                  <w:sz w:val="22"/>
                  <w:szCs w:val="22"/>
                  <w:lang w:val="de-DE"/>
                </w:rPr>
                <w:delText>Dosis</w:delText>
              </w:r>
            </w:del>
            <w:ins w:id="618" w:author="Author">
              <w:r w:rsidR="003047BA">
                <w:rPr>
                  <w:sz w:val="22"/>
                  <w:szCs w:val="22"/>
                  <w:lang w:val="de-DE"/>
                </w:rPr>
                <w:t>Stärke</w:t>
              </w:r>
            </w:ins>
            <w:r>
              <w:rPr>
                <w:sz w:val="22"/>
                <w:szCs w:val="22"/>
                <w:lang w:val="de-DE"/>
              </w:rPr>
              <w:t xml:space="preserve"> haben. </w:t>
            </w:r>
          </w:p>
        </w:tc>
      </w:tr>
      <w:tr w:rsidR="00FE291A" w:rsidRPr="00723069" w14:paraId="774717C4" w14:textId="77777777">
        <w:trPr>
          <w:cantSplit/>
          <w:trHeight w:val="57"/>
          <w:del w:id="619" w:author="Author"/>
        </w:trPr>
        <w:tc>
          <w:tcPr>
            <w:tcW w:w="5000" w:type="pct"/>
            <w:gridSpan w:val="3"/>
            <w:tcBorders>
              <w:top w:val="nil"/>
              <w:bottom w:val="single" w:sz="4" w:space="0" w:color="auto"/>
            </w:tcBorders>
            <w:tcMar>
              <w:top w:w="28" w:type="dxa"/>
              <w:left w:w="57" w:type="dxa"/>
              <w:bottom w:w="28" w:type="dxa"/>
              <w:right w:w="57" w:type="dxa"/>
            </w:tcMar>
          </w:tcPr>
          <w:p w14:paraId="7F0B8054" w14:textId="2D073790" w:rsidR="00FE291A" w:rsidRDefault="009C5B62">
            <w:pPr>
              <w:keepNext/>
              <w:rPr>
                <w:del w:id="620" w:author="Author"/>
                <w:sz w:val="22"/>
                <w:szCs w:val="22"/>
                <w:lang w:val="de-DE"/>
              </w:rPr>
            </w:pPr>
            <w:del w:id="621" w:author="Author">
              <w:r>
                <w:rPr>
                  <w:noProof/>
                </w:rPr>
                <mc:AlternateContent>
                  <mc:Choice Requires="wps">
                    <w:drawing>
                      <wp:anchor distT="45720" distB="45720" distL="114300" distR="114300" simplePos="0" relativeHeight="31" behindDoc="0" locked="0" layoutInCell="1" allowOverlap="1" wp14:anchorId="4DC16D2F" wp14:editId="4A580010">
                        <wp:simplePos x="0" y="0"/>
                        <wp:positionH relativeFrom="margin">
                          <wp:posOffset>6985</wp:posOffset>
                        </wp:positionH>
                        <wp:positionV relativeFrom="paragraph">
                          <wp:posOffset>81280</wp:posOffset>
                        </wp:positionV>
                        <wp:extent cx="5575935" cy="431800"/>
                        <wp:effectExtent l="0" t="0" r="5715" b="6350"/>
                        <wp:wrapSquare wrapText="bothSides"/>
                        <wp:docPr id="1004744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935" cy="431800"/>
                                </a:xfrm>
                                <a:prstGeom prst="rect">
                                  <a:avLst/>
                                </a:prstGeom>
                                <a:solidFill>
                                  <a:srgbClr val="FFFFFF"/>
                                </a:solidFill>
                                <a:ln w="19050">
                                  <a:solidFill>
                                    <a:srgbClr val="FF0000"/>
                                  </a:solidFill>
                                  <a:miter lim="800000"/>
                                </a:ln>
                              </wps:spPr>
                              <wps:txbx>
                                <w:txbxContent>
                                  <w:p w14:paraId="22E2D468" w14:textId="77777777" w:rsidR="00FE291A" w:rsidRDefault="00C8738F">
                                    <w:pPr>
                                      <w:rPr>
                                        <w:sz w:val="22"/>
                                        <w:lang w:val="de-DE"/>
                                      </w:rPr>
                                    </w:pPr>
                                    <w:del w:id="622" w:author="Author">
                                      <w:r>
                                        <w:rPr>
                                          <w:b/>
                                          <w:sz w:val="22"/>
                                          <w:lang w:val="de-DE"/>
                                        </w:rPr>
                                        <w:delText xml:space="preserve">Wichtig: </w:delText>
                                      </w:r>
                                      <w:r>
                                        <w:rPr>
                                          <w:sz w:val="22"/>
                                          <w:lang w:val="de-DE"/>
                                        </w:rPr>
                                        <w:delText>Wenn das Arzneimittel trübe oder verfärbt ist oder Flocken enthält,</w:delText>
                                      </w:r>
                                      <w:r>
                                        <w:rPr>
                                          <w:b/>
                                          <w:sz w:val="22"/>
                                          <w:lang w:val="de-DE"/>
                                        </w:rPr>
                                        <w:delText xml:space="preserve"> </w:delText>
                                      </w:r>
                                      <w:r>
                                        <w:rPr>
                                          <w:sz w:val="22"/>
                                          <w:lang w:val="de-DE"/>
                                        </w:rPr>
                                        <w:delText>wenden Sie sich an Ihren Arzt oder das medizinische Fachpersonal.</w:delText>
                                      </w:r>
                                    </w:del>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4DC16D2F" id="Text Box 5" o:spid="_x0000_s1049" type="#_x0000_t202" style="position:absolute;margin-left:.55pt;margin-top:6.4pt;width:439.05pt;height:34pt;z-index:3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" strokecolor="red" strokeweight="1.5pt">
                        <v:textbox style="mso-fit-shape-to-text:t">
                          <w:txbxContent>
                            <w:p w14:paraId="22E2D468" w14:textId="77777777" w:rsidR="00FE291A" w:rsidRDefault="00C8738F">
                              <w:pPr>
                                <w:rPr>
                                  <w:sz w:val="22"/>
                                  <w:lang w:val="de-DE"/>
                                </w:rPr>
                              </w:pPr>
                              <w:del w:id="623" w:author="Author">
                                <w:r>
                                  <w:rPr>
                                    <w:b/>
                                    <w:sz w:val="22"/>
                                    <w:lang w:val="de-DE"/>
                                  </w:rPr>
                                  <w:delText xml:space="preserve">Wichtig: </w:delText>
                                </w:r>
                                <w:r>
                                  <w:rPr>
                                    <w:sz w:val="22"/>
                                    <w:lang w:val="de-DE"/>
                                  </w:rPr>
                                  <w:delText>Wenn das Arzneimittel trübe oder verfärbt ist oder Flocken enthält,</w:delText>
                                </w:r>
                                <w:r>
                                  <w:rPr>
                                    <w:b/>
                                    <w:sz w:val="22"/>
                                    <w:lang w:val="de-DE"/>
                                  </w:rPr>
                                  <w:delText xml:space="preserve"> </w:delText>
                                </w:r>
                                <w:r>
                                  <w:rPr>
                                    <w:sz w:val="22"/>
                                    <w:lang w:val="de-DE"/>
                                  </w:rPr>
                                  <w:delText>wenden Sie sich an Ihren Arzt oder das medizinische Fachpersonal.</w:delText>
                                </w:r>
                              </w:del>
                            </w:p>
                          </w:txbxContent>
                        </v:textbox>
                        <w10:wrap type="square" anchorx="margin"/>
                      </v:shape>
                    </w:pict>
                  </mc:Fallback>
                </mc:AlternateContent>
              </w:r>
              <w:r w:rsidR="00C8738F">
                <w:rPr>
                  <w:sz w:val="22"/>
                  <w:szCs w:val="22"/>
                  <w:lang w:val="de-DE"/>
                </w:rPr>
                <w:delText xml:space="preserve"> </w:delText>
              </w:r>
            </w:del>
          </w:p>
        </w:tc>
      </w:tr>
    </w:tbl>
    <w:p w14:paraId="7D67A0C7" w14:textId="2A06FCB1" w:rsidR="00FE291A" w:rsidDel="00F20423" w:rsidRDefault="00FE291A">
      <w:pPr>
        <w:rPr>
          <w:del w:id="624" w:author="Author"/>
          <w:b/>
          <w:bCs/>
          <w:sz w:val="22"/>
          <w:szCs w:val="22"/>
          <w:lang w:val="de-DE"/>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86"/>
        <w:gridCol w:w="281"/>
        <w:gridCol w:w="3778"/>
        <w:gridCol w:w="4212"/>
      </w:tblGrid>
      <w:tr w:rsidR="00FE291A" w:rsidRPr="00723069" w14:paraId="5CE3440C" w14:textId="77777777">
        <w:trPr>
          <w:cantSplit/>
          <w:trHeight w:val="57"/>
          <w:ins w:id="625" w:author="Author"/>
        </w:trPr>
        <w:tc>
          <w:tcPr>
            <w:tcW w:w="383" w:type="pct"/>
            <w:tcBorders>
              <w:top w:val="single" w:sz="4" w:space="0" w:color="auto"/>
              <w:left w:val="nil"/>
              <w:bottom w:val="single" w:sz="4" w:space="0" w:color="auto"/>
              <w:right w:val="nil"/>
            </w:tcBorders>
            <w:tcMar>
              <w:top w:w="28" w:type="dxa"/>
              <w:left w:w="57" w:type="dxa"/>
              <w:bottom w:w="28" w:type="dxa"/>
              <w:right w:w="57" w:type="dxa"/>
            </w:tcMar>
          </w:tcPr>
          <w:p w14:paraId="0B8FE5C3" w14:textId="77777777" w:rsidR="00FE291A" w:rsidRDefault="00FE291A">
            <w:pPr>
              <w:keepNext/>
              <w:rPr>
                <w:ins w:id="626" w:author="Author"/>
                <w:b/>
                <w:sz w:val="22"/>
                <w:szCs w:val="22"/>
                <w:lang w:val="de-DE"/>
              </w:rPr>
            </w:pPr>
          </w:p>
        </w:tc>
        <w:tc>
          <w:tcPr>
            <w:tcW w:w="4617" w:type="pct"/>
            <w:gridSpan w:val="3"/>
            <w:tcBorders>
              <w:top w:val="single" w:sz="4" w:space="0" w:color="auto"/>
              <w:left w:val="nil"/>
              <w:bottom w:val="single" w:sz="4" w:space="0" w:color="auto"/>
              <w:right w:val="nil"/>
            </w:tcBorders>
            <w:tcMar>
              <w:top w:w="28" w:type="dxa"/>
              <w:left w:w="57" w:type="dxa"/>
              <w:bottom w:w="28" w:type="dxa"/>
              <w:right w:w="57" w:type="dxa"/>
            </w:tcMar>
          </w:tcPr>
          <w:p w14:paraId="2A6E19DF" w14:textId="77777777" w:rsidR="00FE291A" w:rsidRDefault="00FE291A">
            <w:pPr>
              <w:pStyle w:val="ListParagraph"/>
              <w:keepNext/>
              <w:ind w:left="567" w:hanging="567"/>
              <w:rPr>
                <w:ins w:id="627" w:author="Author"/>
                <w:b/>
                <w:sz w:val="22"/>
                <w:szCs w:val="22"/>
                <w:lang w:val="de-DE"/>
              </w:rPr>
            </w:pPr>
          </w:p>
        </w:tc>
      </w:tr>
      <w:tr w:rsidR="00FE291A" w14:paraId="4BBF21DA" w14:textId="77777777">
        <w:trPr>
          <w:cantSplit/>
          <w:trHeight w:val="57"/>
        </w:trPr>
        <w:tc>
          <w:tcPr>
            <w:tcW w:w="383" w:type="pct"/>
            <w:tcBorders>
              <w:top w:val="single" w:sz="4" w:space="0" w:color="auto"/>
              <w:bottom w:val="single" w:sz="4" w:space="0" w:color="auto"/>
            </w:tcBorders>
            <w:tcMar>
              <w:top w:w="28" w:type="dxa"/>
              <w:left w:w="57" w:type="dxa"/>
              <w:bottom w:w="28" w:type="dxa"/>
              <w:right w:w="57" w:type="dxa"/>
            </w:tcMar>
          </w:tcPr>
          <w:p w14:paraId="15B65781" w14:textId="77777777" w:rsidR="00FE291A" w:rsidRDefault="00C8738F">
            <w:pPr>
              <w:keepNext/>
              <w:rPr>
                <w:b/>
                <w:bCs/>
                <w:sz w:val="22"/>
                <w:szCs w:val="22"/>
                <w:lang w:val="de-DE"/>
              </w:rPr>
            </w:pPr>
            <w:r>
              <w:rPr>
                <w:b/>
                <w:sz w:val="22"/>
                <w:szCs w:val="22"/>
                <w:lang w:val="de-DE"/>
              </w:rPr>
              <w:t>3</w:t>
            </w:r>
          </w:p>
        </w:tc>
        <w:tc>
          <w:tcPr>
            <w:tcW w:w="4617" w:type="pct"/>
            <w:gridSpan w:val="3"/>
            <w:tcBorders>
              <w:top w:val="single" w:sz="4" w:space="0" w:color="auto"/>
              <w:bottom w:val="single" w:sz="4" w:space="0" w:color="auto"/>
            </w:tcBorders>
            <w:tcMar>
              <w:top w:w="28" w:type="dxa"/>
              <w:left w:w="57" w:type="dxa"/>
              <w:bottom w:w="28" w:type="dxa"/>
              <w:right w:w="57" w:type="dxa"/>
            </w:tcMar>
          </w:tcPr>
          <w:p w14:paraId="0F47ACDC" w14:textId="77777777" w:rsidR="00FE291A" w:rsidRDefault="00C8738F">
            <w:pPr>
              <w:pStyle w:val="ListParagraph"/>
              <w:keepNext/>
              <w:ind w:left="567" w:hanging="567"/>
              <w:rPr>
                <w:b/>
                <w:bCs/>
                <w:sz w:val="22"/>
                <w:szCs w:val="22"/>
                <w:lang w:val="de-DE"/>
              </w:rPr>
            </w:pPr>
            <w:r>
              <w:rPr>
                <w:b/>
                <w:sz w:val="22"/>
                <w:szCs w:val="22"/>
                <w:lang w:val="de-DE"/>
              </w:rPr>
              <w:t>Vorbereitung auf Ihre Injektion</w:t>
            </w:r>
          </w:p>
        </w:tc>
      </w:tr>
      <w:tr w:rsidR="00FE291A" w:rsidRPr="002E6CD3" w14:paraId="74B381A9" w14:textId="77777777">
        <w:trPr>
          <w:cantSplit/>
          <w:trHeight w:val="57"/>
        </w:trPr>
        <w:tc>
          <w:tcPr>
            <w:tcW w:w="383" w:type="pct"/>
            <w:tcBorders>
              <w:bottom w:val="single" w:sz="4" w:space="0" w:color="auto"/>
            </w:tcBorders>
            <w:tcMar>
              <w:top w:w="28" w:type="dxa"/>
              <w:left w:w="57" w:type="dxa"/>
              <w:bottom w:w="28" w:type="dxa"/>
              <w:right w:w="57" w:type="dxa"/>
            </w:tcMar>
          </w:tcPr>
          <w:p w14:paraId="7E828F4B" w14:textId="77777777" w:rsidR="00FE291A" w:rsidRDefault="00C8738F">
            <w:pPr>
              <w:keepNext/>
              <w:rPr>
                <w:b/>
                <w:bCs/>
                <w:sz w:val="22"/>
                <w:szCs w:val="22"/>
                <w:lang w:val="de-DE"/>
              </w:rPr>
            </w:pPr>
            <w:r>
              <w:rPr>
                <w:b/>
                <w:sz w:val="22"/>
                <w:szCs w:val="22"/>
                <w:lang w:val="de-DE"/>
              </w:rPr>
              <w:t>3a</w:t>
            </w:r>
          </w:p>
        </w:tc>
        <w:tc>
          <w:tcPr>
            <w:tcW w:w="4617" w:type="pct"/>
            <w:gridSpan w:val="3"/>
            <w:tcBorders>
              <w:bottom w:val="single" w:sz="4" w:space="0" w:color="auto"/>
            </w:tcBorders>
            <w:tcMar>
              <w:top w:w="28" w:type="dxa"/>
              <w:left w:w="57" w:type="dxa"/>
              <w:bottom w:w="28" w:type="dxa"/>
              <w:right w:w="57" w:type="dxa"/>
            </w:tcMar>
          </w:tcPr>
          <w:p w14:paraId="71C02E0C" w14:textId="77777777" w:rsidR="00FE291A" w:rsidRDefault="00C8738F">
            <w:pPr>
              <w:pStyle w:val="ListParagraph"/>
              <w:keepNext/>
              <w:rPr>
                <w:sz w:val="22"/>
                <w:szCs w:val="22"/>
                <w:lang w:val="de-DE"/>
              </w:rPr>
            </w:pPr>
            <w:r>
              <w:rPr>
                <w:b/>
                <w:sz w:val="22"/>
                <w:szCs w:val="22"/>
                <w:lang w:val="de-DE"/>
              </w:rPr>
              <w:t xml:space="preserve">Stellen Sie </w:t>
            </w:r>
            <w:del w:id="628" w:author="Author">
              <w:r>
                <w:rPr>
                  <w:b/>
                  <w:sz w:val="22"/>
                  <w:szCs w:val="22"/>
                  <w:lang w:val="de-DE"/>
                </w:rPr>
                <w:delText xml:space="preserve">alle </w:delText>
              </w:r>
            </w:del>
            <w:ins w:id="629" w:author="Author">
              <w:r>
                <w:rPr>
                  <w:b/>
                  <w:sz w:val="22"/>
                  <w:szCs w:val="22"/>
                  <w:lang w:val="de-DE"/>
                </w:rPr>
                <w:t xml:space="preserve">die folgenden </w:t>
              </w:r>
            </w:ins>
            <w:r>
              <w:rPr>
                <w:b/>
                <w:sz w:val="22"/>
                <w:szCs w:val="22"/>
                <w:lang w:val="de-DE"/>
              </w:rPr>
              <w:t xml:space="preserve">Materialien für die Injektion zusammen und legen Sie sie auf eine saubere, </w:t>
            </w:r>
            <w:ins w:id="630" w:author="Author">
              <w:r>
                <w:rPr>
                  <w:b/>
                  <w:sz w:val="22"/>
                  <w:szCs w:val="22"/>
                  <w:lang w:val="de-DE"/>
                </w:rPr>
                <w:t xml:space="preserve">ebene und </w:t>
              </w:r>
            </w:ins>
            <w:r>
              <w:rPr>
                <w:b/>
                <w:sz w:val="22"/>
                <w:szCs w:val="22"/>
                <w:lang w:val="de-DE"/>
              </w:rPr>
              <w:t>gut beleuchtete Arbeitsfläche.</w:t>
            </w:r>
          </w:p>
        </w:tc>
      </w:tr>
      <w:tr w:rsidR="00FE291A" w:rsidRPr="002E6CD3" w14:paraId="060A8B88" w14:textId="77777777">
        <w:trPr>
          <w:cantSplit/>
          <w:trHeight w:val="2070"/>
        </w:trPr>
        <w:tc>
          <w:tcPr>
            <w:tcW w:w="540" w:type="pct"/>
            <w:gridSpan w:val="2"/>
            <w:tcBorders>
              <w:top w:val="single" w:sz="4" w:space="0" w:color="auto"/>
              <w:left w:val="single" w:sz="4" w:space="0" w:color="auto"/>
              <w:bottom w:val="single" w:sz="4" w:space="0" w:color="auto"/>
              <w:right w:val="nil"/>
            </w:tcBorders>
            <w:tcMar>
              <w:top w:w="28" w:type="dxa"/>
              <w:left w:w="57" w:type="dxa"/>
              <w:bottom w:w="28" w:type="dxa"/>
              <w:right w:w="57" w:type="dxa"/>
            </w:tcMar>
          </w:tcPr>
          <w:p w14:paraId="2582219D" w14:textId="77777777" w:rsidR="00FE291A" w:rsidRDefault="00FE291A">
            <w:pPr>
              <w:pStyle w:val="ListParagraph"/>
              <w:keepNext/>
              <w:ind w:left="567" w:hanging="567"/>
              <w:rPr>
                <w:sz w:val="22"/>
                <w:szCs w:val="22"/>
                <w:lang w:val="de-DE"/>
              </w:rPr>
            </w:pPr>
          </w:p>
          <w:p w14:paraId="0C504933" w14:textId="77777777" w:rsidR="00FE291A" w:rsidRDefault="00FE291A">
            <w:pPr>
              <w:pStyle w:val="ListParagraph"/>
              <w:keepNext/>
              <w:ind w:left="567" w:hanging="567"/>
              <w:rPr>
                <w:sz w:val="22"/>
                <w:szCs w:val="22"/>
                <w:lang w:val="de-DE"/>
              </w:rPr>
            </w:pPr>
          </w:p>
          <w:p w14:paraId="7F14CFBD" w14:textId="77777777" w:rsidR="00FE291A" w:rsidRDefault="00FE291A">
            <w:pPr>
              <w:pStyle w:val="ListParagraph"/>
              <w:keepNext/>
              <w:ind w:left="567" w:hanging="567"/>
              <w:rPr>
                <w:sz w:val="22"/>
                <w:szCs w:val="22"/>
                <w:lang w:val="de-DE"/>
              </w:rPr>
            </w:pPr>
          </w:p>
          <w:p w14:paraId="5C7277ED" w14:textId="77777777" w:rsidR="00FE291A" w:rsidRDefault="00FE291A">
            <w:pPr>
              <w:pStyle w:val="ListParagraph"/>
              <w:keepNext/>
              <w:ind w:left="567" w:hanging="567"/>
              <w:rPr>
                <w:sz w:val="22"/>
                <w:szCs w:val="22"/>
                <w:lang w:val="de-DE"/>
              </w:rPr>
            </w:pPr>
          </w:p>
          <w:p w14:paraId="2E6F9917" w14:textId="77777777" w:rsidR="00FE291A" w:rsidRDefault="00FE291A">
            <w:pPr>
              <w:pStyle w:val="ListParagraph"/>
              <w:keepNext/>
              <w:ind w:left="567" w:hanging="567"/>
              <w:rPr>
                <w:sz w:val="22"/>
                <w:szCs w:val="22"/>
                <w:lang w:val="de-DE"/>
              </w:rPr>
            </w:pPr>
          </w:p>
          <w:p w14:paraId="0A50C09B" w14:textId="77777777" w:rsidR="00FE291A" w:rsidRDefault="00C8738F">
            <w:pPr>
              <w:pStyle w:val="ListParagraph"/>
              <w:keepNext/>
              <w:ind w:right="-337"/>
              <w:rPr>
                <w:sz w:val="22"/>
                <w:szCs w:val="22"/>
                <w:lang w:val="de-DE"/>
              </w:rPr>
            </w:pPr>
            <w:r>
              <w:rPr>
                <w:sz w:val="22"/>
                <w:szCs w:val="22"/>
                <w:lang w:val="de-DE"/>
              </w:rPr>
              <w:t>Durch-</w:t>
            </w:r>
          </w:p>
          <w:p w14:paraId="56F9A517" w14:textId="77777777" w:rsidR="00FE291A" w:rsidRDefault="00C8738F">
            <w:pPr>
              <w:pStyle w:val="ListParagraph"/>
              <w:keepNext/>
              <w:ind w:right="-337"/>
              <w:rPr>
                <w:sz w:val="22"/>
                <w:szCs w:val="22"/>
                <w:lang w:val="de-DE"/>
              </w:rPr>
            </w:pPr>
            <w:r>
              <w:rPr>
                <w:sz w:val="22"/>
                <w:szCs w:val="22"/>
                <w:lang w:val="de-DE"/>
              </w:rPr>
              <w:t>stich-</w:t>
            </w:r>
          </w:p>
          <w:p w14:paraId="423F58B2" w14:textId="77777777" w:rsidR="00FE291A" w:rsidRDefault="00C8738F">
            <w:pPr>
              <w:pStyle w:val="ListParagraph"/>
              <w:keepNext/>
              <w:ind w:right="-337"/>
              <w:rPr>
                <w:sz w:val="22"/>
                <w:szCs w:val="22"/>
                <w:lang w:val="de-DE"/>
              </w:rPr>
            </w:pPr>
            <w:r>
              <w:rPr>
                <w:sz w:val="22"/>
                <w:szCs w:val="22"/>
                <w:lang w:val="de-DE"/>
              </w:rPr>
              <w:t>sicherer Behälter</w:t>
            </w:r>
          </w:p>
        </w:tc>
        <w:tc>
          <w:tcPr>
            <w:tcW w:w="2109" w:type="pct"/>
            <w:tcBorders>
              <w:top w:val="single" w:sz="4" w:space="0" w:color="auto"/>
              <w:left w:val="nil"/>
              <w:bottom w:val="single" w:sz="4" w:space="0" w:color="auto"/>
              <w:right w:val="nil"/>
            </w:tcBorders>
          </w:tcPr>
          <w:p w14:paraId="133A6960" w14:textId="1B00F64F" w:rsidR="00FE291A" w:rsidRDefault="009C5B62">
            <w:pPr>
              <w:pStyle w:val="ListParagraph"/>
              <w:keepNext/>
              <w:rPr>
                <w:sz w:val="22"/>
                <w:szCs w:val="22"/>
                <w:lang w:val="de-DE"/>
              </w:rPr>
            </w:pPr>
            <w:r>
              <w:rPr>
                <w:noProof/>
                <w:sz w:val="22"/>
                <w:szCs w:val="22"/>
                <w:lang w:val="de-DE"/>
              </w:rPr>
              <w:drawing>
                <wp:inline distT="0" distB="0" distL="0" distR="0" wp14:anchorId="02099E31" wp14:editId="55A0F5C2">
                  <wp:extent cx="1828800" cy="1674495"/>
                  <wp:effectExtent l="0" t="0" r="0" b="0"/>
                  <wp:docPr id="84" name="Bil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28800" cy="1674495"/>
                          </a:xfrm>
                          <a:prstGeom prst="rect">
                            <a:avLst/>
                          </a:prstGeom>
                          <a:noFill/>
                          <a:ln>
                            <a:noFill/>
                          </a:ln>
                        </pic:spPr>
                      </pic:pic>
                    </a:graphicData>
                  </a:graphic>
                </wp:inline>
              </w:drawing>
            </w:r>
          </w:p>
          <w:p w14:paraId="42E95101" w14:textId="77777777" w:rsidR="00FE291A" w:rsidRDefault="00FE291A">
            <w:pPr>
              <w:pStyle w:val="ListParagraph"/>
              <w:keepNext/>
              <w:ind w:left="567" w:hanging="567"/>
              <w:rPr>
                <w:sz w:val="22"/>
                <w:szCs w:val="22"/>
                <w:lang w:val="de-DE"/>
              </w:rPr>
            </w:pPr>
          </w:p>
          <w:p w14:paraId="0BD577FF" w14:textId="77777777" w:rsidR="00FE291A" w:rsidRDefault="00FE291A">
            <w:pPr>
              <w:pStyle w:val="ListParagraph"/>
              <w:keepNext/>
              <w:ind w:left="567" w:hanging="567"/>
              <w:rPr>
                <w:sz w:val="22"/>
                <w:szCs w:val="22"/>
                <w:lang w:val="de-DE"/>
              </w:rPr>
            </w:pPr>
          </w:p>
        </w:tc>
        <w:tc>
          <w:tcPr>
            <w:tcW w:w="2351" w:type="pct"/>
            <w:tcBorders>
              <w:top w:val="single" w:sz="4" w:space="0" w:color="auto"/>
              <w:left w:val="nil"/>
              <w:bottom w:val="single" w:sz="4" w:space="0" w:color="auto"/>
              <w:right w:val="single" w:sz="4" w:space="0" w:color="auto"/>
            </w:tcBorders>
          </w:tcPr>
          <w:p w14:paraId="176922F1" w14:textId="77777777" w:rsidR="00FE291A" w:rsidRDefault="00FE291A">
            <w:pPr>
              <w:pStyle w:val="ListParagraph"/>
              <w:keepNext/>
              <w:ind w:left="567" w:hanging="567"/>
              <w:rPr>
                <w:b/>
                <w:bCs/>
                <w:sz w:val="22"/>
                <w:szCs w:val="22"/>
                <w:lang w:val="de-DE"/>
              </w:rPr>
            </w:pPr>
          </w:p>
          <w:p w14:paraId="376E3EF5" w14:textId="77777777" w:rsidR="00FE291A" w:rsidRDefault="00C8738F">
            <w:pPr>
              <w:pStyle w:val="ListParagraph"/>
              <w:keepNext/>
              <w:ind w:left="567" w:hanging="567"/>
              <w:rPr>
                <w:sz w:val="22"/>
                <w:szCs w:val="22"/>
                <w:lang w:val="de-DE"/>
              </w:rPr>
            </w:pPr>
            <w:r>
              <w:rPr>
                <w:sz w:val="22"/>
                <w:szCs w:val="22"/>
                <w:lang w:val="de-DE"/>
              </w:rPr>
              <w:t>Alkoholtupfer</w:t>
            </w:r>
          </w:p>
          <w:p w14:paraId="1B721AD1" w14:textId="77777777" w:rsidR="00FE291A" w:rsidRDefault="00FE291A">
            <w:pPr>
              <w:pStyle w:val="ListParagraph"/>
              <w:keepNext/>
              <w:ind w:left="567" w:hanging="567"/>
              <w:rPr>
                <w:b/>
                <w:bCs/>
                <w:sz w:val="22"/>
                <w:szCs w:val="22"/>
                <w:lang w:val="de-DE"/>
              </w:rPr>
            </w:pPr>
          </w:p>
          <w:p w14:paraId="037B874A" w14:textId="77777777" w:rsidR="00FE291A" w:rsidRDefault="00FE291A">
            <w:pPr>
              <w:pStyle w:val="ListParagraph"/>
              <w:keepNext/>
              <w:ind w:left="567" w:hanging="567"/>
              <w:rPr>
                <w:b/>
                <w:bCs/>
                <w:sz w:val="22"/>
                <w:szCs w:val="22"/>
                <w:lang w:val="de-DE"/>
              </w:rPr>
            </w:pPr>
          </w:p>
          <w:p w14:paraId="3501E0AC" w14:textId="77777777" w:rsidR="00FE291A" w:rsidRDefault="00C8738F">
            <w:pPr>
              <w:pStyle w:val="ListParagraph"/>
              <w:keepNext/>
              <w:ind w:left="567" w:hanging="567"/>
              <w:rPr>
                <w:sz w:val="22"/>
                <w:szCs w:val="22"/>
                <w:lang w:val="de-DE"/>
              </w:rPr>
            </w:pPr>
            <w:r>
              <w:rPr>
                <w:sz w:val="22"/>
                <w:szCs w:val="22"/>
                <w:lang w:val="de-DE"/>
              </w:rPr>
              <w:t>Pflaster</w:t>
            </w:r>
          </w:p>
          <w:p w14:paraId="24150891" w14:textId="77777777" w:rsidR="00FE291A" w:rsidRDefault="00FE291A">
            <w:pPr>
              <w:pStyle w:val="ListParagraph"/>
              <w:keepNext/>
              <w:ind w:left="567" w:hanging="567"/>
              <w:rPr>
                <w:sz w:val="22"/>
                <w:szCs w:val="22"/>
                <w:lang w:val="de-DE"/>
              </w:rPr>
            </w:pPr>
          </w:p>
          <w:p w14:paraId="55F67399" w14:textId="77777777" w:rsidR="00FE291A" w:rsidRDefault="00FE291A">
            <w:pPr>
              <w:pStyle w:val="ListParagraph"/>
              <w:keepNext/>
              <w:ind w:left="567" w:hanging="567"/>
              <w:rPr>
                <w:sz w:val="22"/>
                <w:szCs w:val="22"/>
                <w:lang w:val="de-DE"/>
              </w:rPr>
            </w:pPr>
          </w:p>
          <w:p w14:paraId="6ABD9503" w14:textId="77777777" w:rsidR="00FE291A" w:rsidRDefault="00C8738F">
            <w:pPr>
              <w:pStyle w:val="ListParagraph"/>
              <w:keepNext/>
              <w:ind w:left="567" w:hanging="567"/>
              <w:rPr>
                <w:sz w:val="22"/>
                <w:szCs w:val="22"/>
                <w:lang w:val="de-DE"/>
              </w:rPr>
            </w:pPr>
            <w:r>
              <w:rPr>
                <w:sz w:val="22"/>
                <w:szCs w:val="22"/>
                <w:lang w:val="de-DE"/>
              </w:rPr>
              <w:t>Wattebausch oder Verbandmull</w:t>
            </w:r>
          </w:p>
        </w:tc>
      </w:tr>
      <w:tr w:rsidR="00FE291A" w14:paraId="742D1157" w14:textId="77777777">
        <w:trPr>
          <w:cantSplit/>
          <w:trHeight w:val="57"/>
        </w:trPr>
        <w:tc>
          <w:tcPr>
            <w:tcW w:w="383" w:type="pct"/>
            <w:tcBorders>
              <w:top w:val="single" w:sz="4" w:space="0" w:color="auto"/>
              <w:bottom w:val="nil"/>
              <w:right w:val="nil"/>
            </w:tcBorders>
            <w:tcMar>
              <w:top w:w="28" w:type="dxa"/>
              <w:left w:w="57" w:type="dxa"/>
              <w:bottom w:w="28" w:type="dxa"/>
              <w:right w:w="57" w:type="dxa"/>
            </w:tcMar>
          </w:tcPr>
          <w:p w14:paraId="5D97820C"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gridSpan w:val="3"/>
            <w:tcBorders>
              <w:top w:val="nil"/>
              <w:left w:val="nil"/>
              <w:bottom w:val="nil"/>
            </w:tcBorders>
            <w:tcMar>
              <w:left w:w="0" w:type="dxa"/>
            </w:tcMar>
          </w:tcPr>
          <w:p w14:paraId="1864F58E" w14:textId="77777777" w:rsidR="00FE291A" w:rsidRDefault="00C8738F">
            <w:pPr>
              <w:pStyle w:val="ListParagraph"/>
              <w:keepNext/>
              <w:keepLines/>
              <w:suppressAutoHyphens/>
              <w:textAlignment w:val="center"/>
              <w:rPr>
                <w:sz w:val="22"/>
                <w:szCs w:val="22"/>
                <w:lang w:val="de-DE"/>
              </w:rPr>
            </w:pPr>
            <w:r>
              <w:rPr>
                <w:sz w:val="22"/>
                <w:szCs w:val="22"/>
                <w:lang w:val="de-DE"/>
              </w:rPr>
              <w:t>AMGEVITA-Fertigpen (Raumtemperatur)</w:t>
            </w:r>
          </w:p>
        </w:tc>
      </w:tr>
      <w:tr w:rsidR="00FE291A" w14:paraId="69D96150" w14:textId="77777777">
        <w:trPr>
          <w:cantSplit/>
          <w:trHeight w:val="57"/>
        </w:trPr>
        <w:tc>
          <w:tcPr>
            <w:tcW w:w="383" w:type="pct"/>
            <w:tcBorders>
              <w:top w:val="nil"/>
              <w:bottom w:val="nil"/>
              <w:right w:val="nil"/>
            </w:tcBorders>
            <w:tcMar>
              <w:top w:w="28" w:type="dxa"/>
              <w:left w:w="57" w:type="dxa"/>
              <w:bottom w:w="28" w:type="dxa"/>
              <w:right w:w="57" w:type="dxa"/>
            </w:tcMar>
          </w:tcPr>
          <w:p w14:paraId="7FFF1EC1"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gridSpan w:val="3"/>
            <w:tcBorders>
              <w:top w:val="nil"/>
              <w:left w:val="nil"/>
              <w:bottom w:val="nil"/>
            </w:tcBorders>
            <w:tcMar>
              <w:left w:w="0" w:type="dxa"/>
            </w:tcMar>
          </w:tcPr>
          <w:p w14:paraId="794BBE88" w14:textId="77777777" w:rsidR="00FE291A" w:rsidRDefault="00C8738F">
            <w:pPr>
              <w:pStyle w:val="ListParagraph"/>
              <w:keepNext/>
              <w:keepLines/>
              <w:suppressAutoHyphens/>
              <w:textAlignment w:val="center"/>
              <w:rPr>
                <w:sz w:val="22"/>
                <w:szCs w:val="22"/>
                <w:lang w:val="de-DE"/>
              </w:rPr>
            </w:pPr>
            <w:r>
              <w:rPr>
                <w:sz w:val="22"/>
                <w:szCs w:val="22"/>
                <w:lang w:val="de-DE"/>
              </w:rPr>
              <w:t xml:space="preserve">Durchstichsicherer Behälter </w:t>
            </w:r>
          </w:p>
        </w:tc>
      </w:tr>
      <w:tr w:rsidR="00FE291A" w14:paraId="4F2E3A81" w14:textId="77777777">
        <w:trPr>
          <w:cantSplit/>
          <w:trHeight w:val="57"/>
        </w:trPr>
        <w:tc>
          <w:tcPr>
            <w:tcW w:w="383" w:type="pct"/>
            <w:tcBorders>
              <w:top w:val="nil"/>
              <w:bottom w:val="nil"/>
              <w:right w:val="nil"/>
            </w:tcBorders>
            <w:tcMar>
              <w:top w:w="28" w:type="dxa"/>
              <w:left w:w="57" w:type="dxa"/>
              <w:bottom w:w="28" w:type="dxa"/>
              <w:right w:w="57" w:type="dxa"/>
            </w:tcMar>
          </w:tcPr>
          <w:p w14:paraId="53772848"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gridSpan w:val="3"/>
            <w:tcBorders>
              <w:top w:val="nil"/>
              <w:left w:val="nil"/>
              <w:bottom w:val="nil"/>
            </w:tcBorders>
            <w:tcMar>
              <w:left w:w="0" w:type="dxa"/>
            </w:tcMar>
          </w:tcPr>
          <w:p w14:paraId="1D51336A" w14:textId="77777777" w:rsidR="00FE291A" w:rsidRDefault="00C8738F">
            <w:pPr>
              <w:keepNext/>
              <w:rPr>
                <w:sz w:val="22"/>
                <w:szCs w:val="22"/>
                <w:lang w:val="de-DE"/>
              </w:rPr>
            </w:pPr>
            <w:r>
              <w:rPr>
                <w:sz w:val="22"/>
                <w:szCs w:val="22"/>
                <w:lang w:val="de-DE"/>
              </w:rPr>
              <w:t>Alkoholtupfer</w:t>
            </w:r>
          </w:p>
        </w:tc>
      </w:tr>
      <w:tr w:rsidR="00FE291A" w14:paraId="2FE01C6A" w14:textId="77777777">
        <w:trPr>
          <w:cantSplit/>
          <w:trHeight w:val="57"/>
        </w:trPr>
        <w:tc>
          <w:tcPr>
            <w:tcW w:w="383" w:type="pct"/>
            <w:tcBorders>
              <w:top w:val="nil"/>
              <w:bottom w:val="nil"/>
              <w:right w:val="nil"/>
            </w:tcBorders>
            <w:tcMar>
              <w:top w:w="28" w:type="dxa"/>
              <w:left w:w="57" w:type="dxa"/>
              <w:bottom w:w="28" w:type="dxa"/>
              <w:right w:w="57" w:type="dxa"/>
            </w:tcMar>
          </w:tcPr>
          <w:p w14:paraId="3B874E44"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gridSpan w:val="3"/>
            <w:tcBorders>
              <w:top w:val="nil"/>
              <w:left w:val="nil"/>
              <w:bottom w:val="nil"/>
            </w:tcBorders>
            <w:tcMar>
              <w:left w:w="0" w:type="dxa"/>
            </w:tcMar>
          </w:tcPr>
          <w:p w14:paraId="50D253A7" w14:textId="77777777" w:rsidR="00FE291A" w:rsidRDefault="00C8738F">
            <w:pPr>
              <w:keepNext/>
              <w:rPr>
                <w:sz w:val="22"/>
                <w:szCs w:val="22"/>
                <w:lang w:val="de-DE"/>
              </w:rPr>
            </w:pPr>
            <w:r>
              <w:rPr>
                <w:sz w:val="22"/>
                <w:szCs w:val="22"/>
                <w:lang w:val="de-DE"/>
              </w:rPr>
              <w:t>Pflaster</w:t>
            </w:r>
          </w:p>
        </w:tc>
      </w:tr>
      <w:tr w:rsidR="00FE291A" w14:paraId="2BBC59B6" w14:textId="77777777">
        <w:trPr>
          <w:cantSplit/>
          <w:trHeight w:val="57"/>
        </w:trPr>
        <w:tc>
          <w:tcPr>
            <w:tcW w:w="383" w:type="pct"/>
            <w:tcBorders>
              <w:top w:val="nil"/>
              <w:bottom w:val="single" w:sz="4" w:space="0" w:color="auto"/>
              <w:right w:val="nil"/>
            </w:tcBorders>
            <w:tcMar>
              <w:top w:w="28" w:type="dxa"/>
              <w:left w:w="57" w:type="dxa"/>
              <w:bottom w:w="28" w:type="dxa"/>
              <w:right w:w="57" w:type="dxa"/>
            </w:tcMar>
          </w:tcPr>
          <w:p w14:paraId="43AED3D1"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gridSpan w:val="3"/>
            <w:tcBorders>
              <w:top w:val="nil"/>
              <w:left w:val="nil"/>
              <w:bottom w:val="single" w:sz="4" w:space="0" w:color="auto"/>
            </w:tcBorders>
            <w:tcMar>
              <w:left w:w="0" w:type="dxa"/>
            </w:tcMar>
          </w:tcPr>
          <w:p w14:paraId="2500D371" w14:textId="77777777" w:rsidR="00FE291A" w:rsidRDefault="00C8738F">
            <w:pPr>
              <w:keepNext/>
              <w:rPr>
                <w:b/>
                <w:bCs/>
                <w:sz w:val="22"/>
                <w:szCs w:val="22"/>
                <w:lang w:val="de-DE"/>
              </w:rPr>
            </w:pPr>
            <w:r>
              <w:rPr>
                <w:sz w:val="22"/>
                <w:szCs w:val="22"/>
                <w:lang w:val="de-DE"/>
              </w:rPr>
              <w:t>Wattebausch oder Verbandmull</w:t>
            </w:r>
          </w:p>
        </w:tc>
      </w:tr>
    </w:tbl>
    <w:p w14:paraId="73CA75C7" w14:textId="77777777" w:rsidR="00FE291A" w:rsidRDefault="00FE291A">
      <w:pPr>
        <w:rPr>
          <w:sz w:val="22"/>
          <w:szCs w:val="22"/>
          <w:lang w:val="de-DE"/>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33"/>
        <w:gridCol w:w="8314"/>
      </w:tblGrid>
      <w:tr w:rsidR="00FE291A" w:rsidRPr="002E6CD3" w14:paraId="4ABA3E7C" w14:textId="77777777">
        <w:trPr>
          <w:cantSplit/>
          <w:trHeight w:val="57"/>
        </w:trPr>
        <w:tc>
          <w:tcPr>
            <w:tcW w:w="354" w:type="pct"/>
            <w:tcBorders>
              <w:bottom w:val="single" w:sz="4" w:space="0" w:color="auto"/>
            </w:tcBorders>
            <w:tcMar>
              <w:top w:w="28" w:type="dxa"/>
              <w:left w:w="57" w:type="dxa"/>
              <w:bottom w:w="28" w:type="dxa"/>
              <w:right w:w="57" w:type="dxa"/>
            </w:tcMar>
          </w:tcPr>
          <w:p w14:paraId="39154B41" w14:textId="77777777" w:rsidR="00FE291A" w:rsidRDefault="00C8738F">
            <w:pPr>
              <w:keepNext/>
              <w:rPr>
                <w:b/>
                <w:bCs/>
                <w:sz w:val="22"/>
                <w:szCs w:val="22"/>
                <w:lang w:val="de-DE"/>
              </w:rPr>
            </w:pPr>
            <w:r>
              <w:rPr>
                <w:b/>
                <w:sz w:val="22"/>
                <w:szCs w:val="22"/>
                <w:lang w:val="de-DE"/>
              </w:rPr>
              <w:t>3b</w:t>
            </w:r>
          </w:p>
        </w:tc>
        <w:tc>
          <w:tcPr>
            <w:tcW w:w="4646" w:type="pct"/>
            <w:tcBorders>
              <w:bottom w:val="single" w:sz="4" w:space="0" w:color="auto"/>
            </w:tcBorders>
            <w:tcMar>
              <w:top w:w="28" w:type="dxa"/>
              <w:left w:w="57" w:type="dxa"/>
              <w:bottom w:w="28" w:type="dxa"/>
              <w:right w:w="57" w:type="dxa"/>
            </w:tcMar>
          </w:tcPr>
          <w:p w14:paraId="00F4CF1D" w14:textId="0D6A66F7" w:rsidR="00FE291A" w:rsidRDefault="00C8738F">
            <w:pPr>
              <w:pStyle w:val="ListParagraph"/>
              <w:keepNext/>
              <w:ind w:left="567" w:hanging="567"/>
              <w:rPr>
                <w:sz w:val="22"/>
                <w:szCs w:val="22"/>
                <w:lang w:val="de-DE"/>
              </w:rPr>
            </w:pPr>
            <w:r>
              <w:rPr>
                <w:b/>
                <w:sz w:val="22"/>
                <w:szCs w:val="22"/>
                <w:lang w:val="de-DE"/>
              </w:rPr>
              <w:t>Injizieren Sie in eine dieser Stellen.</w:t>
            </w:r>
          </w:p>
        </w:tc>
      </w:tr>
      <w:tr w:rsidR="00FE291A" w14:paraId="10E56376"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65FC08AB" w14:textId="514EB114" w:rsidR="00FE291A" w:rsidRDefault="009C5B62">
            <w:pPr>
              <w:pStyle w:val="ListParagraph"/>
              <w:keepNext/>
              <w:ind w:left="567" w:hanging="567"/>
              <w:jc w:val="center"/>
              <w:rPr>
                <w:sz w:val="22"/>
                <w:szCs w:val="22"/>
                <w:lang w:val="de-DE"/>
              </w:rPr>
            </w:pPr>
            <w:del w:id="631" w:author="Author">
              <w:r>
                <w:rPr>
                  <w:noProof/>
                  <w:sz w:val="22"/>
                  <w:szCs w:val="22"/>
                  <w:lang w:val="de-DE"/>
                </w:rPr>
                <w:drawing>
                  <wp:inline distT="0" distB="0" distL="0" distR="0" wp14:anchorId="79280D8C" wp14:editId="4F4CD330">
                    <wp:extent cx="3200400" cy="1983105"/>
                    <wp:effectExtent l="0" t="0" r="0" b="0"/>
                    <wp:docPr id="85" name="Bild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00400" cy="1983105"/>
                            </a:xfrm>
                            <a:prstGeom prst="rect">
                              <a:avLst/>
                            </a:prstGeom>
                            <a:noFill/>
                            <a:ln>
                              <a:noFill/>
                            </a:ln>
                          </pic:spPr>
                        </pic:pic>
                      </a:graphicData>
                    </a:graphic>
                  </wp:inline>
                </w:drawing>
              </w:r>
            </w:del>
            <w:ins w:id="632" w:author="Author">
              <w:r>
                <w:rPr>
                  <w:noProof/>
                </w:rPr>
                <w:drawing>
                  <wp:inline distT="0" distB="0" distL="0" distR="0" wp14:anchorId="15F31DFB" wp14:editId="52B37CD9">
                    <wp:extent cx="1383030" cy="1828800"/>
                    <wp:effectExtent l="0" t="0" r="0" b="0"/>
                    <wp:docPr id="86"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83030" cy="1828800"/>
                            </a:xfrm>
                            <a:prstGeom prst="rect">
                              <a:avLst/>
                            </a:prstGeom>
                            <a:noFill/>
                            <a:ln>
                              <a:noFill/>
                            </a:ln>
                          </pic:spPr>
                        </pic:pic>
                      </a:graphicData>
                    </a:graphic>
                  </wp:inline>
                </w:drawing>
              </w:r>
            </w:ins>
          </w:p>
        </w:tc>
      </w:tr>
      <w:tr w:rsidR="00FE291A" w:rsidRPr="002E6CD3" w14:paraId="66E89975" w14:textId="77777777">
        <w:trPr>
          <w:cantSplit/>
          <w:trHeight w:val="57"/>
        </w:trPr>
        <w:tc>
          <w:tcPr>
            <w:tcW w:w="354" w:type="pct"/>
            <w:tcBorders>
              <w:top w:val="nil"/>
              <w:bottom w:val="nil"/>
              <w:right w:val="nil"/>
            </w:tcBorders>
            <w:tcMar>
              <w:top w:w="28" w:type="dxa"/>
              <w:left w:w="57" w:type="dxa"/>
              <w:bottom w:w="28" w:type="dxa"/>
              <w:right w:w="57" w:type="dxa"/>
            </w:tcMar>
          </w:tcPr>
          <w:p w14:paraId="4B256974" w14:textId="77777777" w:rsidR="00FE291A" w:rsidRDefault="00FE291A">
            <w:pPr>
              <w:keepNext/>
              <w:widowControl/>
              <w:numPr>
                <w:ilvl w:val="0"/>
                <w:numId w:val="65"/>
              </w:numPr>
              <w:autoSpaceDE/>
              <w:autoSpaceDN/>
              <w:adjustRightInd/>
              <w:ind w:left="567" w:hanging="567"/>
              <w:rPr>
                <w:sz w:val="22"/>
                <w:szCs w:val="22"/>
                <w:lang w:val="de-DE"/>
              </w:rPr>
            </w:pPr>
          </w:p>
        </w:tc>
        <w:tc>
          <w:tcPr>
            <w:tcW w:w="4646" w:type="pct"/>
            <w:tcBorders>
              <w:top w:val="nil"/>
              <w:left w:val="nil"/>
              <w:bottom w:val="nil"/>
            </w:tcBorders>
            <w:tcMar>
              <w:left w:w="0" w:type="dxa"/>
            </w:tcMar>
          </w:tcPr>
          <w:p w14:paraId="754B5AD5" w14:textId="77777777" w:rsidR="00FE291A" w:rsidRDefault="00C8738F">
            <w:pPr>
              <w:keepNext/>
              <w:tabs>
                <w:tab w:val="left" w:pos="1134"/>
              </w:tabs>
              <w:rPr>
                <w:b/>
                <w:bCs/>
                <w:sz w:val="22"/>
                <w:szCs w:val="22"/>
                <w:lang w:val="de-DE"/>
              </w:rPr>
            </w:pPr>
            <w:r>
              <w:rPr>
                <w:sz w:val="22"/>
                <w:szCs w:val="22"/>
                <w:lang w:val="de-DE"/>
              </w:rPr>
              <w:t>Injizieren Sie in</w:t>
            </w:r>
            <w:ins w:id="633" w:author="Author">
              <w:r>
                <w:rPr>
                  <w:sz w:val="22"/>
                  <w:szCs w:val="22"/>
                  <w:lang w:val="de-DE"/>
                </w:rPr>
                <w:t xml:space="preserve"> die Vorderseite</w:t>
              </w:r>
            </w:ins>
            <w:r>
              <w:rPr>
                <w:sz w:val="22"/>
                <w:szCs w:val="22"/>
                <w:lang w:val="de-DE"/>
              </w:rPr>
              <w:t xml:space="preserve"> </w:t>
            </w:r>
            <w:del w:id="634" w:author="Author">
              <w:r>
                <w:rPr>
                  <w:sz w:val="22"/>
                  <w:szCs w:val="22"/>
                  <w:lang w:val="de-DE"/>
                </w:rPr>
                <w:delText xml:space="preserve">Ihren </w:delText>
              </w:r>
            </w:del>
            <w:ins w:id="635" w:author="Author">
              <w:r>
                <w:rPr>
                  <w:sz w:val="22"/>
                  <w:szCs w:val="22"/>
                  <w:lang w:val="de-DE"/>
                </w:rPr>
                <w:t xml:space="preserve">Ihres </w:t>
              </w:r>
            </w:ins>
            <w:r>
              <w:rPr>
                <w:sz w:val="22"/>
                <w:szCs w:val="22"/>
                <w:lang w:val="de-DE"/>
              </w:rPr>
              <w:t>Oberschenkel</w:t>
            </w:r>
            <w:ins w:id="636" w:author="Author">
              <w:r>
                <w:rPr>
                  <w:sz w:val="22"/>
                  <w:szCs w:val="22"/>
                  <w:lang w:val="de-DE"/>
                </w:rPr>
                <w:t>s</w:t>
              </w:r>
            </w:ins>
            <w:r>
              <w:rPr>
                <w:sz w:val="22"/>
                <w:szCs w:val="22"/>
                <w:lang w:val="de-DE"/>
              </w:rPr>
              <w:t xml:space="preserve"> oder </w:t>
            </w:r>
            <w:ins w:id="637" w:author="Author">
              <w:r>
                <w:rPr>
                  <w:sz w:val="22"/>
                  <w:szCs w:val="22"/>
                  <w:lang w:val="de-DE"/>
                </w:rPr>
                <w:t xml:space="preserve">in Ihren </w:t>
              </w:r>
            </w:ins>
            <w:r>
              <w:rPr>
                <w:sz w:val="22"/>
                <w:szCs w:val="22"/>
                <w:lang w:val="de-DE"/>
              </w:rPr>
              <w:t>Bauch (mit Ausnahme von 5 </w:t>
            </w:r>
            <w:del w:id="638" w:author="Author">
              <w:r>
                <w:rPr>
                  <w:sz w:val="22"/>
                  <w:szCs w:val="22"/>
                  <w:lang w:val="de-DE"/>
                </w:rPr>
                <w:delText xml:space="preserve">cm </w:delText>
              </w:r>
            </w:del>
            <w:ins w:id="639" w:author="Author">
              <w:r>
                <w:rPr>
                  <w:sz w:val="22"/>
                  <w:szCs w:val="22"/>
                  <w:lang w:val="de-DE"/>
                </w:rPr>
                <w:t xml:space="preserve">Zentimeter </w:t>
              </w:r>
            </w:ins>
            <w:r>
              <w:rPr>
                <w:sz w:val="22"/>
                <w:szCs w:val="22"/>
                <w:lang w:val="de-DE"/>
              </w:rPr>
              <w:t>um Ihren Bauchnabel herum).</w:t>
            </w:r>
          </w:p>
        </w:tc>
      </w:tr>
      <w:tr w:rsidR="00FE291A" w:rsidRPr="002E6CD3" w14:paraId="3C3E7C5C" w14:textId="77777777">
        <w:trPr>
          <w:cantSplit/>
          <w:trHeight w:val="57"/>
        </w:trPr>
        <w:tc>
          <w:tcPr>
            <w:tcW w:w="354" w:type="pct"/>
            <w:tcBorders>
              <w:top w:val="nil"/>
              <w:bottom w:val="nil"/>
              <w:right w:val="nil"/>
            </w:tcBorders>
            <w:tcMar>
              <w:top w:w="28" w:type="dxa"/>
              <w:left w:w="57" w:type="dxa"/>
              <w:bottom w:w="28" w:type="dxa"/>
              <w:right w:w="57" w:type="dxa"/>
            </w:tcMar>
          </w:tcPr>
          <w:p w14:paraId="045415EB" w14:textId="77777777" w:rsidR="00FE291A" w:rsidRDefault="00FE291A">
            <w:pPr>
              <w:keepNext/>
              <w:widowControl/>
              <w:numPr>
                <w:ilvl w:val="0"/>
                <w:numId w:val="65"/>
              </w:numPr>
              <w:autoSpaceDE/>
              <w:autoSpaceDN/>
              <w:adjustRightInd/>
              <w:ind w:left="567" w:hanging="567"/>
              <w:rPr>
                <w:sz w:val="22"/>
                <w:szCs w:val="22"/>
                <w:lang w:val="de-DE"/>
              </w:rPr>
            </w:pPr>
          </w:p>
        </w:tc>
        <w:tc>
          <w:tcPr>
            <w:tcW w:w="4646" w:type="pct"/>
            <w:tcBorders>
              <w:top w:val="nil"/>
              <w:left w:val="nil"/>
              <w:bottom w:val="nil"/>
            </w:tcBorders>
            <w:tcMar>
              <w:left w:w="0" w:type="dxa"/>
            </w:tcMar>
          </w:tcPr>
          <w:p w14:paraId="28D987E1" w14:textId="77777777" w:rsidR="00FE291A" w:rsidRDefault="00C8738F">
            <w:pPr>
              <w:keepNext/>
              <w:tabs>
                <w:tab w:val="left" w:pos="1134"/>
              </w:tabs>
              <w:rPr>
                <w:sz w:val="22"/>
                <w:szCs w:val="22"/>
                <w:lang w:val="de-DE"/>
              </w:rPr>
            </w:pPr>
            <w:r>
              <w:rPr>
                <w:sz w:val="22"/>
                <w:szCs w:val="22"/>
                <w:lang w:val="de-DE"/>
              </w:rPr>
              <w:t>Wählen Sie für jede Injektion eine andere Stelle.</w:t>
            </w:r>
          </w:p>
        </w:tc>
      </w:tr>
      <w:tr w:rsidR="00FE291A" w:rsidRPr="002E6CD3" w14:paraId="6187334D" w14:textId="77777777">
        <w:trPr>
          <w:cantSplit/>
          <w:trHeight w:val="57"/>
        </w:trPr>
        <w:tc>
          <w:tcPr>
            <w:tcW w:w="354" w:type="pct"/>
            <w:tcBorders>
              <w:top w:val="nil"/>
              <w:bottom w:val="nil"/>
              <w:right w:val="nil"/>
            </w:tcBorders>
            <w:tcMar>
              <w:top w:w="28" w:type="dxa"/>
              <w:left w:w="57" w:type="dxa"/>
              <w:bottom w:w="28" w:type="dxa"/>
              <w:right w:w="57" w:type="dxa"/>
            </w:tcMar>
          </w:tcPr>
          <w:p w14:paraId="4435A30C" w14:textId="77777777" w:rsidR="00FE291A" w:rsidRDefault="00FE291A">
            <w:pPr>
              <w:keepNext/>
              <w:widowControl/>
              <w:numPr>
                <w:ilvl w:val="0"/>
                <w:numId w:val="65"/>
              </w:numPr>
              <w:autoSpaceDE/>
              <w:autoSpaceDN/>
              <w:adjustRightInd/>
              <w:ind w:left="567" w:hanging="567"/>
              <w:rPr>
                <w:sz w:val="22"/>
                <w:szCs w:val="22"/>
                <w:lang w:val="de-DE"/>
              </w:rPr>
            </w:pPr>
          </w:p>
        </w:tc>
        <w:tc>
          <w:tcPr>
            <w:tcW w:w="4646" w:type="pct"/>
            <w:tcBorders>
              <w:top w:val="nil"/>
              <w:left w:val="nil"/>
              <w:bottom w:val="nil"/>
            </w:tcBorders>
            <w:tcMar>
              <w:left w:w="0" w:type="dxa"/>
            </w:tcMar>
          </w:tcPr>
          <w:p w14:paraId="58BCE417" w14:textId="77777777" w:rsidR="00FE291A" w:rsidRDefault="00C8738F">
            <w:pPr>
              <w:keepNext/>
              <w:tabs>
                <w:tab w:val="left" w:pos="1134"/>
              </w:tabs>
              <w:rPr>
                <w:sz w:val="22"/>
                <w:szCs w:val="22"/>
                <w:lang w:val="de-DE"/>
              </w:rPr>
            </w:pPr>
            <w:r>
              <w:rPr>
                <w:sz w:val="22"/>
                <w:szCs w:val="22"/>
                <w:lang w:val="de-DE"/>
              </w:rPr>
              <w:t>Waschen Sie Ihre Hände gründlich mit Wasser und Seife.</w:t>
            </w:r>
          </w:p>
        </w:tc>
      </w:tr>
      <w:tr w:rsidR="00FE291A" w:rsidRPr="002E6CD3" w14:paraId="7931D047" w14:textId="77777777">
        <w:trPr>
          <w:cantSplit/>
          <w:trHeight w:val="57"/>
        </w:trPr>
        <w:tc>
          <w:tcPr>
            <w:tcW w:w="354" w:type="pct"/>
            <w:tcBorders>
              <w:top w:val="nil"/>
              <w:bottom w:val="nil"/>
              <w:right w:val="nil"/>
            </w:tcBorders>
            <w:tcMar>
              <w:top w:w="28" w:type="dxa"/>
              <w:left w:w="57" w:type="dxa"/>
              <w:bottom w:w="28" w:type="dxa"/>
              <w:right w:w="57" w:type="dxa"/>
            </w:tcMar>
          </w:tcPr>
          <w:p w14:paraId="1AC7EEDC" w14:textId="77777777" w:rsidR="00FE291A" w:rsidRDefault="00FE291A">
            <w:pPr>
              <w:keepNext/>
              <w:widowControl/>
              <w:numPr>
                <w:ilvl w:val="0"/>
                <w:numId w:val="65"/>
              </w:numPr>
              <w:autoSpaceDE/>
              <w:autoSpaceDN/>
              <w:adjustRightInd/>
              <w:ind w:left="567" w:hanging="567"/>
              <w:rPr>
                <w:sz w:val="22"/>
                <w:szCs w:val="22"/>
                <w:lang w:val="de-DE"/>
              </w:rPr>
            </w:pPr>
          </w:p>
        </w:tc>
        <w:tc>
          <w:tcPr>
            <w:tcW w:w="4646" w:type="pct"/>
            <w:tcBorders>
              <w:top w:val="nil"/>
              <w:left w:val="nil"/>
              <w:bottom w:val="nil"/>
            </w:tcBorders>
            <w:tcMar>
              <w:left w:w="0" w:type="dxa"/>
            </w:tcMar>
          </w:tcPr>
          <w:p w14:paraId="03233841" w14:textId="77777777" w:rsidR="00FE291A" w:rsidRDefault="00C8738F">
            <w:pPr>
              <w:keepNext/>
              <w:rPr>
                <w:sz w:val="22"/>
                <w:szCs w:val="22"/>
                <w:lang w:val="de-DE"/>
              </w:rPr>
            </w:pPr>
            <w:r>
              <w:rPr>
                <w:sz w:val="22"/>
                <w:szCs w:val="22"/>
                <w:lang w:val="de-DE"/>
              </w:rPr>
              <w:t>Reinigen Sie die Injektionsstelle mit einem Alkoholtupfer.</w:t>
            </w:r>
          </w:p>
        </w:tc>
      </w:tr>
      <w:tr w:rsidR="00FE291A" w:rsidRPr="00723069" w14:paraId="2B488CAF" w14:textId="77777777">
        <w:trPr>
          <w:cantSplit/>
          <w:trHeight w:val="55"/>
        </w:trPr>
        <w:tc>
          <w:tcPr>
            <w:tcW w:w="354" w:type="pct"/>
            <w:tcBorders>
              <w:top w:val="nil"/>
              <w:bottom w:val="nil"/>
              <w:right w:val="nil"/>
            </w:tcBorders>
            <w:tcMar>
              <w:top w:w="28" w:type="dxa"/>
              <w:left w:w="57" w:type="dxa"/>
              <w:bottom w:w="28" w:type="dxa"/>
              <w:right w:w="57" w:type="dxa"/>
            </w:tcMar>
          </w:tcPr>
          <w:p w14:paraId="07103C9E" w14:textId="77777777" w:rsidR="00FE291A" w:rsidRDefault="00FE291A">
            <w:pPr>
              <w:keepNext/>
              <w:widowControl/>
              <w:numPr>
                <w:ilvl w:val="0"/>
                <w:numId w:val="65"/>
              </w:numPr>
              <w:autoSpaceDE/>
              <w:autoSpaceDN/>
              <w:adjustRightInd/>
              <w:ind w:left="567" w:hanging="567"/>
              <w:rPr>
                <w:sz w:val="22"/>
                <w:szCs w:val="22"/>
                <w:lang w:val="de-DE"/>
              </w:rPr>
            </w:pPr>
          </w:p>
        </w:tc>
        <w:tc>
          <w:tcPr>
            <w:tcW w:w="4646" w:type="pct"/>
            <w:tcBorders>
              <w:top w:val="nil"/>
              <w:left w:val="nil"/>
              <w:bottom w:val="nil"/>
            </w:tcBorders>
            <w:tcMar>
              <w:left w:w="0" w:type="dxa"/>
            </w:tcMar>
          </w:tcPr>
          <w:p w14:paraId="14F23784" w14:textId="77777777" w:rsidR="00FE291A" w:rsidRDefault="00C8738F">
            <w:pPr>
              <w:keepNext/>
              <w:tabs>
                <w:tab w:val="left" w:pos="1134"/>
              </w:tabs>
              <w:rPr>
                <w:sz w:val="22"/>
                <w:szCs w:val="22"/>
                <w:lang w:val="de-DE"/>
              </w:rPr>
            </w:pPr>
            <w:r>
              <w:rPr>
                <w:sz w:val="22"/>
                <w:szCs w:val="22"/>
                <w:lang w:val="de-DE"/>
              </w:rPr>
              <w:t xml:space="preserve">Lassen Sie </w:t>
            </w:r>
            <w:del w:id="640" w:author="Author">
              <w:r>
                <w:rPr>
                  <w:sz w:val="22"/>
                  <w:szCs w:val="22"/>
                  <w:lang w:val="de-DE"/>
                </w:rPr>
                <w:delText xml:space="preserve">Ihre </w:delText>
              </w:r>
            </w:del>
            <w:ins w:id="641" w:author="Author">
              <w:r>
                <w:rPr>
                  <w:sz w:val="22"/>
                  <w:szCs w:val="22"/>
                  <w:lang w:val="de-DE"/>
                </w:rPr>
                <w:t xml:space="preserve">die </w:t>
              </w:r>
            </w:ins>
            <w:r>
              <w:rPr>
                <w:sz w:val="22"/>
                <w:szCs w:val="22"/>
                <w:lang w:val="de-DE"/>
              </w:rPr>
              <w:t>Haut an der Luft trocknen.</w:t>
            </w:r>
          </w:p>
        </w:tc>
      </w:tr>
      <w:tr w:rsidR="00FE291A" w:rsidRPr="00723069" w14:paraId="635087F8" w14:textId="77777777">
        <w:trPr>
          <w:cantSplit/>
          <w:trHeight w:val="55"/>
        </w:trPr>
        <w:tc>
          <w:tcPr>
            <w:tcW w:w="354" w:type="pct"/>
            <w:tcBorders>
              <w:top w:val="nil"/>
              <w:bottom w:val="nil"/>
              <w:right w:val="nil"/>
            </w:tcBorders>
            <w:tcMar>
              <w:top w:w="28" w:type="dxa"/>
              <w:left w:w="57" w:type="dxa"/>
              <w:bottom w:w="28" w:type="dxa"/>
              <w:right w:w="57" w:type="dxa"/>
            </w:tcMar>
          </w:tcPr>
          <w:p w14:paraId="1949E53A" w14:textId="77777777" w:rsidR="00FE291A" w:rsidRDefault="00FE291A">
            <w:pPr>
              <w:keepNext/>
              <w:widowControl/>
              <w:numPr>
                <w:ilvl w:val="0"/>
                <w:numId w:val="65"/>
              </w:numPr>
              <w:autoSpaceDE/>
              <w:autoSpaceDN/>
              <w:adjustRightInd/>
              <w:ind w:left="567" w:hanging="567"/>
              <w:rPr>
                <w:sz w:val="22"/>
                <w:szCs w:val="22"/>
                <w:lang w:val="de-DE"/>
              </w:rPr>
            </w:pPr>
          </w:p>
        </w:tc>
        <w:tc>
          <w:tcPr>
            <w:tcW w:w="4646" w:type="pct"/>
            <w:tcBorders>
              <w:top w:val="nil"/>
              <w:left w:val="nil"/>
              <w:bottom w:val="nil"/>
            </w:tcBorders>
            <w:tcMar>
              <w:left w:w="0" w:type="dxa"/>
            </w:tcMar>
          </w:tcPr>
          <w:p w14:paraId="42EB98C5" w14:textId="77777777" w:rsidR="00FE291A" w:rsidRDefault="00C8738F">
            <w:pPr>
              <w:keepNext/>
              <w:tabs>
                <w:tab w:val="left" w:pos="1134"/>
              </w:tabs>
              <w:rPr>
                <w:sz w:val="22"/>
                <w:szCs w:val="22"/>
                <w:lang w:val="de-DE"/>
              </w:rPr>
            </w:pPr>
            <w:r>
              <w:rPr>
                <w:sz w:val="22"/>
                <w:szCs w:val="22"/>
                <w:lang w:val="de-DE"/>
              </w:rPr>
              <w:t xml:space="preserve">Diesen Bereich vor der Injektion </w:t>
            </w:r>
            <w:r>
              <w:rPr>
                <w:b/>
                <w:sz w:val="22"/>
                <w:szCs w:val="22"/>
                <w:lang w:val="de-DE"/>
              </w:rPr>
              <w:t>nicht</w:t>
            </w:r>
            <w:r>
              <w:rPr>
                <w:sz w:val="22"/>
                <w:szCs w:val="22"/>
                <w:lang w:val="de-DE"/>
              </w:rPr>
              <w:t xml:space="preserve"> noch einmal berühren.</w:t>
            </w:r>
          </w:p>
        </w:tc>
      </w:tr>
      <w:tr w:rsidR="00FE291A" w:rsidRPr="00723069" w14:paraId="11D2000E" w14:textId="77777777">
        <w:trPr>
          <w:cantSplit/>
          <w:trHeight w:val="55"/>
        </w:trPr>
        <w:tc>
          <w:tcPr>
            <w:tcW w:w="5000" w:type="pct"/>
            <w:gridSpan w:val="2"/>
            <w:tcBorders>
              <w:top w:val="nil"/>
              <w:bottom w:val="single" w:sz="4" w:space="0" w:color="auto"/>
            </w:tcBorders>
            <w:tcMar>
              <w:top w:w="28" w:type="dxa"/>
              <w:left w:w="57" w:type="dxa"/>
              <w:bottom w:w="28" w:type="dxa"/>
              <w:right w:w="57" w:type="dxa"/>
            </w:tcMar>
          </w:tcPr>
          <w:p w14:paraId="237D1D19" w14:textId="37FC670B" w:rsidR="00FE291A" w:rsidRDefault="009C5B62">
            <w:pPr>
              <w:keepNext/>
              <w:tabs>
                <w:tab w:val="left" w:pos="1134"/>
              </w:tabs>
              <w:rPr>
                <w:b/>
                <w:bCs/>
                <w:sz w:val="22"/>
                <w:szCs w:val="22"/>
                <w:lang w:val="de-DE"/>
              </w:rPr>
            </w:pPr>
            <w:r>
              <w:rPr>
                <w:noProof/>
              </w:rPr>
              <mc:AlternateContent>
                <mc:Choice Requires="wps">
                  <w:drawing>
                    <wp:anchor distT="45720" distB="45720" distL="114300" distR="114300" simplePos="0" relativeHeight="17" behindDoc="0" locked="0" layoutInCell="1" allowOverlap="1" wp14:anchorId="400BCE4A" wp14:editId="16939D0B">
                      <wp:simplePos x="0" y="0"/>
                      <wp:positionH relativeFrom="margin">
                        <wp:posOffset>-2540</wp:posOffset>
                      </wp:positionH>
                      <wp:positionV relativeFrom="paragraph">
                        <wp:posOffset>6350</wp:posOffset>
                      </wp:positionV>
                      <wp:extent cx="5605780" cy="431800"/>
                      <wp:effectExtent l="0" t="0" r="0" b="6350"/>
                      <wp:wrapSquare wrapText="bothSides"/>
                      <wp:docPr id="6313267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5780" cy="431800"/>
                              </a:xfrm>
                              <a:prstGeom prst="rect">
                                <a:avLst/>
                              </a:prstGeom>
                              <a:solidFill>
                                <a:srgbClr val="FFFFFF"/>
                              </a:solidFill>
                              <a:ln w="19050">
                                <a:solidFill>
                                  <a:srgbClr val="FF0000"/>
                                </a:solidFill>
                                <a:miter lim="800000"/>
                              </a:ln>
                            </wps:spPr>
                            <wps:txbx>
                              <w:txbxContent>
                                <w:p w14:paraId="313F4713" w14:textId="77777777" w:rsidR="00FE291A" w:rsidRDefault="00C8738F">
                                  <w:pPr>
                                    <w:tabs>
                                      <w:tab w:val="left" w:pos="1134"/>
                                    </w:tabs>
                                    <w:rPr>
                                      <w:sz w:val="22"/>
                                      <w:lang w:val="de-DE"/>
                                    </w:rPr>
                                  </w:pPr>
                                  <w:r>
                                    <w:rPr>
                                      <w:b/>
                                      <w:sz w:val="22"/>
                                      <w:lang w:val="de-DE"/>
                                    </w:rPr>
                                    <w:t>Wichtig:</w:t>
                                  </w:r>
                                  <w:r>
                                    <w:rPr>
                                      <w:sz w:val="22"/>
                                      <w:lang w:val="de-DE"/>
                                    </w:rPr>
                                    <w:t xml:space="preserve"> Vermeiden Sie Bereiche mit Narben, Dehnungsstreifen oder in denen die Haut empfindlich, gerötet oder verhärtet ist bzw. einen Bluterguss aufweist.</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400BCE4A" id="Text Box 4" o:spid="_x0000_s1050" type="#_x0000_t202" style="position:absolute;margin-left:-.2pt;margin-top:.5pt;width:441.4pt;height:34pt;z-index:1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" strokecolor="red" strokeweight="1.5pt">
                      <v:textbox style="mso-fit-shape-to-text:t">
                        <w:txbxContent>
                          <w:p w14:paraId="313F4713" w14:textId="77777777" w:rsidR="00FE291A" w:rsidRDefault="00C8738F">
                            <w:pPr>
                              <w:tabs>
                                <w:tab w:val="left" w:pos="1134"/>
                              </w:tabs>
                              <w:rPr>
                                <w:sz w:val="22"/>
                                <w:lang w:val="de-DE"/>
                              </w:rPr>
                            </w:pPr>
                            <w:r>
                              <w:rPr>
                                <w:b/>
                                <w:sz w:val="22"/>
                                <w:lang w:val="de-DE"/>
                              </w:rPr>
                              <w:t>Wichtig:</w:t>
                            </w:r>
                            <w:r>
                              <w:rPr>
                                <w:sz w:val="22"/>
                                <w:lang w:val="de-DE"/>
                              </w:rPr>
                              <w:t xml:space="preserve"> Vermeiden Sie Bereiche mit Narben, Dehnungsstreifen oder in denen die Haut empfindlich, gerötet oder verhärtet ist bzw. einen Bluterguss aufweist.</w:t>
                            </w:r>
                          </w:p>
                        </w:txbxContent>
                      </v:textbox>
                      <w10:wrap type="square" anchorx="margin"/>
                    </v:shape>
                  </w:pict>
                </mc:Fallback>
              </mc:AlternateContent>
            </w:r>
            <w:r w:rsidR="00C8738F">
              <w:rPr>
                <w:b/>
                <w:bCs/>
                <w:sz w:val="22"/>
                <w:szCs w:val="22"/>
                <w:lang w:val="de-DE"/>
              </w:rPr>
              <w:t xml:space="preserve"> </w:t>
            </w:r>
          </w:p>
        </w:tc>
      </w:tr>
    </w:tbl>
    <w:p w14:paraId="4058E6DD" w14:textId="77777777" w:rsidR="00FE291A" w:rsidRDefault="00FE291A">
      <w:pPr>
        <w:tabs>
          <w:tab w:val="left" w:pos="1134"/>
        </w:tabs>
        <w:rPr>
          <w:sz w:val="22"/>
          <w:szCs w:val="22"/>
          <w:lang w:val="de-DE"/>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35"/>
        <w:gridCol w:w="1589"/>
        <w:gridCol w:w="6723"/>
      </w:tblGrid>
      <w:tr w:rsidR="00FE291A" w14:paraId="580BB195" w14:textId="77777777">
        <w:trPr>
          <w:cantSplit/>
          <w:trHeight w:val="57"/>
        </w:trPr>
        <w:tc>
          <w:tcPr>
            <w:tcW w:w="355" w:type="pct"/>
            <w:tcMar>
              <w:top w:w="28" w:type="dxa"/>
              <w:left w:w="57" w:type="dxa"/>
              <w:bottom w:w="28" w:type="dxa"/>
              <w:right w:w="57" w:type="dxa"/>
            </w:tcMar>
          </w:tcPr>
          <w:p w14:paraId="2D9D7498" w14:textId="77777777" w:rsidR="00FE291A" w:rsidRDefault="00C8738F">
            <w:pPr>
              <w:keepNext/>
              <w:rPr>
                <w:b/>
                <w:bCs/>
                <w:sz w:val="22"/>
                <w:szCs w:val="22"/>
                <w:lang w:val="de-DE"/>
              </w:rPr>
            </w:pPr>
            <w:r>
              <w:rPr>
                <w:b/>
                <w:sz w:val="22"/>
                <w:szCs w:val="22"/>
                <w:lang w:val="de-DE"/>
              </w:rPr>
              <w:t>4</w:t>
            </w:r>
          </w:p>
        </w:tc>
        <w:tc>
          <w:tcPr>
            <w:tcW w:w="4645" w:type="pct"/>
            <w:gridSpan w:val="2"/>
            <w:tcMar>
              <w:top w:w="28" w:type="dxa"/>
              <w:left w:w="57" w:type="dxa"/>
              <w:bottom w:w="28" w:type="dxa"/>
              <w:right w:w="57" w:type="dxa"/>
            </w:tcMar>
          </w:tcPr>
          <w:p w14:paraId="0C8EA990" w14:textId="77777777" w:rsidR="00FE291A" w:rsidRDefault="00C8738F">
            <w:pPr>
              <w:pStyle w:val="ListParagraph"/>
              <w:keepNext/>
              <w:ind w:left="567" w:hanging="567"/>
              <w:rPr>
                <w:sz w:val="22"/>
                <w:szCs w:val="22"/>
                <w:lang w:val="de-DE"/>
              </w:rPr>
            </w:pPr>
            <w:r>
              <w:rPr>
                <w:b/>
                <w:sz w:val="22"/>
                <w:szCs w:val="22"/>
                <w:lang w:val="de-DE"/>
              </w:rPr>
              <w:t>Injektion von AMGEVITA</w:t>
            </w:r>
          </w:p>
        </w:tc>
      </w:tr>
      <w:tr w:rsidR="00FE291A" w14:paraId="03E0D27B" w14:textId="77777777">
        <w:trPr>
          <w:cantSplit/>
          <w:trHeight w:val="57"/>
        </w:trPr>
        <w:tc>
          <w:tcPr>
            <w:tcW w:w="5000" w:type="pct"/>
            <w:gridSpan w:val="3"/>
            <w:tcBorders>
              <w:bottom w:val="single" w:sz="4" w:space="0" w:color="auto"/>
            </w:tcBorders>
            <w:tcMar>
              <w:top w:w="28" w:type="dxa"/>
              <w:left w:w="57" w:type="dxa"/>
              <w:bottom w:w="28" w:type="dxa"/>
              <w:right w:w="57" w:type="dxa"/>
            </w:tcMar>
          </w:tcPr>
          <w:p w14:paraId="53A88AC7" w14:textId="317AFCC7" w:rsidR="00FE291A" w:rsidRDefault="009C5B62">
            <w:pPr>
              <w:pStyle w:val="ListParagraph"/>
              <w:keepNext/>
              <w:ind w:left="567" w:hanging="567"/>
              <w:rPr>
                <w:sz w:val="22"/>
                <w:szCs w:val="22"/>
                <w:lang w:val="de-DE"/>
              </w:rPr>
            </w:pPr>
            <w:r>
              <w:rPr>
                <w:noProof/>
              </w:rPr>
              <mc:AlternateContent>
                <mc:Choice Requires="wps">
                  <w:drawing>
                    <wp:anchor distT="45720" distB="45720" distL="114300" distR="114300" simplePos="0" relativeHeight="19" behindDoc="0" locked="0" layoutInCell="1" allowOverlap="1" wp14:anchorId="1A500CCD" wp14:editId="177653D6">
                      <wp:simplePos x="0" y="0"/>
                      <wp:positionH relativeFrom="margin">
                        <wp:posOffset>6985</wp:posOffset>
                      </wp:positionH>
                      <wp:positionV relativeFrom="paragraph">
                        <wp:posOffset>1270</wp:posOffset>
                      </wp:positionV>
                      <wp:extent cx="5606415" cy="431800"/>
                      <wp:effectExtent l="0" t="0" r="0" b="6350"/>
                      <wp:wrapSquare wrapText="bothSides"/>
                      <wp:docPr id="21297315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6415" cy="431800"/>
                              </a:xfrm>
                              <a:prstGeom prst="rect">
                                <a:avLst/>
                              </a:prstGeom>
                              <a:solidFill>
                                <a:srgbClr val="FFFFFF"/>
                              </a:solidFill>
                              <a:ln w="19050">
                                <a:solidFill>
                                  <a:srgbClr val="FF0000"/>
                                </a:solidFill>
                                <a:miter lim="800000"/>
                              </a:ln>
                            </wps:spPr>
                            <wps:txbx>
                              <w:txbxContent>
                                <w:p w14:paraId="200F2BF0" w14:textId="77777777" w:rsidR="00FE291A" w:rsidRDefault="00C8738F">
                                  <w:pPr>
                                    <w:tabs>
                                      <w:tab w:val="left" w:pos="1134"/>
                                    </w:tabs>
                                    <w:rPr>
                                      <w:sz w:val="22"/>
                                      <w:lang w:val="de-DE"/>
                                    </w:rPr>
                                  </w:pPr>
                                  <w:r>
                                    <w:rPr>
                                      <w:b/>
                                      <w:sz w:val="22"/>
                                      <w:lang w:val="de-DE"/>
                                    </w:rPr>
                                    <w:t>Wichtig:</w:t>
                                  </w:r>
                                  <w:r>
                                    <w:rPr>
                                      <w:sz w:val="22"/>
                                      <w:lang w:val="de-DE"/>
                                    </w:rPr>
                                    <w:t xml:space="preserve"> Nehmen Sie die gelbe Kappe erst unmittelbar (max. 5 Minuten) vor der Injektion ab, weil das Arzneimittel austrocknen kann.</w:t>
                                  </w:r>
                                  <w:ins w:id="642" w:author="Author">
                                    <w:r>
                                      <w:rPr>
                                        <w:sz w:val="22"/>
                                        <w:lang w:val="de-DE"/>
                                      </w:rPr>
                                      <w:t xml:space="preserve"> Setzen Sie die Kappe nicht wieder auf.</w:t>
                                    </w:r>
                                  </w:ins>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1A500CCD" id="Text Box 3" o:spid="_x0000_s1051" type="#_x0000_t202" style="position:absolute;left:0;text-align:left;margin-left:.55pt;margin-top:.1pt;width:441.45pt;height:34pt;z-index:1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" strokecolor="red" strokeweight="1.5pt">
                      <v:textbox style="mso-fit-shape-to-text:t">
                        <w:txbxContent>
                          <w:p w14:paraId="200F2BF0" w14:textId="77777777" w:rsidR="00FE291A" w:rsidRDefault="00C8738F">
                            <w:pPr>
                              <w:tabs>
                                <w:tab w:val="left" w:pos="1134"/>
                              </w:tabs>
                              <w:rPr>
                                <w:sz w:val="22"/>
                                <w:lang w:val="de-DE"/>
                              </w:rPr>
                            </w:pPr>
                            <w:r>
                              <w:rPr>
                                <w:b/>
                                <w:sz w:val="22"/>
                                <w:lang w:val="de-DE"/>
                              </w:rPr>
                              <w:t>Wichtig:</w:t>
                            </w:r>
                            <w:r>
                              <w:rPr>
                                <w:sz w:val="22"/>
                                <w:lang w:val="de-DE"/>
                              </w:rPr>
                              <w:t xml:space="preserve"> Nehmen Sie die gelbe Kappe erst unmittelbar (max. 5 Minuten) vor der Injektion ab, weil das Arzneimittel austrocknen kann.</w:t>
                            </w:r>
                            <w:ins w:id="643" w:author="Author">
                              <w:r>
                                <w:rPr>
                                  <w:sz w:val="22"/>
                                  <w:lang w:val="de-DE"/>
                                </w:rPr>
                                <w:t xml:space="preserve"> Setzen Sie die Kappe nicht wieder auf.</w:t>
                              </w:r>
                            </w:ins>
                          </w:p>
                        </w:txbxContent>
                      </v:textbox>
                      <w10:wrap type="square" anchorx="margin"/>
                    </v:shape>
                  </w:pict>
                </mc:Fallback>
              </mc:AlternateContent>
            </w:r>
            <w:r w:rsidR="00C8738F">
              <w:rPr>
                <w:sz w:val="22"/>
                <w:szCs w:val="22"/>
                <w:lang w:val="de-DE"/>
              </w:rPr>
              <w:t xml:space="preserve"> </w:t>
            </w:r>
          </w:p>
        </w:tc>
      </w:tr>
      <w:tr w:rsidR="00FE291A" w:rsidRPr="002E6CD3" w14:paraId="47EBFE06" w14:textId="77777777">
        <w:trPr>
          <w:cantSplit/>
          <w:trHeight w:val="57"/>
        </w:trPr>
        <w:tc>
          <w:tcPr>
            <w:tcW w:w="355" w:type="pct"/>
            <w:tcBorders>
              <w:bottom w:val="single" w:sz="4" w:space="0" w:color="auto"/>
            </w:tcBorders>
            <w:tcMar>
              <w:top w:w="28" w:type="dxa"/>
              <w:left w:w="57" w:type="dxa"/>
              <w:bottom w:w="28" w:type="dxa"/>
              <w:right w:w="57" w:type="dxa"/>
            </w:tcMar>
          </w:tcPr>
          <w:p w14:paraId="62F77885" w14:textId="77777777" w:rsidR="00FE291A" w:rsidRDefault="00C8738F">
            <w:pPr>
              <w:keepNext/>
              <w:rPr>
                <w:b/>
                <w:bCs/>
                <w:sz w:val="22"/>
                <w:szCs w:val="22"/>
                <w:lang w:val="de-DE"/>
              </w:rPr>
            </w:pPr>
            <w:r>
              <w:rPr>
                <w:b/>
                <w:sz w:val="22"/>
                <w:szCs w:val="22"/>
                <w:lang w:val="de-DE"/>
              </w:rPr>
              <w:t>4a</w:t>
            </w:r>
          </w:p>
        </w:tc>
        <w:tc>
          <w:tcPr>
            <w:tcW w:w="4645" w:type="pct"/>
            <w:gridSpan w:val="2"/>
            <w:tcBorders>
              <w:bottom w:val="single" w:sz="4" w:space="0" w:color="auto"/>
            </w:tcBorders>
            <w:tcMar>
              <w:top w:w="28" w:type="dxa"/>
              <w:left w:w="57" w:type="dxa"/>
              <w:bottom w:w="28" w:type="dxa"/>
              <w:right w:w="57" w:type="dxa"/>
            </w:tcMar>
          </w:tcPr>
          <w:p w14:paraId="4AD77D3A" w14:textId="77777777" w:rsidR="00FE291A" w:rsidRDefault="00C8738F">
            <w:pPr>
              <w:keepNext/>
              <w:rPr>
                <w:sz w:val="22"/>
                <w:szCs w:val="22"/>
                <w:lang w:val="de-DE"/>
              </w:rPr>
            </w:pPr>
            <w:r>
              <w:rPr>
                <w:b/>
                <w:sz w:val="22"/>
                <w:szCs w:val="22"/>
                <w:lang w:val="de-DE"/>
              </w:rPr>
              <w:t>Halten Sie den Fertigpen so, dass Sie das Sichtfenster sehen können. Ziehen Sie die gelbe Kappe gerade ab. Eventuell müssen Sie fest ziehen.</w:t>
            </w:r>
          </w:p>
        </w:tc>
      </w:tr>
      <w:tr w:rsidR="00FE291A" w14:paraId="6B544723" w14:textId="77777777">
        <w:trPr>
          <w:cantSplit/>
          <w:trHeight w:val="57"/>
        </w:trPr>
        <w:tc>
          <w:tcPr>
            <w:tcW w:w="1243" w:type="pct"/>
            <w:gridSpan w:val="2"/>
            <w:tcBorders>
              <w:bottom w:val="single" w:sz="4" w:space="0" w:color="auto"/>
              <w:right w:val="nil"/>
            </w:tcBorders>
            <w:tcMar>
              <w:top w:w="28" w:type="dxa"/>
              <w:left w:w="57" w:type="dxa"/>
              <w:bottom w:w="28" w:type="dxa"/>
              <w:right w:w="57" w:type="dxa"/>
            </w:tcMar>
          </w:tcPr>
          <w:p w14:paraId="437D11DC" w14:textId="77777777" w:rsidR="00FE291A" w:rsidRDefault="00FE291A">
            <w:pPr>
              <w:pStyle w:val="ListParagraph"/>
              <w:keepNext/>
              <w:ind w:left="567" w:hanging="567"/>
              <w:jc w:val="center"/>
              <w:rPr>
                <w:b/>
                <w:bCs/>
                <w:sz w:val="22"/>
                <w:szCs w:val="22"/>
                <w:lang w:val="de-DE"/>
              </w:rPr>
            </w:pPr>
          </w:p>
          <w:p w14:paraId="3022EB0E" w14:textId="77777777" w:rsidR="00FE291A" w:rsidRDefault="00FE291A">
            <w:pPr>
              <w:pStyle w:val="ListParagraph"/>
              <w:keepNext/>
              <w:ind w:left="567" w:hanging="567"/>
              <w:jc w:val="center"/>
              <w:rPr>
                <w:b/>
                <w:bCs/>
                <w:sz w:val="22"/>
                <w:szCs w:val="22"/>
                <w:lang w:val="de-DE"/>
              </w:rPr>
            </w:pPr>
          </w:p>
          <w:p w14:paraId="46A05286" w14:textId="506FB519" w:rsidR="00FE291A" w:rsidDel="00CF4CF5" w:rsidRDefault="00FE291A">
            <w:pPr>
              <w:pStyle w:val="ListParagraph"/>
              <w:keepNext/>
              <w:ind w:left="567" w:hanging="567"/>
              <w:jc w:val="center"/>
              <w:rPr>
                <w:del w:id="644" w:author="Author"/>
                <w:b/>
                <w:bCs/>
                <w:sz w:val="22"/>
                <w:szCs w:val="22"/>
                <w:lang w:val="de-DE"/>
              </w:rPr>
            </w:pPr>
          </w:p>
          <w:p w14:paraId="0F8AC1BD" w14:textId="77777777" w:rsidR="00FE291A" w:rsidRDefault="00FE291A">
            <w:pPr>
              <w:pStyle w:val="ListParagraph"/>
              <w:keepNext/>
              <w:ind w:left="567" w:hanging="567"/>
              <w:jc w:val="center"/>
              <w:rPr>
                <w:b/>
                <w:bCs/>
                <w:sz w:val="22"/>
                <w:szCs w:val="22"/>
                <w:lang w:val="de-DE"/>
              </w:rPr>
            </w:pPr>
          </w:p>
          <w:p w14:paraId="59372814" w14:textId="77777777" w:rsidR="00FE291A" w:rsidRDefault="00C8738F">
            <w:pPr>
              <w:pStyle w:val="ListParagraph"/>
              <w:keepNext/>
              <w:ind w:left="491" w:right="-52" w:hanging="567"/>
              <w:jc w:val="center"/>
              <w:rPr>
                <w:sz w:val="22"/>
                <w:szCs w:val="22"/>
                <w:lang w:val="de-DE"/>
              </w:rPr>
            </w:pPr>
            <w:r>
              <w:rPr>
                <w:sz w:val="22"/>
                <w:szCs w:val="22"/>
                <w:lang w:val="de-DE"/>
              </w:rPr>
              <w:t>Das Sichtfenster sollte sichtbar sein.</w:t>
            </w:r>
          </w:p>
        </w:tc>
        <w:tc>
          <w:tcPr>
            <w:tcW w:w="3757" w:type="pct"/>
            <w:tcBorders>
              <w:left w:val="nil"/>
              <w:bottom w:val="single" w:sz="4" w:space="0" w:color="auto"/>
            </w:tcBorders>
          </w:tcPr>
          <w:p w14:paraId="34097EDA" w14:textId="6E3A0157" w:rsidR="00FE291A" w:rsidRDefault="009C5B62">
            <w:pPr>
              <w:pStyle w:val="ListParagraph"/>
              <w:keepNext/>
              <w:ind w:left="567" w:hanging="567"/>
              <w:jc w:val="center"/>
              <w:rPr>
                <w:b/>
                <w:bCs/>
                <w:sz w:val="22"/>
                <w:szCs w:val="22"/>
                <w:lang w:val="de-DE"/>
              </w:rPr>
            </w:pPr>
            <w:del w:id="645" w:author="Author">
              <w:r>
                <w:rPr>
                  <w:b/>
                  <w:noProof/>
                  <w:sz w:val="22"/>
                  <w:szCs w:val="22"/>
                  <w:lang w:val="de-DE"/>
                </w:rPr>
                <w:drawing>
                  <wp:inline distT="0" distB="0" distL="0" distR="0" wp14:anchorId="2C6FF81F" wp14:editId="49BCE214">
                    <wp:extent cx="3211830" cy="1828800"/>
                    <wp:effectExtent l="0" t="0" r="0" b="0"/>
                    <wp:docPr id="87" name="Bild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11830" cy="1828800"/>
                            </a:xfrm>
                            <a:prstGeom prst="rect">
                              <a:avLst/>
                            </a:prstGeom>
                            <a:noFill/>
                            <a:ln>
                              <a:noFill/>
                            </a:ln>
                          </pic:spPr>
                        </pic:pic>
                      </a:graphicData>
                    </a:graphic>
                  </wp:inline>
                </w:drawing>
              </w:r>
            </w:del>
            <w:ins w:id="646" w:author="Author">
              <w:r>
                <w:rPr>
                  <w:b/>
                  <w:noProof/>
                </w:rPr>
                <w:drawing>
                  <wp:inline distT="0" distB="0" distL="0" distR="0" wp14:anchorId="7A39FB90" wp14:editId="5BE4E147">
                    <wp:extent cx="3211830" cy="1868805"/>
                    <wp:effectExtent l="0" t="0" r="0" b="0"/>
                    <wp:docPr id="8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211830" cy="1868805"/>
                            </a:xfrm>
                            <a:prstGeom prst="rect">
                              <a:avLst/>
                            </a:prstGeom>
                            <a:noFill/>
                            <a:ln>
                              <a:noFill/>
                            </a:ln>
                          </pic:spPr>
                        </pic:pic>
                      </a:graphicData>
                    </a:graphic>
                  </wp:inline>
                </w:drawing>
              </w:r>
            </w:ins>
          </w:p>
        </w:tc>
      </w:tr>
      <w:tr w:rsidR="00FE291A" w:rsidRPr="002E6CD3" w14:paraId="62622FF9" w14:textId="77777777">
        <w:trPr>
          <w:cantSplit/>
          <w:trHeight w:val="57"/>
        </w:trPr>
        <w:tc>
          <w:tcPr>
            <w:tcW w:w="355" w:type="pct"/>
            <w:tcBorders>
              <w:top w:val="nil"/>
              <w:bottom w:val="nil"/>
              <w:right w:val="nil"/>
            </w:tcBorders>
            <w:tcMar>
              <w:top w:w="28" w:type="dxa"/>
              <w:left w:w="57" w:type="dxa"/>
              <w:bottom w:w="28" w:type="dxa"/>
              <w:right w:w="57" w:type="dxa"/>
            </w:tcMar>
          </w:tcPr>
          <w:p w14:paraId="1B39F0AB" w14:textId="77777777" w:rsidR="00FE291A" w:rsidRDefault="00FE291A">
            <w:pPr>
              <w:keepNext/>
              <w:widowControl/>
              <w:numPr>
                <w:ilvl w:val="0"/>
                <w:numId w:val="65"/>
              </w:numPr>
              <w:autoSpaceDE/>
              <w:autoSpaceDN/>
              <w:adjustRightInd/>
              <w:ind w:left="567" w:hanging="567"/>
              <w:rPr>
                <w:sz w:val="22"/>
                <w:szCs w:val="22"/>
                <w:lang w:val="de-DE"/>
              </w:rPr>
            </w:pPr>
          </w:p>
        </w:tc>
        <w:tc>
          <w:tcPr>
            <w:tcW w:w="4645" w:type="pct"/>
            <w:gridSpan w:val="2"/>
            <w:tcBorders>
              <w:top w:val="nil"/>
              <w:left w:val="nil"/>
              <w:bottom w:val="nil"/>
            </w:tcBorders>
            <w:tcMar>
              <w:left w:w="0" w:type="dxa"/>
            </w:tcMar>
          </w:tcPr>
          <w:p w14:paraId="18D299C7" w14:textId="77777777" w:rsidR="00FE291A" w:rsidRDefault="00C8738F">
            <w:pPr>
              <w:keepNext/>
              <w:tabs>
                <w:tab w:val="left" w:pos="1134"/>
              </w:tabs>
              <w:rPr>
                <w:b/>
                <w:bCs/>
                <w:sz w:val="22"/>
                <w:szCs w:val="22"/>
                <w:lang w:val="de-DE"/>
              </w:rPr>
            </w:pPr>
            <w:r>
              <w:rPr>
                <w:sz w:val="22"/>
                <w:szCs w:val="22"/>
                <w:lang w:val="de-DE"/>
              </w:rPr>
              <w:t xml:space="preserve">Zum Abziehen die gelbe Kappe </w:t>
            </w:r>
            <w:r>
              <w:rPr>
                <w:b/>
                <w:sz w:val="22"/>
                <w:szCs w:val="22"/>
                <w:lang w:val="de-DE"/>
              </w:rPr>
              <w:t>nicht</w:t>
            </w:r>
            <w:r>
              <w:rPr>
                <w:sz w:val="22"/>
                <w:szCs w:val="22"/>
                <w:lang w:val="de-DE"/>
              </w:rPr>
              <w:t xml:space="preserve"> drehen, biegen oder daran wackeln.</w:t>
            </w:r>
          </w:p>
        </w:tc>
      </w:tr>
      <w:tr w:rsidR="00FE291A" w:rsidRPr="00723069" w14:paraId="58BD52D4" w14:textId="77777777">
        <w:trPr>
          <w:cantSplit/>
          <w:trHeight w:val="57"/>
        </w:trPr>
        <w:tc>
          <w:tcPr>
            <w:tcW w:w="355" w:type="pct"/>
            <w:tcBorders>
              <w:top w:val="nil"/>
              <w:bottom w:val="nil"/>
              <w:right w:val="nil"/>
            </w:tcBorders>
            <w:tcMar>
              <w:top w:w="28" w:type="dxa"/>
              <w:left w:w="57" w:type="dxa"/>
              <w:bottom w:w="28" w:type="dxa"/>
              <w:right w:w="57" w:type="dxa"/>
            </w:tcMar>
          </w:tcPr>
          <w:p w14:paraId="6BD744A3" w14:textId="77777777" w:rsidR="00FE291A" w:rsidRDefault="00FE291A">
            <w:pPr>
              <w:keepNext/>
              <w:widowControl/>
              <w:numPr>
                <w:ilvl w:val="0"/>
                <w:numId w:val="65"/>
              </w:numPr>
              <w:autoSpaceDE/>
              <w:autoSpaceDN/>
              <w:adjustRightInd/>
              <w:ind w:left="567" w:hanging="567"/>
              <w:rPr>
                <w:sz w:val="22"/>
                <w:szCs w:val="22"/>
                <w:lang w:val="de-DE"/>
              </w:rPr>
            </w:pPr>
          </w:p>
        </w:tc>
        <w:tc>
          <w:tcPr>
            <w:tcW w:w="4645" w:type="pct"/>
            <w:gridSpan w:val="2"/>
            <w:tcBorders>
              <w:top w:val="nil"/>
              <w:left w:val="nil"/>
              <w:bottom w:val="nil"/>
            </w:tcBorders>
            <w:tcMar>
              <w:left w:w="0" w:type="dxa"/>
            </w:tcMar>
          </w:tcPr>
          <w:p w14:paraId="3C71119C" w14:textId="77777777" w:rsidR="00FE291A" w:rsidRDefault="00C8738F">
            <w:pPr>
              <w:keepNext/>
              <w:tabs>
                <w:tab w:val="left" w:pos="1134"/>
              </w:tabs>
              <w:rPr>
                <w:sz w:val="22"/>
                <w:szCs w:val="22"/>
                <w:lang w:val="de-DE"/>
              </w:rPr>
            </w:pPr>
            <w:r>
              <w:rPr>
                <w:sz w:val="22"/>
                <w:szCs w:val="22"/>
                <w:lang w:val="de-DE"/>
              </w:rPr>
              <w:t xml:space="preserve">Die Nadelschutzkappe </w:t>
            </w:r>
            <w:r>
              <w:rPr>
                <w:b/>
                <w:sz w:val="22"/>
                <w:szCs w:val="22"/>
                <w:lang w:val="de-DE"/>
              </w:rPr>
              <w:t>niemals</w:t>
            </w:r>
            <w:r>
              <w:rPr>
                <w:sz w:val="22"/>
                <w:szCs w:val="22"/>
                <w:lang w:val="de-DE"/>
              </w:rPr>
              <w:t xml:space="preserve"> wieder aufsetzen. Dies könnte die Nadel beschädigen.</w:t>
            </w:r>
          </w:p>
        </w:tc>
      </w:tr>
      <w:tr w:rsidR="00FE291A" w:rsidRPr="002E6CD3" w14:paraId="71712144" w14:textId="77777777">
        <w:trPr>
          <w:cantSplit/>
          <w:trHeight w:val="57"/>
        </w:trPr>
        <w:tc>
          <w:tcPr>
            <w:tcW w:w="355" w:type="pct"/>
            <w:tcBorders>
              <w:top w:val="nil"/>
              <w:bottom w:val="nil"/>
              <w:right w:val="nil"/>
            </w:tcBorders>
            <w:tcMar>
              <w:top w:w="28" w:type="dxa"/>
              <w:left w:w="57" w:type="dxa"/>
              <w:bottom w:w="28" w:type="dxa"/>
              <w:right w:w="57" w:type="dxa"/>
            </w:tcMar>
          </w:tcPr>
          <w:p w14:paraId="721F81F4" w14:textId="77777777" w:rsidR="00FE291A" w:rsidRDefault="00FE291A">
            <w:pPr>
              <w:keepNext/>
              <w:widowControl/>
              <w:numPr>
                <w:ilvl w:val="0"/>
                <w:numId w:val="65"/>
              </w:numPr>
              <w:autoSpaceDE/>
              <w:autoSpaceDN/>
              <w:adjustRightInd/>
              <w:ind w:left="567" w:hanging="567"/>
              <w:rPr>
                <w:sz w:val="22"/>
                <w:szCs w:val="22"/>
                <w:lang w:val="de-DE"/>
              </w:rPr>
            </w:pPr>
          </w:p>
        </w:tc>
        <w:tc>
          <w:tcPr>
            <w:tcW w:w="4645" w:type="pct"/>
            <w:gridSpan w:val="2"/>
            <w:tcBorders>
              <w:top w:val="nil"/>
              <w:left w:val="nil"/>
              <w:bottom w:val="nil"/>
            </w:tcBorders>
            <w:tcMar>
              <w:left w:w="0" w:type="dxa"/>
            </w:tcMar>
          </w:tcPr>
          <w:p w14:paraId="3DC95FE8" w14:textId="77777777" w:rsidR="00FE291A" w:rsidRDefault="00C8738F">
            <w:pPr>
              <w:keepNext/>
              <w:keepLines/>
              <w:contextualSpacing/>
              <w:rPr>
                <w:b/>
                <w:bCs/>
                <w:sz w:val="22"/>
                <w:szCs w:val="22"/>
                <w:lang w:val="de-DE"/>
              </w:rPr>
            </w:pPr>
            <w:r>
              <w:rPr>
                <w:color w:val="000000"/>
                <w:sz w:val="22"/>
                <w:szCs w:val="22"/>
                <w:lang w:val="de-DE"/>
              </w:rPr>
              <w:t xml:space="preserve">Den Finger </w:t>
            </w:r>
            <w:r>
              <w:rPr>
                <w:b/>
                <w:color w:val="000000"/>
                <w:sz w:val="22"/>
                <w:szCs w:val="22"/>
                <w:lang w:val="de-DE"/>
              </w:rPr>
              <w:t>nicht</w:t>
            </w:r>
            <w:r>
              <w:rPr>
                <w:color w:val="000000"/>
                <w:sz w:val="22"/>
                <w:szCs w:val="22"/>
                <w:lang w:val="de-DE"/>
              </w:rPr>
              <w:t xml:space="preserve"> in die cremefarbene Sicherheitshülse stecken.</w:t>
            </w:r>
          </w:p>
        </w:tc>
      </w:tr>
      <w:tr w:rsidR="00FE291A" w:rsidRPr="002E6CD3" w14:paraId="3668B99D" w14:textId="77777777">
        <w:trPr>
          <w:cantSplit/>
          <w:trHeight w:val="57"/>
        </w:trPr>
        <w:tc>
          <w:tcPr>
            <w:tcW w:w="355" w:type="pct"/>
            <w:tcBorders>
              <w:top w:val="nil"/>
              <w:bottom w:val="single" w:sz="4" w:space="0" w:color="auto"/>
              <w:right w:val="nil"/>
            </w:tcBorders>
            <w:tcMar>
              <w:top w:w="28" w:type="dxa"/>
              <w:left w:w="57" w:type="dxa"/>
              <w:bottom w:w="28" w:type="dxa"/>
              <w:right w:w="57" w:type="dxa"/>
            </w:tcMar>
          </w:tcPr>
          <w:p w14:paraId="1C1633AD" w14:textId="77777777" w:rsidR="00FE291A" w:rsidRDefault="00FE291A">
            <w:pPr>
              <w:keepNext/>
              <w:widowControl/>
              <w:numPr>
                <w:ilvl w:val="0"/>
                <w:numId w:val="65"/>
              </w:numPr>
              <w:autoSpaceDE/>
              <w:autoSpaceDN/>
              <w:adjustRightInd/>
              <w:ind w:left="567" w:hanging="567"/>
              <w:rPr>
                <w:sz w:val="22"/>
                <w:szCs w:val="22"/>
                <w:lang w:val="de-DE"/>
              </w:rPr>
            </w:pPr>
          </w:p>
        </w:tc>
        <w:tc>
          <w:tcPr>
            <w:tcW w:w="4645" w:type="pct"/>
            <w:gridSpan w:val="2"/>
            <w:tcBorders>
              <w:top w:val="nil"/>
              <w:left w:val="nil"/>
              <w:bottom w:val="single" w:sz="4" w:space="0" w:color="auto"/>
            </w:tcBorders>
            <w:tcMar>
              <w:left w:w="0" w:type="dxa"/>
            </w:tcMar>
          </w:tcPr>
          <w:p w14:paraId="1AC944FF" w14:textId="77777777" w:rsidR="00FE291A" w:rsidRDefault="00C8738F">
            <w:pPr>
              <w:keepNext/>
              <w:keepLines/>
              <w:contextualSpacing/>
              <w:rPr>
                <w:b/>
                <w:bCs/>
                <w:color w:val="000000"/>
                <w:sz w:val="22"/>
                <w:szCs w:val="22"/>
                <w:lang w:val="de-DE"/>
              </w:rPr>
            </w:pPr>
            <w:r>
              <w:rPr>
                <w:color w:val="000000"/>
                <w:sz w:val="22"/>
                <w:szCs w:val="22"/>
                <w:lang w:val="de-DE"/>
              </w:rPr>
              <w:t>Es ist normal, wenn Sie einen Tropfen Arzneimittel an der Nadelspitze oder der cremefarbenen Sicherheitshülse sehen.</w:t>
            </w:r>
          </w:p>
        </w:tc>
      </w:tr>
    </w:tbl>
    <w:p w14:paraId="6AA580BE" w14:textId="77777777" w:rsidR="00FE291A" w:rsidRDefault="00FE291A">
      <w:pPr>
        <w:tabs>
          <w:tab w:val="left" w:pos="1134"/>
        </w:tabs>
        <w:rPr>
          <w:sz w:val="22"/>
          <w:szCs w:val="22"/>
          <w:lang w:val="de-DE"/>
        </w:rPr>
      </w:pPr>
    </w:p>
    <w:tbl>
      <w:tblPr>
        <w:tblW w:w="4931"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04"/>
        <w:gridCol w:w="82"/>
        <w:gridCol w:w="2238"/>
        <w:gridCol w:w="6012"/>
      </w:tblGrid>
      <w:tr w:rsidR="00FE291A" w:rsidRPr="002E6CD3" w14:paraId="2E0FCFCC" w14:textId="77777777">
        <w:trPr>
          <w:cantSplit/>
          <w:trHeight w:val="57"/>
        </w:trPr>
        <w:tc>
          <w:tcPr>
            <w:tcW w:w="338" w:type="pct"/>
            <w:tcBorders>
              <w:bottom w:val="single" w:sz="4" w:space="0" w:color="auto"/>
            </w:tcBorders>
            <w:tcMar>
              <w:top w:w="28" w:type="dxa"/>
              <w:left w:w="57" w:type="dxa"/>
              <w:bottom w:w="28" w:type="dxa"/>
              <w:right w:w="57" w:type="dxa"/>
            </w:tcMar>
          </w:tcPr>
          <w:p w14:paraId="6A48E884" w14:textId="77777777" w:rsidR="00FE291A" w:rsidRDefault="00C8738F">
            <w:pPr>
              <w:keepNext/>
              <w:rPr>
                <w:b/>
                <w:bCs/>
                <w:sz w:val="22"/>
                <w:szCs w:val="22"/>
                <w:lang w:val="de-DE"/>
              </w:rPr>
            </w:pPr>
            <w:r>
              <w:rPr>
                <w:b/>
                <w:sz w:val="22"/>
                <w:szCs w:val="22"/>
                <w:lang w:val="de-DE"/>
              </w:rPr>
              <w:t>4b</w:t>
            </w:r>
          </w:p>
        </w:tc>
        <w:tc>
          <w:tcPr>
            <w:tcW w:w="4662" w:type="pct"/>
            <w:gridSpan w:val="3"/>
            <w:tcBorders>
              <w:bottom w:val="single" w:sz="4" w:space="0" w:color="auto"/>
            </w:tcBorders>
            <w:tcMar>
              <w:top w:w="28" w:type="dxa"/>
              <w:left w:w="57" w:type="dxa"/>
              <w:bottom w:w="28" w:type="dxa"/>
              <w:right w:w="57" w:type="dxa"/>
            </w:tcMar>
          </w:tcPr>
          <w:p w14:paraId="0A0CF496" w14:textId="77777777" w:rsidR="00FE291A" w:rsidRDefault="00C8738F">
            <w:pPr>
              <w:pStyle w:val="ListParagraph"/>
              <w:keepNext/>
              <w:rPr>
                <w:sz w:val="22"/>
                <w:szCs w:val="22"/>
                <w:lang w:val="de-DE"/>
              </w:rPr>
            </w:pPr>
            <w:r>
              <w:rPr>
                <w:b/>
                <w:sz w:val="22"/>
                <w:szCs w:val="22"/>
                <w:lang w:val="de-DE"/>
              </w:rPr>
              <w:t xml:space="preserve">Drücken Sie die Haut zusammen, um eine feste Fläche an der Injektionsstelle zu bilden. Setzen Sie die cremefarbene Sicherheitshülse auf die </w:t>
            </w:r>
            <w:ins w:id="647" w:author="Author">
              <w:r>
                <w:rPr>
                  <w:b/>
                  <w:sz w:val="22"/>
                  <w:szCs w:val="22"/>
                  <w:lang w:val="de-DE"/>
                </w:rPr>
                <w:t xml:space="preserve">zusammengedrückte </w:t>
              </w:r>
            </w:ins>
            <w:r>
              <w:rPr>
                <w:b/>
                <w:sz w:val="22"/>
                <w:szCs w:val="22"/>
                <w:lang w:val="de-DE"/>
              </w:rPr>
              <w:t>Haut auf.</w:t>
            </w:r>
          </w:p>
        </w:tc>
      </w:tr>
      <w:tr w:rsidR="00FE291A" w:rsidRPr="002E6CD3" w14:paraId="305281C4" w14:textId="77777777">
        <w:trPr>
          <w:cantSplit/>
          <w:trHeight w:val="57"/>
          <w:del w:id="648" w:author="Author"/>
        </w:trPr>
        <w:tc>
          <w:tcPr>
            <w:tcW w:w="5000" w:type="pct"/>
            <w:gridSpan w:val="4"/>
            <w:tcBorders>
              <w:bottom w:val="single" w:sz="4" w:space="0" w:color="auto"/>
            </w:tcBorders>
            <w:tcMar>
              <w:top w:w="28" w:type="dxa"/>
              <w:left w:w="57" w:type="dxa"/>
              <w:bottom w:w="28" w:type="dxa"/>
              <w:right w:w="57" w:type="dxa"/>
            </w:tcMar>
          </w:tcPr>
          <w:p w14:paraId="2FA38C84" w14:textId="77777777" w:rsidR="00FE291A" w:rsidRDefault="00C8738F">
            <w:pPr>
              <w:keepNext/>
              <w:tabs>
                <w:tab w:val="left" w:pos="1134"/>
              </w:tabs>
              <w:jc w:val="center"/>
              <w:rPr>
                <w:del w:id="649" w:author="Author"/>
                <w:sz w:val="22"/>
                <w:szCs w:val="22"/>
                <w:lang w:val="de-DE"/>
              </w:rPr>
            </w:pPr>
            <w:del w:id="650" w:author="Author">
              <w:r>
                <w:rPr>
                  <w:b/>
                  <w:sz w:val="22"/>
                  <w:szCs w:val="22"/>
                  <w:lang w:val="de-DE"/>
                </w:rPr>
                <w:delText>ZUSAMMENDRÜCKEN</w:delText>
              </w:r>
            </w:del>
          </w:p>
        </w:tc>
      </w:tr>
      <w:tr w:rsidR="000C7085" w14:paraId="060581B8" w14:textId="4AE38921" w:rsidTr="00344065">
        <w:trPr>
          <w:cantSplit/>
          <w:trHeight w:val="57"/>
        </w:trPr>
        <w:tc>
          <w:tcPr>
            <w:tcW w:w="1636" w:type="pct"/>
            <w:gridSpan w:val="3"/>
            <w:tcBorders>
              <w:bottom w:val="single" w:sz="4" w:space="0" w:color="auto"/>
              <w:right w:val="nil"/>
            </w:tcBorders>
            <w:tcMar>
              <w:top w:w="28" w:type="dxa"/>
              <w:left w:w="57" w:type="dxa"/>
              <w:bottom w:w="28" w:type="dxa"/>
              <w:right w:w="57" w:type="dxa"/>
            </w:tcMar>
          </w:tcPr>
          <w:p w14:paraId="76175DA5" w14:textId="77777777" w:rsidR="000C7085" w:rsidRDefault="000C7085" w:rsidP="000C7085">
            <w:pPr>
              <w:jc w:val="right"/>
            </w:pPr>
          </w:p>
          <w:p w14:paraId="1311A447" w14:textId="77777777" w:rsidR="000C7085" w:rsidRDefault="000C7085" w:rsidP="000C7085">
            <w:pPr>
              <w:jc w:val="right"/>
            </w:pPr>
          </w:p>
          <w:p w14:paraId="1E2A73E4" w14:textId="77777777" w:rsidR="000C7085" w:rsidRDefault="000C7085" w:rsidP="000C7085">
            <w:pPr>
              <w:jc w:val="right"/>
              <w:rPr>
                <w:lang w:val="da-DK"/>
              </w:rPr>
            </w:pPr>
          </w:p>
          <w:p w14:paraId="577AD7C4" w14:textId="77777777" w:rsidR="000C7085" w:rsidRDefault="000C7085" w:rsidP="000C7085">
            <w:pPr>
              <w:jc w:val="right"/>
              <w:rPr>
                <w:lang w:val="da-DK"/>
              </w:rPr>
            </w:pPr>
          </w:p>
          <w:p w14:paraId="1B36439B" w14:textId="67162448" w:rsidR="000C7085" w:rsidRPr="00F076DE" w:rsidRDefault="000C7085" w:rsidP="000C7085">
            <w:pPr>
              <w:jc w:val="right"/>
              <w:rPr>
                <w:lang w:val="de-DE"/>
                <w:rPrChange w:id="651" w:author="Author">
                  <w:rPr/>
                </w:rPrChange>
              </w:rPr>
            </w:pPr>
            <w:ins w:id="652" w:author="Author">
              <w:r w:rsidRPr="000C7085">
                <w:rPr>
                  <w:lang w:val="da-DK"/>
                </w:rPr>
                <w:t>Haut an der Injektionsstelle ZUSAMMENDRÜCKEN</w:t>
              </w:r>
            </w:ins>
          </w:p>
          <w:p w14:paraId="7977DA7A" w14:textId="19C5C0DF" w:rsidR="000C7085" w:rsidRDefault="000C7085">
            <w:pPr>
              <w:keepNext/>
              <w:tabs>
                <w:tab w:val="left" w:pos="1134"/>
              </w:tabs>
              <w:jc w:val="center"/>
              <w:rPr>
                <w:b/>
                <w:bCs/>
                <w:sz w:val="22"/>
                <w:szCs w:val="22"/>
                <w:lang w:val="de-DE"/>
              </w:rPr>
            </w:pPr>
          </w:p>
        </w:tc>
        <w:tc>
          <w:tcPr>
            <w:tcW w:w="3364" w:type="pct"/>
            <w:tcBorders>
              <w:left w:val="nil"/>
              <w:bottom w:val="single" w:sz="4" w:space="0" w:color="auto"/>
            </w:tcBorders>
          </w:tcPr>
          <w:p w14:paraId="1610A6A2" w14:textId="796D2A17" w:rsidR="000C7085" w:rsidRDefault="009C5B62" w:rsidP="000C7085">
            <w:pPr>
              <w:keepNext/>
              <w:tabs>
                <w:tab w:val="left" w:pos="1134"/>
              </w:tabs>
              <w:rPr>
                <w:b/>
                <w:bCs/>
                <w:sz w:val="22"/>
                <w:szCs w:val="22"/>
                <w:lang w:val="de-DE"/>
              </w:rPr>
            </w:pPr>
            <w:ins w:id="653" w:author="Author">
              <w:r>
                <w:rPr>
                  <w:noProof/>
                </w:rPr>
                <w:drawing>
                  <wp:inline distT="0" distB="0" distL="0" distR="0" wp14:anchorId="16970EFF" wp14:editId="6C43A065">
                    <wp:extent cx="2914650" cy="1828800"/>
                    <wp:effectExtent l="0" t="0" r="0" b="0"/>
                    <wp:docPr id="8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914650" cy="1828800"/>
                            </a:xfrm>
                            <a:prstGeom prst="rect">
                              <a:avLst/>
                            </a:prstGeom>
                            <a:noFill/>
                            <a:ln>
                              <a:noFill/>
                            </a:ln>
                          </pic:spPr>
                        </pic:pic>
                      </a:graphicData>
                    </a:graphic>
                  </wp:inline>
                </w:drawing>
              </w:r>
            </w:ins>
          </w:p>
        </w:tc>
      </w:tr>
      <w:tr w:rsidR="00FE291A" w:rsidRPr="00723069" w14:paraId="03D90943" w14:textId="77777777">
        <w:trPr>
          <w:cantSplit/>
          <w:trHeight w:val="57"/>
        </w:trPr>
        <w:tc>
          <w:tcPr>
            <w:tcW w:w="338" w:type="pct"/>
            <w:tcBorders>
              <w:top w:val="nil"/>
              <w:bottom w:val="nil"/>
              <w:right w:val="nil"/>
            </w:tcBorders>
            <w:tcMar>
              <w:top w:w="28" w:type="dxa"/>
              <w:left w:w="57" w:type="dxa"/>
              <w:bottom w:w="28" w:type="dxa"/>
              <w:right w:w="57" w:type="dxa"/>
            </w:tcMar>
          </w:tcPr>
          <w:p w14:paraId="4A7644FC" w14:textId="77777777" w:rsidR="00FE291A" w:rsidRDefault="00FE291A">
            <w:pPr>
              <w:keepNext/>
              <w:widowControl/>
              <w:numPr>
                <w:ilvl w:val="0"/>
                <w:numId w:val="65"/>
              </w:numPr>
              <w:autoSpaceDE/>
              <w:autoSpaceDN/>
              <w:adjustRightInd/>
              <w:ind w:left="567" w:hanging="567"/>
              <w:rPr>
                <w:sz w:val="22"/>
                <w:szCs w:val="22"/>
                <w:lang w:val="de-DE"/>
              </w:rPr>
            </w:pPr>
          </w:p>
        </w:tc>
        <w:tc>
          <w:tcPr>
            <w:tcW w:w="4662" w:type="pct"/>
            <w:gridSpan w:val="3"/>
            <w:tcBorders>
              <w:top w:val="nil"/>
              <w:left w:val="nil"/>
              <w:bottom w:val="nil"/>
            </w:tcBorders>
            <w:tcMar>
              <w:left w:w="0" w:type="dxa"/>
            </w:tcMar>
          </w:tcPr>
          <w:p w14:paraId="364157FB" w14:textId="77777777" w:rsidR="00FE291A" w:rsidRDefault="00C8738F">
            <w:pPr>
              <w:keepNext/>
              <w:tabs>
                <w:tab w:val="left" w:pos="1134"/>
              </w:tabs>
              <w:rPr>
                <w:sz w:val="22"/>
                <w:szCs w:val="22"/>
                <w:lang w:val="de-DE"/>
              </w:rPr>
            </w:pPr>
            <w:r>
              <w:rPr>
                <w:sz w:val="22"/>
                <w:szCs w:val="22"/>
                <w:lang w:val="de-DE"/>
              </w:rPr>
              <w:t xml:space="preserve">Halten Sie die Haut </w:t>
            </w:r>
            <w:r>
              <w:rPr>
                <w:b/>
                <w:bCs/>
                <w:sz w:val="22"/>
                <w:szCs w:val="22"/>
                <w:lang w:val="de-DE"/>
              </w:rPr>
              <w:t>zusammen</w:t>
            </w:r>
            <w:r>
              <w:rPr>
                <w:b/>
                <w:sz w:val="22"/>
                <w:szCs w:val="22"/>
                <w:lang w:val="de-DE"/>
              </w:rPr>
              <w:t>gedrückt</w:t>
            </w:r>
            <w:r>
              <w:rPr>
                <w:sz w:val="22"/>
                <w:szCs w:val="22"/>
                <w:lang w:val="de-DE"/>
              </w:rPr>
              <w:t>, bis die Injektion abgeschlossen ist.</w:t>
            </w:r>
          </w:p>
        </w:tc>
      </w:tr>
      <w:tr w:rsidR="00FE291A" w:rsidRPr="002E6CD3" w14:paraId="20909DFF" w14:textId="77777777">
        <w:trPr>
          <w:cantSplit/>
          <w:trHeight w:val="57"/>
        </w:trPr>
        <w:tc>
          <w:tcPr>
            <w:tcW w:w="338" w:type="pct"/>
            <w:tcBorders>
              <w:top w:val="nil"/>
              <w:bottom w:val="single" w:sz="4" w:space="0" w:color="auto"/>
              <w:right w:val="nil"/>
            </w:tcBorders>
            <w:tcMar>
              <w:top w:w="28" w:type="dxa"/>
              <w:left w:w="57" w:type="dxa"/>
              <w:bottom w:w="28" w:type="dxa"/>
              <w:right w:w="57" w:type="dxa"/>
            </w:tcMar>
          </w:tcPr>
          <w:p w14:paraId="3844F0FC" w14:textId="77777777" w:rsidR="00FE291A" w:rsidRDefault="00FE291A">
            <w:pPr>
              <w:keepNext/>
              <w:widowControl/>
              <w:numPr>
                <w:ilvl w:val="0"/>
                <w:numId w:val="65"/>
              </w:numPr>
              <w:autoSpaceDE/>
              <w:autoSpaceDN/>
              <w:adjustRightInd/>
              <w:ind w:left="567" w:hanging="567"/>
              <w:rPr>
                <w:sz w:val="22"/>
                <w:szCs w:val="22"/>
                <w:lang w:val="de-DE"/>
              </w:rPr>
            </w:pPr>
          </w:p>
        </w:tc>
        <w:tc>
          <w:tcPr>
            <w:tcW w:w="4662" w:type="pct"/>
            <w:gridSpan w:val="3"/>
            <w:tcBorders>
              <w:top w:val="nil"/>
              <w:left w:val="nil"/>
              <w:bottom w:val="single" w:sz="4" w:space="0" w:color="auto"/>
            </w:tcBorders>
            <w:tcMar>
              <w:left w:w="0" w:type="dxa"/>
            </w:tcMar>
          </w:tcPr>
          <w:p w14:paraId="47DDBC61" w14:textId="77777777" w:rsidR="00FE291A" w:rsidRDefault="00C8738F">
            <w:pPr>
              <w:keepNext/>
              <w:tabs>
                <w:tab w:val="left" w:pos="1134"/>
              </w:tabs>
              <w:rPr>
                <w:sz w:val="22"/>
                <w:szCs w:val="22"/>
                <w:lang w:val="de-DE"/>
              </w:rPr>
            </w:pPr>
            <w:r>
              <w:rPr>
                <w:sz w:val="22"/>
                <w:szCs w:val="22"/>
                <w:lang w:val="de-DE"/>
              </w:rPr>
              <w:t>Achten Sie darauf, dass das Sichtfenster zu sehen ist.</w:t>
            </w:r>
          </w:p>
        </w:tc>
      </w:tr>
      <w:tr w:rsidR="00FE291A" w:rsidRPr="00723069" w14:paraId="4F4CD8C2" w14:textId="77777777">
        <w:trPr>
          <w:cantSplit/>
          <w:trHeight w:val="57"/>
        </w:trPr>
        <w:tc>
          <w:tcPr>
            <w:tcW w:w="338" w:type="pct"/>
            <w:tcBorders>
              <w:top w:val="nil"/>
              <w:bottom w:val="single" w:sz="4" w:space="0" w:color="auto"/>
              <w:right w:val="nil"/>
            </w:tcBorders>
            <w:tcMar>
              <w:top w:w="28" w:type="dxa"/>
              <w:left w:w="57" w:type="dxa"/>
              <w:bottom w:w="28" w:type="dxa"/>
              <w:right w:w="57" w:type="dxa"/>
            </w:tcMar>
          </w:tcPr>
          <w:p w14:paraId="670A016C" w14:textId="77777777" w:rsidR="00FE291A" w:rsidRDefault="00FE291A">
            <w:pPr>
              <w:keepNext/>
              <w:widowControl/>
              <w:numPr>
                <w:ilvl w:val="0"/>
                <w:numId w:val="65"/>
              </w:numPr>
              <w:autoSpaceDE/>
              <w:autoSpaceDN/>
              <w:adjustRightInd/>
              <w:ind w:left="567" w:hanging="567"/>
              <w:rPr>
                <w:sz w:val="22"/>
                <w:szCs w:val="22"/>
                <w:lang w:val="de-DE"/>
              </w:rPr>
            </w:pPr>
          </w:p>
        </w:tc>
        <w:tc>
          <w:tcPr>
            <w:tcW w:w="4662" w:type="pct"/>
            <w:gridSpan w:val="3"/>
            <w:tcBorders>
              <w:top w:val="nil"/>
              <w:left w:val="nil"/>
              <w:bottom w:val="single" w:sz="4" w:space="0" w:color="auto"/>
            </w:tcBorders>
            <w:tcMar>
              <w:left w:w="0" w:type="dxa"/>
            </w:tcMar>
          </w:tcPr>
          <w:p w14:paraId="05E57882" w14:textId="77777777" w:rsidR="00FE291A" w:rsidRDefault="00C8738F">
            <w:pPr>
              <w:keepNext/>
              <w:tabs>
                <w:tab w:val="left" w:pos="1134"/>
              </w:tabs>
              <w:rPr>
                <w:sz w:val="22"/>
                <w:szCs w:val="22"/>
                <w:lang w:val="de-DE"/>
              </w:rPr>
            </w:pPr>
            <w:r>
              <w:rPr>
                <w:sz w:val="22"/>
                <w:szCs w:val="22"/>
                <w:lang w:val="de-DE"/>
              </w:rPr>
              <w:t xml:space="preserve">Stellen Sie sicher, dass Sie den </w:t>
            </w:r>
            <w:del w:id="654" w:author="Author">
              <w:r>
                <w:rPr>
                  <w:sz w:val="22"/>
                  <w:szCs w:val="22"/>
                  <w:lang w:val="de-DE"/>
                </w:rPr>
                <w:delText xml:space="preserve">Autoinjektor </w:delText>
              </w:r>
            </w:del>
            <w:ins w:id="655" w:author="Author">
              <w:r>
                <w:rPr>
                  <w:sz w:val="22"/>
                  <w:szCs w:val="22"/>
                  <w:lang w:val="de-DE"/>
                </w:rPr>
                <w:t xml:space="preserve">Fertigpen </w:t>
              </w:r>
            </w:ins>
            <w:r>
              <w:rPr>
                <w:sz w:val="22"/>
                <w:szCs w:val="22"/>
                <w:lang w:val="de-DE"/>
              </w:rPr>
              <w:t>senkrecht (in einem Winkel von 90 Grad) auf die Injektionsstelle halten.</w:t>
            </w:r>
          </w:p>
        </w:tc>
      </w:tr>
      <w:tr w:rsidR="00FE291A" w:rsidRPr="002E6CD3" w14:paraId="0FDFB395" w14:textId="77777777">
        <w:trPr>
          <w:cantSplit/>
          <w:trHeight w:val="57"/>
        </w:trPr>
        <w:tc>
          <w:tcPr>
            <w:tcW w:w="5000" w:type="pct"/>
            <w:gridSpan w:val="4"/>
            <w:tcBorders>
              <w:top w:val="single" w:sz="4" w:space="0" w:color="auto"/>
              <w:bottom w:val="nil"/>
            </w:tcBorders>
            <w:tcMar>
              <w:top w:w="28" w:type="dxa"/>
              <w:left w:w="57" w:type="dxa"/>
              <w:bottom w:w="28" w:type="dxa"/>
              <w:right w:w="57" w:type="dxa"/>
            </w:tcMar>
            <w:vAlign w:val="center"/>
          </w:tcPr>
          <w:p w14:paraId="522479E5" w14:textId="77777777" w:rsidR="00FE291A" w:rsidRDefault="00FE291A">
            <w:pPr>
              <w:keepNext/>
              <w:tabs>
                <w:tab w:val="left" w:pos="1134"/>
              </w:tabs>
              <w:jc w:val="center"/>
              <w:rPr>
                <w:b/>
                <w:bCs/>
                <w:sz w:val="22"/>
                <w:szCs w:val="22"/>
                <w:lang w:val="de-DE"/>
              </w:rPr>
            </w:pPr>
          </w:p>
          <w:p w14:paraId="5C6523DA" w14:textId="77777777" w:rsidR="00FE291A" w:rsidRDefault="00C8738F">
            <w:pPr>
              <w:keepNext/>
              <w:tabs>
                <w:tab w:val="left" w:pos="1134"/>
              </w:tabs>
              <w:jc w:val="center"/>
              <w:rPr>
                <w:b/>
                <w:bCs/>
                <w:sz w:val="22"/>
                <w:szCs w:val="22"/>
                <w:lang w:val="de-DE"/>
              </w:rPr>
            </w:pPr>
            <w:r>
              <w:rPr>
                <w:b/>
                <w:sz w:val="22"/>
                <w:szCs w:val="22"/>
                <w:lang w:val="de-DE"/>
              </w:rPr>
              <w:t>DRÜCKEN</w:t>
            </w:r>
          </w:p>
          <w:p w14:paraId="2F1D3DFC" w14:textId="77777777" w:rsidR="00FE291A" w:rsidRDefault="00C8738F">
            <w:pPr>
              <w:keepNext/>
              <w:tabs>
                <w:tab w:val="left" w:pos="1134"/>
              </w:tabs>
              <w:jc w:val="center"/>
              <w:rPr>
                <w:sz w:val="22"/>
                <w:szCs w:val="22"/>
                <w:lang w:val="de-DE"/>
              </w:rPr>
            </w:pPr>
            <w:r>
              <w:rPr>
                <w:b/>
                <w:sz w:val="22"/>
                <w:szCs w:val="22"/>
                <w:lang w:val="de-DE"/>
              </w:rPr>
              <w:t>und auf die Haut gedrückt halten</w:t>
            </w:r>
          </w:p>
        </w:tc>
      </w:tr>
      <w:tr w:rsidR="00FE291A" w14:paraId="55D1950C" w14:textId="77777777">
        <w:trPr>
          <w:cantSplit/>
          <w:trHeight w:val="57"/>
        </w:trPr>
        <w:tc>
          <w:tcPr>
            <w:tcW w:w="5000" w:type="pct"/>
            <w:gridSpan w:val="4"/>
            <w:tcBorders>
              <w:top w:val="nil"/>
              <w:bottom w:val="single" w:sz="4" w:space="0" w:color="auto"/>
            </w:tcBorders>
            <w:tcMar>
              <w:top w:w="28" w:type="dxa"/>
              <w:left w:w="57" w:type="dxa"/>
              <w:bottom w:w="28" w:type="dxa"/>
              <w:right w:w="57" w:type="dxa"/>
            </w:tcMar>
            <w:vAlign w:val="center"/>
          </w:tcPr>
          <w:p w14:paraId="13F9161A" w14:textId="0877541D" w:rsidR="00FE291A" w:rsidRDefault="009C5B62">
            <w:pPr>
              <w:keepNext/>
              <w:tabs>
                <w:tab w:val="left" w:pos="1134"/>
              </w:tabs>
              <w:jc w:val="center"/>
              <w:rPr>
                <w:sz w:val="22"/>
                <w:szCs w:val="22"/>
                <w:lang w:val="de-DE"/>
              </w:rPr>
            </w:pPr>
            <w:r>
              <w:rPr>
                <w:noProof/>
                <w:sz w:val="22"/>
                <w:szCs w:val="22"/>
                <w:lang w:val="de-DE"/>
              </w:rPr>
              <w:drawing>
                <wp:inline distT="0" distB="0" distL="0" distR="0" wp14:anchorId="0083B67B" wp14:editId="6464C21A">
                  <wp:extent cx="3200400" cy="1897380"/>
                  <wp:effectExtent l="0" t="0" r="0" b="0"/>
                  <wp:docPr id="90" name="Bild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00400" cy="1897380"/>
                          </a:xfrm>
                          <a:prstGeom prst="rect">
                            <a:avLst/>
                          </a:prstGeom>
                          <a:noFill/>
                          <a:ln>
                            <a:noFill/>
                          </a:ln>
                        </pic:spPr>
                      </pic:pic>
                    </a:graphicData>
                  </a:graphic>
                </wp:inline>
              </w:drawing>
            </w:r>
          </w:p>
        </w:tc>
      </w:tr>
      <w:tr w:rsidR="00FE291A" w14:paraId="633DB923" w14:textId="77777777">
        <w:trPr>
          <w:cantSplit/>
          <w:trHeight w:val="57"/>
        </w:trPr>
        <w:tc>
          <w:tcPr>
            <w:tcW w:w="384" w:type="pct"/>
            <w:gridSpan w:val="2"/>
            <w:tcBorders>
              <w:top w:val="single" w:sz="4" w:space="0" w:color="auto"/>
              <w:bottom w:val="single" w:sz="4" w:space="0" w:color="auto"/>
            </w:tcBorders>
            <w:tcMar>
              <w:top w:w="28" w:type="dxa"/>
              <w:left w:w="57" w:type="dxa"/>
              <w:bottom w:w="28" w:type="dxa"/>
              <w:right w:w="57" w:type="dxa"/>
            </w:tcMar>
            <w:vAlign w:val="center"/>
          </w:tcPr>
          <w:p w14:paraId="644FD0A3" w14:textId="77777777" w:rsidR="00FE291A" w:rsidRDefault="00C8738F">
            <w:pPr>
              <w:keepNext/>
              <w:tabs>
                <w:tab w:val="left" w:pos="1134"/>
              </w:tabs>
              <w:rPr>
                <w:b/>
                <w:bCs/>
                <w:sz w:val="22"/>
                <w:szCs w:val="22"/>
                <w:lang w:val="de-DE"/>
              </w:rPr>
            </w:pPr>
            <w:r>
              <w:rPr>
                <w:b/>
                <w:sz w:val="22"/>
                <w:szCs w:val="22"/>
                <w:lang w:val="de-DE"/>
              </w:rPr>
              <w:t>4c</w:t>
            </w:r>
          </w:p>
        </w:tc>
        <w:tc>
          <w:tcPr>
            <w:tcW w:w="4616" w:type="pct"/>
            <w:gridSpan w:val="2"/>
            <w:tcBorders>
              <w:top w:val="single" w:sz="4" w:space="0" w:color="auto"/>
              <w:bottom w:val="single" w:sz="4" w:space="0" w:color="auto"/>
            </w:tcBorders>
            <w:vAlign w:val="center"/>
          </w:tcPr>
          <w:p w14:paraId="6503F0E7" w14:textId="77777777" w:rsidR="00FE291A" w:rsidRDefault="00C8738F">
            <w:pPr>
              <w:keepNext/>
              <w:tabs>
                <w:tab w:val="left" w:pos="1134"/>
              </w:tabs>
              <w:rPr>
                <w:sz w:val="22"/>
                <w:szCs w:val="22"/>
                <w:lang w:val="de-DE"/>
              </w:rPr>
            </w:pPr>
            <w:ins w:id="656" w:author="Author">
              <w:r>
                <w:rPr>
                  <w:b/>
                  <w:sz w:val="22"/>
                  <w:szCs w:val="22"/>
                  <w:lang w:val="de-DE"/>
                </w:rPr>
                <w:t>Den Fertigpen f</w:t>
              </w:r>
            </w:ins>
            <w:del w:id="657" w:author="Author">
              <w:r>
                <w:rPr>
                  <w:b/>
                  <w:sz w:val="22"/>
                  <w:szCs w:val="22"/>
                  <w:lang w:val="de-DE"/>
                </w:rPr>
                <w:delText>F</w:delText>
              </w:r>
            </w:del>
            <w:r>
              <w:rPr>
                <w:b/>
                <w:sz w:val="22"/>
                <w:szCs w:val="22"/>
                <w:lang w:val="de-DE"/>
              </w:rPr>
              <w:t xml:space="preserve">est herunterdrücken, bis sich die cremefarbene Sicherheitshülse nicht weiterbewegt. </w:t>
            </w:r>
            <w:ins w:id="658" w:author="Author">
              <w:r>
                <w:rPr>
                  <w:b/>
                  <w:sz w:val="22"/>
                  <w:szCs w:val="22"/>
                  <w:lang w:val="de-DE"/>
                </w:rPr>
                <w:t>Den Fertigpen h</w:t>
              </w:r>
            </w:ins>
            <w:del w:id="659" w:author="Author">
              <w:r>
                <w:rPr>
                  <w:b/>
                  <w:sz w:val="22"/>
                  <w:szCs w:val="22"/>
                  <w:lang w:val="de-DE"/>
                </w:rPr>
                <w:delText>H</w:delText>
              </w:r>
            </w:del>
            <w:r>
              <w:rPr>
                <w:b/>
                <w:sz w:val="22"/>
                <w:szCs w:val="22"/>
                <w:lang w:val="de-DE"/>
              </w:rPr>
              <w:t>eruntergedrückt halten, nicht lösen.</w:t>
            </w:r>
          </w:p>
        </w:tc>
      </w:tr>
      <w:tr w:rsidR="00FE291A" w:rsidRPr="002E6CD3" w14:paraId="4B7FC16E" w14:textId="77777777">
        <w:trPr>
          <w:cantSplit/>
          <w:trHeight w:val="57"/>
        </w:trPr>
        <w:tc>
          <w:tcPr>
            <w:tcW w:w="384" w:type="pct"/>
            <w:gridSpan w:val="2"/>
            <w:tcBorders>
              <w:top w:val="single" w:sz="4" w:space="0" w:color="auto"/>
              <w:bottom w:val="single" w:sz="4" w:space="0" w:color="auto"/>
            </w:tcBorders>
            <w:tcMar>
              <w:top w:w="28" w:type="dxa"/>
              <w:left w:w="57" w:type="dxa"/>
              <w:bottom w:w="28" w:type="dxa"/>
              <w:right w:w="57" w:type="dxa"/>
            </w:tcMar>
            <w:vAlign w:val="center"/>
          </w:tcPr>
          <w:p w14:paraId="51F47125" w14:textId="77777777" w:rsidR="00FE291A" w:rsidRDefault="00FE291A">
            <w:pPr>
              <w:keepNext/>
              <w:widowControl/>
              <w:numPr>
                <w:ilvl w:val="0"/>
                <w:numId w:val="65"/>
              </w:numPr>
              <w:tabs>
                <w:tab w:val="left" w:pos="578"/>
              </w:tabs>
              <w:autoSpaceDE/>
              <w:autoSpaceDN/>
              <w:adjustRightInd/>
              <w:ind w:left="642" w:hanging="642"/>
              <w:rPr>
                <w:sz w:val="22"/>
                <w:szCs w:val="22"/>
                <w:lang w:val="de-DE"/>
              </w:rPr>
            </w:pPr>
          </w:p>
        </w:tc>
        <w:tc>
          <w:tcPr>
            <w:tcW w:w="4616" w:type="pct"/>
            <w:gridSpan w:val="2"/>
            <w:tcBorders>
              <w:top w:val="single" w:sz="4" w:space="0" w:color="auto"/>
              <w:bottom w:val="single" w:sz="4" w:space="0" w:color="auto"/>
            </w:tcBorders>
            <w:vAlign w:val="center"/>
          </w:tcPr>
          <w:p w14:paraId="29A574D4" w14:textId="77777777" w:rsidR="00FE291A" w:rsidRDefault="00C8738F">
            <w:pPr>
              <w:keepNext/>
              <w:tabs>
                <w:tab w:val="left" w:pos="1134"/>
              </w:tabs>
              <w:rPr>
                <w:sz w:val="22"/>
                <w:szCs w:val="22"/>
                <w:lang w:val="de-DE"/>
              </w:rPr>
            </w:pPr>
            <w:r>
              <w:rPr>
                <w:sz w:val="22"/>
                <w:szCs w:val="22"/>
                <w:lang w:val="de-DE"/>
              </w:rPr>
              <w:t>Die cremefarbene Sicherheitshülse wird eingedrückt und entriegelt den hellblauen Startknopf.</w:t>
            </w:r>
          </w:p>
        </w:tc>
      </w:tr>
    </w:tbl>
    <w:p w14:paraId="7F2C7FAF" w14:textId="77777777" w:rsidR="00FE291A" w:rsidRDefault="00FE291A">
      <w:pPr>
        <w:tabs>
          <w:tab w:val="left" w:pos="1134"/>
        </w:tabs>
        <w:rPr>
          <w:sz w:val="22"/>
          <w:szCs w:val="22"/>
          <w:lang w:val="de-DE"/>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85"/>
        <w:gridCol w:w="8262"/>
      </w:tblGrid>
      <w:tr w:rsidR="00FE291A" w14:paraId="7DFE4438" w14:textId="77777777">
        <w:trPr>
          <w:cantSplit/>
          <w:trHeight w:val="57"/>
        </w:trPr>
        <w:tc>
          <w:tcPr>
            <w:tcW w:w="5000" w:type="pct"/>
            <w:gridSpan w:val="2"/>
            <w:tcBorders>
              <w:bottom w:val="nil"/>
            </w:tcBorders>
            <w:tcMar>
              <w:top w:w="28" w:type="dxa"/>
              <w:left w:w="57" w:type="dxa"/>
              <w:bottom w:w="28" w:type="dxa"/>
              <w:right w:w="57" w:type="dxa"/>
            </w:tcMar>
          </w:tcPr>
          <w:p w14:paraId="692B5DE6" w14:textId="77777777" w:rsidR="00FE291A" w:rsidRDefault="00C8738F">
            <w:pPr>
              <w:keepNext/>
              <w:tabs>
                <w:tab w:val="left" w:pos="1134"/>
              </w:tabs>
              <w:jc w:val="center"/>
              <w:rPr>
                <w:b/>
                <w:bCs/>
                <w:sz w:val="22"/>
                <w:szCs w:val="22"/>
                <w:lang w:val="de-DE"/>
              </w:rPr>
            </w:pPr>
            <w:r>
              <w:rPr>
                <w:b/>
                <w:sz w:val="22"/>
                <w:szCs w:val="22"/>
                <w:lang w:val="de-DE"/>
              </w:rPr>
              <w:t xml:space="preserve">Hellblauen Startknopf </w:t>
            </w:r>
            <w:r>
              <w:rPr>
                <w:b/>
                <w:sz w:val="22"/>
                <w:szCs w:val="22"/>
                <w:lang w:val="de-DE"/>
              </w:rPr>
              <w:br/>
              <w:t>DRÜCKEN</w:t>
            </w:r>
          </w:p>
          <w:p w14:paraId="3FBE2E2D" w14:textId="77777777" w:rsidR="00FE291A" w:rsidRDefault="00FE291A">
            <w:pPr>
              <w:keepNext/>
              <w:tabs>
                <w:tab w:val="left" w:pos="1134"/>
              </w:tabs>
              <w:jc w:val="center"/>
              <w:rPr>
                <w:sz w:val="22"/>
                <w:szCs w:val="22"/>
                <w:lang w:val="de-DE"/>
              </w:rPr>
            </w:pPr>
          </w:p>
        </w:tc>
      </w:tr>
      <w:tr w:rsidR="00FE291A" w14:paraId="7D745D2D" w14:textId="77777777">
        <w:trPr>
          <w:cantSplit/>
          <w:trHeight w:val="57"/>
        </w:trPr>
        <w:tc>
          <w:tcPr>
            <w:tcW w:w="5000" w:type="pct"/>
            <w:gridSpan w:val="2"/>
            <w:tcBorders>
              <w:top w:val="nil"/>
              <w:bottom w:val="single" w:sz="4" w:space="0" w:color="auto"/>
            </w:tcBorders>
            <w:tcMar>
              <w:top w:w="28" w:type="dxa"/>
              <w:left w:w="57" w:type="dxa"/>
              <w:bottom w:w="28" w:type="dxa"/>
              <w:right w:w="57" w:type="dxa"/>
            </w:tcMar>
          </w:tcPr>
          <w:p w14:paraId="1E8C0A50" w14:textId="34F130AA" w:rsidR="00FE291A" w:rsidRDefault="009C5B62">
            <w:pPr>
              <w:keepNext/>
              <w:tabs>
                <w:tab w:val="left" w:pos="1134"/>
              </w:tabs>
              <w:jc w:val="center"/>
              <w:rPr>
                <w:b/>
                <w:bCs/>
                <w:sz w:val="22"/>
                <w:szCs w:val="22"/>
                <w:lang w:val="de-DE"/>
              </w:rPr>
            </w:pPr>
            <w:r>
              <w:rPr>
                <w:noProof/>
                <w:sz w:val="22"/>
                <w:szCs w:val="22"/>
                <w:lang w:val="de-DE"/>
              </w:rPr>
              <w:drawing>
                <wp:inline distT="0" distB="0" distL="0" distR="0" wp14:anchorId="17CA5F8E" wp14:editId="0E1E2153">
                  <wp:extent cx="4503420" cy="2743200"/>
                  <wp:effectExtent l="0" t="0" r="0" b="0"/>
                  <wp:docPr id="91" name="Bild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503420" cy="2743200"/>
                          </a:xfrm>
                          <a:prstGeom prst="rect">
                            <a:avLst/>
                          </a:prstGeom>
                          <a:noFill/>
                          <a:ln>
                            <a:noFill/>
                          </a:ln>
                        </pic:spPr>
                      </pic:pic>
                    </a:graphicData>
                  </a:graphic>
                </wp:inline>
              </w:drawing>
            </w:r>
          </w:p>
        </w:tc>
      </w:tr>
      <w:tr w:rsidR="00FE291A" w:rsidRPr="00723069" w14:paraId="7E012529" w14:textId="77777777">
        <w:trPr>
          <w:cantSplit/>
          <w:trHeight w:val="57"/>
        </w:trPr>
        <w:tc>
          <w:tcPr>
            <w:tcW w:w="383" w:type="pct"/>
            <w:tcBorders>
              <w:top w:val="single" w:sz="4" w:space="0" w:color="auto"/>
              <w:bottom w:val="single" w:sz="4" w:space="0" w:color="auto"/>
              <w:right w:val="single" w:sz="4" w:space="0" w:color="auto"/>
            </w:tcBorders>
            <w:tcMar>
              <w:top w:w="28" w:type="dxa"/>
              <w:left w:w="57" w:type="dxa"/>
              <w:bottom w:w="28" w:type="dxa"/>
              <w:right w:w="57" w:type="dxa"/>
            </w:tcMar>
            <w:vAlign w:val="center"/>
          </w:tcPr>
          <w:p w14:paraId="74277770" w14:textId="77777777" w:rsidR="00FE291A" w:rsidRDefault="00C8738F">
            <w:pPr>
              <w:keepNext/>
              <w:ind w:left="217" w:hanging="217"/>
              <w:rPr>
                <w:b/>
                <w:bCs/>
                <w:sz w:val="22"/>
                <w:szCs w:val="22"/>
                <w:lang w:val="de-DE"/>
              </w:rPr>
            </w:pPr>
            <w:r>
              <w:rPr>
                <w:b/>
                <w:sz w:val="22"/>
                <w:szCs w:val="22"/>
                <w:lang w:val="de-DE"/>
              </w:rPr>
              <w:t>4d</w:t>
            </w:r>
          </w:p>
        </w:tc>
        <w:tc>
          <w:tcPr>
            <w:tcW w:w="4617" w:type="pct"/>
            <w:tcBorders>
              <w:top w:val="single" w:sz="4" w:space="0" w:color="auto"/>
              <w:left w:val="single" w:sz="4" w:space="0" w:color="auto"/>
              <w:bottom w:val="single" w:sz="4" w:space="0" w:color="auto"/>
            </w:tcBorders>
            <w:tcMar>
              <w:left w:w="0" w:type="dxa"/>
            </w:tcMar>
          </w:tcPr>
          <w:p w14:paraId="291DF9B4" w14:textId="77777777" w:rsidR="00FE291A" w:rsidRDefault="00C8738F">
            <w:pPr>
              <w:keepNext/>
              <w:tabs>
                <w:tab w:val="left" w:pos="1134"/>
              </w:tabs>
              <w:rPr>
                <w:b/>
                <w:bCs/>
                <w:sz w:val="22"/>
                <w:szCs w:val="22"/>
                <w:lang w:val="de-DE"/>
              </w:rPr>
            </w:pPr>
            <w:r>
              <w:rPr>
                <w:b/>
                <w:sz w:val="22"/>
                <w:szCs w:val="22"/>
                <w:lang w:val="de-DE"/>
              </w:rPr>
              <w:t xml:space="preserve">Halten Sie den Fertigpen weiter </w:t>
            </w:r>
            <w:del w:id="660" w:author="Author">
              <w:r>
                <w:rPr>
                  <w:b/>
                  <w:sz w:val="22"/>
                  <w:szCs w:val="22"/>
                  <w:lang w:val="de-DE"/>
                </w:rPr>
                <w:delText xml:space="preserve">fest </w:delText>
              </w:r>
            </w:del>
            <w:r>
              <w:rPr>
                <w:b/>
                <w:sz w:val="22"/>
                <w:szCs w:val="22"/>
                <w:lang w:val="de-DE"/>
              </w:rPr>
              <w:t>gegen die Haut und drücken Sie den hellblauen Startknopf, um die Injektion zu starten.</w:t>
            </w:r>
          </w:p>
        </w:tc>
      </w:tr>
      <w:tr w:rsidR="00FE291A" w:rsidRPr="002E6CD3" w14:paraId="11C5DD9A" w14:textId="77777777">
        <w:trPr>
          <w:cantSplit/>
          <w:trHeight w:val="57"/>
        </w:trPr>
        <w:tc>
          <w:tcPr>
            <w:tcW w:w="383" w:type="pct"/>
            <w:tcBorders>
              <w:top w:val="single" w:sz="4" w:space="0" w:color="auto"/>
              <w:bottom w:val="nil"/>
              <w:right w:val="nil"/>
            </w:tcBorders>
            <w:tcMar>
              <w:top w:w="28" w:type="dxa"/>
              <w:left w:w="57" w:type="dxa"/>
              <w:bottom w:w="28" w:type="dxa"/>
              <w:right w:w="57" w:type="dxa"/>
            </w:tcMar>
          </w:tcPr>
          <w:p w14:paraId="0CFB8DA2"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tcBorders>
              <w:top w:val="single" w:sz="4" w:space="0" w:color="auto"/>
              <w:left w:val="nil"/>
              <w:bottom w:val="nil"/>
            </w:tcBorders>
            <w:tcMar>
              <w:left w:w="0" w:type="dxa"/>
            </w:tcMar>
          </w:tcPr>
          <w:p w14:paraId="29753D85" w14:textId="77777777" w:rsidR="00FE291A" w:rsidRDefault="00C8738F">
            <w:pPr>
              <w:keepNext/>
              <w:tabs>
                <w:tab w:val="left" w:pos="1134"/>
              </w:tabs>
              <w:rPr>
                <w:sz w:val="22"/>
                <w:szCs w:val="22"/>
                <w:lang w:val="de-DE"/>
              </w:rPr>
            </w:pPr>
            <w:r>
              <w:rPr>
                <w:sz w:val="22"/>
                <w:szCs w:val="22"/>
                <w:lang w:val="de-DE"/>
              </w:rPr>
              <w:t>Sie hören oder spüren möglicherweise einen Klick.</w:t>
            </w:r>
          </w:p>
        </w:tc>
      </w:tr>
      <w:tr w:rsidR="00FE291A" w14:paraId="1A9C6C76" w14:textId="77777777">
        <w:trPr>
          <w:cantSplit/>
          <w:trHeight w:val="57"/>
        </w:trPr>
        <w:tc>
          <w:tcPr>
            <w:tcW w:w="383" w:type="pct"/>
            <w:tcBorders>
              <w:top w:val="nil"/>
              <w:bottom w:val="nil"/>
              <w:right w:val="nil"/>
            </w:tcBorders>
            <w:tcMar>
              <w:top w:w="28" w:type="dxa"/>
              <w:left w:w="57" w:type="dxa"/>
              <w:bottom w:w="28" w:type="dxa"/>
              <w:right w:w="57" w:type="dxa"/>
            </w:tcMar>
          </w:tcPr>
          <w:p w14:paraId="6ED31EF4"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tcBorders>
              <w:top w:val="nil"/>
              <w:left w:val="nil"/>
              <w:bottom w:val="nil"/>
            </w:tcBorders>
            <w:tcMar>
              <w:left w:w="0" w:type="dxa"/>
            </w:tcMar>
          </w:tcPr>
          <w:p w14:paraId="345777D1" w14:textId="77777777" w:rsidR="00FE291A" w:rsidRDefault="00C8738F">
            <w:pPr>
              <w:keepNext/>
              <w:tabs>
                <w:tab w:val="left" w:pos="1134"/>
              </w:tabs>
              <w:rPr>
                <w:b/>
                <w:bCs/>
                <w:sz w:val="22"/>
                <w:szCs w:val="22"/>
                <w:lang w:val="de-DE"/>
              </w:rPr>
            </w:pPr>
            <w:r>
              <w:rPr>
                <w:sz w:val="22"/>
                <w:szCs w:val="22"/>
                <w:lang w:val="de-DE"/>
              </w:rPr>
              <w:t>Das Sichtfenster wird gelb.</w:t>
            </w:r>
          </w:p>
        </w:tc>
      </w:tr>
      <w:tr w:rsidR="00FE291A" w:rsidRPr="00723069" w14:paraId="69B82CE9" w14:textId="77777777">
        <w:trPr>
          <w:cantSplit/>
          <w:trHeight w:val="57"/>
        </w:trPr>
        <w:tc>
          <w:tcPr>
            <w:tcW w:w="383" w:type="pct"/>
            <w:tcBorders>
              <w:top w:val="nil"/>
              <w:bottom w:val="single" w:sz="4" w:space="0" w:color="auto"/>
              <w:right w:val="nil"/>
            </w:tcBorders>
            <w:tcMar>
              <w:top w:w="28" w:type="dxa"/>
              <w:left w:w="57" w:type="dxa"/>
              <w:bottom w:w="28" w:type="dxa"/>
              <w:right w:w="57" w:type="dxa"/>
            </w:tcMar>
          </w:tcPr>
          <w:p w14:paraId="7DF9B50B"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tcBorders>
              <w:top w:val="nil"/>
              <w:left w:val="nil"/>
              <w:bottom w:val="single" w:sz="4" w:space="0" w:color="auto"/>
            </w:tcBorders>
            <w:tcMar>
              <w:left w:w="0" w:type="dxa"/>
            </w:tcMar>
          </w:tcPr>
          <w:p w14:paraId="6FA36074" w14:textId="77777777" w:rsidR="00FE291A" w:rsidRDefault="00C8738F">
            <w:pPr>
              <w:keepNext/>
              <w:tabs>
                <w:tab w:val="left" w:pos="1134"/>
              </w:tabs>
              <w:rPr>
                <w:b/>
                <w:bCs/>
                <w:sz w:val="22"/>
                <w:szCs w:val="22"/>
                <w:lang w:val="de-DE"/>
              </w:rPr>
            </w:pPr>
            <w:r>
              <w:rPr>
                <w:sz w:val="22"/>
                <w:szCs w:val="22"/>
                <w:lang w:val="de-DE"/>
              </w:rPr>
              <w:t>Sie können den hellblauen Startknopf nun loslassen.</w:t>
            </w:r>
          </w:p>
        </w:tc>
      </w:tr>
    </w:tbl>
    <w:p w14:paraId="599FE0B4" w14:textId="77777777" w:rsidR="00FE291A" w:rsidRDefault="00FE291A">
      <w:pPr>
        <w:tabs>
          <w:tab w:val="left" w:pos="1134"/>
        </w:tabs>
        <w:rPr>
          <w:sz w:val="22"/>
          <w:szCs w:val="22"/>
          <w:lang w:val="de-DE"/>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85"/>
        <w:gridCol w:w="8262"/>
      </w:tblGrid>
      <w:tr w:rsidR="00FE291A" w:rsidRPr="002E6CD3" w14:paraId="650F9536"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657C2F1B" w14:textId="77777777" w:rsidR="00FE291A" w:rsidRDefault="00C8738F">
            <w:pPr>
              <w:keepNext/>
              <w:tabs>
                <w:tab w:val="left" w:pos="1134"/>
              </w:tabs>
              <w:jc w:val="center"/>
              <w:rPr>
                <w:b/>
                <w:bCs/>
                <w:sz w:val="22"/>
                <w:szCs w:val="22"/>
                <w:lang w:val="de-DE"/>
              </w:rPr>
            </w:pPr>
            <w:r>
              <w:rPr>
                <w:b/>
                <w:sz w:val="22"/>
                <w:szCs w:val="22"/>
                <w:lang w:val="de-DE"/>
              </w:rPr>
              <w:t>BEOBACHTEN UND ÜBERPRÜFEN SIE,</w:t>
            </w:r>
          </w:p>
          <w:p w14:paraId="68281737" w14:textId="77777777" w:rsidR="00FE291A" w:rsidRDefault="00C8738F">
            <w:pPr>
              <w:keepNext/>
              <w:tabs>
                <w:tab w:val="left" w:pos="1134"/>
              </w:tabs>
              <w:jc w:val="center"/>
              <w:rPr>
                <w:b/>
                <w:bCs/>
                <w:sz w:val="22"/>
                <w:szCs w:val="22"/>
                <w:lang w:val="de-DE"/>
              </w:rPr>
            </w:pPr>
            <w:r>
              <w:rPr>
                <w:b/>
                <w:sz w:val="22"/>
                <w:szCs w:val="22"/>
                <w:lang w:val="de-DE"/>
              </w:rPr>
              <w:t>dass das Sichtfenster vollständig gelb wird</w:t>
            </w:r>
          </w:p>
        </w:tc>
      </w:tr>
      <w:tr w:rsidR="00FE291A" w14:paraId="461856C5"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21DC189A" w14:textId="126CB535" w:rsidR="00FE291A" w:rsidRDefault="009C5B62">
            <w:pPr>
              <w:keepNext/>
              <w:tabs>
                <w:tab w:val="left" w:pos="1134"/>
              </w:tabs>
              <w:jc w:val="center"/>
              <w:rPr>
                <w:b/>
                <w:bCs/>
                <w:sz w:val="22"/>
                <w:szCs w:val="22"/>
                <w:lang w:val="de-DE"/>
              </w:rPr>
            </w:pPr>
            <w:r>
              <w:rPr>
                <w:b/>
                <w:noProof/>
              </w:rPr>
              <w:drawing>
                <wp:inline distT="0" distB="0" distL="0" distR="0" wp14:anchorId="67C43F44" wp14:editId="295A90AB">
                  <wp:extent cx="4189095" cy="2514600"/>
                  <wp:effectExtent l="0" t="0" r="0" b="0"/>
                  <wp:docPr id="92"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189095" cy="2514600"/>
                          </a:xfrm>
                          <a:prstGeom prst="rect">
                            <a:avLst/>
                          </a:prstGeom>
                          <a:noFill/>
                          <a:ln>
                            <a:noFill/>
                          </a:ln>
                        </pic:spPr>
                      </pic:pic>
                    </a:graphicData>
                  </a:graphic>
                </wp:inline>
              </w:drawing>
            </w:r>
          </w:p>
          <w:p w14:paraId="13A89993" w14:textId="77777777" w:rsidR="00FE291A" w:rsidRDefault="00FE291A">
            <w:pPr>
              <w:keepNext/>
              <w:tabs>
                <w:tab w:val="left" w:pos="1134"/>
              </w:tabs>
              <w:jc w:val="center"/>
              <w:rPr>
                <w:b/>
                <w:bCs/>
                <w:sz w:val="22"/>
                <w:szCs w:val="22"/>
                <w:lang w:val="de-DE"/>
              </w:rPr>
            </w:pPr>
          </w:p>
        </w:tc>
      </w:tr>
      <w:tr w:rsidR="00FE291A" w:rsidRPr="002E6CD3" w14:paraId="44EE65A6" w14:textId="77777777">
        <w:trPr>
          <w:cantSplit/>
          <w:trHeight w:val="57"/>
        </w:trPr>
        <w:tc>
          <w:tcPr>
            <w:tcW w:w="383" w:type="pct"/>
            <w:tcBorders>
              <w:top w:val="single" w:sz="4" w:space="0" w:color="auto"/>
              <w:bottom w:val="single" w:sz="4" w:space="0" w:color="auto"/>
              <w:right w:val="single" w:sz="4" w:space="0" w:color="auto"/>
            </w:tcBorders>
            <w:tcMar>
              <w:top w:w="28" w:type="dxa"/>
              <w:left w:w="57" w:type="dxa"/>
              <w:bottom w:w="28" w:type="dxa"/>
              <w:right w:w="57" w:type="dxa"/>
            </w:tcMar>
          </w:tcPr>
          <w:p w14:paraId="2EC5B083" w14:textId="77777777" w:rsidR="00FE291A" w:rsidRDefault="00C8738F">
            <w:pPr>
              <w:keepNext/>
              <w:rPr>
                <w:b/>
                <w:bCs/>
                <w:sz w:val="22"/>
                <w:szCs w:val="22"/>
                <w:lang w:val="de-DE"/>
              </w:rPr>
            </w:pPr>
            <w:r>
              <w:rPr>
                <w:b/>
                <w:sz w:val="22"/>
                <w:szCs w:val="22"/>
                <w:lang w:val="de-DE"/>
              </w:rPr>
              <w:t>4e</w:t>
            </w:r>
          </w:p>
        </w:tc>
        <w:tc>
          <w:tcPr>
            <w:tcW w:w="4617" w:type="pct"/>
            <w:tcBorders>
              <w:top w:val="single" w:sz="4" w:space="0" w:color="auto"/>
              <w:left w:val="single" w:sz="4" w:space="0" w:color="auto"/>
              <w:bottom w:val="single" w:sz="4" w:space="0" w:color="auto"/>
            </w:tcBorders>
            <w:tcMar>
              <w:left w:w="0" w:type="dxa"/>
            </w:tcMar>
          </w:tcPr>
          <w:p w14:paraId="71116F79" w14:textId="77777777" w:rsidR="00FE291A" w:rsidRDefault="00C8738F">
            <w:pPr>
              <w:keepNext/>
              <w:rPr>
                <w:sz w:val="22"/>
                <w:szCs w:val="22"/>
                <w:lang w:val="de-DE"/>
              </w:rPr>
            </w:pPr>
            <w:ins w:id="661" w:author="Author">
              <w:r>
                <w:rPr>
                  <w:b/>
                  <w:sz w:val="22"/>
                  <w:szCs w:val="22"/>
                  <w:lang w:val="de-DE"/>
                </w:rPr>
                <w:t>Den Fertigpen w</w:t>
              </w:r>
            </w:ins>
            <w:del w:id="662" w:author="Author">
              <w:r>
                <w:rPr>
                  <w:b/>
                  <w:sz w:val="22"/>
                  <w:szCs w:val="22"/>
                  <w:lang w:val="de-DE"/>
                </w:rPr>
                <w:delText>W</w:delText>
              </w:r>
            </w:del>
            <w:r>
              <w:rPr>
                <w:b/>
                <w:sz w:val="22"/>
                <w:szCs w:val="22"/>
                <w:lang w:val="de-DE"/>
              </w:rPr>
              <w:t>eiter nach unten drücken. Wenn das Sichtfenster vollständig gelb ist, ist die Injektion abgeschlossen.</w:t>
            </w:r>
          </w:p>
        </w:tc>
      </w:tr>
      <w:tr w:rsidR="00FE291A" w:rsidRPr="002E6CD3" w14:paraId="4C73B36E" w14:textId="77777777">
        <w:trPr>
          <w:cantSplit/>
          <w:trHeight w:val="57"/>
        </w:trPr>
        <w:tc>
          <w:tcPr>
            <w:tcW w:w="383" w:type="pct"/>
            <w:tcBorders>
              <w:top w:val="single" w:sz="4" w:space="0" w:color="auto"/>
              <w:bottom w:val="nil"/>
              <w:right w:val="nil"/>
            </w:tcBorders>
            <w:tcMar>
              <w:top w:w="28" w:type="dxa"/>
              <w:left w:w="57" w:type="dxa"/>
              <w:bottom w:w="28" w:type="dxa"/>
              <w:right w:w="57" w:type="dxa"/>
            </w:tcMar>
          </w:tcPr>
          <w:p w14:paraId="08BE7257"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tcBorders>
              <w:top w:val="single" w:sz="4" w:space="0" w:color="auto"/>
              <w:left w:val="nil"/>
              <w:bottom w:val="nil"/>
            </w:tcBorders>
            <w:tcMar>
              <w:left w:w="0" w:type="dxa"/>
            </w:tcMar>
          </w:tcPr>
          <w:p w14:paraId="0D352FB4" w14:textId="77777777" w:rsidR="00FE291A" w:rsidRDefault="00C8738F">
            <w:pPr>
              <w:keepNext/>
              <w:rPr>
                <w:b/>
                <w:bCs/>
                <w:sz w:val="22"/>
                <w:szCs w:val="22"/>
                <w:lang w:val="de-DE"/>
              </w:rPr>
            </w:pPr>
            <w:r>
              <w:rPr>
                <w:sz w:val="22"/>
                <w:szCs w:val="22"/>
                <w:lang w:val="de-DE"/>
              </w:rPr>
              <w:t xml:space="preserve">Es kann bis zu </w:t>
            </w:r>
            <w:r>
              <w:rPr>
                <w:b/>
                <w:sz w:val="22"/>
                <w:szCs w:val="22"/>
                <w:lang w:val="de-DE"/>
              </w:rPr>
              <w:t>15</w:t>
            </w:r>
            <w:r>
              <w:rPr>
                <w:sz w:val="22"/>
                <w:szCs w:val="22"/>
                <w:lang w:val="de-DE"/>
              </w:rPr>
              <w:t xml:space="preserve"> Sekunden dauern, bis die Injektion abgeschlossen ist. </w:t>
            </w:r>
          </w:p>
        </w:tc>
      </w:tr>
      <w:tr w:rsidR="00FE291A" w:rsidRPr="002E6CD3" w14:paraId="2AD36947" w14:textId="77777777">
        <w:trPr>
          <w:cantSplit/>
          <w:trHeight w:val="57"/>
        </w:trPr>
        <w:tc>
          <w:tcPr>
            <w:tcW w:w="383" w:type="pct"/>
            <w:tcBorders>
              <w:top w:val="nil"/>
              <w:bottom w:val="nil"/>
              <w:right w:val="nil"/>
            </w:tcBorders>
            <w:tcMar>
              <w:top w:w="28" w:type="dxa"/>
              <w:left w:w="57" w:type="dxa"/>
              <w:bottom w:w="28" w:type="dxa"/>
              <w:right w:w="57" w:type="dxa"/>
            </w:tcMar>
          </w:tcPr>
          <w:p w14:paraId="0DB74ECB"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tcBorders>
              <w:top w:val="nil"/>
              <w:left w:val="nil"/>
              <w:bottom w:val="nil"/>
            </w:tcBorders>
            <w:tcMar>
              <w:left w:w="0" w:type="dxa"/>
            </w:tcMar>
          </w:tcPr>
          <w:p w14:paraId="4C566E54" w14:textId="77777777" w:rsidR="00FE291A" w:rsidRDefault="00C8738F">
            <w:pPr>
              <w:keepNext/>
              <w:rPr>
                <w:b/>
                <w:bCs/>
                <w:sz w:val="22"/>
                <w:szCs w:val="22"/>
                <w:lang w:val="de-DE"/>
              </w:rPr>
            </w:pPr>
            <w:r>
              <w:rPr>
                <w:sz w:val="22"/>
                <w:szCs w:val="22"/>
                <w:lang w:val="de-DE"/>
              </w:rPr>
              <w:t>Sie hören oder spüren möglicherweise einen Klick.</w:t>
            </w:r>
          </w:p>
        </w:tc>
      </w:tr>
      <w:tr w:rsidR="00FE291A" w:rsidRPr="00723069" w14:paraId="75E68B48" w14:textId="77777777">
        <w:trPr>
          <w:cantSplit/>
          <w:trHeight w:val="57"/>
        </w:trPr>
        <w:tc>
          <w:tcPr>
            <w:tcW w:w="383" w:type="pct"/>
            <w:tcBorders>
              <w:top w:val="nil"/>
              <w:bottom w:val="nil"/>
              <w:right w:val="nil"/>
            </w:tcBorders>
            <w:tcMar>
              <w:top w:w="28" w:type="dxa"/>
              <w:left w:w="57" w:type="dxa"/>
              <w:bottom w:w="28" w:type="dxa"/>
              <w:right w:w="57" w:type="dxa"/>
            </w:tcMar>
          </w:tcPr>
          <w:p w14:paraId="0B7A9DB1"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tcBorders>
              <w:top w:val="nil"/>
              <w:left w:val="nil"/>
              <w:bottom w:val="nil"/>
            </w:tcBorders>
            <w:tcMar>
              <w:left w:w="0" w:type="dxa"/>
            </w:tcMar>
          </w:tcPr>
          <w:p w14:paraId="7A003B0E" w14:textId="77777777" w:rsidR="00FE291A" w:rsidRDefault="00C8738F">
            <w:pPr>
              <w:keepNext/>
              <w:rPr>
                <w:b/>
                <w:bCs/>
                <w:sz w:val="22"/>
                <w:szCs w:val="22"/>
                <w:lang w:val="de-DE"/>
              </w:rPr>
            </w:pPr>
            <w:r>
              <w:rPr>
                <w:sz w:val="22"/>
                <w:szCs w:val="22"/>
                <w:lang w:val="de-DE"/>
              </w:rPr>
              <w:t>Heben Sie den Fertigpen von Ihrer Haut ab.</w:t>
            </w:r>
          </w:p>
        </w:tc>
      </w:tr>
      <w:tr w:rsidR="00FE291A" w:rsidRPr="002E6CD3" w14:paraId="7D5B86EA" w14:textId="77777777">
        <w:trPr>
          <w:cantSplit/>
          <w:trHeight w:val="57"/>
        </w:trPr>
        <w:tc>
          <w:tcPr>
            <w:tcW w:w="383" w:type="pct"/>
            <w:tcBorders>
              <w:top w:val="nil"/>
              <w:bottom w:val="nil"/>
              <w:right w:val="nil"/>
            </w:tcBorders>
            <w:tcMar>
              <w:top w:w="28" w:type="dxa"/>
              <w:left w:w="57" w:type="dxa"/>
              <w:bottom w:w="28" w:type="dxa"/>
              <w:right w:w="57" w:type="dxa"/>
            </w:tcMar>
          </w:tcPr>
          <w:p w14:paraId="287A4B75"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tcBorders>
              <w:top w:val="nil"/>
              <w:left w:val="nil"/>
              <w:bottom w:val="nil"/>
            </w:tcBorders>
            <w:tcMar>
              <w:left w:w="0" w:type="dxa"/>
            </w:tcMar>
          </w:tcPr>
          <w:p w14:paraId="76AD9C8B" w14:textId="77777777" w:rsidR="00FE291A" w:rsidRDefault="00C8738F">
            <w:pPr>
              <w:keepNext/>
              <w:tabs>
                <w:tab w:val="left" w:pos="1134"/>
              </w:tabs>
              <w:rPr>
                <w:sz w:val="22"/>
                <w:szCs w:val="22"/>
                <w:lang w:val="de-DE"/>
              </w:rPr>
            </w:pPr>
            <w:r>
              <w:rPr>
                <w:sz w:val="22"/>
                <w:szCs w:val="22"/>
                <w:lang w:val="de-DE"/>
              </w:rPr>
              <w:t>Die cremefarbene Sicherheitshülse umschließt die Nadel.</w:t>
            </w:r>
          </w:p>
        </w:tc>
      </w:tr>
      <w:tr w:rsidR="00FE291A" w14:paraId="1617D529" w14:textId="77777777">
        <w:trPr>
          <w:cantSplit/>
          <w:trHeight w:val="1030"/>
        </w:trPr>
        <w:tc>
          <w:tcPr>
            <w:tcW w:w="5000" w:type="pct"/>
            <w:gridSpan w:val="2"/>
            <w:tcBorders>
              <w:top w:val="nil"/>
              <w:bottom w:val="single" w:sz="4" w:space="0" w:color="auto"/>
            </w:tcBorders>
            <w:tcMar>
              <w:top w:w="28" w:type="dxa"/>
              <w:left w:w="57" w:type="dxa"/>
              <w:bottom w:w="28" w:type="dxa"/>
              <w:right w:w="57" w:type="dxa"/>
            </w:tcMar>
            <w:vAlign w:val="bottom"/>
          </w:tcPr>
          <w:p w14:paraId="340EC91D" w14:textId="56565EE3" w:rsidR="00FE291A" w:rsidRDefault="009C5B62">
            <w:pPr>
              <w:keepNext/>
              <w:tabs>
                <w:tab w:val="left" w:pos="1134"/>
              </w:tabs>
              <w:rPr>
                <w:ins w:id="663" w:author="Author"/>
                <w:sz w:val="22"/>
                <w:szCs w:val="22"/>
                <w:lang w:val="de-DE"/>
              </w:rPr>
            </w:pPr>
            <w:r>
              <w:rPr>
                <w:noProof/>
              </w:rPr>
              <mc:AlternateContent>
                <mc:Choice Requires="wps">
                  <w:drawing>
                    <wp:inline distT="0" distB="0" distL="0" distR="0" wp14:anchorId="1DA46F18" wp14:editId="3285E95D">
                      <wp:extent cx="5595620" cy="593090"/>
                      <wp:effectExtent l="9525" t="9525" r="14605" b="16510"/>
                      <wp:docPr id="190375380"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5620" cy="593090"/>
                              </a:xfrm>
                              <a:prstGeom prst="rect">
                                <a:avLst/>
                              </a:prstGeom>
                              <a:solidFill>
                                <a:srgbClr val="FFFFFF"/>
                              </a:solidFill>
                              <a:ln w="19050">
                                <a:solidFill>
                                  <a:srgbClr val="FF0000"/>
                                </a:solidFill>
                                <a:miter lim="800000"/>
                                <a:headEnd/>
                                <a:tailEnd/>
                              </a:ln>
                            </wps:spPr>
                            <wps:txbx>
                              <w:txbxContent>
                                <w:p w14:paraId="41219FCB" w14:textId="77777777" w:rsidR="00FE291A" w:rsidRDefault="00C8738F">
                                  <w:pPr>
                                    <w:rPr>
                                      <w:sz w:val="22"/>
                                      <w:szCs w:val="22"/>
                                      <w:lang w:val="de-DE"/>
                                    </w:rPr>
                                  </w:pPr>
                                  <w:r>
                                    <w:rPr>
                                      <w:b/>
                                      <w:sz w:val="22"/>
                                      <w:lang w:val="de-DE"/>
                                    </w:rPr>
                                    <w:t>Wichtig:</w:t>
                                  </w:r>
                                  <w:r>
                                    <w:rPr>
                                      <w:sz w:val="22"/>
                                      <w:lang w:val="de-DE"/>
                                    </w:rPr>
                                    <w:t xml:space="preserve"> Wenn das Sichfenster noch nicht </w:t>
                                  </w:r>
                                  <w:ins w:id="664" w:author="Author">
                                    <w:r>
                                      <w:rPr>
                                        <w:sz w:val="22"/>
                                        <w:lang w:val="de-DE"/>
                                      </w:rPr>
                                      <w:t xml:space="preserve">vollständig </w:t>
                                    </w:r>
                                  </w:ins>
                                  <w:r>
                                    <w:rPr>
                                      <w:sz w:val="22"/>
                                      <w:lang w:val="de-DE"/>
                                    </w:rPr>
                                    <w:t>gelb geworden ist oder es so aussieht, als ob das Arzneimittel noch injiziert wird, kann das bedeuten, dass Sie nicht die vollständige Dosis erhalten haben. Rufen Sie unverzüglich Ihren Arzt oder die medizinische Fachkraft an.</w:t>
                                  </w:r>
                                </w:p>
                                <w:p w14:paraId="41FBF541" w14:textId="77777777" w:rsidR="00FE291A" w:rsidRDefault="00FE291A">
                                  <w:pPr>
                                    <w:rPr>
                                      <w:sz w:val="22"/>
                                      <w:szCs w:val="22"/>
                                      <w:lang w:val="de-DE"/>
                                    </w:rPr>
                                  </w:pPr>
                                </w:p>
                              </w:txbxContent>
                            </wps:txbx>
                            <wps:bodyPr rot="0" vert="horz" wrap="square" lIns="91440" tIns="45720" rIns="91440" bIns="45720" anchor="t" anchorCtr="0" upright="1">
                              <a:noAutofit/>
                            </wps:bodyPr>
                          </wps:wsp>
                        </a:graphicData>
                      </a:graphic>
                    </wp:inline>
                  </w:drawing>
                </mc:Choice>
                <mc:Fallback>
                  <w:pict>
                    <v:shape w14:anchorId="1DA46F18" id="Textfeld 3" o:spid="_x0000_s1052" type="#_x0000_t202" style="width:440.6pt;height:4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" strokecolor="red" strokeweight="1.5pt">
                      <v:textbox>
                        <w:txbxContent>
                          <w:p w14:paraId="41219FCB" w14:textId="77777777" w:rsidR="00FE291A" w:rsidRDefault="00C8738F">
                            <w:pPr>
                              <w:rPr>
                                <w:sz w:val="22"/>
                                <w:szCs w:val="22"/>
                                <w:lang w:val="de-DE"/>
                              </w:rPr>
                            </w:pPr>
                            <w:r>
                              <w:rPr>
                                <w:b/>
                                <w:sz w:val="22"/>
                                <w:lang w:val="de-DE"/>
                              </w:rPr>
                              <w:t>Wichtig:</w:t>
                            </w:r>
                            <w:r>
                              <w:rPr>
                                <w:sz w:val="22"/>
                                <w:lang w:val="de-DE"/>
                              </w:rPr>
                              <w:t xml:space="preserve"> Wenn das Sichfenster noch nicht </w:t>
                            </w:r>
                            <w:ins w:id="665" w:author="Author">
                              <w:r>
                                <w:rPr>
                                  <w:sz w:val="22"/>
                                  <w:lang w:val="de-DE"/>
                                </w:rPr>
                                <w:t xml:space="preserve">vollständig </w:t>
                              </w:r>
                            </w:ins>
                            <w:r>
                              <w:rPr>
                                <w:sz w:val="22"/>
                                <w:lang w:val="de-DE"/>
                              </w:rPr>
                              <w:t>gelb geworden ist oder es so aussieht, als ob das Arzneimittel noch injiziert wird, kann das bedeuten, dass Sie nicht die vollständige Dosis erhalten haben. Rufen Sie unverzüglich Ihren Arzt oder die medizinische Fachkraft an.</w:t>
                            </w:r>
                          </w:p>
                          <w:p w14:paraId="41FBF541" w14:textId="77777777" w:rsidR="00FE291A" w:rsidRDefault="00FE291A">
                            <w:pPr>
                              <w:rPr>
                                <w:sz w:val="22"/>
                                <w:szCs w:val="22"/>
                                <w:lang w:val="de-DE"/>
                              </w:rPr>
                            </w:pPr>
                          </w:p>
                        </w:txbxContent>
                      </v:textbox>
                      <w10:anchorlock/>
                    </v:shape>
                  </w:pict>
                </mc:Fallback>
              </mc:AlternateContent>
            </w:r>
            <w:r w:rsidR="00C8738F">
              <w:rPr>
                <w:sz w:val="22"/>
                <w:szCs w:val="22"/>
                <w:lang w:val="de-DE"/>
              </w:rPr>
              <w:t xml:space="preserve"> </w:t>
            </w:r>
          </w:p>
          <w:p w14:paraId="3B53BA1E" w14:textId="6893D018" w:rsidR="005C4114" w:rsidRDefault="005C4114">
            <w:pPr>
              <w:keepNext/>
              <w:tabs>
                <w:tab w:val="left" w:pos="1134"/>
              </w:tabs>
              <w:rPr>
                <w:sz w:val="22"/>
                <w:szCs w:val="22"/>
                <w:lang w:val="de-DE"/>
              </w:rPr>
            </w:pPr>
          </w:p>
        </w:tc>
      </w:tr>
    </w:tbl>
    <w:p w14:paraId="2B594B94" w14:textId="77777777" w:rsidR="00FE291A" w:rsidRDefault="00FE291A">
      <w:pPr>
        <w:tabs>
          <w:tab w:val="left" w:pos="1134"/>
        </w:tabs>
        <w:rPr>
          <w:sz w:val="22"/>
          <w:szCs w:val="22"/>
          <w:lang w:val="de-DE"/>
        </w:rPr>
      </w:pPr>
    </w:p>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82"/>
        <w:gridCol w:w="8216"/>
      </w:tblGrid>
      <w:tr w:rsidR="00FE291A" w:rsidRPr="002E6CD3" w14:paraId="427AB3BA" w14:textId="77777777">
        <w:trPr>
          <w:cantSplit/>
          <w:trHeight w:val="57"/>
        </w:trPr>
        <w:tc>
          <w:tcPr>
            <w:tcW w:w="383" w:type="pct"/>
            <w:tcBorders>
              <w:bottom w:val="single" w:sz="4" w:space="0" w:color="auto"/>
            </w:tcBorders>
            <w:tcMar>
              <w:top w:w="28" w:type="dxa"/>
              <w:left w:w="57" w:type="dxa"/>
              <w:bottom w:w="28" w:type="dxa"/>
              <w:right w:w="57" w:type="dxa"/>
            </w:tcMar>
          </w:tcPr>
          <w:p w14:paraId="1BB543C3" w14:textId="77777777" w:rsidR="00FE291A" w:rsidRDefault="00C8738F">
            <w:pPr>
              <w:keepNext/>
              <w:tabs>
                <w:tab w:val="left" w:pos="1134"/>
              </w:tabs>
              <w:rPr>
                <w:sz w:val="22"/>
                <w:szCs w:val="22"/>
                <w:lang w:val="de-DE"/>
              </w:rPr>
            </w:pPr>
            <w:r>
              <w:rPr>
                <w:b/>
                <w:sz w:val="22"/>
                <w:szCs w:val="22"/>
                <w:lang w:val="de-DE"/>
              </w:rPr>
              <w:t>5</w:t>
            </w:r>
          </w:p>
        </w:tc>
        <w:tc>
          <w:tcPr>
            <w:tcW w:w="4617" w:type="pct"/>
            <w:tcBorders>
              <w:bottom w:val="single" w:sz="4" w:space="0" w:color="auto"/>
            </w:tcBorders>
          </w:tcPr>
          <w:p w14:paraId="13F53EE6" w14:textId="77777777" w:rsidR="00FE291A" w:rsidRDefault="00C8738F">
            <w:pPr>
              <w:keepNext/>
              <w:tabs>
                <w:tab w:val="left" w:pos="1134"/>
              </w:tabs>
              <w:ind w:left="567" w:hanging="567"/>
              <w:rPr>
                <w:sz w:val="22"/>
                <w:szCs w:val="22"/>
                <w:lang w:val="de-DE"/>
              </w:rPr>
            </w:pPr>
            <w:del w:id="666" w:author="Author">
              <w:r>
                <w:rPr>
                  <w:b/>
                  <w:sz w:val="22"/>
                  <w:szCs w:val="22"/>
                  <w:lang w:val="de-DE"/>
                </w:rPr>
                <w:delText xml:space="preserve">Abschluß und </w:delText>
              </w:r>
            </w:del>
            <w:r>
              <w:rPr>
                <w:b/>
                <w:sz w:val="22"/>
                <w:szCs w:val="22"/>
                <w:lang w:val="de-DE"/>
              </w:rPr>
              <w:t>Entsorgung von AMGEVITA</w:t>
            </w:r>
            <w:ins w:id="667" w:author="Author">
              <w:r>
                <w:rPr>
                  <w:b/>
                  <w:sz w:val="22"/>
                  <w:szCs w:val="22"/>
                  <w:lang w:val="de-DE"/>
                </w:rPr>
                <w:t xml:space="preserve"> und Überprüfung der Injektionsstelle</w:t>
              </w:r>
            </w:ins>
          </w:p>
        </w:tc>
      </w:tr>
      <w:tr w:rsidR="00FE291A" w14:paraId="5BBB5838"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784DCCEB" w14:textId="2B574F51" w:rsidR="00FE291A" w:rsidRDefault="009C5B62">
            <w:pPr>
              <w:pStyle w:val="ListParagraph"/>
              <w:keepNext/>
              <w:tabs>
                <w:tab w:val="left" w:pos="0"/>
              </w:tabs>
              <w:jc w:val="center"/>
              <w:rPr>
                <w:b/>
                <w:bCs/>
                <w:sz w:val="22"/>
                <w:szCs w:val="22"/>
                <w:lang w:val="de-DE"/>
              </w:rPr>
            </w:pPr>
            <w:r>
              <w:rPr>
                <w:noProof/>
                <w:sz w:val="22"/>
                <w:szCs w:val="22"/>
                <w:lang w:val="de-DE"/>
              </w:rPr>
              <w:drawing>
                <wp:inline distT="0" distB="0" distL="0" distR="0" wp14:anchorId="5085F982" wp14:editId="013D64F9">
                  <wp:extent cx="2743200" cy="1674495"/>
                  <wp:effectExtent l="0" t="0" r="0" b="0"/>
                  <wp:docPr id="94" name="Bild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43200" cy="1674495"/>
                          </a:xfrm>
                          <a:prstGeom prst="rect">
                            <a:avLst/>
                          </a:prstGeom>
                          <a:noFill/>
                          <a:ln>
                            <a:noFill/>
                          </a:ln>
                        </pic:spPr>
                      </pic:pic>
                    </a:graphicData>
                  </a:graphic>
                </wp:inline>
              </w:drawing>
            </w:r>
          </w:p>
        </w:tc>
      </w:tr>
      <w:tr w:rsidR="00FE291A" w14:paraId="175A3763" w14:textId="77777777">
        <w:trPr>
          <w:cantSplit/>
          <w:trHeight w:val="637"/>
        </w:trPr>
        <w:tc>
          <w:tcPr>
            <w:tcW w:w="5000" w:type="pct"/>
            <w:gridSpan w:val="2"/>
            <w:tcBorders>
              <w:top w:val="nil"/>
              <w:bottom w:val="single" w:sz="4" w:space="0" w:color="auto"/>
            </w:tcBorders>
            <w:tcMar>
              <w:top w:w="28" w:type="dxa"/>
              <w:left w:w="57" w:type="dxa"/>
              <w:bottom w:w="28" w:type="dxa"/>
              <w:right w:w="57" w:type="dxa"/>
            </w:tcMar>
            <w:vAlign w:val="center"/>
          </w:tcPr>
          <w:p w14:paraId="3D343822" w14:textId="5E18A026" w:rsidR="00FE291A" w:rsidRDefault="009C5B62">
            <w:pPr>
              <w:keepNext/>
              <w:rPr>
                <w:sz w:val="22"/>
                <w:szCs w:val="22"/>
                <w:lang w:val="de-DE"/>
              </w:rPr>
            </w:pPr>
            <w:r>
              <w:rPr>
                <w:noProof/>
              </w:rPr>
              <mc:AlternateContent>
                <mc:Choice Requires="wps">
                  <w:drawing>
                    <wp:inline distT="0" distB="0" distL="0" distR="0" wp14:anchorId="71101916" wp14:editId="6124DBFF">
                      <wp:extent cx="5566410" cy="271145"/>
                      <wp:effectExtent l="9525" t="9525" r="15240" b="14605"/>
                      <wp:docPr id="315490603"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410" cy="271145"/>
                              </a:xfrm>
                              <a:prstGeom prst="rect">
                                <a:avLst/>
                              </a:prstGeom>
                              <a:solidFill>
                                <a:srgbClr val="FFFFFF"/>
                              </a:solidFill>
                              <a:ln w="19050">
                                <a:solidFill>
                                  <a:srgbClr val="FF0000"/>
                                </a:solidFill>
                                <a:miter lim="800000"/>
                                <a:headEnd/>
                                <a:tailEnd/>
                              </a:ln>
                            </wps:spPr>
                            <wps:txbx>
                              <w:txbxContent>
                                <w:p w14:paraId="6A0150DB" w14:textId="77777777" w:rsidR="00FE291A" w:rsidRDefault="00C8738F">
                                  <w:pPr>
                                    <w:tabs>
                                      <w:tab w:val="left" w:pos="1134"/>
                                    </w:tabs>
                                    <w:rPr>
                                      <w:sz w:val="22"/>
                                      <w:lang w:val="de-DE"/>
                                    </w:rPr>
                                  </w:pPr>
                                  <w:r>
                                    <w:rPr>
                                      <w:b/>
                                      <w:sz w:val="22"/>
                                      <w:lang w:val="de-DE"/>
                                    </w:rPr>
                                    <w:t xml:space="preserve">Wichtig: </w:t>
                                  </w:r>
                                  <w:r>
                                    <w:rPr>
                                      <w:sz w:val="22"/>
                                      <w:lang w:val="de-DE"/>
                                    </w:rPr>
                                    <w:t>Werfen Sie den Fertigpen nicht in Ihren Haushaltsabfall.</w:t>
                                  </w:r>
                                </w:p>
                              </w:txbxContent>
                            </wps:txbx>
                            <wps:bodyPr rot="0" vert="horz" wrap="square" lIns="91440" tIns="45720" rIns="91440" bIns="45720" anchor="t" anchorCtr="0" upright="1">
                              <a:spAutoFit/>
                            </wps:bodyPr>
                          </wps:wsp>
                        </a:graphicData>
                      </a:graphic>
                    </wp:inline>
                  </w:drawing>
                </mc:Choice>
                <mc:Fallback>
                  <w:pict>
                    <v:shape w14:anchorId="71101916" id="Textfeld 1" o:spid="_x0000_s1053" type="#_x0000_t202" style="width:438.3pt;height:2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" strokecolor="red" strokeweight="1.5pt">
                      <v:textbox style="mso-fit-shape-to-text:t">
                        <w:txbxContent>
                          <w:p w14:paraId="6A0150DB" w14:textId="77777777" w:rsidR="00FE291A" w:rsidRDefault="00C8738F">
                            <w:pPr>
                              <w:tabs>
                                <w:tab w:val="left" w:pos="1134"/>
                              </w:tabs>
                              <w:rPr>
                                <w:sz w:val="22"/>
                                <w:lang w:val="de-DE"/>
                              </w:rPr>
                            </w:pPr>
                            <w:r>
                              <w:rPr>
                                <w:b/>
                                <w:sz w:val="22"/>
                                <w:lang w:val="de-DE"/>
                              </w:rPr>
                              <w:t xml:space="preserve">Wichtig: </w:t>
                            </w:r>
                            <w:r>
                              <w:rPr>
                                <w:sz w:val="22"/>
                                <w:lang w:val="de-DE"/>
                              </w:rPr>
                              <w:t>Werfen Sie den Fertigpen nicht in Ihren Haushaltsabfall.</w:t>
                            </w:r>
                          </w:p>
                        </w:txbxContent>
                      </v:textbox>
                      <w10:anchorlock/>
                    </v:shape>
                  </w:pict>
                </mc:Fallback>
              </mc:AlternateContent>
            </w:r>
          </w:p>
        </w:tc>
      </w:tr>
      <w:tr w:rsidR="00FE291A" w:rsidRPr="00723069" w14:paraId="0B7753D1" w14:textId="77777777">
        <w:trPr>
          <w:cantSplit/>
          <w:trHeight w:val="57"/>
        </w:trPr>
        <w:tc>
          <w:tcPr>
            <w:tcW w:w="383" w:type="pct"/>
            <w:tcBorders>
              <w:top w:val="single" w:sz="4" w:space="0" w:color="auto"/>
              <w:bottom w:val="single" w:sz="4" w:space="0" w:color="auto"/>
              <w:right w:val="single" w:sz="4" w:space="0" w:color="auto"/>
            </w:tcBorders>
            <w:tcMar>
              <w:top w:w="28" w:type="dxa"/>
              <w:left w:w="57" w:type="dxa"/>
              <w:bottom w:w="28" w:type="dxa"/>
              <w:right w:w="57" w:type="dxa"/>
            </w:tcMar>
          </w:tcPr>
          <w:p w14:paraId="7B0B8BEE" w14:textId="77777777" w:rsidR="00FE291A" w:rsidRDefault="00C8738F">
            <w:pPr>
              <w:keepNext/>
              <w:rPr>
                <w:b/>
                <w:bCs/>
                <w:sz w:val="22"/>
                <w:szCs w:val="22"/>
                <w:lang w:val="de-DE"/>
              </w:rPr>
            </w:pPr>
            <w:r>
              <w:rPr>
                <w:b/>
                <w:sz w:val="22"/>
                <w:szCs w:val="22"/>
                <w:lang w:val="de-DE"/>
              </w:rPr>
              <w:t>5a</w:t>
            </w:r>
          </w:p>
        </w:tc>
        <w:tc>
          <w:tcPr>
            <w:tcW w:w="4617" w:type="pct"/>
            <w:tcBorders>
              <w:top w:val="single" w:sz="4" w:space="0" w:color="auto"/>
              <w:left w:val="single" w:sz="4" w:space="0" w:color="auto"/>
              <w:bottom w:val="single" w:sz="4" w:space="0" w:color="auto"/>
            </w:tcBorders>
            <w:tcMar>
              <w:left w:w="0" w:type="dxa"/>
            </w:tcMar>
          </w:tcPr>
          <w:p w14:paraId="050427CB" w14:textId="0194CE06" w:rsidR="00FE291A" w:rsidRDefault="00C8738F">
            <w:pPr>
              <w:keepNext/>
              <w:rPr>
                <w:b/>
                <w:bCs/>
                <w:sz w:val="22"/>
                <w:szCs w:val="22"/>
                <w:lang w:val="de-DE"/>
              </w:rPr>
            </w:pPr>
            <w:del w:id="668" w:author="Author">
              <w:r>
                <w:rPr>
                  <w:b/>
                  <w:sz w:val="22"/>
                  <w:szCs w:val="22"/>
                  <w:lang w:val="de-DE"/>
                </w:rPr>
                <w:delText xml:space="preserve">Entsorgen </w:delText>
              </w:r>
            </w:del>
            <w:ins w:id="669" w:author="Author">
              <w:del w:id="670" w:author="Author">
                <w:r w:rsidDel="00815562">
                  <w:rPr>
                    <w:b/>
                    <w:sz w:val="22"/>
                    <w:szCs w:val="22"/>
                    <w:lang w:val="de-DE"/>
                  </w:rPr>
                  <w:delText>Geben</w:delText>
                </w:r>
              </w:del>
              <w:r w:rsidR="00815562">
                <w:rPr>
                  <w:b/>
                  <w:sz w:val="22"/>
                  <w:szCs w:val="22"/>
                  <w:lang w:val="de-DE"/>
                </w:rPr>
                <w:t>Legen</w:t>
              </w:r>
              <w:r>
                <w:rPr>
                  <w:b/>
                  <w:sz w:val="22"/>
                  <w:szCs w:val="22"/>
                  <w:lang w:val="de-DE"/>
                </w:rPr>
                <w:t xml:space="preserve"> </w:t>
              </w:r>
            </w:ins>
            <w:r>
              <w:rPr>
                <w:b/>
                <w:sz w:val="22"/>
                <w:szCs w:val="22"/>
                <w:lang w:val="de-DE"/>
              </w:rPr>
              <w:t>Sie den gebrauchten Fertigpen und die gelbe Kappe</w:t>
            </w:r>
            <w:ins w:id="671" w:author="Author">
              <w:r>
                <w:rPr>
                  <w:b/>
                  <w:sz w:val="22"/>
                  <w:szCs w:val="22"/>
                  <w:lang w:val="de-DE"/>
                </w:rPr>
                <w:t xml:space="preserve"> direkt nach der Anwendung</w:t>
              </w:r>
            </w:ins>
            <w:r>
              <w:rPr>
                <w:b/>
                <w:sz w:val="22"/>
                <w:szCs w:val="22"/>
                <w:lang w:val="de-DE"/>
              </w:rPr>
              <w:t xml:space="preserve"> in </w:t>
            </w:r>
            <w:del w:id="672" w:author="Author">
              <w:r>
                <w:rPr>
                  <w:b/>
                  <w:sz w:val="22"/>
                  <w:szCs w:val="22"/>
                  <w:lang w:val="de-DE"/>
                </w:rPr>
                <w:delText xml:space="preserve">einem </w:delText>
              </w:r>
            </w:del>
            <w:ins w:id="673" w:author="Author">
              <w:r>
                <w:rPr>
                  <w:b/>
                  <w:sz w:val="22"/>
                  <w:szCs w:val="22"/>
                  <w:lang w:val="de-DE"/>
                </w:rPr>
                <w:t xml:space="preserve">einen </w:t>
              </w:r>
            </w:ins>
            <w:r>
              <w:rPr>
                <w:b/>
                <w:sz w:val="22"/>
                <w:szCs w:val="22"/>
                <w:lang w:val="de-DE"/>
              </w:rPr>
              <w:t>durchstichsicheren Behälter.</w:t>
            </w:r>
          </w:p>
        </w:tc>
      </w:tr>
      <w:tr w:rsidR="00FE291A" w14:paraId="40A150BE" w14:textId="77777777">
        <w:trPr>
          <w:cantSplit/>
          <w:trHeight w:val="57"/>
        </w:trPr>
        <w:tc>
          <w:tcPr>
            <w:tcW w:w="383" w:type="pct"/>
            <w:tcBorders>
              <w:top w:val="single" w:sz="4" w:space="0" w:color="auto"/>
              <w:bottom w:val="nil"/>
              <w:right w:val="nil"/>
            </w:tcBorders>
            <w:tcMar>
              <w:top w:w="28" w:type="dxa"/>
              <w:left w:w="57" w:type="dxa"/>
              <w:bottom w:w="28" w:type="dxa"/>
              <w:right w:w="57" w:type="dxa"/>
            </w:tcMar>
          </w:tcPr>
          <w:p w14:paraId="7BD72DD2"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tcBorders>
              <w:top w:val="single" w:sz="4" w:space="0" w:color="auto"/>
              <w:left w:val="nil"/>
              <w:bottom w:val="nil"/>
            </w:tcBorders>
            <w:tcMar>
              <w:left w:w="0" w:type="dxa"/>
            </w:tcMar>
          </w:tcPr>
          <w:p w14:paraId="0905DAA3" w14:textId="77777777" w:rsidR="00FE291A" w:rsidRDefault="00C8738F">
            <w:pPr>
              <w:keepNext/>
              <w:rPr>
                <w:b/>
                <w:bCs/>
                <w:sz w:val="22"/>
                <w:szCs w:val="22"/>
                <w:lang w:val="de-DE"/>
              </w:rPr>
            </w:pPr>
            <w:r>
              <w:rPr>
                <w:sz w:val="22"/>
                <w:szCs w:val="22"/>
                <w:lang w:val="de-DE"/>
              </w:rPr>
              <w:t>Den Fertigpen</w:t>
            </w:r>
            <w:r>
              <w:rPr>
                <w:b/>
                <w:sz w:val="22"/>
                <w:szCs w:val="22"/>
                <w:lang w:val="de-DE"/>
              </w:rPr>
              <w:t xml:space="preserve"> nicht</w:t>
            </w:r>
            <w:r>
              <w:rPr>
                <w:sz w:val="22"/>
                <w:szCs w:val="22"/>
                <w:lang w:val="de-DE"/>
              </w:rPr>
              <w:t xml:space="preserve"> wiederverwenden.</w:t>
            </w:r>
          </w:p>
        </w:tc>
      </w:tr>
      <w:tr w:rsidR="00FE291A" w:rsidRPr="002E6CD3" w14:paraId="4010FBC9" w14:textId="77777777">
        <w:trPr>
          <w:cantSplit/>
          <w:trHeight w:val="57"/>
        </w:trPr>
        <w:tc>
          <w:tcPr>
            <w:tcW w:w="383" w:type="pct"/>
            <w:tcBorders>
              <w:top w:val="nil"/>
              <w:bottom w:val="single" w:sz="4" w:space="0" w:color="auto"/>
              <w:right w:val="nil"/>
            </w:tcBorders>
            <w:tcMar>
              <w:top w:w="28" w:type="dxa"/>
              <w:left w:w="57" w:type="dxa"/>
              <w:bottom w:w="28" w:type="dxa"/>
              <w:right w:w="57" w:type="dxa"/>
            </w:tcMar>
          </w:tcPr>
          <w:p w14:paraId="07A36557"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tcBorders>
              <w:top w:val="nil"/>
              <w:left w:val="nil"/>
              <w:bottom w:val="single" w:sz="4" w:space="0" w:color="auto"/>
            </w:tcBorders>
            <w:tcMar>
              <w:left w:w="0" w:type="dxa"/>
            </w:tcMar>
          </w:tcPr>
          <w:p w14:paraId="227365B1" w14:textId="77777777" w:rsidR="00FE291A" w:rsidRDefault="00C8738F">
            <w:pPr>
              <w:keepNext/>
              <w:rPr>
                <w:b/>
                <w:bCs/>
                <w:sz w:val="22"/>
                <w:szCs w:val="22"/>
                <w:lang w:val="de-DE"/>
              </w:rPr>
            </w:pPr>
            <w:r>
              <w:rPr>
                <w:sz w:val="22"/>
                <w:szCs w:val="22"/>
                <w:lang w:val="de-DE"/>
              </w:rPr>
              <w:t xml:space="preserve">Die cremefarbene Sicherheitshülse </w:t>
            </w:r>
            <w:r>
              <w:rPr>
                <w:b/>
                <w:sz w:val="22"/>
                <w:szCs w:val="22"/>
                <w:lang w:val="de-DE"/>
              </w:rPr>
              <w:t>nicht</w:t>
            </w:r>
            <w:r>
              <w:rPr>
                <w:sz w:val="22"/>
                <w:szCs w:val="22"/>
                <w:lang w:val="de-DE"/>
              </w:rPr>
              <w:t xml:space="preserve"> berühren.</w:t>
            </w:r>
          </w:p>
        </w:tc>
      </w:tr>
      <w:tr w:rsidR="00FE291A" w:rsidRPr="002E6CD3" w14:paraId="109D6785" w14:textId="77777777">
        <w:trPr>
          <w:cantSplit/>
          <w:trHeight w:val="57"/>
          <w:ins w:id="674" w:author="Author"/>
        </w:trPr>
        <w:tc>
          <w:tcPr>
            <w:tcW w:w="383" w:type="pct"/>
            <w:tcBorders>
              <w:top w:val="single" w:sz="4" w:space="0" w:color="auto"/>
              <w:left w:val="nil"/>
              <w:bottom w:val="nil"/>
              <w:right w:val="nil"/>
            </w:tcBorders>
            <w:tcMar>
              <w:top w:w="28" w:type="dxa"/>
              <w:left w:w="57" w:type="dxa"/>
              <w:bottom w:w="28" w:type="dxa"/>
              <w:right w:w="57" w:type="dxa"/>
            </w:tcMar>
          </w:tcPr>
          <w:p w14:paraId="6698289B" w14:textId="77777777" w:rsidR="00FE291A" w:rsidRDefault="00FE291A">
            <w:pPr>
              <w:keepNext/>
              <w:widowControl/>
              <w:autoSpaceDE/>
              <w:autoSpaceDN/>
              <w:adjustRightInd/>
              <w:ind w:left="567"/>
              <w:rPr>
                <w:ins w:id="675" w:author="Author"/>
                <w:sz w:val="22"/>
                <w:szCs w:val="22"/>
                <w:lang w:val="de-DE"/>
              </w:rPr>
            </w:pPr>
          </w:p>
        </w:tc>
        <w:tc>
          <w:tcPr>
            <w:tcW w:w="4617" w:type="pct"/>
            <w:tcBorders>
              <w:top w:val="single" w:sz="4" w:space="0" w:color="auto"/>
              <w:left w:val="nil"/>
              <w:bottom w:val="nil"/>
              <w:right w:val="nil"/>
            </w:tcBorders>
            <w:tcMar>
              <w:left w:w="0" w:type="dxa"/>
            </w:tcMar>
          </w:tcPr>
          <w:p w14:paraId="765AB34C" w14:textId="77777777" w:rsidR="00FE291A" w:rsidRDefault="00FE291A">
            <w:pPr>
              <w:keepNext/>
              <w:rPr>
                <w:ins w:id="676" w:author="Author"/>
                <w:sz w:val="22"/>
                <w:szCs w:val="22"/>
                <w:lang w:val="de-DE"/>
              </w:rPr>
            </w:pPr>
          </w:p>
        </w:tc>
      </w:tr>
      <w:tr w:rsidR="00FE291A" w14:paraId="4B4B72A2" w14:textId="77777777">
        <w:trPr>
          <w:cantSplit/>
          <w:trHeight w:val="57"/>
        </w:trPr>
        <w:tc>
          <w:tcPr>
            <w:tcW w:w="383" w:type="pct"/>
            <w:tcBorders>
              <w:top w:val="single" w:sz="4" w:space="0" w:color="auto"/>
              <w:bottom w:val="single" w:sz="4" w:space="0" w:color="auto"/>
              <w:right w:val="single" w:sz="4" w:space="0" w:color="auto"/>
            </w:tcBorders>
            <w:tcMar>
              <w:top w:w="28" w:type="dxa"/>
              <w:left w:w="57" w:type="dxa"/>
              <w:bottom w:w="28" w:type="dxa"/>
              <w:right w:w="57" w:type="dxa"/>
            </w:tcMar>
          </w:tcPr>
          <w:p w14:paraId="01990501" w14:textId="77777777" w:rsidR="00FE291A" w:rsidRDefault="00C8738F">
            <w:pPr>
              <w:keepNext/>
              <w:rPr>
                <w:sz w:val="22"/>
                <w:szCs w:val="22"/>
                <w:lang w:val="de-DE"/>
              </w:rPr>
            </w:pPr>
            <w:r>
              <w:rPr>
                <w:b/>
                <w:sz w:val="22"/>
                <w:szCs w:val="22"/>
                <w:lang w:val="de-DE"/>
              </w:rPr>
              <w:t>5b</w:t>
            </w:r>
          </w:p>
        </w:tc>
        <w:tc>
          <w:tcPr>
            <w:tcW w:w="4617" w:type="pct"/>
            <w:tcBorders>
              <w:top w:val="single" w:sz="4" w:space="0" w:color="auto"/>
              <w:left w:val="single" w:sz="4" w:space="0" w:color="auto"/>
              <w:bottom w:val="single" w:sz="4" w:space="0" w:color="auto"/>
            </w:tcBorders>
            <w:tcMar>
              <w:left w:w="0" w:type="dxa"/>
            </w:tcMar>
          </w:tcPr>
          <w:p w14:paraId="6661A6DE" w14:textId="77777777" w:rsidR="00FE291A" w:rsidRDefault="00C8738F">
            <w:pPr>
              <w:keepNext/>
              <w:rPr>
                <w:b/>
                <w:bCs/>
                <w:sz w:val="22"/>
                <w:szCs w:val="22"/>
                <w:lang w:val="de-DE"/>
              </w:rPr>
            </w:pPr>
            <w:r>
              <w:rPr>
                <w:b/>
                <w:sz w:val="22"/>
                <w:szCs w:val="22"/>
                <w:lang w:val="de-DE"/>
              </w:rPr>
              <w:t>Überprüfen Sie die Injektionsstelle.</w:t>
            </w:r>
          </w:p>
        </w:tc>
      </w:tr>
      <w:tr w:rsidR="00FE291A" w:rsidRPr="002E6CD3" w14:paraId="78F5FBF0" w14:textId="77777777">
        <w:trPr>
          <w:cantSplit/>
          <w:trHeight w:val="57"/>
        </w:trPr>
        <w:tc>
          <w:tcPr>
            <w:tcW w:w="383" w:type="pct"/>
            <w:tcBorders>
              <w:top w:val="single" w:sz="4" w:space="0" w:color="auto"/>
              <w:bottom w:val="nil"/>
              <w:right w:val="nil"/>
            </w:tcBorders>
            <w:tcMar>
              <w:top w:w="28" w:type="dxa"/>
              <w:left w:w="57" w:type="dxa"/>
              <w:bottom w:w="28" w:type="dxa"/>
              <w:right w:w="57" w:type="dxa"/>
            </w:tcMar>
          </w:tcPr>
          <w:p w14:paraId="287989F1"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tcBorders>
              <w:top w:val="single" w:sz="4" w:space="0" w:color="auto"/>
              <w:left w:val="nil"/>
              <w:bottom w:val="nil"/>
            </w:tcBorders>
            <w:tcMar>
              <w:left w:w="0" w:type="dxa"/>
            </w:tcMar>
          </w:tcPr>
          <w:p w14:paraId="59ADBB44" w14:textId="77777777" w:rsidR="00FE291A" w:rsidRDefault="00C8738F">
            <w:pPr>
              <w:keepNext/>
              <w:rPr>
                <w:b/>
                <w:bCs/>
                <w:sz w:val="22"/>
                <w:szCs w:val="22"/>
                <w:lang w:val="de-DE"/>
              </w:rPr>
            </w:pPr>
            <w:r>
              <w:rPr>
                <w:sz w:val="22"/>
                <w:szCs w:val="22"/>
                <w:lang w:val="de-DE"/>
              </w:rPr>
              <w:t xml:space="preserve">Reiben Sie </w:t>
            </w:r>
            <w:r>
              <w:rPr>
                <w:b/>
                <w:sz w:val="22"/>
                <w:szCs w:val="22"/>
                <w:lang w:val="de-DE"/>
              </w:rPr>
              <w:t>nicht</w:t>
            </w:r>
            <w:r>
              <w:rPr>
                <w:sz w:val="22"/>
                <w:szCs w:val="22"/>
                <w:lang w:val="de-DE"/>
              </w:rPr>
              <w:t xml:space="preserve"> an der Injektionsstelle. </w:t>
            </w:r>
          </w:p>
        </w:tc>
      </w:tr>
      <w:tr w:rsidR="00FE291A" w14:paraId="7910798B" w14:textId="77777777">
        <w:trPr>
          <w:cantSplit/>
          <w:trHeight w:val="57"/>
        </w:trPr>
        <w:tc>
          <w:tcPr>
            <w:tcW w:w="383" w:type="pct"/>
            <w:tcBorders>
              <w:top w:val="nil"/>
              <w:bottom w:val="single" w:sz="4" w:space="0" w:color="auto"/>
              <w:right w:val="nil"/>
            </w:tcBorders>
            <w:tcMar>
              <w:top w:w="28" w:type="dxa"/>
              <w:left w:w="57" w:type="dxa"/>
              <w:bottom w:w="28" w:type="dxa"/>
              <w:right w:w="57" w:type="dxa"/>
            </w:tcMar>
          </w:tcPr>
          <w:p w14:paraId="0FCF1708" w14:textId="77777777" w:rsidR="00FE291A" w:rsidRDefault="00FE291A">
            <w:pPr>
              <w:keepNext/>
              <w:widowControl/>
              <w:numPr>
                <w:ilvl w:val="0"/>
                <w:numId w:val="65"/>
              </w:numPr>
              <w:autoSpaceDE/>
              <w:autoSpaceDN/>
              <w:adjustRightInd/>
              <w:ind w:left="567" w:hanging="567"/>
              <w:rPr>
                <w:sz w:val="22"/>
                <w:szCs w:val="22"/>
                <w:lang w:val="de-DE"/>
              </w:rPr>
            </w:pPr>
          </w:p>
        </w:tc>
        <w:tc>
          <w:tcPr>
            <w:tcW w:w="4617" w:type="pct"/>
            <w:tcBorders>
              <w:top w:val="nil"/>
              <w:left w:val="nil"/>
              <w:bottom w:val="single" w:sz="4" w:space="0" w:color="auto"/>
            </w:tcBorders>
            <w:tcMar>
              <w:left w:w="0" w:type="dxa"/>
            </w:tcMar>
          </w:tcPr>
          <w:p w14:paraId="16B356AA" w14:textId="77777777" w:rsidR="00FE291A" w:rsidRDefault="00C8738F">
            <w:pPr>
              <w:keepNext/>
              <w:rPr>
                <w:b/>
                <w:bCs/>
                <w:sz w:val="22"/>
                <w:szCs w:val="22"/>
                <w:lang w:val="de-DE"/>
              </w:rPr>
            </w:pPr>
            <w:r>
              <w:rPr>
                <w:sz w:val="22"/>
                <w:szCs w:val="22"/>
                <w:lang w:val="de-DE"/>
              </w:rPr>
              <w:t>Falls Sie Blut bemerken, drücken Sie einen Wattebausch oder Verbandmull auf die Injektionsstelle. Verwenden Sie bei Bedarf ein Pflaster.</w:t>
            </w:r>
          </w:p>
        </w:tc>
      </w:tr>
    </w:tbl>
    <w:p w14:paraId="0813B5C5" w14:textId="77777777" w:rsidR="00FE291A" w:rsidRDefault="00FE291A">
      <w:pPr>
        <w:suppressAutoHyphens/>
        <w:contextualSpacing/>
        <w:textAlignment w:val="center"/>
        <w:rPr>
          <w:sz w:val="22"/>
          <w:szCs w:val="22"/>
          <w:highlight w:val="lightGray"/>
          <w:lang w:val="de-DE"/>
        </w:rPr>
      </w:pPr>
    </w:p>
    <w:p w14:paraId="77310C2C" w14:textId="77777777" w:rsidR="00FE291A" w:rsidRDefault="00FE291A">
      <w:pPr>
        <w:spacing w:after="160" w:line="278" w:lineRule="auto"/>
        <w:rPr>
          <w:color w:val="000000"/>
          <w:sz w:val="22"/>
          <w:szCs w:val="22"/>
          <w:lang w:val="de-DE"/>
        </w:rPr>
      </w:pPr>
    </w:p>
    <w:sectPr w:rsidR="00FE291A">
      <w:headerReference w:type="default" r:id="rId80"/>
      <w:footerReference w:type="even" r:id="rId81"/>
      <w:footerReference w:type="default" r:id="rId82"/>
      <w:footerReference w:type="first" r:id="rId83"/>
      <w:type w:val="continuous"/>
      <w:pgSz w:w="11907" w:h="16860"/>
      <w:pgMar w:top="1134" w:right="1418" w:bottom="1134" w:left="1418" w:header="720" w:footer="720" w:gutter="0"/>
      <w:cols w:space="720" w:equalWidth="0">
        <w:col w:w="920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0FCF6" w14:textId="77777777" w:rsidR="00C173D0" w:rsidRDefault="00C173D0">
      <w:r>
        <w:separator/>
      </w:r>
    </w:p>
  </w:endnote>
  <w:endnote w:type="continuationSeparator" w:id="0">
    <w:p w14:paraId="5C78C3F0" w14:textId="77777777" w:rsidR="00C173D0" w:rsidRDefault="00C17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Roman">
    <w:altName w:val="Times New Roman"/>
    <w:charset w:val="4D"/>
    <w:family w:val="auto"/>
    <w:pitch w:val="default"/>
    <w:sig w:usb0="00000000" w:usb1="00000000" w:usb2="00000000" w:usb3="00000000" w:csb0="00000001" w:csb1="00000000"/>
  </w:font>
  <w:font w:name="Georgia-Bold">
    <w:altName w:val="Georgia"/>
    <w:charset w:val="4D"/>
    <w:family w:val="auto"/>
    <w:pitch w:val="default"/>
    <w:sig w:usb0="00000000"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default"/>
    <w:sig w:usb0="00000000" w:usb1="00000000" w:usb2="00000000" w:usb3="00000000" w:csb0="00000001" w:csb1="00000000"/>
  </w:font>
  <w:font w:name="HelveticaLTStd-Roman">
    <w:altName w:val="Segoe Print"/>
    <w:charset w:val="EE"/>
    <w:family w:val="swiss"/>
    <w:pitch w:val="default"/>
    <w:sig w:usb0="00000000" w:usb1="00000000" w:usb2="00000000" w:usb3="00000000" w:csb0="0000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16F8A" w14:textId="77777777" w:rsidR="009C5B62" w:rsidRDefault="009C5B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3B2B" w14:textId="77777777" w:rsidR="00FE291A" w:rsidRDefault="00C8738F">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Pr>
        <w:rFonts w:ascii="Arial" w:hAnsi="Arial" w:cs="Arial"/>
        <w:sz w:val="16"/>
        <w:szCs w:val="16"/>
      </w:rPr>
      <w:t>99</w:t>
    </w:r>
    <w:r>
      <w:rPr>
        <w:rFonts w:ascii="Arial" w:hAnsi="Arial" w:cs="Arial"/>
        <w:sz w:val="16"/>
        <w:szCs w:val="16"/>
      </w:rPr>
      <w:fldChar w:fldCharType="end"/>
    </w:r>
  </w:p>
  <w:p w14:paraId="74CB99CA" w14:textId="77777777" w:rsidR="00FE291A" w:rsidRDefault="00FE291A">
    <w:pPr>
      <w:kinsoku w:val="0"/>
      <w:overflowPunct w:val="0"/>
      <w:spacing w:line="200" w:lineRule="exac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F9D1C" w14:textId="77777777" w:rsidR="009C5B62" w:rsidRDefault="009C5B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63FB2" w14:textId="77777777" w:rsidR="00C173D0" w:rsidRDefault="00C173D0">
      <w:r>
        <w:separator/>
      </w:r>
    </w:p>
  </w:footnote>
  <w:footnote w:type="continuationSeparator" w:id="0">
    <w:p w14:paraId="3C63D981" w14:textId="77777777" w:rsidR="00C173D0" w:rsidRDefault="00C17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23BE" w14:textId="77777777" w:rsidR="00FE291A" w:rsidRDefault="00FE291A">
    <w:pPr>
      <w:kinsoku w:val="0"/>
      <w:overflowPunct w:val="0"/>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402"/>
    <w:lvl w:ilvl="0">
      <w:start w:val="1"/>
      <w:numFmt w:val="decimal"/>
      <w:lvlText w:val="%1."/>
      <w:lvlJc w:val="left"/>
      <w:pPr>
        <w:ind w:hanging="574"/>
      </w:pPr>
      <w:rPr>
        <w:rFonts w:ascii="Times New Roman" w:hAnsi="Times New Roman" w:cs="Times New Roman"/>
        <w:b/>
        <w:bCs/>
        <w:sz w:val="22"/>
        <w:szCs w:val="22"/>
      </w:rPr>
    </w:lvl>
    <w:lvl w:ilvl="1">
      <w:start w:val="1"/>
      <w:numFmt w:val="decimal"/>
      <w:lvlText w:val="%1.%2"/>
      <w:lvlJc w:val="left"/>
      <w:pPr>
        <w:ind w:hanging="567"/>
      </w:pPr>
      <w:rPr>
        <w:rFonts w:ascii="Times New Roman" w:hAnsi="Times New Roman" w:cs="Times New Roman"/>
        <w:b/>
        <w:bCs/>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4"/>
    <w:multiLevelType w:val="multilevel"/>
    <w:tmpl w:val="00000404"/>
    <w:lvl w:ilvl="0">
      <w:start w:val="4"/>
      <w:numFmt w:val="decimal"/>
      <w:lvlText w:val="%1"/>
      <w:lvlJc w:val="left"/>
      <w:pPr>
        <w:ind w:hanging="567"/>
      </w:pPr>
      <w:rPr>
        <w:rFonts w:cs="Times New Roman"/>
      </w:rPr>
    </w:lvl>
    <w:lvl w:ilvl="1">
      <w:start w:val="6"/>
      <w:numFmt w:val="decimal"/>
      <w:lvlText w:val="%1.%2"/>
      <w:lvlJc w:val="left"/>
      <w:pPr>
        <w:ind w:hanging="567"/>
      </w:pPr>
      <w:rPr>
        <w:rFonts w:ascii="Times New Roman" w:hAnsi="Times New Roman" w:cs="Times New Roman"/>
        <w:b/>
        <w:bCs/>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A"/>
    <w:multiLevelType w:val="multilevel"/>
    <w:tmpl w:val="0000040A"/>
    <w:lvl w:ilvl="0">
      <w:start w:val="5"/>
      <w:numFmt w:val="decimal"/>
      <w:lvlText w:val="%1"/>
      <w:lvlJc w:val="left"/>
      <w:pPr>
        <w:ind w:hanging="567"/>
      </w:pPr>
      <w:rPr>
        <w:rFonts w:cs="Times New Roman"/>
      </w:rPr>
    </w:lvl>
    <w:lvl w:ilvl="1">
      <w:start w:val="2"/>
      <w:numFmt w:val="decimal"/>
      <w:lvlText w:val="%1.%2"/>
      <w:lvlJc w:val="left"/>
      <w:pPr>
        <w:ind w:hanging="567"/>
      </w:pPr>
      <w:rPr>
        <w:rFonts w:ascii="Times New Roman" w:hAnsi="Times New Roman" w:cs="Times New Roman"/>
        <w:b/>
        <w:bCs/>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0C"/>
    <w:multiLevelType w:val="multilevel"/>
    <w:tmpl w:val="0000040C"/>
    <w:lvl w:ilvl="0">
      <w:numFmt w:val="bullet"/>
      <w:lvlText w:val="-"/>
      <w:lvlJc w:val="left"/>
      <w:pPr>
        <w:ind w:hanging="567"/>
      </w:pPr>
      <w:rPr>
        <w:rFonts w:ascii="Times New Roman" w:hAnsi="Times New Roman"/>
        <w:b w:val="0"/>
        <w:sz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00040D"/>
    <w:multiLevelType w:val="multilevel"/>
    <w:tmpl w:val="0000040D"/>
    <w:lvl w:ilvl="0">
      <w:start w:val="1"/>
      <w:numFmt w:val="decimal"/>
      <w:lvlText w:val="%1."/>
      <w:lvlJc w:val="left"/>
      <w:pPr>
        <w:ind w:hanging="567"/>
      </w:pPr>
      <w:rPr>
        <w:rFonts w:ascii="Times New Roman" w:hAnsi="Times New Roman" w:cs="Times New Roman"/>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0000040F"/>
    <w:multiLevelType w:val="multilevel"/>
    <w:tmpl w:val="0000040F"/>
    <w:lvl w:ilvl="0">
      <w:start w:val="1"/>
      <w:numFmt w:val="bullet"/>
      <w:lvlText w:val=""/>
      <w:lvlJc w:val="left"/>
      <w:pPr>
        <w:ind w:hanging="567"/>
      </w:pPr>
      <w:rPr>
        <w:rFonts w:ascii="Symbol" w:hAnsi="Symbol" w:hint="default"/>
        <w:b w:val="0"/>
        <w:w w:val="131"/>
        <w:sz w:val="22"/>
      </w:rPr>
    </w:lvl>
    <w:lvl w:ilvl="1">
      <w:numFmt w:val="bullet"/>
      <w:lvlText w:val="o"/>
      <w:lvlJc w:val="left"/>
      <w:pPr>
        <w:ind w:hanging="569"/>
      </w:pPr>
      <w:rPr>
        <w:rFonts w:ascii="Courier New" w:hAnsi="Courier New"/>
        <w:b w:val="0"/>
        <w:sz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00B83B39"/>
    <w:multiLevelType w:val="multilevel"/>
    <w:tmpl w:val="00B83B39"/>
    <w:lvl w:ilvl="0">
      <w:start w:val="1"/>
      <w:numFmt w:val="decimal"/>
      <w:lvlText w:val="%1."/>
      <w:lvlJc w:val="left"/>
      <w:pPr>
        <w:ind w:left="1650" w:hanging="57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174763E"/>
    <w:multiLevelType w:val="multilevel"/>
    <w:tmpl w:val="017476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3911225"/>
    <w:multiLevelType w:val="multilevel"/>
    <w:tmpl w:val="03911225"/>
    <w:lvl w:ilvl="0">
      <w:start w:val="1"/>
      <w:numFmt w:val="bullet"/>
      <w:pStyle w:val="ListBullets"/>
      <w:lvlText w:val=""/>
      <w:lvlJc w:val="left"/>
      <w:pPr>
        <w:ind w:left="720" w:hanging="360"/>
      </w:pPr>
      <w:rPr>
        <w:rFonts w:ascii="Symbol" w:hAnsi="Symbol" w:hint="default"/>
        <w:color w:val="auto"/>
      </w:rPr>
    </w:lvl>
    <w:lvl w:ilvl="1">
      <w:start w:val="1"/>
      <w:numFmt w:val="bullet"/>
      <w:pStyle w:val="ListBulletsInden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9C44CC1"/>
    <w:multiLevelType w:val="multilevel"/>
    <w:tmpl w:val="09C44CC1"/>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0" w15:restartNumberingAfterBreak="0">
    <w:nsid w:val="0A883E57"/>
    <w:multiLevelType w:val="multilevel"/>
    <w:tmpl w:val="0A883E57"/>
    <w:lvl w:ilvl="0">
      <w:start w:val="1"/>
      <w:numFmt w:val="bullet"/>
      <w:pStyle w:val="BULLETED"/>
      <w:lvlText w:val=""/>
      <w:lvlJc w:val="left"/>
      <w:pPr>
        <w:ind w:left="3366" w:hanging="360"/>
      </w:pPr>
      <w:rPr>
        <w:rFonts w:ascii="Symbol" w:hAnsi="Symbol" w:hint="default"/>
      </w:rPr>
    </w:lvl>
    <w:lvl w:ilvl="1">
      <w:start w:val="1"/>
      <w:numFmt w:val="bullet"/>
      <w:lvlText w:val="o"/>
      <w:lvlJc w:val="left"/>
      <w:pPr>
        <w:ind w:left="4086" w:hanging="360"/>
      </w:pPr>
      <w:rPr>
        <w:rFonts w:ascii="Courier New" w:hAnsi="Courier New" w:hint="default"/>
      </w:rPr>
    </w:lvl>
    <w:lvl w:ilvl="2">
      <w:start w:val="1"/>
      <w:numFmt w:val="bullet"/>
      <w:lvlText w:val=""/>
      <w:lvlJc w:val="left"/>
      <w:pPr>
        <w:ind w:left="4806" w:hanging="360"/>
      </w:pPr>
      <w:rPr>
        <w:rFonts w:ascii="Wingdings" w:hAnsi="Wingdings" w:hint="default"/>
      </w:rPr>
    </w:lvl>
    <w:lvl w:ilvl="3">
      <w:start w:val="1"/>
      <w:numFmt w:val="bullet"/>
      <w:lvlText w:val=""/>
      <w:lvlJc w:val="left"/>
      <w:pPr>
        <w:ind w:left="5526" w:hanging="360"/>
      </w:pPr>
      <w:rPr>
        <w:rFonts w:ascii="Symbol" w:hAnsi="Symbol" w:hint="default"/>
      </w:rPr>
    </w:lvl>
    <w:lvl w:ilvl="4">
      <w:start w:val="1"/>
      <w:numFmt w:val="bullet"/>
      <w:lvlText w:val="o"/>
      <w:lvlJc w:val="left"/>
      <w:pPr>
        <w:ind w:left="6246" w:hanging="360"/>
      </w:pPr>
      <w:rPr>
        <w:rFonts w:ascii="Courier New" w:hAnsi="Courier New" w:hint="default"/>
      </w:rPr>
    </w:lvl>
    <w:lvl w:ilvl="5">
      <w:start w:val="1"/>
      <w:numFmt w:val="bullet"/>
      <w:lvlText w:val=""/>
      <w:lvlJc w:val="left"/>
      <w:pPr>
        <w:ind w:left="6966" w:hanging="360"/>
      </w:pPr>
      <w:rPr>
        <w:rFonts w:ascii="Wingdings" w:hAnsi="Wingdings" w:hint="default"/>
      </w:rPr>
    </w:lvl>
    <w:lvl w:ilvl="6">
      <w:start w:val="1"/>
      <w:numFmt w:val="bullet"/>
      <w:lvlText w:val=""/>
      <w:lvlJc w:val="left"/>
      <w:pPr>
        <w:ind w:left="7686" w:hanging="360"/>
      </w:pPr>
      <w:rPr>
        <w:rFonts w:ascii="Symbol" w:hAnsi="Symbol" w:hint="default"/>
      </w:rPr>
    </w:lvl>
    <w:lvl w:ilvl="7">
      <w:start w:val="1"/>
      <w:numFmt w:val="bullet"/>
      <w:lvlText w:val="o"/>
      <w:lvlJc w:val="left"/>
      <w:pPr>
        <w:ind w:left="8406" w:hanging="360"/>
      </w:pPr>
      <w:rPr>
        <w:rFonts w:ascii="Courier New" w:hAnsi="Courier New" w:hint="default"/>
      </w:rPr>
    </w:lvl>
    <w:lvl w:ilvl="8">
      <w:start w:val="1"/>
      <w:numFmt w:val="bullet"/>
      <w:lvlText w:val=""/>
      <w:lvlJc w:val="left"/>
      <w:pPr>
        <w:ind w:left="9126" w:hanging="360"/>
      </w:pPr>
      <w:rPr>
        <w:rFonts w:ascii="Wingdings" w:hAnsi="Wingdings" w:hint="default"/>
      </w:rPr>
    </w:lvl>
  </w:abstractNum>
  <w:abstractNum w:abstractNumId="11" w15:restartNumberingAfterBreak="0">
    <w:nsid w:val="0D7A39A4"/>
    <w:multiLevelType w:val="multilevel"/>
    <w:tmpl w:val="0D7A39A4"/>
    <w:lvl w:ilvl="0">
      <w:start w:val="1"/>
      <w:numFmt w:val="decimal"/>
      <w:lvlText w:val="%1."/>
      <w:lvlJc w:val="left"/>
      <w:pPr>
        <w:ind w:left="1650" w:hanging="57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EEB0A60"/>
    <w:multiLevelType w:val="multilevel"/>
    <w:tmpl w:val="0EEB0A60"/>
    <w:lvl w:ilvl="0">
      <w:start w:val="1"/>
      <w:numFmt w:val="bullet"/>
      <w:lvlText w:val="-"/>
      <w:lvlJc w:val="left"/>
      <w:pPr>
        <w:ind w:hanging="567"/>
      </w:pPr>
      <w:rPr>
        <w:rFonts w:hint="default"/>
        <w:b w:val="0"/>
        <w:w w:val="131"/>
        <w:sz w:val="22"/>
      </w:rPr>
    </w:lvl>
    <w:lvl w:ilvl="1">
      <w:numFmt w:val="bullet"/>
      <w:lvlText w:val="o"/>
      <w:lvlJc w:val="left"/>
      <w:pPr>
        <w:ind w:hanging="569"/>
      </w:pPr>
      <w:rPr>
        <w:rFonts w:ascii="Courier New" w:hAnsi="Courier New"/>
        <w:b w:val="0"/>
        <w:sz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15:restartNumberingAfterBreak="0">
    <w:nsid w:val="1096104D"/>
    <w:multiLevelType w:val="multilevel"/>
    <w:tmpl w:val="1096104D"/>
    <w:lvl w:ilvl="0">
      <w:start w:val="4"/>
      <w:numFmt w:val="decimal"/>
      <w:lvlText w:val="%1"/>
      <w:lvlJc w:val="left"/>
      <w:pPr>
        <w:ind w:left="0" w:hanging="567"/>
      </w:pPr>
      <w:rPr>
        <w:rFonts w:cs="Times New Roman" w:hint="default"/>
      </w:rPr>
    </w:lvl>
    <w:lvl w:ilvl="1">
      <w:start w:val="6"/>
      <w:numFmt w:val="decimal"/>
      <w:lvlText w:val="%1.%2"/>
      <w:lvlJc w:val="left"/>
      <w:pPr>
        <w:ind w:left="0" w:hanging="567"/>
      </w:pPr>
      <w:rPr>
        <w:rFonts w:ascii="Times New Roman" w:hAnsi="Times New Roman" w:cs="Times New Roman" w:hint="default"/>
        <w:b/>
        <w:bCs/>
        <w:sz w:val="22"/>
        <w:szCs w:val="22"/>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14" w15:restartNumberingAfterBreak="0">
    <w:nsid w:val="1298085E"/>
    <w:multiLevelType w:val="multilevel"/>
    <w:tmpl w:val="1298085E"/>
    <w:lvl w:ilvl="0">
      <w:start w:val="1"/>
      <w:numFmt w:val="bullet"/>
      <w:lvlText w:val="-"/>
      <w:lvlJc w:val="left"/>
      <w:pPr>
        <w:ind w:hanging="567"/>
      </w:pPr>
      <w:rPr>
        <w:rFonts w:hint="default"/>
        <w:b w:val="0"/>
        <w:w w:val="131"/>
        <w:sz w:val="22"/>
      </w:rPr>
    </w:lvl>
    <w:lvl w:ilvl="1">
      <w:numFmt w:val="bullet"/>
      <w:lvlText w:val="o"/>
      <w:lvlJc w:val="left"/>
      <w:pPr>
        <w:ind w:hanging="569"/>
      </w:pPr>
      <w:rPr>
        <w:rFonts w:ascii="Courier New" w:hAnsi="Courier New"/>
        <w:b w:val="0"/>
        <w:sz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15:restartNumberingAfterBreak="0">
    <w:nsid w:val="145A624B"/>
    <w:multiLevelType w:val="multilevel"/>
    <w:tmpl w:val="145A624B"/>
    <w:lvl w:ilvl="0">
      <w:start w:val="1"/>
      <w:numFmt w:val="decimal"/>
      <w:lvlText w:val="%1."/>
      <w:lvlJc w:val="left"/>
      <w:pPr>
        <w:ind w:left="930" w:hanging="5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BE7F96"/>
    <w:multiLevelType w:val="multilevel"/>
    <w:tmpl w:val="1FBE7F96"/>
    <w:lvl w:ilvl="0">
      <w:start w:val="1"/>
      <w:numFmt w:val="decimal"/>
      <w:lvlText w:val="%1."/>
      <w:lvlJc w:val="left"/>
      <w:pPr>
        <w:ind w:left="930" w:hanging="5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00800C3"/>
    <w:multiLevelType w:val="multilevel"/>
    <w:tmpl w:val="200800C3"/>
    <w:lvl w:ilvl="0">
      <w:start w:val="1"/>
      <w:numFmt w:val="decimal"/>
      <w:lvlText w:val="%1."/>
      <w:lvlJc w:val="left"/>
      <w:pPr>
        <w:ind w:left="930" w:hanging="5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02B3A5E"/>
    <w:multiLevelType w:val="multilevel"/>
    <w:tmpl w:val="202B3A5E"/>
    <w:lvl w:ilvl="0">
      <w:start w:val="1"/>
      <w:numFmt w:val="upperRoman"/>
      <w:pStyle w:val="AHeader1"/>
      <w:lvlText w:val="%1"/>
      <w:lvlJc w:val="left"/>
      <w:pPr>
        <w:tabs>
          <w:tab w:val="left" w:pos="720"/>
        </w:tabs>
        <w:ind w:left="284" w:hanging="284"/>
      </w:pPr>
      <w:rPr>
        <w:rFonts w:ascii="Arial" w:hAnsi="Arial" w:cs="Times New Roman" w:hint="default"/>
        <w:b/>
        <w:i w:val="0"/>
        <w:sz w:val="24"/>
      </w:rPr>
    </w:lvl>
    <w:lvl w:ilvl="1">
      <w:start w:val="1"/>
      <w:numFmt w:val="decimal"/>
      <w:pStyle w:val="AHeader2"/>
      <w:lvlText w:val="%1.%2"/>
      <w:lvlJc w:val="left"/>
      <w:pPr>
        <w:tabs>
          <w:tab w:val="left" w:pos="709"/>
        </w:tabs>
        <w:ind w:left="709" w:hanging="425"/>
      </w:pPr>
      <w:rPr>
        <w:rFonts w:ascii="Arial" w:hAnsi="Arial" w:cs="Times New Roman" w:hint="default"/>
        <w:b/>
        <w:i w:val="0"/>
        <w:sz w:val="22"/>
      </w:rPr>
    </w:lvl>
    <w:lvl w:ilvl="2">
      <w:start w:val="1"/>
      <w:numFmt w:val="decimal"/>
      <w:pStyle w:val="AHeader3"/>
      <w:lvlText w:val="%1.%2.%3"/>
      <w:lvlJc w:val="left"/>
      <w:pPr>
        <w:tabs>
          <w:tab w:val="left" w:pos="1276"/>
        </w:tabs>
        <w:ind w:left="1276" w:hanging="567"/>
      </w:pPr>
      <w:rPr>
        <w:rFonts w:ascii="Arial" w:hAnsi="Arial" w:cs="Times New Roman" w:hint="default"/>
        <w:b/>
        <w:i w:val="0"/>
        <w:sz w:val="22"/>
      </w:rPr>
    </w:lvl>
    <w:lvl w:ilvl="3">
      <w:start w:val="1"/>
      <w:numFmt w:val="lowerLetter"/>
      <w:pStyle w:val="AHeader2abc"/>
      <w:lvlText w:val="%4)"/>
      <w:lvlJc w:val="left"/>
      <w:pPr>
        <w:tabs>
          <w:tab w:val="left"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left" w:pos="1701"/>
        </w:tabs>
        <w:ind w:left="1701" w:hanging="425"/>
      </w:pPr>
      <w:rPr>
        <w:rFonts w:hint="default"/>
      </w:rPr>
    </w:lvl>
    <w:lvl w:ilvl="5">
      <w:start w:val="1"/>
      <w:numFmt w:val="lowerLetter"/>
      <w:lvlText w:val="%6)"/>
      <w:lvlJc w:val="left"/>
      <w:pPr>
        <w:tabs>
          <w:tab w:val="left" w:pos="1663"/>
        </w:tabs>
        <w:ind w:left="1663" w:hanging="432"/>
      </w:pPr>
      <w:rPr>
        <w:rFonts w:hint="default"/>
      </w:rPr>
    </w:lvl>
    <w:lvl w:ilvl="6">
      <w:start w:val="1"/>
      <w:numFmt w:val="lowerRoman"/>
      <w:lvlText w:val="%7)"/>
      <w:lvlJc w:val="right"/>
      <w:pPr>
        <w:tabs>
          <w:tab w:val="left" w:pos="1807"/>
        </w:tabs>
        <w:ind w:left="1807" w:hanging="288"/>
      </w:pPr>
      <w:rPr>
        <w:rFonts w:hint="default"/>
      </w:rPr>
    </w:lvl>
    <w:lvl w:ilvl="7">
      <w:start w:val="1"/>
      <w:numFmt w:val="lowerLetter"/>
      <w:lvlText w:val="%8."/>
      <w:lvlJc w:val="left"/>
      <w:pPr>
        <w:tabs>
          <w:tab w:val="left" w:pos="1951"/>
        </w:tabs>
        <w:ind w:left="1951" w:hanging="432"/>
      </w:pPr>
      <w:rPr>
        <w:rFonts w:hint="default"/>
      </w:rPr>
    </w:lvl>
    <w:lvl w:ilvl="8">
      <w:start w:val="1"/>
      <w:numFmt w:val="lowerRoman"/>
      <w:lvlText w:val="%9."/>
      <w:lvlJc w:val="left"/>
      <w:pPr>
        <w:tabs>
          <w:tab w:val="left" w:pos="2671"/>
        </w:tabs>
        <w:ind w:left="2311" w:hanging="360"/>
      </w:pPr>
      <w:rPr>
        <w:rFonts w:ascii="Arial" w:hAnsi="Arial" w:hint="default"/>
        <w:b w:val="0"/>
        <w:i w:val="0"/>
        <w:sz w:val="22"/>
      </w:rPr>
    </w:lvl>
  </w:abstractNum>
  <w:abstractNum w:abstractNumId="19" w15:restartNumberingAfterBreak="0">
    <w:nsid w:val="20E47E9A"/>
    <w:multiLevelType w:val="multilevel"/>
    <w:tmpl w:val="20E47E9A"/>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0" w15:restartNumberingAfterBreak="0">
    <w:nsid w:val="25BD066E"/>
    <w:multiLevelType w:val="multilevel"/>
    <w:tmpl w:val="25BD066E"/>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1" w15:restartNumberingAfterBreak="0">
    <w:nsid w:val="26024B17"/>
    <w:multiLevelType w:val="multilevel"/>
    <w:tmpl w:val="26024B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6C75935"/>
    <w:multiLevelType w:val="multilevel"/>
    <w:tmpl w:val="26C75935"/>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8521463"/>
    <w:multiLevelType w:val="singleLevel"/>
    <w:tmpl w:val="28521463"/>
    <w:lvl w:ilvl="0">
      <w:start w:val="1"/>
      <w:numFmt w:val="bullet"/>
      <w:pStyle w:val="TextBullet"/>
      <w:lvlText w:val=""/>
      <w:lvlJc w:val="left"/>
      <w:pPr>
        <w:tabs>
          <w:tab w:val="left" w:pos="360"/>
        </w:tabs>
        <w:ind w:left="360" w:hanging="360"/>
      </w:pPr>
      <w:rPr>
        <w:rFonts w:ascii="Symbol" w:hAnsi="Symbol" w:hint="default"/>
      </w:rPr>
    </w:lvl>
  </w:abstractNum>
  <w:abstractNum w:abstractNumId="24" w15:restartNumberingAfterBreak="0">
    <w:nsid w:val="2C4F210F"/>
    <w:multiLevelType w:val="multilevel"/>
    <w:tmpl w:val="B720C3AA"/>
    <w:lvl w:ilvl="0">
      <w:start w:val="1"/>
      <w:numFmt w:val="bullet"/>
      <w:lvlText w:val=""/>
      <w:lvlJc w:val="left"/>
      <w:pPr>
        <w:ind w:left="502" w:hanging="360"/>
      </w:pPr>
      <w:rPr>
        <w:rFonts w:ascii="Symbol" w:hAnsi="Symbol" w:hint="default"/>
        <w:b w:val="0"/>
        <w:b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DDE4CB4"/>
    <w:multiLevelType w:val="multilevel"/>
    <w:tmpl w:val="2DDE4CB4"/>
    <w:lvl w:ilvl="0">
      <w:start w:val="1"/>
      <w:numFmt w:val="decimal"/>
      <w:lvlText w:val="%1."/>
      <w:lvlJc w:val="left"/>
      <w:pPr>
        <w:ind w:left="1650" w:hanging="57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E220D46"/>
    <w:multiLevelType w:val="multilevel"/>
    <w:tmpl w:val="2E220D46"/>
    <w:lvl w:ilvl="0">
      <w:start w:val="1"/>
      <w:numFmt w:val="decimal"/>
      <w:lvlText w:val="%1."/>
      <w:lvlJc w:val="left"/>
      <w:pPr>
        <w:ind w:left="1650" w:hanging="57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E6D5441"/>
    <w:multiLevelType w:val="multilevel"/>
    <w:tmpl w:val="2E6D5441"/>
    <w:lvl w:ilvl="0">
      <w:start w:val="1"/>
      <w:numFmt w:val="decimal"/>
      <w:lvlText w:val="%1."/>
      <w:lvlJc w:val="left"/>
      <w:pPr>
        <w:ind w:left="1650" w:hanging="57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FCC6417"/>
    <w:multiLevelType w:val="multilevel"/>
    <w:tmpl w:val="2FCC6417"/>
    <w:lvl w:ilvl="0">
      <w:start w:val="1"/>
      <w:numFmt w:val="decimal"/>
      <w:lvlText w:val="%1."/>
      <w:lvlJc w:val="left"/>
      <w:pPr>
        <w:ind w:left="1650" w:hanging="57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5E70F83"/>
    <w:multiLevelType w:val="multilevel"/>
    <w:tmpl w:val="35E70F83"/>
    <w:lvl w:ilvl="0">
      <w:start w:val="1"/>
      <w:numFmt w:val="bullet"/>
      <w:lvlText w:val="-"/>
      <w:lvlJc w:val="left"/>
      <w:pPr>
        <w:ind w:hanging="567"/>
      </w:pPr>
      <w:rPr>
        <w:rFonts w:hint="default"/>
        <w:b w:val="0"/>
        <w:w w:val="131"/>
        <w:sz w:val="22"/>
      </w:rPr>
    </w:lvl>
    <w:lvl w:ilvl="1">
      <w:numFmt w:val="bullet"/>
      <w:lvlText w:val="o"/>
      <w:lvlJc w:val="left"/>
      <w:pPr>
        <w:ind w:hanging="569"/>
      </w:pPr>
      <w:rPr>
        <w:rFonts w:ascii="Courier New" w:hAnsi="Courier New"/>
        <w:b w:val="0"/>
        <w:sz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0" w15:restartNumberingAfterBreak="0">
    <w:nsid w:val="361F1424"/>
    <w:multiLevelType w:val="multilevel"/>
    <w:tmpl w:val="361F1424"/>
    <w:lvl w:ilvl="0">
      <w:start w:val="5"/>
      <w:numFmt w:val="decimal"/>
      <w:lvlText w:val="%1"/>
      <w:lvlJc w:val="left"/>
      <w:pPr>
        <w:ind w:hanging="567"/>
      </w:pPr>
      <w:rPr>
        <w:rFonts w:cs="Times New Roman"/>
      </w:rPr>
    </w:lvl>
    <w:lvl w:ilvl="1">
      <w:start w:val="2"/>
      <w:numFmt w:val="decimal"/>
      <w:lvlText w:val="%1.%2"/>
      <w:lvlJc w:val="left"/>
      <w:pPr>
        <w:ind w:hanging="567"/>
      </w:pPr>
      <w:rPr>
        <w:rFonts w:ascii="Times New Roman" w:hAnsi="Times New Roman" w:cs="Times New Roman"/>
        <w:b/>
        <w:bCs/>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1" w15:restartNumberingAfterBreak="0">
    <w:nsid w:val="3789418F"/>
    <w:multiLevelType w:val="multilevel"/>
    <w:tmpl w:val="3789418F"/>
    <w:lvl w:ilvl="0">
      <w:start w:val="1"/>
      <w:numFmt w:val="decimal"/>
      <w:lvlText w:val="%1."/>
      <w:lvlJc w:val="left"/>
      <w:pPr>
        <w:ind w:left="930" w:hanging="5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A3262C1"/>
    <w:multiLevelType w:val="multilevel"/>
    <w:tmpl w:val="3A3262C1"/>
    <w:lvl w:ilvl="0">
      <w:start w:val="1"/>
      <w:numFmt w:val="decimal"/>
      <w:lvlText w:val="%1."/>
      <w:lvlJc w:val="left"/>
      <w:pPr>
        <w:ind w:left="930" w:hanging="5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B4D2D1C"/>
    <w:multiLevelType w:val="multilevel"/>
    <w:tmpl w:val="3B4D2D1C"/>
    <w:lvl w:ilvl="0">
      <w:start w:val="1"/>
      <w:numFmt w:val="bullet"/>
      <w:pStyle w:val="ARROWBULLETED"/>
      <w:lvlText w:val=""/>
      <w:lvlJc w:val="left"/>
      <w:pPr>
        <w:ind w:left="720" w:hanging="360"/>
      </w:pPr>
      <w:rPr>
        <w:rFonts w:ascii="Wingdings 3" w:hAnsi="Wingdings 3"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3BC77894"/>
    <w:multiLevelType w:val="multilevel"/>
    <w:tmpl w:val="3BC77894"/>
    <w:lvl w:ilvl="0">
      <w:start w:val="1"/>
      <w:numFmt w:val="bullet"/>
      <w:lvlText w:val=""/>
      <w:lvlJc w:val="left"/>
      <w:pPr>
        <w:ind w:left="1350" w:hanging="360"/>
      </w:pPr>
      <w:rPr>
        <w:rFonts w:ascii="Symbol" w:hAnsi="Symbol"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35" w15:restartNumberingAfterBreak="0">
    <w:nsid w:val="3D122D65"/>
    <w:multiLevelType w:val="multilevel"/>
    <w:tmpl w:val="3D122D6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3FA0118B"/>
    <w:multiLevelType w:val="multilevel"/>
    <w:tmpl w:val="3FA0118B"/>
    <w:lvl w:ilvl="0">
      <w:start w:val="1"/>
      <w:numFmt w:val="decimal"/>
      <w:lvlText w:val="%1."/>
      <w:lvlJc w:val="left"/>
      <w:pPr>
        <w:ind w:left="1650" w:hanging="57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42630EF"/>
    <w:multiLevelType w:val="multilevel"/>
    <w:tmpl w:val="442630EF"/>
    <w:lvl w:ilvl="0">
      <w:start w:val="506"/>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470E365F"/>
    <w:multiLevelType w:val="multilevel"/>
    <w:tmpl w:val="470E365F"/>
    <w:lvl w:ilvl="0">
      <w:start w:val="1"/>
      <w:numFmt w:val="decimal"/>
      <w:lvlText w:val="%1."/>
      <w:lvlJc w:val="left"/>
      <w:pPr>
        <w:ind w:left="1650" w:hanging="57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9D82B23"/>
    <w:multiLevelType w:val="multilevel"/>
    <w:tmpl w:val="49D82B23"/>
    <w:lvl w:ilvl="0">
      <w:start w:val="1"/>
      <w:numFmt w:val="decimal"/>
      <w:lvlText w:val="%1."/>
      <w:lvlJc w:val="left"/>
      <w:pPr>
        <w:ind w:left="1650" w:hanging="57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A6B38E0"/>
    <w:multiLevelType w:val="multilevel"/>
    <w:tmpl w:val="4A6B38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4AB67A50"/>
    <w:multiLevelType w:val="multilevel"/>
    <w:tmpl w:val="4AB67A50"/>
    <w:lvl w:ilvl="0">
      <w:start w:val="1"/>
      <w:numFmt w:val="decimal"/>
      <w:lvlText w:val="%1."/>
      <w:lvlJc w:val="left"/>
      <w:pPr>
        <w:ind w:left="1650" w:hanging="57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D7D7387"/>
    <w:multiLevelType w:val="multilevel"/>
    <w:tmpl w:val="4D7D7387"/>
    <w:lvl w:ilvl="0">
      <w:start w:val="1"/>
      <w:numFmt w:val="decimal"/>
      <w:lvlText w:val="%1."/>
      <w:lvlJc w:val="left"/>
      <w:pPr>
        <w:ind w:left="1650" w:hanging="57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F094C63"/>
    <w:multiLevelType w:val="multilevel"/>
    <w:tmpl w:val="4F094C63"/>
    <w:lvl w:ilvl="0">
      <w:start w:val="1"/>
      <w:numFmt w:val="decimal"/>
      <w:lvlText w:val="%1."/>
      <w:lvlJc w:val="left"/>
      <w:pPr>
        <w:ind w:left="930" w:hanging="5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039569E"/>
    <w:multiLevelType w:val="multilevel"/>
    <w:tmpl w:val="5039569E"/>
    <w:lvl w:ilvl="0">
      <w:start w:val="1"/>
      <w:numFmt w:val="decimal"/>
      <w:lvlText w:val="%1."/>
      <w:lvlJc w:val="left"/>
      <w:pPr>
        <w:ind w:hanging="567"/>
      </w:pPr>
      <w:rPr>
        <w:rFonts w:ascii="Times New Roman" w:hAnsi="Times New Roman" w:cs="Times New Roman"/>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5" w15:restartNumberingAfterBreak="0">
    <w:nsid w:val="545E5E11"/>
    <w:multiLevelType w:val="multilevel"/>
    <w:tmpl w:val="545E5E11"/>
    <w:lvl w:ilvl="0">
      <w:start w:val="1"/>
      <w:numFmt w:val="decimal"/>
      <w:lvlText w:val="%1."/>
      <w:lvlJc w:val="left"/>
      <w:pPr>
        <w:ind w:left="1650" w:hanging="57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5EB62F1"/>
    <w:multiLevelType w:val="multilevel"/>
    <w:tmpl w:val="55EB62F1"/>
    <w:lvl w:ilvl="0">
      <w:start w:val="1"/>
      <w:numFmt w:val="decimal"/>
      <w:lvlText w:val="%1."/>
      <w:lvlJc w:val="left"/>
      <w:pPr>
        <w:ind w:left="930" w:hanging="5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7400A91"/>
    <w:multiLevelType w:val="multilevel"/>
    <w:tmpl w:val="57400A91"/>
    <w:lvl w:ilvl="0">
      <w:start w:val="1"/>
      <w:numFmt w:val="upperLetter"/>
      <w:lvlText w:val="%1."/>
      <w:lvlJc w:val="left"/>
      <w:pPr>
        <w:ind w:left="1701" w:hanging="708"/>
      </w:pPr>
      <w:rPr>
        <w:rFonts w:hint="default"/>
      </w:rPr>
    </w:lvl>
    <w:lvl w:ilvl="1">
      <w:start w:val="1"/>
      <w:numFmt w:val="decimal"/>
      <w:lvlText w:val="%2."/>
      <w:lvlJc w:val="left"/>
      <w:pPr>
        <w:ind w:left="2283" w:hanging="570"/>
      </w:pPr>
      <w:rPr>
        <w:rFonts w:hint="default"/>
      </w:r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48" w15:restartNumberingAfterBreak="0">
    <w:nsid w:val="584A4B2B"/>
    <w:multiLevelType w:val="multilevel"/>
    <w:tmpl w:val="584A4B2B"/>
    <w:lvl w:ilvl="0">
      <w:start w:val="1"/>
      <w:numFmt w:val="decimal"/>
      <w:lvlText w:val="%1."/>
      <w:lvlJc w:val="left"/>
      <w:pPr>
        <w:ind w:left="1650" w:hanging="57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AB87D31"/>
    <w:multiLevelType w:val="multilevel"/>
    <w:tmpl w:val="5AB87D3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0" w15:restartNumberingAfterBreak="0">
    <w:nsid w:val="5AD30DEA"/>
    <w:multiLevelType w:val="multilevel"/>
    <w:tmpl w:val="5AD30DEA"/>
    <w:lvl w:ilvl="0">
      <w:start w:val="1"/>
      <w:numFmt w:val="decimal"/>
      <w:lvlText w:val="%1."/>
      <w:lvlJc w:val="left"/>
      <w:pPr>
        <w:ind w:left="1650" w:hanging="57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1205886"/>
    <w:multiLevelType w:val="multilevel"/>
    <w:tmpl w:val="61205886"/>
    <w:lvl w:ilvl="0">
      <w:start w:val="1"/>
      <w:numFmt w:val="bullet"/>
      <w:lvlText w:val=""/>
      <w:lvlJc w:val="left"/>
      <w:pPr>
        <w:tabs>
          <w:tab w:val="left" w:pos="360"/>
        </w:tabs>
        <w:ind w:left="360" w:hanging="360"/>
      </w:pPr>
      <w:rPr>
        <w:rFonts w:ascii="Symbol" w:hAnsi="Symbol"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Times New Roman" w:hAnsi="Times New Roman" w:cs="Times New Roman" w:hint="default"/>
      </w:rPr>
    </w:lvl>
    <w:lvl w:ilvl="3">
      <w:start w:val="1"/>
      <w:numFmt w:val="bullet"/>
      <w:lvlText w:val=""/>
      <w:lvlJc w:val="left"/>
      <w:pPr>
        <w:tabs>
          <w:tab w:val="left" w:pos="2880"/>
        </w:tabs>
        <w:ind w:left="2880" w:hanging="360"/>
      </w:pPr>
      <w:rPr>
        <w:rFonts w:ascii="Symbol" w:hAnsi="Symbol" w:cs="Times New Roman"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Times New Roman" w:hAnsi="Times New Roman" w:cs="Times New Roman" w:hint="default"/>
      </w:rPr>
    </w:lvl>
    <w:lvl w:ilvl="6">
      <w:start w:val="1"/>
      <w:numFmt w:val="bullet"/>
      <w:lvlText w:val=""/>
      <w:lvlJc w:val="left"/>
      <w:pPr>
        <w:tabs>
          <w:tab w:val="left" w:pos="5040"/>
        </w:tabs>
        <w:ind w:left="5040" w:hanging="360"/>
      </w:pPr>
      <w:rPr>
        <w:rFonts w:ascii="Symbol" w:hAnsi="Symbol" w:cs="Times New Roman"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Times New Roman" w:hAnsi="Times New Roman" w:cs="Times New Roman" w:hint="default"/>
      </w:rPr>
    </w:lvl>
  </w:abstractNum>
  <w:abstractNum w:abstractNumId="52" w15:restartNumberingAfterBreak="0">
    <w:nsid w:val="61F8356D"/>
    <w:multiLevelType w:val="multilevel"/>
    <w:tmpl w:val="61F8356D"/>
    <w:lvl w:ilvl="0">
      <w:start w:val="1"/>
      <w:numFmt w:val="bullet"/>
      <w:lvlText w:val="-"/>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3" w15:restartNumberingAfterBreak="0">
    <w:nsid w:val="64433B52"/>
    <w:multiLevelType w:val="multilevel"/>
    <w:tmpl w:val="64433B5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4" w15:restartNumberingAfterBreak="0">
    <w:nsid w:val="6C677995"/>
    <w:multiLevelType w:val="multilevel"/>
    <w:tmpl w:val="6C67799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6E310AEF"/>
    <w:multiLevelType w:val="multilevel"/>
    <w:tmpl w:val="6E310AEF"/>
    <w:lvl w:ilvl="0">
      <w:start w:val="1"/>
      <w:numFmt w:val="decimal"/>
      <w:lvlText w:val="%1."/>
      <w:lvlJc w:val="left"/>
      <w:pPr>
        <w:ind w:left="930" w:hanging="5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E8C4CA7"/>
    <w:multiLevelType w:val="multilevel"/>
    <w:tmpl w:val="6E8C4CA7"/>
    <w:lvl w:ilvl="0">
      <w:start w:val="1"/>
      <w:numFmt w:val="bullet"/>
      <w:lvlText w:val="-"/>
      <w:lvlJc w:val="left"/>
      <w:pPr>
        <w:ind w:hanging="567"/>
      </w:pPr>
      <w:rPr>
        <w:rFonts w:hint="default"/>
        <w:b w:val="0"/>
        <w:w w:val="131"/>
        <w:sz w:val="22"/>
      </w:rPr>
    </w:lvl>
    <w:lvl w:ilvl="1">
      <w:numFmt w:val="bullet"/>
      <w:lvlText w:val="o"/>
      <w:lvlJc w:val="left"/>
      <w:pPr>
        <w:ind w:hanging="569"/>
      </w:pPr>
      <w:rPr>
        <w:rFonts w:ascii="Courier New" w:hAnsi="Courier New"/>
        <w:b w:val="0"/>
        <w:sz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7" w15:restartNumberingAfterBreak="0">
    <w:nsid w:val="6F9337D0"/>
    <w:multiLevelType w:val="multilevel"/>
    <w:tmpl w:val="6F9337D0"/>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8" w15:restartNumberingAfterBreak="0">
    <w:nsid w:val="71896AA7"/>
    <w:multiLevelType w:val="multilevel"/>
    <w:tmpl w:val="71896AA7"/>
    <w:lvl w:ilvl="0">
      <w:start w:val="1"/>
      <w:numFmt w:val="decimal"/>
      <w:lvlText w:val="%1."/>
      <w:lvlJc w:val="left"/>
      <w:pPr>
        <w:ind w:left="1650" w:hanging="57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1E93BA2"/>
    <w:multiLevelType w:val="multilevel"/>
    <w:tmpl w:val="71E93B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72587330"/>
    <w:multiLevelType w:val="multilevel"/>
    <w:tmpl w:val="72587330"/>
    <w:lvl w:ilvl="0">
      <w:start w:val="1"/>
      <w:numFmt w:val="bullet"/>
      <w:lvlText w:val=""/>
      <w:lvlJc w:val="left"/>
      <w:pPr>
        <w:ind w:left="1404" w:hanging="360"/>
      </w:pPr>
      <w:rPr>
        <w:rFonts w:ascii="Symbol" w:hAnsi="Symbol" w:hint="default"/>
      </w:rPr>
    </w:lvl>
    <w:lvl w:ilvl="1">
      <w:start w:val="1"/>
      <w:numFmt w:val="bullet"/>
      <w:lvlText w:val="o"/>
      <w:lvlJc w:val="left"/>
      <w:pPr>
        <w:ind w:left="2124" w:hanging="360"/>
      </w:pPr>
      <w:rPr>
        <w:rFonts w:ascii="Courier New" w:hAnsi="Courier New" w:hint="default"/>
      </w:rPr>
    </w:lvl>
    <w:lvl w:ilvl="2">
      <w:start w:val="1"/>
      <w:numFmt w:val="bullet"/>
      <w:lvlText w:val=""/>
      <w:lvlJc w:val="left"/>
      <w:pPr>
        <w:ind w:left="2844" w:hanging="360"/>
      </w:pPr>
      <w:rPr>
        <w:rFonts w:ascii="Wingdings" w:hAnsi="Wingdings" w:hint="default"/>
      </w:rPr>
    </w:lvl>
    <w:lvl w:ilvl="3">
      <w:start w:val="1"/>
      <w:numFmt w:val="bullet"/>
      <w:lvlText w:val=""/>
      <w:lvlJc w:val="left"/>
      <w:pPr>
        <w:ind w:left="3564" w:hanging="360"/>
      </w:pPr>
      <w:rPr>
        <w:rFonts w:ascii="Symbol" w:hAnsi="Symbol" w:hint="default"/>
      </w:rPr>
    </w:lvl>
    <w:lvl w:ilvl="4">
      <w:start w:val="1"/>
      <w:numFmt w:val="bullet"/>
      <w:lvlText w:val="o"/>
      <w:lvlJc w:val="left"/>
      <w:pPr>
        <w:ind w:left="4284" w:hanging="360"/>
      </w:pPr>
      <w:rPr>
        <w:rFonts w:ascii="Courier New" w:hAnsi="Courier New" w:hint="default"/>
      </w:rPr>
    </w:lvl>
    <w:lvl w:ilvl="5">
      <w:start w:val="1"/>
      <w:numFmt w:val="bullet"/>
      <w:lvlText w:val=""/>
      <w:lvlJc w:val="left"/>
      <w:pPr>
        <w:ind w:left="5004" w:hanging="360"/>
      </w:pPr>
      <w:rPr>
        <w:rFonts w:ascii="Wingdings" w:hAnsi="Wingdings" w:hint="default"/>
      </w:rPr>
    </w:lvl>
    <w:lvl w:ilvl="6">
      <w:start w:val="1"/>
      <w:numFmt w:val="bullet"/>
      <w:lvlText w:val=""/>
      <w:lvlJc w:val="left"/>
      <w:pPr>
        <w:ind w:left="5724" w:hanging="360"/>
      </w:pPr>
      <w:rPr>
        <w:rFonts w:ascii="Symbol" w:hAnsi="Symbol" w:hint="default"/>
      </w:rPr>
    </w:lvl>
    <w:lvl w:ilvl="7">
      <w:start w:val="1"/>
      <w:numFmt w:val="bullet"/>
      <w:lvlText w:val="o"/>
      <w:lvlJc w:val="left"/>
      <w:pPr>
        <w:ind w:left="6444" w:hanging="360"/>
      </w:pPr>
      <w:rPr>
        <w:rFonts w:ascii="Courier New" w:hAnsi="Courier New" w:hint="default"/>
      </w:rPr>
    </w:lvl>
    <w:lvl w:ilvl="8">
      <w:start w:val="1"/>
      <w:numFmt w:val="bullet"/>
      <w:lvlText w:val=""/>
      <w:lvlJc w:val="left"/>
      <w:pPr>
        <w:ind w:left="7164" w:hanging="360"/>
      </w:pPr>
      <w:rPr>
        <w:rFonts w:ascii="Wingdings" w:hAnsi="Wingdings" w:hint="default"/>
      </w:rPr>
    </w:lvl>
  </w:abstractNum>
  <w:abstractNum w:abstractNumId="61" w15:restartNumberingAfterBreak="0">
    <w:nsid w:val="72B67C04"/>
    <w:multiLevelType w:val="multilevel"/>
    <w:tmpl w:val="72B67C04"/>
    <w:lvl w:ilvl="0">
      <w:start w:val="1"/>
      <w:numFmt w:val="decimal"/>
      <w:lvlText w:val="%1."/>
      <w:lvlJc w:val="left"/>
      <w:pPr>
        <w:ind w:hanging="574"/>
      </w:pPr>
      <w:rPr>
        <w:rFonts w:ascii="Times New Roman" w:hAnsi="Times New Roman" w:cs="Times New Roman"/>
        <w:b/>
        <w:bCs/>
        <w:sz w:val="22"/>
        <w:szCs w:val="22"/>
      </w:rPr>
    </w:lvl>
    <w:lvl w:ilvl="1">
      <w:start w:val="1"/>
      <w:numFmt w:val="decimal"/>
      <w:lvlText w:val="%1.%2"/>
      <w:lvlJc w:val="left"/>
      <w:pPr>
        <w:ind w:hanging="567"/>
      </w:pPr>
      <w:rPr>
        <w:rFonts w:ascii="Times New Roman" w:hAnsi="Times New Roman" w:cs="Times New Roman"/>
        <w:b/>
        <w:bCs/>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2" w15:restartNumberingAfterBreak="0">
    <w:nsid w:val="73357CAB"/>
    <w:multiLevelType w:val="multilevel"/>
    <w:tmpl w:val="73357CAB"/>
    <w:lvl w:ilvl="0">
      <w:start w:val="1"/>
      <w:numFmt w:val="bullet"/>
      <w:lvlText w:val=""/>
      <w:lvlJc w:val="left"/>
      <w:pPr>
        <w:ind w:left="870" w:hanging="360"/>
      </w:pPr>
      <w:rPr>
        <w:rFonts w:ascii="Symbol" w:hAnsi="Symbol" w:hint="default"/>
      </w:rPr>
    </w:lvl>
    <w:lvl w:ilvl="1">
      <w:start w:val="1"/>
      <w:numFmt w:val="bullet"/>
      <w:lvlText w:val="o"/>
      <w:lvlJc w:val="left"/>
      <w:pPr>
        <w:ind w:left="1590" w:hanging="360"/>
      </w:pPr>
      <w:rPr>
        <w:rFonts w:ascii="Courier New" w:hAnsi="Courier New" w:cs="Courier New" w:hint="default"/>
      </w:rPr>
    </w:lvl>
    <w:lvl w:ilvl="2">
      <w:start w:val="1"/>
      <w:numFmt w:val="bullet"/>
      <w:lvlText w:val=""/>
      <w:lvlJc w:val="left"/>
      <w:pPr>
        <w:ind w:left="2310" w:hanging="360"/>
      </w:pPr>
      <w:rPr>
        <w:rFonts w:ascii="Wingdings" w:hAnsi="Wingdings" w:hint="default"/>
      </w:rPr>
    </w:lvl>
    <w:lvl w:ilvl="3">
      <w:start w:val="1"/>
      <w:numFmt w:val="bullet"/>
      <w:lvlText w:val=""/>
      <w:lvlJc w:val="left"/>
      <w:pPr>
        <w:ind w:left="3030" w:hanging="360"/>
      </w:pPr>
      <w:rPr>
        <w:rFonts w:ascii="Symbol" w:hAnsi="Symbol" w:hint="default"/>
      </w:rPr>
    </w:lvl>
    <w:lvl w:ilvl="4">
      <w:start w:val="1"/>
      <w:numFmt w:val="bullet"/>
      <w:lvlText w:val="o"/>
      <w:lvlJc w:val="left"/>
      <w:pPr>
        <w:ind w:left="3750" w:hanging="360"/>
      </w:pPr>
      <w:rPr>
        <w:rFonts w:ascii="Courier New" w:hAnsi="Courier New" w:cs="Courier New" w:hint="default"/>
      </w:rPr>
    </w:lvl>
    <w:lvl w:ilvl="5">
      <w:start w:val="1"/>
      <w:numFmt w:val="bullet"/>
      <w:lvlText w:val=""/>
      <w:lvlJc w:val="left"/>
      <w:pPr>
        <w:ind w:left="4470" w:hanging="360"/>
      </w:pPr>
      <w:rPr>
        <w:rFonts w:ascii="Wingdings" w:hAnsi="Wingdings" w:hint="default"/>
      </w:rPr>
    </w:lvl>
    <w:lvl w:ilvl="6">
      <w:start w:val="1"/>
      <w:numFmt w:val="bullet"/>
      <w:lvlText w:val=""/>
      <w:lvlJc w:val="left"/>
      <w:pPr>
        <w:ind w:left="5190" w:hanging="360"/>
      </w:pPr>
      <w:rPr>
        <w:rFonts w:ascii="Symbol" w:hAnsi="Symbol" w:hint="default"/>
      </w:rPr>
    </w:lvl>
    <w:lvl w:ilvl="7">
      <w:start w:val="1"/>
      <w:numFmt w:val="bullet"/>
      <w:lvlText w:val="o"/>
      <w:lvlJc w:val="left"/>
      <w:pPr>
        <w:ind w:left="5910" w:hanging="360"/>
      </w:pPr>
      <w:rPr>
        <w:rFonts w:ascii="Courier New" w:hAnsi="Courier New" w:cs="Courier New" w:hint="default"/>
      </w:rPr>
    </w:lvl>
    <w:lvl w:ilvl="8">
      <w:start w:val="1"/>
      <w:numFmt w:val="bullet"/>
      <w:lvlText w:val=""/>
      <w:lvlJc w:val="left"/>
      <w:pPr>
        <w:ind w:left="6630" w:hanging="360"/>
      </w:pPr>
      <w:rPr>
        <w:rFonts w:ascii="Wingdings" w:hAnsi="Wingdings" w:hint="default"/>
      </w:rPr>
    </w:lvl>
  </w:abstractNum>
  <w:abstractNum w:abstractNumId="63" w15:restartNumberingAfterBreak="0">
    <w:nsid w:val="74AA7C4B"/>
    <w:multiLevelType w:val="multilevel"/>
    <w:tmpl w:val="74AA7C4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752A10B1"/>
    <w:multiLevelType w:val="multilevel"/>
    <w:tmpl w:val="752A10B1"/>
    <w:lvl w:ilvl="0">
      <w:start w:val="1"/>
      <w:numFmt w:val="decimal"/>
      <w:lvlText w:val="%1."/>
      <w:lvlJc w:val="left"/>
      <w:pPr>
        <w:ind w:left="1650" w:hanging="57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76D58FA"/>
    <w:multiLevelType w:val="multilevel"/>
    <w:tmpl w:val="776D58FA"/>
    <w:lvl w:ilvl="0">
      <w:start w:val="1"/>
      <w:numFmt w:val="bullet"/>
      <w:lvlText w:val="-"/>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6" w15:restartNumberingAfterBreak="0">
    <w:nsid w:val="78C273C1"/>
    <w:multiLevelType w:val="multilevel"/>
    <w:tmpl w:val="78C273C1"/>
    <w:lvl w:ilvl="0">
      <w:start w:val="1"/>
      <w:numFmt w:val="decimal"/>
      <w:lvlText w:val="%1."/>
      <w:lvlJc w:val="left"/>
      <w:pPr>
        <w:ind w:left="930" w:hanging="5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90E669D"/>
    <w:multiLevelType w:val="multilevel"/>
    <w:tmpl w:val="790E669D"/>
    <w:lvl w:ilvl="0">
      <w:start w:val="1"/>
      <w:numFmt w:val="decimal"/>
      <w:lvlText w:val="%1."/>
      <w:lvlJc w:val="left"/>
      <w:pPr>
        <w:ind w:left="1650" w:hanging="57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9FE68A6"/>
    <w:multiLevelType w:val="multilevel"/>
    <w:tmpl w:val="79FE68A6"/>
    <w:lvl w:ilvl="0">
      <w:start w:val="1"/>
      <w:numFmt w:val="decimal"/>
      <w:lvlText w:val="%1."/>
      <w:lvlJc w:val="left"/>
      <w:pPr>
        <w:ind w:left="1650" w:hanging="57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A100D28"/>
    <w:multiLevelType w:val="multilevel"/>
    <w:tmpl w:val="7A100D28"/>
    <w:lvl w:ilvl="0">
      <w:start w:val="1"/>
      <w:numFmt w:val="upperLetter"/>
      <w:pStyle w:val="TitleB"/>
      <w:lvlText w:val="%1."/>
      <w:lvlJc w:val="left"/>
      <w:pPr>
        <w:ind w:left="5670" w:hanging="5670"/>
      </w:pPr>
      <w:rPr>
        <w:rFonts w:hint="default"/>
        <w:b/>
      </w:rPr>
    </w:lvl>
    <w:lvl w:ilvl="1">
      <w:start w:val="1"/>
      <w:numFmt w:val="decimal"/>
      <w:lvlText w:val="%2."/>
      <w:lvlJc w:val="left"/>
      <w:pPr>
        <w:ind w:left="1650" w:hanging="570"/>
      </w:pPr>
      <w:rPr>
        <w:rFonts w:hint="default"/>
        <w:b/>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F471009"/>
    <w:multiLevelType w:val="multilevel"/>
    <w:tmpl w:val="7F47100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58865550">
    <w:abstractNumId w:val="10"/>
  </w:num>
  <w:num w:numId="2" w16cid:durableId="1141311111">
    <w:abstractNumId w:val="69"/>
  </w:num>
  <w:num w:numId="3" w16cid:durableId="617875049">
    <w:abstractNumId w:val="33"/>
  </w:num>
  <w:num w:numId="4" w16cid:durableId="1338116374">
    <w:abstractNumId w:val="18"/>
  </w:num>
  <w:num w:numId="5" w16cid:durableId="298808993">
    <w:abstractNumId w:val="23"/>
  </w:num>
  <w:num w:numId="6" w16cid:durableId="118837610">
    <w:abstractNumId w:val="8"/>
  </w:num>
  <w:num w:numId="7" w16cid:durableId="354114765">
    <w:abstractNumId w:val="0"/>
  </w:num>
  <w:num w:numId="8" w16cid:durableId="1163937397">
    <w:abstractNumId w:val="60"/>
  </w:num>
  <w:num w:numId="9" w16cid:durableId="980813267">
    <w:abstractNumId w:val="62"/>
  </w:num>
  <w:num w:numId="10" w16cid:durableId="1303582208">
    <w:abstractNumId w:val="34"/>
  </w:num>
  <w:num w:numId="11" w16cid:durableId="1283462369">
    <w:abstractNumId w:val="59"/>
  </w:num>
  <w:num w:numId="12" w16cid:durableId="484978401">
    <w:abstractNumId w:val="1"/>
  </w:num>
  <w:num w:numId="13" w16cid:durableId="2107924572">
    <w:abstractNumId w:val="2"/>
  </w:num>
  <w:num w:numId="14" w16cid:durableId="1640183113">
    <w:abstractNumId w:val="61"/>
  </w:num>
  <w:num w:numId="15" w16cid:durableId="1768845947">
    <w:abstractNumId w:val="13"/>
  </w:num>
  <w:num w:numId="16" w16cid:durableId="846139170">
    <w:abstractNumId w:val="30"/>
  </w:num>
  <w:num w:numId="17" w16cid:durableId="632373146">
    <w:abstractNumId w:val="47"/>
  </w:num>
  <w:num w:numId="18" w16cid:durableId="2145273097">
    <w:abstractNumId w:val="57"/>
  </w:num>
  <w:num w:numId="19" w16cid:durableId="483394520">
    <w:abstractNumId w:val="9"/>
  </w:num>
  <w:num w:numId="20" w16cid:durableId="748045297">
    <w:abstractNumId w:val="37"/>
  </w:num>
  <w:num w:numId="21" w16cid:durableId="1478065576">
    <w:abstractNumId w:val="16"/>
  </w:num>
  <w:num w:numId="22" w16cid:durableId="480655370">
    <w:abstractNumId w:val="36"/>
  </w:num>
  <w:num w:numId="23" w16cid:durableId="1211303328">
    <w:abstractNumId w:val="26"/>
  </w:num>
  <w:num w:numId="24" w16cid:durableId="1809086752">
    <w:abstractNumId w:val="67"/>
  </w:num>
  <w:num w:numId="25" w16cid:durableId="1890921475">
    <w:abstractNumId w:val="31"/>
  </w:num>
  <w:num w:numId="26" w16cid:durableId="980232263">
    <w:abstractNumId w:val="25"/>
  </w:num>
  <w:num w:numId="27" w16cid:durableId="1705128903">
    <w:abstractNumId w:val="68"/>
  </w:num>
  <w:num w:numId="28" w16cid:durableId="649020010">
    <w:abstractNumId w:val="48"/>
  </w:num>
  <w:num w:numId="29" w16cid:durableId="1912889439">
    <w:abstractNumId w:val="32"/>
  </w:num>
  <w:num w:numId="30" w16cid:durableId="970475461">
    <w:abstractNumId w:val="43"/>
  </w:num>
  <w:num w:numId="31" w16cid:durableId="1230729739">
    <w:abstractNumId w:val="46"/>
  </w:num>
  <w:num w:numId="32" w16cid:durableId="1762868908">
    <w:abstractNumId w:val="50"/>
  </w:num>
  <w:num w:numId="33" w16cid:durableId="326441756">
    <w:abstractNumId w:val="28"/>
  </w:num>
  <w:num w:numId="34" w16cid:durableId="1636720929">
    <w:abstractNumId w:val="11"/>
  </w:num>
  <w:num w:numId="35" w16cid:durableId="115999202">
    <w:abstractNumId w:val="55"/>
  </w:num>
  <w:num w:numId="36" w16cid:durableId="84960243">
    <w:abstractNumId w:val="58"/>
  </w:num>
  <w:num w:numId="37" w16cid:durableId="1925337889">
    <w:abstractNumId w:val="45"/>
  </w:num>
  <w:num w:numId="38" w16cid:durableId="1634368158">
    <w:abstractNumId w:val="27"/>
  </w:num>
  <w:num w:numId="39" w16cid:durableId="1437166856">
    <w:abstractNumId w:val="17"/>
  </w:num>
  <w:num w:numId="40" w16cid:durableId="1911034833">
    <w:abstractNumId w:val="39"/>
  </w:num>
  <w:num w:numId="41" w16cid:durableId="1688023049">
    <w:abstractNumId w:val="42"/>
  </w:num>
  <w:num w:numId="42" w16cid:durableId="1418869545">
    <w:abstractNumId w:val="38"/>
  </w:num>
  <w:num w:numId="43" w16cid:durableId="1740397708">
    <w:abstractNumId w:val="15"/>
  </w:num>
  <w:num w:numId="44" w16cid:durableId="892347473">
    <w:abstractNumId w:val="64"/>
  </w:num>
  <w:num w:numId="45" w16cid:durableId="325672672">
    <w:abstractNumId w:val="6"/>
  </w:num>
  <w:num w:numId="46" w16cid:durableId="2139834752">
    <w:abstractNumId w:val="41"/>
  </w:num>
  <w:num w:numId="47" w16cid:durableId="2106266252">
    <w:abstractNumId w:val="66"/>
  </w:num>
  <w:num w:numId="48" w16cid:durableId="2071420699">
    <w:abstractNumId w:val="3"/>
  </w:num>
  <w:num w:numId="49" w16cid:durableId="796609731">
    <w:abstractNumId w:val="4"/>
  </w:num>
  <w:num w:numId="50" w16cid:durableId="1434398701">
    <w:abstractNumId w:val="20"/>
  </w:num>
  <w:num w:numId="51" w16cid:durableId="1053965987">
    <w:abstractNumId w:val="54"/>
  </w:num>
  <w:num w:numId="52" w16cid:durableId="95366731">
    <w:abstractNumId w:val="12"/>
  </w:num>
  <w:num w:numId="53" w16cid:durableId="1563061206">
    <w:abstractNumId w:val="29"/>
  </w:num>
  <w:num w:numId="54" w16cid:durableId="163590396">
    <w:abstractNumId w:val="14"/>
  </w:num>
  <w:num w:numId="55" w16cid:durableId="602881999">
    <w:abstractNumId w:val="40"/>
  </w:num>
  <w:num w:numId="56" w16cid:durableId="653804468">
    <w:abstractNumId w:val="5"/>
  </w:num>
  <w:num w:numId="57" w16cid:durableId="1986087795">
    <w:abstractNumId w:val="19"/>
  </w:num>
  <w:num w:numId="58" w16cid:durableId="912545385">
    <w:abstractNumId w:val="56"/>
  </w:num>
  <w:num w:numId="59" w16cid:durableId="306709045">
    <w:abstractNumId w:val="52"/>
  </w:num>
  <w:num w:numId="60" w16cid:durableId="318311352">
    <w:abstractNumId w:val="65"/>
  </w:num>
  <w:num w:numId="61" w16cid:durableId="1345933242">
    <w:abstractNumId w:val="51"/>
  </w:num>
  <w:num w:numId="62" w16cid:durableId="572474721">
    <w:abstractNumId w:val="63"/>
  </w:num>
  <w:num w:numId="63" w16cid:durableId="872689467">
    <w:abstractNumId w:val="44"/>
  </w:num>
  <w:num w:numId="64" w16cid:durableId="385951867">
    <w:abstractNumId w:val="53"/>
  </w:num>
  <w:num w:numId="65" w16cid:durableId="791366907">
    <w:abstractNumId w:val="24"/>
  </w:num>
  <w:num w:numId="66" w16cid:durableId="1854371159">
    <w:abstractNumId w:val="35"/>
  </w:num>
  <w:num w:numId="67" w16cid:durableId="1724786893">
    <w:abstractNumId w:val="70"/>
  </w:num>
  <w:num w:numId="68" w16cid:durableId="948858836">
    <w:abstractNumId w:val="21"/>
  </w:num>
  <w:num w:numId="69" w16cid:durableId="1108622518">
    <w:abstractNumId w:val="49"/>
  </w:num>
  <w:num w:numId="70" w16cid:durableId="1662345527">
    <w:abstractNumId w:val="7"/>
  </w:num>
  <w:num w:numId="71" w16cid:durableId="1664117416">
    <w:abstractNumId w:val="22"/>
  </w:num>
  <w:numIdMacAtCleanup w:val="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removePersonalInformation/>
  <w:removeDateAndTime/>
  <w:embedSystemFonts/>
  <w:bordersDoNotSurroundHeader/>
  <w:bordersDoNotSurroundFooter/>
  <w:hideSpellingErrors/>
  <w:hideGrammaticalErrors/>
  <w:documentProtection w:edit="trackedChanges" w:enforcement="0"/>
  <w:defaultTabStop w:val="720"/>
  <w:hyphenationZone w:val="425"/>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doNotCompress"/>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D3F"/>
    <w:rsid w:val="00000DBF"/>
    <w:rsid w:val="00002506"/>
    <w:rsid w:val="0000259F"/>
    <w:rsid w:val="00002647"/>
    <w:rsid w:val="00003A9B"/>
    <w:rsid w:val="00003FB0"/>
    <w:rsid w:val="000062E2"/>
    <w:rsid w:val="00006A31"/>
    <w:rsid w:val="00007116"/>
    <w:rsid w:val="00007825"/>
    <w:rsid w:val="00010337"/>
    <w:rsid w:val="00010537"/>
    <w:rsid w:val="00010FFD"/>
    <w:rsid w:val="00012D0B"/>
    <w:rsid w:val="000137B0"/>
    <w:rsid w:val="00015C78"/>
    <w:rsid w:val="00017925"/>
    <w:rsid w:val="00017D65"/>
    <w:rsid w:val="00017E35"/>
    <w:rsid w:val="00021712"/>
    <w:rsid w:val="000225DC"/>
    <w:rsid w:val="00022FF7"/>
    <w:rsid w:val="00023590"/>
    <w:rsid w:val="000240E0"/>
    <w:rsid w:val="0002451D"/>
    <w:rsid w:val="000246E7"/>
    <w:rsid w:val="00024DC9"/>
    <w:rsid w:val="000254E3"/>
    <w:rsid w:val="00026B55"/>
    <w:rsid w:val="00027FE6"/>
    <w:rsid w:val="00030AB5"/>
    <w:rsid w:val="00031427"/>
    <w:rsid w:val="00031DDD"/>
    <w:rsid w:val="0003363D"/>
    <w:rsid w:val="0003367E"/>
    <w:rsid w:val="0003383E"/>
    <w:rsid w:val="00035763"/>
    <w:rsid w:val="00035946"/>
    <w:rsid w:val="00035E2E"/>
    <w:rsid w:val="000360CB"/>
    <w:rsid w:val="000365C0"/>
    <w:rsid w:val="000365F6"/>
    <w:rsid w:val="00037424"/>
    <w:rsid w:val="00041243"/>
    <w:rsid w:val="0004221B"/>
    <w:rsid w:val="000448A0"/>
    <w:rsid w:val="00044997"/>
    <w:rsid w:val="00045300"/>
    <w:rsid w:val="000459E1"/>
    <w:rsid w:val="00045EB4"/>
    <w:rsid w:val="00045FE7"/>
    <w:rsid w:val="00047466"/>
    <w:rsid w:val="000476BF"/>
    <w:rsid w:val="00047ABC"/>
    <w:rsid w:val="000502D0"/>
    <w:rsid w:val="00050732"/>
    <w:rsid w:val="00050BC8"/>
    <w:rsid w:val="00054385"/>
    <w:rsid w:val="00054740"/>
    <w:rsid w:val="00054864"/>
    <w:rsid w:val="00054878"/>
    <w:rsid w:val="00055571"/>
    <w:rsid w:val="000564EA"/>
    <w:rsid w:val="00056F08"/>
    <w:rsid w:val="00060B83"/>
    <w:rsid w:val="00060CCE"/>
    <w:rsid w:val="000614E3"/>
    <w:rsid w:val="00061CA1"/>
    <w:rsid w:val="00061E1C"/>
    <w:rsid w:val="00063D04"/>
    <w:rsid w:val="00063E2E"/>
    <w:rsid w:val="000645D2"/>
    <w:rsid w:val="00065B1B"/>
    <w:rsid w:val="00065B43"/>
    <w:rsid w:val="000705DD"/>
    <w:rsid w:val="00071324"/>
    <w:rsid w:val="00071509"/>
    <w:rsid w:val="000721F8"/>
    <w:rsid w:val="00072990"/>
    <w:rsid w:val="00073743"/>
    <w:rsid w:val="00074051"/>
    <w:rsid w:val="0007764D"/>
    <w:rsid w:val="00080049"/>
    <w:rsid w:val="000806B9"/>
    <w:rsid w:val="000811CC"/>
    <w:rsid w:val="000814FD"/>
    <w:rsid w:val="000816D0"/>
    <w:rsid w:val="00082096"/>
    <w:rsid w:val="000838E8"/>
    <w:rsid w:val="00083C75"/>
    <w:rsid w:val="00083E75"/>
    <w:rsid w:val="00083FD7"/>
    <w:rsid w:val="000852F6"/>
    <w:rsid w:val="00086E14"/>
    <w:rsid w:val="00087603"/>
    <w:rsid w:val="0009143C"/>
    <w:rsid w:val="00092567"/>
    <w:rsid w:val="00093B1A"/>
    <w:rsid w:val="000940A6"/>
    <w:rsid w:val="00094EA7"/>
    <w:rsid w:val="00095116"/>
    <w:rsid w:val="0009662F"/>
    <w:rsid w:val="00096BF0"/>
    <w:rsid w:val="00096CE4"/>
    <w:rsid w:val="00097BEE"/>
    <w:rsid w:val="00097C83"/>
    <w:rsid w:val="000A1A63"/>
    <w:rsid w:val="000A2103"/>
    <w:rsid w:val="000A2708"/>
    <w:rsid w:val="000A2B33"/>
    <w:rsid w:val="000A2F87"/>
    <w:rsid w:val="000A2F94"/>
    <w:rsid w:val="000A37F4"/>
    <w:rsid w:val="000A38DF"/>
    <w:rsid w:val="000A3A01"/>
    <w:rsid w:val="000A4533"/>
    <w:rsid w:val="000A5946"/>
    <w:rsid w:val="000A664A"/>
    <w:rsid w:val="000A68E3"/>
    <w:rsid w:val="000A6F6E"/>
    <w:rsid w:val="000B0B47"/>
    <w:rsid w:val="000B0D1A"/>
    <w:rsid w:val="000B1080"/>
    <w:rsid w:val="000B38FF"/>
    <w:rsid w:val="000B3A08"/>
    <w:rsid w:val="000B54B5"/>
    <w:rsid w:val="000B5B97"/>
    <w:rsid w:val="000B6530"/>
    <w:rsid w:val="000B7E22"/>
    <w:rsid w:val="000C03CC"/>
    <w:rsid w:val="000C14EC"/>
    <w:rsid w:val="000C194B"/>
    <w:rsid w:val="000C19C5"/>
    <w:rsid w:val="000C1C14"/>
    <w:rsid w:val="000C2285"/>
    <w:rsid w:val="000C2F8A"/>
    <w:rsid w:val="000C3347"/>
    <w:rsid w:val="000C37BB"/>
    <w:rsid w:val="000C3B12"/>
    <w:rsid w:val="000C4AE8"/>
    <w:rsid w:val="000C4E7A"/>
    <w:rsid w:val="000C5C77"/>
    <w:rsid w:val="000C6D8B"/>
    <w:rsid w:val="000C7085"/>
    <w:rsid w:val="000D0C4D"/>
    <w:rsid w:val="000D1026"/>
    <w:rsid w:val="000D2359"/>
    <w:rsid w:val="000D28AD"/>
    <w:rsid w:val="000D2BA4"/>
    <w:rsid w:val="000D3C78"/>
    <w:rsid w:val="000D4146"/>
    <w:rsid w:val="000D4E24"/>
    <w:rsid w:val="000D5340"/>
    <w:rsid w:val="000D5437"/>
    <w:rsid w:val="000D655F"/>
    <w:rsid w:val="000D68AB"/>
    <w:rsid w:val="000D7238"/>
    <w:rsid w:val="000D73DE"/>
    <w:rsid w:val="000D77F9"/>
    <w:rsid w:val="000D7A1C"/>
    <w:rsid w:val="000E27E9"/>
    <w:rsid w:val="000E2926"/>
    <w:rsid w:val="000E2B10"/>
    <w:rsid w:val="000E3DAB"/>
    <w:rsid w:val="000E3EC3"/>
    <w:rsid w:val="000E49A0"/>
    <w:rsid w:val="000E5E78"/>
    <w:rsid w:val="000E5E7A"/>
    <w:rsid w:val="000F0DB7"/>
    <w:rsid w:val="000F1147"/>
    <w:rsid w:val="000F1E98"/>
    <w:rsid w:val="000F2B48"/>
    <w:rsid w:val="000F347E"/>
    <w:rsid w:val="000F3C8B"/>
    <w:rsid w:val="000F4BA4"/>
    <w:rsid w:val="000F5E3E"/>
    <w:rsid w:val="000F616B"/>
    <w:rsid w:val="000F79F7"/>
    <w:rsid w:val="0010317F"/>
    <w:rsid w:val="00104964"/>
    <w:rsid w:val="001049A9"/>
    <w:rsid w:val="00104E0E"/>
    <w:rsid w:val="001053F8"/>
    <w:rsid w:val="001055E0"/>
    <w:rsid w:val="0010584C"/>
    <w:rsid w:val="001058ED"/>
    <w:rsid w:val="00105D60"/>
    <w:rsid w:val="0010695A"/>
    <w:rsid w:val="00106B81"/>
    <w:rsid w:val="001078AA"/>
    <w:rsid w:val="00107CFF"/>
    <w:rsid w:val="0011145F"/>
    <w:rsid w:val="00111805"/>
    <w:rsid w:val="00111E3F"/>
    <w:rsid w:val="00112734"/>
    <w:rsid w:val="00112825"/>
    <w:rsid w:val="00112C1F"/>
    <w:rsid w:val="0011501A"/>
    <w:rsid w:val="00115365"/>
    <w:rsid w:val="00115F36"/>
    <w:rsid w:val="0011612E"/>
    <w:rsid w:val="0011617F"/>
    <w:rsid w:val="00117384"/>
    <w:rsid w:val="001174E7"/>
    <w:rsid w:val="00117C9F"/>
    <w:rsid w:val="00120C41"/>
    <w:rsid w:val="00120D56"/>
    <w:rsid w:val="00121D11"/>
    <w:rsid w:val="00121EBA"/>
    <w:rsid w:val="001221A9"/>
    <w:rsid w:val="001227A3"/>
    <w:rsid w:val="00123D35"/>
    <w:rsid w:val="00124069"/>
    <w:rsid w:val="00124714"/>
    <w:rsid w:val="00124E6E"/>
    <w:rsid w:val="00126C8E"/>
    <w:rsid w:val="001278E6"/>
    <w:rsid w:val="001328B3"/>
    <w:rsid w:val="0013379D"/>
    <w:rsid w:val="00133AB2"/>
    <w:rsid w:val="0013423E"/>
    <w:rsid w:val="001349EE"/>
    <w:rsid w:val="00136475"/>
    <w:rsid w:val="001366E3"/>
    <w:rsid w:val="00136C1C"/>
    <w:rsid w:val="00136FE6"/>
    <w:rsid w:val="00141DE5"/>
    <w:rsid w:val="00141EF8"/>
    <w:rsid w:val="0014406A"/>
    <w:rsid w:val="00144644"/>
    <w:rsid w:val="0014470B"/>
    <w:rsid w:val="00144D5C"/>
    <w:rsid w:val="00144E45"/>
    <w:rsid w:val="0014504C"/>
    <w:rsid w:val="00145197"/>
    <w:rsid w:val="00145D75"/>
    <w:rsid w:val="00145E1F"/>
    <w:rsid w:val="00146D2D"/>
    <w:rsid w:val="00150C2C"/>
    <w:rsid w:val="00150E5D"/>
    <w:rsid w:val="00152013"/>
    <w:rsid w:val="00152D60"/>
    <w:rsid w:val="001534FA"/>
    <w:rsid w:val="0015444B"/>
    <w:rsid w:val="0015469A"/>
    <w:rsid w:val="00154B1A"/>
    <w:rsid w:val="00155926"/>
    <w:rsid w:val="00155FBA"/>
    <w:rsid w:val="001608AF"/>
    <w:rsid w:val="001610ED"/>
    <w:rsid w:val="00163119"/>
    <w:rsid w:val="00163DC4"/>
    <w:rsid w:val="00164843"/>
    <w:rsid w:val="0016534A"/>
    <w:rsid w:val="00171C82"/>
    <w:rsid w:val="00171F1E"/>
    <w:rsid w:val="00173A96"/>
    <w:rsid w:val="00173F56"/>
    <w:rsid w:val="001752F6"/>
    <w:rsid w:val="00176D02"/>
    <w:rsid w:val="001778B1"/>
    <w:rsid w:val="001802A7"/>
    <w:rsid w:val="00181199"/>
    <w:rsid w:val="0018188B"/>
    <w:rsid w:val="001823E4"/>
    <w:rsid w:val="00182429"/>
    <w:rsid w:val="00182706"/>
    <w:rsid w:val="00185BEB"/>
    <w:rsid w:val="00186EAC"/>
    <w:rsid w:val="00187317"/>
    <w:rsid w:val="001900A8"/>
    <w:rsid w:val="001900DD"/>
    <w:rsid w:val="00190C4C"/>
    <w:rsid w:val="001913A7"/>
    <w:rsid w:val="001914DA"/>
    <w:rsid w:val="00191908"/>
    <w:rsid w:val="001921C4"/>
    <w:rsid w:val="00193F34"/>
    <w:rsid w:val="00194289"/>
    <w:rsid w:val="0019543C"/>
    <w:rsid w:val="00195E00"/>
    <w:rsid w:val="001965EA"/>
    <w:rsid w:val="00197379"/>
    <w:rsid w:val="001976B5"/>
    <w:rsid w:val="001977A7"/>
    <w:rsid w:val="00197833"/>
    <w:rsid w:val="001A05D3"/>
    <w:rsid w:val="001A0E7C"/>
    <w:rsid w:val="001A185A"/>
    <w:rsid w:val="001A41D7"/>
    <w:rsid w:val="001A5350"/>
    <w:rsid w:val="001A6089"/>
    <w:rsid w:val="001A74BB"/>
    <w:rsid w:val="001A75C6"/>
    <w:rsid w:val="001A7891"/>
    <w:rsid w:val="001B07FF"/>
    <w:rsid w:val="001B129F"/>
    <w:rsid w:val="001B143B"/>
    <w:rsid w:val="001B1CBA"/>
    <w:rsid w:val="001B1FBD"/>
    <w:rsid w:val="001B2DBF"/>
    <w:rsid w:val="001B3478"/>
    <w:rsid w:val="001B4304"/>
    <w:rsid w:val="001B4869"/>
    <w:rsid w:val="001B49E5"/>
    <w:rsid w:val="001B4D14"/>
    <w:rsid w:val="001B4D62"/>
    <w:rsid w:val="001C071C"/>
    <w:rsid w:val="001C1A08"/>
    <w:rsid w:val="001C4693"/>
    <w:rsid w:val="001C591E"/>
    <w:rsid w:val="001C7BD7"/>
    <w:rsid w:val="001D034F"/>
    <w:rsid w:val="001D0505"/>
    <w:rsid w:val="001D0ABB"/>
    <w:rsid w:val="001D0BEA"/>
    <w:rsid w:val="001D0D9C"/>
    <w:rsid w:val="001D12CB"/>
    <w:rsid w:val="001D1383"/>
    <w:rsid w:val="001D17F5"/>
    <w:rsid w:val="001D2871"/>
    <w:rsid w:val="001D2B4A"/>
    <w:rsid w:val="001D409D"/>
    <w:rsid w:val="001D4C54"/>
    <w:rsid w:val="001D5AB8"/>
    <w:rsid w:val="001D5D18"/>
    <w:rsid w:val="001D64E2"/>
    <w:rsid w:val="001D69C0"/>
    <w:rsid w:val="001D6BE5"/>
    <w:rsid w:val="001E1FE3"/>
    <w:rsid w:val="001E2495"/>
    <w:rsid w:val="001E2535"/>
    <w:rsid w:val="001E27C3"/>
    <w:rsid w:val="001E288A"/>
    <w:rsid w:val="001E2A66"/>
    <w:rsid w:val="001E2C9B"/>
    <w:rsid w:val="001E362A"/>
    <w:rsid w:val="001E519B"/>
    <w:rsid w:val="001E55C5"/>
    <w:rsid w:val="001E5BE5"/>
    <w:rsid w:val="001E5C5F"/>
    <w:rsid w:val="001E6CB1"/>
    <w:rsid w:val="001E6F4B"/>
    <w:rsid w:val="001E74AD"/>
    <w:rsid w:val="001E77C9"/>
    <w:rsid w:val="001F077D"/>
    <w:rsid w:val="001F102A"/>
    <w:rsid w:val="001F2FDE"/>
    <w:rsid w:val="001F350A"/>
    <w:rsid w:val="001F4371"/>
    <w:rsid w:val="001F5DA8"/>
    <w:rsid w:val="001F6763"/>
    <w:rsid w:val="001F71B1"/>
    <w:rsid w:val="001F721A"/>
    <w:rsid w:val="001F74D3"/>
    <w:rsid w:val="001F7A0D"/>
    <w:rsid w:val="002005AA"/>
    <w:rsid w:val="00200EED"/>
    <w:rsid w:val="0020343C"/>
    <w:rsid w:val="00204682"/>
    <w:rsid w:val="00206068"/>
    <w:rsid w:val="00207824"/>
    <w:rsid w:val="00207841"/>
    <w:rsid w:val="00207C12"/>
    <w:rsid w:val="00207EE2"/>
    <w:rsid w:val="0021139C"/>
    <w:rsid w:val="00211AE1"/>
    <w:rsid w:val="00212203"/>
    <w:rsid w:val="00212744"/>
    <w:rsid w:val="00212CB6"/>
    <w:rsid w:val="00212F11"/>
    <w:rsid w:val="002154CA"/>
    <w:rsid w:val="0021618E"/>
    <w:rsid w:val="00216B66"/>
    <w:rsid w:val="00216DD9"/>
    <w:rsid w:val="002174A0"/>
    <w:rsid w:val="00217A7A"/>
    <w:rsid w:val="00217E91"/>
    <w:rsid w:val="002203CF"/>
    <w:rsid w:val="00220491"/>
    <w:rsid w:val="002204E8"/>
    <w:rsid w:val="0022189B"/>
    <w:rsid w:val="00222CA0"/>
    <w:rsid w:val="002238A5"/>
    <w:rsid w:val="00223D1A"/>
    <w:rsid w:val="00223D1F"/>
    <w:rsid w:val="0022431A"/>
    <w:rsid w:val="00230FE6"/>
    <w:rsid w:val="00231C89"/>
    <w:rsid w:val="00232226"/>
    <w:rsid w:val="00233938"/>
    <w:rsid w:val="002341C0"/>
    <w:rsid w:val="00234206"/>
    <w:rsid w:val="002352B6"/>
    <w:rsid w:val="002352E6"/>
    <w:rsid w:val="002368C7"/>
    <w:rsid w:val="0023704B"/>
    <w:rsid w:val="00237272"/>
    <w:rsid w:val="00240186"/>
    <w:rsid w:val="00240E55"/>
    <w:rsid w:val="002419B8"/>
    <w:rsid w:val="002421B5"/>
    <w:rsid w:val="00242361"/>
    <w:rsid w:val="00242C64"/>
    <w:rsid w:val="00242EE3"/>
    <w:rsid w:val="00244064"/>
    <w:rsid w:val="00244DA2"/>
    <w:rsid w:val="00246777"/>
    <w:rsid w:val="00246A68"/>
    <w:rsid w:val="00251308"/>
    <w:rsid w:val="00251B10"/>
    <w:rsid w:val="002526CD"/>
    <w:rsid w:val="00252751"/>
    <w:rsid w:val="00252BBA"/>
    <w:rsid w:val="00253302"/>
    <w:rsid w:val="00253A7F"/>
    <w:rsid w:val="00253C02"/>
    <w:rsid w:val="00254524"/>
    <w:rsid w:val="0025489B"/>
    <w:rsid w:val="00254D5E"/>
    <w:rsid w:val="00255323"/>
    <w:rsid w:val="00255735"/>
    <w:rsid w:val="002561EE"/>
    <w:rsid w:val="00256372"/>
    <w:rsid w:val="00256547"/>
    <w:rsid w:val="00256720"/>
    <w:rsid w:val="00257CE8"/>
    <w:rsid w:val="00260685"/>
    <w:rsid w:val="00260A26"/>
    <w:rsid w:val="0026150B"/>
    <w:rsid w:val="002619C1"/>
    <w:rsid w:val="00261AA1"/>
    <w:rsid w:val="00261F53"/>
    <w:rsid w:val="002625B4"/>
    <w:rsid w:val="00262DA6"/>
    <w:rsid w:val="002637E3"/>
    <w:rsid w:val="00263BB2"/>
    <w:rsid w:val="00264206"/>
    <w:rsid w:val="00264CC9"/>
    <w:rsid w:val="00265FFF"/>
    <w:rsid w:val="00266F86"/>
    <w:rsid w:val="00267213"/>
    <w:rsid w:val="00270ED6"/>
    <w:rsid w:val="00271926"/>
    <w:rsid w:val="00271C08"/>
    <w:rsid w:val="0027257C"/>
    <w:rsid w:val="00273E23"/>
    <w:rsid w:val="00275603"/>
    <w:rsid w:val="00276300"/>
    <w:rsid w:val="00276B44"/>
    <w:rsid w:val="00276BBD"/>
    <w:rsid w:val="002825C2"/>
    <w:rsid w:val="00283391"/>
    <w:rsid w:val="002834D1"/>
    <w:rsid w:val="002841B3"/>
    <w:rsid w:val="00284591"/>
    <w:rsid w:val="00285284"/>
    <w:rsid w:val="002862E0"/>
    <w:rsid w:val="00286D14"/>
    <w:rsid w:val="002878B6"/>
    <w:rsid w:val="00287C69"/>
    <w:rsid w:val="00287DDE"/>
    <w:rsid w:val="00287DE3"/>
    <w:rsid w:val="00290072"/>
    <w:rsid w:val="00290763"/>
    <w:rsid w:val="002918AC"/>
    <w:rsid w:val="00292ABF"/>
    <w:rsid w:val="002938D3"/>
    <w:rsid w:val="002940E3"/>
    <w:rsid w:val="00296B14"/>
    <w:rsid w:val="002977A8"/>
    <w:rsid w:val="00297990"/>
    <w:rsid w:val="00297BF1"/>
    <w:rsid w:val="00297DF8"/>
    <w:rsid w:val="002A28FC"/>
    <w:rsid w:val="002A2C23"/>
    <w:rsid w:val="002A3D2C"/>
    <w:rsid w:val="002A46A4"/>
    <w:rsid w:val="002A59A9"/>
    <w:rsid w:val="002A70FB"/>
    <w:rsid w:val="002A79C4"/>
    <w:rsid w:val="002B0AC4"/>
    <w:rsid w:val="002B11E9"/>
    <w:rsid w:val="002B20B8"/>
    <w:rsid w:val="002B2590"/>
    <w:rsid w:val="002B436B"/>
    <w:rsid w:val="002B7B10"/>
    <w:rsid w:val="002B7D60"/>
    <w:rsid w:val="002C05F3"/>
    <w:rsid w:val="002C0630"/>
    <w:rsid w:val="002C0C18"/>
    <w:rsid w:val="002C10DA"/>
    <w:rsid w:val="002C26CD"/>
    <w:rsid w:val="002C2C6A"/>
    <w:rsid w:val="002C4994"/>
    <w:rsid w:val="002C5B0C"/>
    <w:rsid w:val="002C631E"/>
    <w:rsid w:val="002D042A"/>
    <w:rsid w:val="002D19B1"/>
    <w:rsid w:val="002D25C1"/>
    <w:rsid w:val="002D31E9"/>
    <w:rsid w:val="002D3F03"/>
    <w:rsid w:val="002D4591"/>
    <w:rsid w:val="002D4A33"/>
    <w:rsid w:val="002D54A7"/>
    <w:rsid w:val="002D5761"/>
    <w:rsid w:val="002D6087"/>
    <w:rsid w:val="002D63BD"/>
    <w:rsid w:val="002E156E"/>
    <w:rsid w:val="002E1A2C"/>
    <w:rsid w:val="002E2797"/>
    <w:rsid w:val="002E27BD"/>
    <w:rsid w:val="002E3C98"/>
    <w:rsid w:val="002E4AA3"/>
    <w:rsid w:val="002E50B5"/>
    <w:rsid w:val="002E62F5"/>
    <w:rsid w:val="002E6C53"/>
    <w:rsid w:val="002E6CD3"/>
    <w:rsid w:val="002F28D3"/>
    <w:rsid w:val="002F2FA0"/>
    <w:rsid w:val="002F3EAC"/>
    <w:rsid w:val="002F5B4E"/>
    <w:rsid w:val="002F62D8"/>
    <w:rsid w:val="002F6B52"/>
    <w:rsid w:val="002F791A"/>
    <w:rsid w:val="00300873"/>
    <w:rsid w:val="0030151C"/>
    <w:rsid w:val="00301590"/>
    <w:rsid w:val="003034CC"/>
    <w:rsid w:val="003037B7"/>
    <w:rsid w:val="0030390C"/>
    <w:rsid w:val="00303CF3"/>
    <w:rsid w:val="003043A0"/>
    <w:rsid w:val="003047BA"/>
    <w:rsid w:val="0031064D"/>
    <w:rsid w:val="00310AE3"/>
    <w:rsid w:val="00312225"/>
    <w:rsid w:val="003124BD"/>
    <w:rsid w:val="00313D96"/>
    <w:rsid w:val="00314737"/>
    <w:rsid w:val="0031506F"/>
    <w:rsid w:val="00315604"/>
    <w:rsid w:val="00315B75"/>
    <w:rsid w:val="003163AA"/>
    <w:rsid w:val="0031656B"/>
    <w:rsid w:val="003167FA"/>
    <w:rsid w:val="003170DE"/>
    <w:rsid w:val="0031717C"/>
    <w:rsid w:val="00317894"/>
    <w:rsid w:val="00320BDA"/>
    <w:rsid w:val="00321E7B"/>
    <w:rsid w:val="003221B9"/>
    <w:rsid w:val="00322DEC"/>
    <w:rsid w:val="00323072"/>
    <w:rsid w:val="003237A6"/>
    <w:rsid w:val="00323EF3"/>
    <w:rsid w:val="003250A0"/>
    <w:rsid w:val="003252B8"/>
    <w:rsid w:val="003267F5"/>
    <w:rsid w:val="003323AC"/>
    <w:rsid w:val="003336F7"/>
    <w:rsid w:val="00333D55"/>
    <w:rsid w:val="00335366"/>
    <w:rsid w:val="00336C7A"/>
    <w:rsid w:val="00337FF5"/>
    <w:rsid w:val="003400B0"/>
    <w:rsid w:val="00340421"/>
    <w:rsid w:val="0034086B"/>
    <w:rsid w:val="00341365"/>
    <w:rsid w:val="0034142F"/>
    <w:rsid w:val="003426EA"/>
    <w:rsid w:val="00343496"/>
    <w:rsid w:val="00343B6E"/>
    <w:rsid w:val="00344065"/>
    <w:rsid w:val="003459A2"/>
    <w:rsid w:val="00345CF8"/>
    <w:rsid w:val="00345FC0"/>
    <w:rsid w:val="00347E27"/>
    <w:rsid w:val="00347F82"/>
    <w:rsid w:val="003507D0"/>
    <w:rsid w:val="00352A82"/>
    <w:rsid w:val="00352E6F"/>
    <w:rsid w:val="00356166"/>
    <w:rsid w:val="0035616C"/>
    <w:rsid w:val="00357CC6"/>
    <w:rsid w:val="0036264E"/>
    <w:rsid w:val="00362873"/>
    <w:rsid w:val="003634C8"/>
    <w:rsid w:val="003660D1"/>
    <w:rsid w:val="00366909"/>
    <w:rsid w:val="003679DC"/>
    <w:rsid w:val="00367D5E"/>
    <w:rsid w:val="00370B8E"/>
    <w:rsid w:val="00372205"/>
    <w:rsid w:val="0037367D"/>
    <w:rsid w:val="00375B22"/>
    <w:rsid w:val="00375E78"/>
    <w:rsid w:val="00375F60"/>
    <w:rsid w:val="0037625B"/>
    <w:rsid w:val="00376C9B"/>
    <w:rsid w:val="0037718B"/>
    <w:rsid w:val="00377420"/>
    <w:rsid w:val="00377E92"/>
    <w:rsid w:val="00380134"/>
    <w:rsid w:val="00382CCD"/>
    <w:rsid w:val="00382E48"/>
    <w:rsid w:val="00383127"/>
    <w:rsid w:val="003838FD"/>
    <w:rsid w:val="00385B9B"/>
    <w:rsid w:val="00386492"/>
    <w:rsid w:val="00387074"/>
    <w:rsid w:val="00390AA3"/>
    <w:rsid w:val="00391C68"/>
    <w:rsid w:val="003921A5"/>
    <w:rsid w:val="00392974"/>
    <w:rsid w:val="00393547"/>
    <w:rsid w:val="00393CF3"/>
    <w:rsid w:val="00394108"/>
    <w:rsid w:val="00394EDA"/>
    <w:rsid w:val="003959B2"/>
    <w:rsid w:val="00395EAD"/>
    <w:rsid w:val="00395EF1"/>
    <w:rsid w:val="00396803"/>
    <w:rsid w:val="0039722F"/>
    <w:rsid w:val="003972E4"/>
    <w:rsid w:val="00397A38"/>
    <w:rsid w:val="00397D72"/>
    <w:rsid w:val="00397EE1"/>
    <w:rsid w:val="00397F0D"/>
    <w:rsid w:val="003A01CB"/>
    <w:rsid w:val="003A0470"/>
    <w:rsid w:val="003A1380"/>
    <w:rsid w:val="003A1388"/>
    <w:rsid w:val="003A2EA3"/>
    <w:rsid w:val="003A2EDF"/>
    <w:rsid w:val="003A33EE"/>
    <w:rsid w:val="003A351E"/>
    <w:rsid w:val="003A37C8"/>
    <w:rsid w:val="003A3DCD"/>
    <w:rsid w:val="003A487A"/>
    <w:rsid w:val="003A4B1D"/>
    <w:rsid w:val="003A5506"/>
    <w:rsid w:val="003A617B"/>
    <w:rsid w:val="003B0309"/>
    <w:rsid w:val="003B1C9E"/>
    <w:rsid w:val="003B1F46"/>
    <w:rsid w:val="003B2CB4"/>
    <w:rsid w:val="003B2FA9"/>
    <w:rsid w:val="003B33DF"/>
    <w:rsid w:val="003B39BF"/>
    <w:rsid w:val="003B3E54"/>
    <w:rsid w:val="003B4CDA"/>
    <w:rsid w:val="003B5052"/>
    <w:rsid w:val="003B5F4D"/>
    <w:rsid w:val="003B66B3"/>
    <w:rsid w:val="003B7410"/>
    <w:rsid w:val="003C0752"/>
    <w:rsid w:val="003C1255"/>
    <w:rsid w:val="003C235B"/>
    <w:rsid w:val="003C30F2"/>
    <w:rsid w:val="003C320E"/>
    <w:rsid w:val="003C37CA"/>
    <w:rsid w:val="003C4694"/>
    <w:rsid w:val="003C5F7C"/>
    <w:rsid w:val="003C6005"/>
    <w:rsid w:val="003C7A04"/>
    <w:rsid w:val="003C7BFF"/>
    <w:rsid w:val="003D1BC0"/>
    <w:rsid w:val="003D1BC5"/>
    <w:rsid w:val="003D1E1B"/>
    <w:rsid w:val="003D2550"/>
    <w:rsid w:val="003D38E1"/>
    <w:rsid w:val="003D43D6"/>
    <w:rsid w:val="003D66DD"/>
    <w:rsid w:val="003D75F2"/>
    <w:rsid w:val="003D7C57"/>
    <w:rsid w:val="003E13D3"/>
    <w:rsid w:val="003E1D3F"/>
    <w:rsid w:val="003E1EA1"/>
    <w:rsid w:val="003E2469"/>
    <w:rsid w:val="003E342E"/>
    <w:rsid w:val="003E3807"/>
    <w:rsid w:val="003E3BB1"/>
    <w:rsid w:val="003E4095"/>
    <w:rsid w:val="003E48BD"/>
    <w:rsid w:val="003E506C"/>
    <w:rsid w:val="003E5873"/>
    <w:rsid w:val="003E65CB"/>
    <w:rsid w:val="003F0321"/>
    <w:rsid w:val="003F267B"/>
    <w:rsid w:val="003F3A7C"/>
    <w:rsid w:val="003F5EA3"/>
    <w:rsid w:val="003F61E3"/>
    <w:rsid w:val="003F6CEB"/>
    <w:rsid w:val="003F7025"/>
    <w:rsid w:val="003F7CBD"/>
    <w:rsid w:val="00400466"/>
    <w:rsid w:val="00400C1F"/>
    <w:rsid w:val="004010E7"/>
    <w:rsid w:val="00401D04"/>
    <w:rsid w:val="0040232D"/>
    <w:rsid w:val="00403BFA"/>
    <w:rsid w:val="00403DA3"/>
    <w:rsid w:val="004042D5"/>
    <w:rsid w:val="00404D72"/>
    <w:rsid w:val="00407362"/>
    <w:rsid w:val="004106E3"/>
    <w:rsid w:val="00410FA4"/>
    <w:rsid w:val="00411628"/>
    <w:rsid w:val="00411DDB"/>
    <w:rsid w:val="00412C5B"/>
    <w:rsid w:val="00412D09"/>
    <w:rsid w:val="00413D13"/>
    <w:rsid w:val="00413FC8"/>
    <w:rsid w:val="00414FFE"/>
    <w:rsid w:val="00420DF4"/>
    <w:rsid w:val="00421979"/>
    <w:rsid w:val="0042227F"/>
    <w:rsid w:val="00422B00"/>
    <w:rsid w:val="00423565"/>
    <w:rsid w:val="00423E64"/>
    <w:rsid w:val="0042540C"/>
    <w:rsid w:val="00425AE3"/>
    <w:rsid w:val="00426755"/>
    <w:rsid w:val="004271A1"/>
    <w:rsid w:val="0042739E"/>
    <w:rsid w:val="00430B69"/>
    <w:rsid w:val="00430FB4"/>
    <w:rsid w:val="00431356"/>
    <w:rsid w:val="00431830"/>
    <w:rsid w:val="00431D62"/>
    <w:rsid w:val="00433B76"/>
    <w:rsid w:val="004374E9"/>
    <w:rsid w:val="00437B28"/>
    <w:rsid w:val="00441A1A"/>
    <w:rsid w:val="00443F3E"/>
    <w:rsid w:val="00444546"/>
    <w:rsid w:val="004461E3"/>
    <w:rsid w:val="00447E4E"/>
    <w:rsid w:val="004507BB"/>
    <w:rsid w:val="004521BA"/>
    <w:rsid w:val="0045360E"/>
    <w:rsid w:val="0045429E"/>
    <w:rsid w:val="00454459"/>
    <w:rsid w:val="00454686"/>
    <w:rsid w:val="00455673"/>
    <w:rsid w:val="0045572E"/>
    <w:rsid w:val="004558EB"/>
    <w:rsid w:val="00456026"/>
    <w:rsid w:val="00456604"/>
    <w:rsid w:val="004571E5"/>
    <w:rsid w:val="00461B99"/>
    <w:rsid w:val="00462F87"/>
    <w:rsid w:val="00463700"/>
    <w:rsid w:val="00463A49"/>
    <w:rsid w:val="00463F67"/>
    <w:rsid w:val="00464BB2"/>
    <w:rsid w:val="00464C1C"/>
    <w:rsid w:val="0046503B"/>
    <w:rsid w:val="00465F81"/>
    <w:rsid w:val="004676ED"/>
    <w:rsid w:val="00470761"/>
    <w:rsid w:val="00470C79"/>
    <w:rsid w:val="00471931"/>
    <w:rsid w:val="00471D16"/>
    <w:rsid w:val="004724D6"/>
    <w:rsid w:val="00474B61"/>
    <w:rsid w:val="00474D42"/>
    <w:rsid w:val="0047651B"/>
    <w:rsid w:val="004767D6"/>
    <w:rsid w:val="004775DA"/>
    <w:rsid w:val="00480285"/>
    <w:rsid w:val="00480B25"/>
    <w:rsid w:val="004827B6"/>
    <w:rsid w:val="0048398C"/>
    <w:rsid w:val="004854E0"/>
    <w:rsid w:val="00486884"/>
    <w:rsid w:val="00487377"/>
    <w:rsid w:val="004879DB"/>
    <w:rsid w:val="004902B0"/>
    <w:rsid w:val="004902E5"/>
    <w:rsid w:val="0049036B"/>
    <w:rsid w:val="00491A57"/>
    <w:rsid w:val="00492447"/>
    <w:rsid w:val="00492F00"/>
    <w:rsid w:val="004931BC"/>
    <w:rsid w:val="00493C83"/>
    <w:rsid w:val="004949DD"/>
    <w:rsid w:val="0049526E"/>
    <w:rsid w:val="004960A5"/>
    <w:rsid w:val="0049615B"/>
    <w:rsid w:val="004969E3"/>
    <w:rsid w:val="004974A7"/>
    <w:rsid w:val="004974F9"/>
    <w:rsid w:val="00497759"/>
    <w:rsid w:val="004A022B"/>
    <w:rsid w:val="004A07F6"/>
    <w:rsid w:val="004A0FCB"/>
    <w:rsid w:val="004A190C"/>
    <w:rsid w:val="004A1950"/>
    <w:rsid w:val="004A32C9"/>
    <w:rsid w:val="004A3A4E"/>
    <w:rsid w:val="004A3F5A"/>
    <w:rsid w:val="004A3FFF"/>
    <w:rsid w:val="004A4CAB"/>
    <w:rsid w:val="004A5C07"/>
    <w:rsid w:val="004A64E5"/>
    <w:rsid w:val="004A6A3B"/>
    <w:rsid w:val="004B088B"/>
    <w:rsid w:val="004B0A5C"/>
    <w:rsid w:val="004B1FCC"/>
    <w:rsid w:val="004B3743"/>
    <w:rsid w:val="004B4051"/>
    <w:rsid w:val="004B658E"/>
    <w:rsid w:val="004B6784"/>
    <w:rsid w:val="004B6AD6"/>
    <w:rsid w:val="004C031B"/>
    <w:rsid w:val="004C05AE"/>
    <w:rsid w:val="004C0620"/>
    <w:rsid w:val="004C0A2B"/>
    <w:rsid w:val="004C0CC7"/>
    <w:rsid w:val="004C0F38"/>
    <w:rsid w:val="004C1A17"/>
    <w:rsid w:val="004C1D46"/>
    <w:rsid w:val="004C289C"/>
    <w:rsid w:val="004C2ED2"/>
    <w:rsid w:val="004C316D"/>
    <w:rsid w:val="004C35FB"/>
    <w:rsid w:val="004C385A"/>
    <w:rsid w:val="004C3A5B"/>
    <w:rsid w:val="004C60C1"/>
    <w:rsid w:val="004C7CB2"/>
    <w:rsid w:val="004D020C"/>
    <w:rsid w:val="004D0644"/>
    <w:rsid w:val="004D1A12"/>
    <w:rsid w:val="004D1C4D"/>
    <w:rsid w:val="004D35D4"/>
    <w:rsid w:val="004D3B00"/>
    <w:rsid w:val="004D45BA"/>
    <w:rsid w:val="004D49B1"/>
    <w:rsid w:val="004D526C"/>
    <w:rsid w:val="004D59D6"/>
    <w:rsid w:val="004D5E47"/>
    <w:rsid w:val="004D6CC1"/>
    <w:rsid w:val="004D6E11"/>
    <w:rsid w:val="004D7200"/>
    <w:rsid w:val="004D7C92"/>
    <w:rsid w:val="004D7FED"/>
    <w:rsid w:val="004E00C3"/>
    <w:rsid w:val="004E0B9C"/>
    <w:rsid w:val="004E219C"/>
    <w:rsid w:val="004E2CC2"/>
    <w:rsid w:val="004E3804"/>
    <w:rsid w:val="004E3A79"/>
    <w:rsid w:val="004E3F5E"/>
    <w:rsid w:val="004E4041"/>
    <w:rsid w:val="004E4A68"/>
    <w:rsid w:val="004E4DAA"/>
    <w:rsid w:val="004E5EA6"/>
    <w:rsid w:val="004E6832"/>
    <w:rsid w:val="004E6B85"/>
    <w:rsid w:val="004F059E"/>
    <w:rsid w:val="004F0801"/>
    <w:rsid w:val="004F0AB9"/>
    <w:rsid w:val="004F1778"/>
    <w:rsid w:val="004F2300"/>
    <w:rsid w:val="004F2901"/>
    <w:rsid w:val="004F2926"/>
    <w:rsid w:val="004F605F"/>
    <w:rsid w:val="004F64FC"/>
    <w:rsid w:val="004F6A29"/>
    <w:rsid w:val="004F6A36"/>
    <w:rsid w:val="00500254"/>
    <w:rsid w:val="00502082"/>
    <w:rsid w:val="00502788"/>
    <w:rsid w:val="00502951"/>
    <w:rsid w:val="005043B2"/>
    <w:rsid w:val="005047B7"/>
    <w:rsid w:val="00504FAA"/>
    <w:rsid w:val="00505D7E"/>
    <w:rsid w:val="00506280"/>
    <w:rsid w:val="00506530"/>
    <w:rsid w:val="005065C3"/>
    <w:rsid w:val="00506A67"/>
    <w:rsid w:val="00507550"/>
    <w:rsid w:val="00510DF0"/>
    <w:rsid w:val="00511C13"/>
    <w:rsid w:val="0051254D"/>
    <w:rsid w:val="00512E56"/>
    <w:rsid w:val="00515F81"/>
    <w:rsid w:val="00516B74"/>
    <w:rsid w:val="00516BEE"/>
    <w:rsid w:val="0052021A"/>
    <w:rsid w:val="00520B68"/>
    <w:rsid w:val="00521ED6"/>
    <w:rsid w:val="00521F94"/>
    <w:rsid w:val="005229E7"/>
    <w:rsid w:val="00522AB0"/>
    <w:rsid w:val="00522BC5"/>
    <w:rsid w:val="00524324"/>
    <w:rsid w:val="00525B1A"/>
    <w:rsid w:val="0052693B"/>
    <w:rsid w:val="00526DE7"/>
    <w:rsid w:val="00527077"/>
    <w:rsid w:val="005275AF"/>
    <w:rsid w:val="00530CAB"/>
    <w:rsid w:val="00531BA2"/>
    <w:rsid w:val="00531CB0"/>
    <w:rsid w:val="005345DA"/>
    <w:rsid w:val="00534AD2"/>
    <w:rsid w:val="005357D8"/>
    <w:rsid w:val="00536C94"/>
    <w:rsid w:val="00536E48"/>
    <w:rsid w:val="005370E3"/>
    <w:rsid w:val="0054015F"/>
    <w:rsid w:val="005402E7"/>
    <w:rsid w:val="005403E0"/>
    <w:rsid w:val="00543027"/>
    <w:rsid w:val="00543174"/>
    <w:rsid w:val="0054498E"/>
    <w:rsid w:val="00547608"/>
    <w:rsid w:val="00547EC6"/>
    <w:rsid w:val="005502F1"/>
    <w:rsid w:val="00550828"/>
    <w:rsid w:val="0055092A"/>
    <w:rsid w:val="00551CAA"/>
    <w:rsid w:val="00551ED2"/>
    <w:rsid w:val="00553A3E"/>
    <w:rsid w:val="00554474"/>
    <w:rsid w:val="0055655F"/>
    <w:rsid w:val="00556D6B"/>
    <w:rsid w:val="00557230"/>
    <w:rsid w:val="00557EC5"/>
    <w:rsid w:val="00562C34"/>
    <w:rsid w:val="00562FEB"/>
    <w:rsid w:val="005632EE"/>
    <w:rsid w:val="00563C21"/>
    <w:rsid w:val="00564B54"/>
    <w:rsid w:val="005662DD"/>
    <w:rsid w:val="00566311"/>
    <w:rsid w:val="00570386"/>
    <w:rsid w:val="00570BC1"/>
    <w:rsid w:val="00570C79"/>
    <w:rsid w:val="005725CC"/>
    <w:rsid w:val="005726BA"/>
    <w:rsid w:val="00572759"/>
    <w:rsid w:val="005732D4"/>
    <w:rsid w:val="00574426"/>
    <w:rsid w:val="00575826"/>
    <w:rsid w:val="00575D0E"/>
    <w:rsid w:val="00576BFE"/>
    <w:rsid w:val="00580536"/>
    <w:rsid w:val="005805CE"/>
    <w:rsid w:val="0058143E"/>
    <w:rsid w:val="00581EDD"/>
    <w:rsid w:val="00583595"/>
    <w:rsid w:val="0058501A"/>
    <w:rsid w:val="00585282"/>
    <w:rsid w:val="00585860"/>
    <w:rsid w:val="005865A7"/>
    <w:rsid w:val="00586D40"/>
    <w:rsid w:val="00586E85"/>
    <w:rsid w:val="005875CE"/>
    <w:rsid w:val="00587954"/>
    <w:rsid w:val="005917F6"/>
    <w:rsid w:val="0059198C"/>
    <w:rsid w:val="00591E23"/>
    <w:rsid w:val="00592255"/>
    <w:rsid w:val="0059273E"/>
    <w:rsid w:val="00594589"/>
    <w:rsid w:val="005945AD"/>
    <w:rsid w:val="00594F77"/>
    <w:rsid w:val="00595403"/>
    <w:rsid w:val="0059638E"/>
    <w:rsid w:val="00597008"/>
    <w:rsid w:val="005A2F9C"/>
    <w:rsid w:val="005A37AD"/>
    <w:rsid w:val="005A3BA3"/>
    <w:rsid w:val="005A3FD5"/>
    <w:rsid w:val="005A41E8"/>
    <w:rsid w:val="005A4B97"/>
    <w:rsid w:val="005A67BF"/>
    <w:rsid w:val="005A7EF6"/>
    <w:rsid w:val="005B095E"/>
    <w:rsid w:val="005B0AA8"/>
    <w:rsid w:val="005B185E"/>
    <w:rsid w:val="005B19E3"/>
    <w:rsid w:val="005B1F73"/>
    <w:rsid w:val="005B58A5"/>
    <w:rsid w:val="005B60DD"/>
    <w:rsid w:val="005B6692"/>
    <w:rsid w:val="005B714D"/>
    <w:rsid w:val="005C0045"/>
    <w:rsid w:val="005C0485"/>
    <w:rsid w:val="005C108F"/>
    <w:rsid w:val="005C166D"/>
    <w:rsid w:val="005C25E4"/>
    <w:rsid w:val="005C4114"/>
    <w:rsid w:val="005C4A95"/>
    <w:rsid w:val="005C5B3D"/>
    <w:rsid w:val="005C5C29"/>
    <w:rsid w:val="005C60F2"/>
    <w:rsid w:val="005C64BE"/>
    <w:rsid w:val="005C7E73"/>
    <w:rsid w:val="005D1091"/>
    <w:rsid w:val="005D4139"/>
    <w:rsid w:val="005D4C59"/>
    <w:rsid w:val="005D5A85"/>
    <w:rsid w:val="005D5D5A"/>
    <w:rsid w:val="005E0420"/>
    <w:rsid w:val="005E0860"/>
    <w:rsid w:val="005E14A0"/>
    <w:rsid w:val="005E2730"/>
    <w:rsid w:val="005E27E8"/>
    <w:rsid w:val="005E2B2E"/>
    <w:rsid w:val="005E3AC4"/>
    <w:rsid w:val="005E41C1"/>
    <w:rsid w:val="005E46E7"/>
    <w:rsid w:val="005E4A09"/>
    <w:rsid w:val="005E4CC8"/>
    <w:rsid w:val="005E53DF"/>
    <w:rsid w:val="005E5768"/>
    <w:rsid w:val="005E6823"/>
    <w:rsid w:val="005E6B20"/>
    <w:rsid w:val="005E6CA0"/>
    <w:rsid w:val="005F0680"/>
    <w:rsid w:val="005F18EA"/>
    <w:rsid w:val="005F195D"/>
    <w:rsid w:val="005F1B4B"/>
    <w:rsid w:val="005F2303"/>
    <w:rsid w:val="005F3E4D"/>
    <w:rsid w:val="005F40D1"/>
    <w:rsid w:val="005F4967"/>
    <w:rsid w:val="005F4EDE"/>
    <w:rsid w:val="005F5F03"/>
    <w:rsid w:val="005F73DF"/>
    <w:rsid w:val="005F743B"/>
    <w:rsid w:val="005F7594"/>
    <w:rsid w:val="00600980"/>
    <w:rsid w:val="00600D63"/>
    <w:rsid w:val="00602268"/>
    <w:rsid w:val="00602674"/>
    <w:rsid w:val="006027EB"/>
    <w:rsid w:val="006035C1"/>
    <w:rsid w:val="006068E9"/>
    <w:rsid w:val="00606A6E"/>
    <w:rsid w:val="00606EEB"/>
    <w:rsid w:val="00607CEF"/>
    <w:rsid w:val="00611275"/>
    <w:rsid w:val="00611314"/>
    <w:rsid w:val="006114BF"/>
    <w:rsid w:val="00611D72"/>
    <w:rsid w:val="00612160"/>
    <w:rsid w:val="006121E5"/>
    <w:rsid w:val="0061334E"/>
    <w:rsid w:val="006139CC"/>
    <w:rsid w:val="00614D2B"/>
    <w:rsid w:val="006215C9"/>
    <w:rsid w:val="00621785"/>
    <w:rsid w:val="006233B2"/>
    <w:rsid w:val="00623606"/>
    <w:rsid w:val="006237E6"/>
    <w:rsid w:val="0062412C"/>
    <w:rsid w:val="00624191"/>
    <w:rsid w:val="00624BE8"/>
    <w:rsid w:val="00624C81"/>
    <w:rsid w:val="0062578A"/>
    <w:rsid w:val="00626657"/>
    <w:rsid w:val="006304CA"/>
    <w:rsid w:val="006310D9"/>
    <w:rsid w:val="006311A8"/>
    <w:rsid w:val="00631268"/>
    <w:rsid w:val="00633102"/>
    <w:rsid w:val="006336C6"/>
    <w:rsid w:val="0063492D"/>
    <w:rsid w:val="00636270"/>
    <w:rsid w:val="00636552"/>
    <w:rsid w:val="00636574"/>
    <w:rsid w:val="00636898"/>
    <w:rsid w:val="00637672"/>
    <w:rsid w:val="00637686"/>
    <w:rsid w:val="00637EA4"/>
    <w:rsid w:val="00640294"/>
    <w:rsid w:val="006438CB"/>
    <w:rsid w:val="006442E7"/>
    <w:rsid w:val="00644F0A"/>
    <w:rsid w:val="00645D53"/>
    <w:rsid w:val="006468D9"/>
    <w:rsid w:val="00647700"/>
    <w:rsid w:val="00650DD8"/>
    <w:rsid w:val="00650E5B"/>
    <w:rsid w:val="0065131E"/>
    <w:rsid w:val="00652489"/>
    <w:rsid w:val="006541AB"/>
    <w:rsid w:val="00654B7D"/>
    <w:rsid w:val="00655288"/>
    <w:rsid w:val="00655677"/>
    <w:rsid w:val="006557C8"/>
    <w:rsid w:val="006565F0"/>
    <w:rsid w:val="00656F62"/>
    <w:rsid w:val="00657363"/>
    <w:rsid w:val="006577FC"/>
    <w:rsid w:val="00657E2C"/>
    <w:rsid w:val="006602BE"/>
    <w:rsid w:val="006606FA"/>
    <w:rsid w:val="006622DC"/>
    <w:rsid w:val="006626FA"/>
    <w:rsid w:val="0066593C"/>
    <w:rsid w:val="00665B50"/>
    <w:rsid w:val="006662C4"/>
    <w:rsid w:val="00667160"/>
    <w:rsid w:val="006672A9"/>
    <w:rsid w:val="0066785C"/>
    <w:rsid w:val="006702AB"/>
    <w:rsid w:val="00670455"/>
    <w:rsid w:val="00671DF6"/>
    <w:rsid w:val="006720BE"/>
    <w:rsid w:val="006729FA"/>
    <w:rsid w:val="006748A7"/>
    <w:rsid w:val="00674C5B"/>
    <w:rsid w:val="00674C6F"/>
    <w:rsid w:val="00674F43"/>
    <w:rsid w:val="00675BEE"/>
    <w:rsid w:val="0067639A"/>
    <w:rsid w:val="00676D02"/>
    <w:rsid w:val="006770F9"/>
    <w:rsid w:val="006804F0"/>
    <w:rsid w:val="00680A29"/>
    <w:rsid w:val="00680AE4"/>
    <w:rsid w:val="00680F8C"/>
    <w:rsid w:val="006818EE"/>
    <w:rsid w:val="00682067"/>
    <w:rsid w:val="006821D2"/>
    <w:rsid w:val="0068339D"/>
    <w:rsid w:val="00683862"/>
    <w:rsid w:val="0068410F"/>
    <w:rsid w:val="006841AA"/>
    <w:rsid w:val="00686287"/>
    <w:rsid w:val="00686BA9"/>
    <w:rsid w:val="00686DD1"/>
    <w:rsid w:val="006906AC"/>
    <w:rsid w:val="00690D0B"/>
    <w:rsid w:val="0069242E"/>
    <w:rsid w:val="006929F6"/>
    <w:rsid w:val="00693407"/>
    <w:rsid w:val="00693A2E"/>
    <w:rsid w:val="00693A4D"/>
    <w:rsid w:val="00694705"/>
    <w:rsid w:val="006949C5"/>
    <w:rsid w:val="0069518E"/>
    <w:rsid w:val="006952F8"/>
    <w:rsid w:val="006955AA"/>
    <w:rsid w:val="0069563F"/>
    <w:rsid w:val="00695680"/>
    <w:rsid w:val="0069636A"/>
    <w:rsid w:val="00696C30"/>
    <w:rsid w:val="00697947"/>
    <w:rsid w:val="00697C12"/>
    <w:rsid w:val="00697C3D"/>
    <w:rsid w:val="00697E7A"/>
    <w:rsid w:val="006A0FBD"/>
    <w:rsid w:val="006A1196"/>
    <w:rsid w:val="006A124B"/>
    <w:rsid w:val="006A1A88"/>
    <w:rsid w:val="006A24E1"/>
    <w:rsid w:val="006A264D"/>
    <w:rsid w:val="006A267F"/>
    <w:rsid w:val="006A2BB2"/>
    <w:rsid w:val="006A30EC"/>
    <w:rsid w:val="006A3453"/>
    <w:rsid w:val="006A3A22"/>
    <w:rsid w:val="006A3B85"/>
    <w:rsid w:val="006A44C3"/>
    <w:rsid w:val="006A4F73"/>
    <w:rsid w:val="006A56BC"/>
    <w:rsid w:val="006A6B03"/>
    <w:rsid w:val="006A6B67"/>
    <w:rsid w:val="006A7FE1"/>
    <w:rsid w:val="006B01D4"/>
    <w:rsid w:val="006B0B26"/>
    <w:rsid w:val="006B1281"/>
    <w:rsid w:val="006B13AC"/>
    <w:rsid w:val="006B2356"/>
    <w:rsid w:val="006B27B1"/>
    <w:rsid w:val="006B3587"/>
    <w:rsid w:val="006B7266"/>
    <w:rsid w:val="006B7381"/>
    <w:rsid w:val="006C0E42"/>
    <w:rsid w:val="006C25C3"/>
    <w:rsid w:val="006C2D52"/>
    <w:rsid w:val="006C2FFD"/>
    <w:rsid w:val="006C395D"/>
    <w:rsid w:val="006C3D5E"/>
    <w:rsid w:val="006C4FE0"/>
    <w:rsid w:val="006C564A"/>
    <w:rsid w:val="006C56C6"/>
    <w:rsid w:val="006C601D"/>
    <w:rsid w:val="006C72FC"/>
    <w:rsid w:val="006C7D71"/>
    <w:rsid w:val="006D00C5"/>
    <w:rsid w:val="006D0B21"/>
    <w:rsid w:val="006D0EA8"/>
    <w:rsid w:val="006D11CF"/>
    <w:rsid w:val="006D1794"/>
    <w:rsid w:val="006D1B9D"/>
    <w:rsid w:val="006D4167"/>
    <w:rsid w:val="006D5800"/>
    <w:rsid w:val="006D5917"/>
    <w:rsid w:val="006D5F10"/>
    <w:rsid w:val="006D629B"/>
    <w:rsid w:val="006E02DA"/>
    <w:rsid w:val="006E142A"/>
    <w:rsid w:val="006E2C92"/>
    <w:rsid w:val="006E3216"/>
    <w:rsid w:val="006E3F4F"/>
    <w:rsid w:val="006E4FFA"/>
    <w:rsid w:val="006E635C"/>
    <w:rsid w:val="006E6797"/>
    <w:rsid w:val="006F0100"/>
    <w:rsid w:val="006F0C42"/>
    <w:rsid w:val="006F0E3D"/>
    <w:rsid w:val="006F379D"/>
    <w:rsid w:val="006F78AD"/>
    <w:rsid w:val="006F79E2"/>
    <w:rsid w:val="00700F7C"/>
    <w:rsid w:val="0070308F"/>
    <w:rsid w:val="007036DB"/>
    <w:rsid w:val="00703F6F"/>
    <w:rsid w:val="007049AF"/>
    <w:rsid w:val="00706960"/>
    <w:rsid w:val="007075DA"/>
    <w:rsid w:val="00707CFC"/>
    <w:rsid w:val="007103BA"/>
    <w:rsid w:val="007103E1"/>
    <w:rsid w:val="0071048B"/>
    <w:rsid w:val="00711518"/>
    <w:rsid w:val="00711EEA"/>
    <w:rsid w:val="007123D9"/>
    <w:rsid w:val="007123DF"/>
    <w:rsid w:val="0071279C"/>
    <w:rsid w:val="00713348"/>
    <w:rsid w:val="00713759"/>
    <w:rsid w:val="00713BF6"/>
    <w:rsid w:val="00713D53"/>
    <w:rsid w:val="0071413B"/>
    <w:rsid w:val="00714869"/>
    <w:rsid w:val="00714C53"/>
    <w:rsid w:val="00714E15"/>
    <w:rsid w:val="00717093"/>
    <w:rsid w:val="007174B0"/>
    <w:rsid w:val="007176A1"/>
    <w:rsid w:val="00717A0D"/>
    <w:rsid w:val="00717D33"/>
    <w:rsid w:val="00720B23"/>
    <w:rsid w:val="00721260"/>
    <w:rsid w:val="00721F3E"/>
    <w:rsid w:val="00722B66"/>
    <w:rsid w:val="00723069"/>
    <w:rsid w:val="007241FC"/>
    <w:rsid w:val="0072573E"/>
    <w:rsid w:val="00726858"/>
    <w:rsid w:val="00732725"/>
    <w:rsid w:val="00732C69"/>
    <w:rsid w:val="00733388"/>
    <w:rsid w:val="0073378B"/>
    <w:rsid w:val="007337C7"/>
    <w:rsid w:val="00734B1E"/>
    <w:rsid w:val="00734F7B"/>
    <w:rsid w:val="0073588C"/>
    <w:rsid w:val="00735B2A"/>
    <w:rsid w:val="00735FB7"/>
    <w:rsid w:val="0073728C"/>
    <w:rsid w:val="007400DA"/>
    <w:rsid w:val="007404F3"/>
    <w:rsid w:val="00740916"/>
    <w:rsid w:val="00740B8B"/>
    <w:rsid w:val="00740F80"/>
    <w:rsid w:val="00741696"/>
    <w:rsid w:val="007459C9"/>
    <w:rsid w:val="007465A7"/>
    <w:rsid w:val="007477BA"/>
    <w:rsid w:val="00747D30"/>
    <w:rsid w:val="00752032"/>
    <w:rsid w:val="00752856"/>
    <w:rsid w:val="00752E49"/>
    <w:rsid w:val="007551CD"/>
    <w:rsid w:val="00755315"/>
    <w:rsid w:val="00755D99"/>
    <w:rsid w:val="007567A7"/>
    <w:rsid w:val="00756F36"/>
    <w:rsid w:val="00760A93"/>
    <w:rsid w:val="00760C77"/>
    <w:rsid w:val="00761317"/>
    <w:rsid w:val="0076173C"/>
    <w:rsid w:val="00762954"/>
    <w:rsid w:val="00762FDC"/>
    <w:rsid w:val="00763060"/>
    <w:rsid w:val="00763ACB"/>
    <w:rsid w:val="007653E6"/>
    <w:rsid w:val="0076591D"/>
    <w:rsid w:val="007677D2"/>
    <w:rsid w:val="007702EB"/>
    <w:rsid w:val="0077106D"/>
    <w:rsid w:val="00771E81"/>
    <w:rsid w:val="00771EA0"/>
    <w:rsid w:val="007725F0"/>
    <w:rsid w:val="00773916"/>
    <w:rsid w:val="00774F23"/>
    <w:rsid w:val="007758A9"/>
    <w:rsid w:val="00776866"/>
    <w:rsid w:val="00776A6E"/>
    <w:rsid w:val="007775BA"/>
    <w:rsid w:val="007778BA"/>
    <w:rsid w:val="00780C0D"/>
    <w:rsid w:val="00780E94"/>
    <w:rsid w:val="00781E0D"/>
    <w:rsid w:val="00782F79"/>
    <w:rsid w:val="00784E1F"/>
    <w:rsid w:val="007851F1"/>
    <w:rsid w:val="007869AC"/>
    <w:rsid w:val="007873B4"/>
    <w:rsid w:val="007900F2"/>
    <w:rsid w:val="00792283"/>
    <w:rsid w:val="00793CA3"/>
    <w:rsid w:val="00793EA9"/>
    <w:rsid w:val="00794592"/>
    <w:rsid w:val="0079572F"/>
    <w:rsid w:val="00796B1C"/>
    <w:rsid w:val="00796F56"/>
    <w:rsid w:val="0079724E"/>
    <w:rsid w:val="007A12B9"/>
    <w:rsid w:val="007A33BD"/>
    <w:rsid w:val="007A3D13"/>
    <w:rsid w:val="007A4AB6"/>
    <w:rsid w:val="007A55E0"/>
    <w:rsid w:val="007A6621"/>
    <w:rsid w:val="007A7036"/>
    <w:rsid w:val="007A734A"/>
    <w:rsid w:val="007B0133"/>
    <w:rsid w:val="007B0511"/>
    <w:rsid w:val="007B0FC1"/>
    <w:rsid w:val="007B11A1"/>
    <w:rsid w:val="007B16E4"/>
    <w:rsid w:val="007B1AFF"/>
    <w:rsid w:val="007B1FD3"/>
    <w:rsid w:val="007B29E4"/>
    <w:rsid w:val="007B4003"/>
    <w:rsid w:val="007B4148"/>
    <w:rsid w:val="007B4A5E"/>
    <w:rsid w:val="007B5944"/>
    <w:rsid w:val="007B59D3"/>
    <w:rsid w:val="007B63A6"/>
    <w:rsid w:val="007B6F9B"/>
    <w:rsid w:val="007B7DA5"/>
    <w:rsid w:val="007B7F08"/>
    <w:rsid w:val="007C0094"/>
    <w:rsid w:val="007C073B"/>
    <w:rsid w:val="007C3C3C"/>
    <w:rsid w:val="007C485B"/>
    <w:rsid w:val="007C4C9C"/>
    <w:rsid w:val="007C52B0"/>
    <w:rsid w:val="007C60E3"/>
    <w:rsid w:val="007C6342"/>
    <w:rsid w:val="007D0E6A"/>
    <w:rsid w:val="007D0EBA"/>
    <w:rsid w:val="007D342B"/>
    <w:rsid w:val="007D3470"/>
    <w:rsid w:val="007D4185"/>
    <w:rsid w:val="007D4280"/>
    <w:rsid w:val="007D55F4"/>
    <w:rsid w:val="007D6D5A"/>
    <w:rsid w:val="007E03B3"/>
    <w:rsid w:val="007E2971"/>
    <w:rsid w:val="007E4993"/>
    <w:rsid w:val="007E5923"/>
    <w:rsid w:val="007E5E79"/>
    <w:rsid w:val="007E716E"/>
    <w:rsid w:val="007E7B84"/>
    <w:rsid w:val="007E7CA2"/>
    <w:rsid w:val="007E7E9C"/>
    <w:rsid w:val="007F16E4"/>
    <w:rsid w:val="007F1F95"/>
    <w:rsid w:val="007F2880"/>
    <w:rsid w:val="007F383F"/>
    <w:rsid w:val="007F4CF7"/>
    <w:rsid w:val="007F5434"/>
    <w:rsid w:val="007F5911"/>
    <w:rsid w:val="007F5CFE"/>
    <w:rsid w:val="007F5F5A"/>
    <w:rsid w:val="007F652D"/>
    <w:rsid w:val="007F69C8"/>
    <w:rsid w:val="007F6E02"/>
    <w:rsid w:val="007F75FB"/>
    <w:rsid w:val="008000FD"/>
    <w:rsid w:val="008002B6"/>
    <w:rsid w:val="00800DA9"/>
    <w:rsid w:val="008010C6"/>
    <w:rsid w:val="0080126A"/>
    <w:rsid w:val="0080192D"/>
    <w:rsid w:val="0080237F"/>
    <w:rsid w:val="008043BD"/>
    <w:rsid w:val="008062FC"/>
    <w:rsid w:val="00806EB6"/>
    <w:rsid w:val="0080756F"/>
    <w:rsid w:val="00810D30"/>
    <w:rsid w:val="0081321D"/>
    <w:rsid w:val="0081415F"/>
    <w:rsid w:val="00814D61"/>
    <w:rsid w:val="00815562"/>
    <w:rsid w:val="008166F0"/>
    <w:rsid w:val="00816814"/>
    <w:rsid w:val="00816D4C"/>
    <w:rsid w:val="0081776E"/>
    <w:rsid w:val="00817C4C"/>
    <w:rsid w:val="008200E0"/>
    <w:rsid w:val="00820652"/>
    <w:rsid w:val="0082104D"/>
    <w:rsid w:val="008217CB"/>
    <w:rsid w:val="00821976"/>
    <w:rsid w:val="00822F1D"/>
    <w:rsid w:val="00823664"/>
    <w:rsid w:val="0082575C"/>
    <w:rsid w:val="00825F6F"/>
    <w:rsid w:val="008268EC"/>
    <w:rsid w:val="00827077"/>
    <w:rsid w:val="00827825"/>
    <w:rsid w:val="00830C31"/>
    <w:rsid w:val="00830EF6"/>
    <w:rsid w:val="00831861"/>
    <w:rsid w:val="008320C5"/>
    <w:rsid w:val="00832753"/>
    <w:rsid w:val="0083483E"/>
    <w:rsid w:val="00834B4A"/>
    <w:rsid w:val="0083501F"/>
    <w:rsid w:val="00835B39"/>
    <w:rsid w:val="00836524"/>
    <w:rsid w:val="0083664A"/>
    <w:rsid w:val="00836C64"/>
    <w:rsid w:val="008375D4"/>
    <w:rsid w:val="00840273"/>
    <w:rsid w:val="00841744"/>
    <w:rsid w:val="008435EF"/>
    <w:rsid w:val="00844699"/>
    <w:rsid w:val="00845D06"/>
    <w:rsid w:val="00846119"/>
    <w:rsid w:val="008473DF"/>
    <w:rsid w:val="008504FF"/>
    <w:rsid w:val="00850836"/>
    <w:rsid w:val="00850875"/>
    <w:rsid w:val="008513AB"/>
    <w:rsid w:val="008513BB"/>
    <w:rsid w:val="00852135"/>
    <w:rsid w:val="0085225D"/>
    <w:rsid w:val="008534DF"/>
    <w:rsid w:val="00853C5F"/>
    <w:rsid w:val="00854D83"/>
    <w:rsid w:val="008555E7"/>
    <w:rsid w:val="00855952"/>
    <w:rsid w:val="00855B4E"/>
    <w:rsid w:val="00855F07"/>
    <w:rsid w:val="00856BBE"/>
    <w:rsid w:val="00857289"/>
    <w:rsid w:val="0086004D"/>
    <w:rsid w:val="0086069C"/>
    <w:rsid w:val="00860E2A"/>
    <w:rsid w:val="008626CC"/>
    <w:rsid w:val="00862DF6"/>
    <w:rsid w:val="008635F5"/>
    <w:rsid w:val="008635FC"/>
    <w:rsid w:val="00863B53"/>
    <w:rsid w:val="008676E7"/>
    <w:rsid w:val="008679D3"/>
    <w:rsid w:val="00867F1A"/>
    <w:rsid w:val="008701BC"/>
    <w:rsid w:val="00870BBE"/>
    <w:rsid w:val="00870C30"/>
    <w:rsid w:val="008717A0"/>
    <w:rsid w:val="00874C64"/>
    <w:rsid w:val="00875225"/>
    <w:rsid w:val="008753C8"/>
    <w:rsid w:val="00875717"/>
    <w:rsid w:val="00875BE5"/>
    <w:rsid w:val="00875C82"/>
    <w:rsid w:val="00875CC5"/>
    <w:rsid w:val="008762A1"/>
    <w:rsid w:val="008775A8"/>
    <w:rsid w:val="00877F77"/>
    <w:rsid w:val="00880F8D"/>
    <w:rsid w:val="0088117C"/>
    <w:rsid w:val="0088217E"/>
    <w:rsid w:val="00883422"/>
    <w:rsid w:val="0088378D"/>
    <w:rsid w:val="008850E7"/>
    <w:rsid w:val="008852EF"/>
    <w:rsid w:val="00890045"/>
    <w:rsid w:val="00891CD2"/>
    <w:rsid w:val="00891CF9"/>
    <w:rsid w:val="008926A9"/>
    <w:rsid w:val="00892B6F"/>
    <w:rsid w:val="0089457F"/>
    <w:rsid w:val="00894989"/>
    <w:rsid w:val="00894A0D"/>
    <w:rsid w:val="00896412"/>
    <w:rsid w:val="008969AB"/>
    <w:rsid w:val="00897339"/>
    <w:rsid w:val="008A26B8"/>
    <w:rsid w:val="008A2964"/>
    <w:rsid w:val="008A4801"/>
    <w:rsid w:val="008A5147"/>
    <w:rsid w:val="008A56D3"/>
    <w:rsid w:val="008A7572"/>
    <w:rsid w:val="008B0190"/>
    <w:rsid w:val="008B223D"/>
    <w:rsid w:val="008B3C40"/>
    <w:rsid w:val="008B3DFF"/>
    <w:rsid w:val="008B42A8"/>
    <w:rsid w:val="008B4A51"/>
    <w:rsid w:val="008B5E57"/>
    <w:rsid w:val="008B7210"/>
    <w:rsid w:val="008B78A6"/>
    <w:rsid w:val="008C0C90"/>
    <w:rsid w:val="008C0CCE"/>
    <w:rsid w:val="008C0EA0"/>
    <w:rsid w:val="008C1306"/>
    <w:rsid w:val="008C22E8"/>
    <w:rsid w:val="008C2364"/>
    <w:rsid w:val="008C244F"/>
    <w:rsid w:val="008C2474"/>
    <w:rsid w:val="008C275F"/>
    <w:rsid w:val="008C2CAD"/>
    <w:rsid w:val="008C5267"/>
    <w:rsid w:val="008C5627"/>
    <w:rsid w:val="008C72D7"/>
    <w:rsid w:val="008D0ABD"/>
    <w:rsid w:val="008D3CC5"/>
    <w:rsid w:val="008D50B6"/>
    <w:rsid w:val="008D56FB"/>
    <w:rsid w:val="008D5718"/>
    <w:rsid w:val="008D5D6A"/>
    <w:rsid w:val="008D7D2F"/>
    <w:rsid w:val="008D7F16"/>
    <w:rsid w:val="008E166D"/>
    <w:rsid w:val="008E1675"/>
    <w:rsid w:val="008E27B2"/>
    <w:rsid w:val="008E29DE"/>
    <w:rsid w:val="008E2BC7"/>
    <w:rsid w:val="008E2F02"/>
    <w:rsid w:val="008E34D6"/>
    <w:rsid w:val="008E35A2"/>
    <w:rsid w:val="008E42E1"/>
    <w:rsid w:val="008E4600"/>
    <w:rsid w:val="008E4B8C"/>
    <w:rsid w:val="008E65F6"/>
    <w:rsid w:val="008E6F15"/>
    <w:rsid w:val="008F009F"/>
    <w:rsid w:val="008F07FE"/>
    <w:rsid w:val="008F1B56"/>
    <w:rsid w:val="008F225C"/>
    <w:rsid w:val="008F260E"/>
    <w:rsid w:val="008F29FC"/>
    <w:rsid w:val="008F37B3"/>
    <w:rsid w:val="008F4C64"/>
    <w:rsid w:val="008F5273"/>
    <w:rsid w:val="00900A19"/>
    <w:rsid w:val="00900FF9"/>
    <w:rsid w:val="00903DC6"/>
    <w:rsid w:val="00903FD3"/>
    <w:rsid w:val="00904016"/>
    <w:rsid w:val="00904038"/>
    <w:rsid w:val="009042E6"/>
    <w:rsid w:val="00905264"/>
    <w:rsid w:val="009059EB"/>
    <w:rsid w:val="00905D72"/>
    <w:rsid w:val="009068E7"/>
    <w:rsid w:val="00906E33"/>
    <w:rsid w:val="009078D8"/>
    <w:rsid w:val="009113E6"/>
    <w:rsid w:val="00911613"/>
    <w:rsid w:val="009129CF"/>
    <w:rsid w:val="00912ADD"/>
    <w:rsid w:val="00913551"/>
    <w:rsid w:val="00915024"/>
    <w:rsid w:val="009160D8"/>
    <w:rsid w:val="00916B39"/>
    <w:rsid w:val="009201AC"/>
    <w:rsid w:val="00921280"/>
    <w:rsid w:val="00922A59"/>
    <w:rsid w:val="00922DA1"/>
    <w:rsid w:val="00923F14"/>
    <w:rsid w:val="009248E1"/>
    <w:rsid w:val="00925684"/>
    <w:rsid w:val="00926A75"/>
    <w:rsid w:val="0092751B"/>
    <w:rsid w:val="009279B1"/>
    <w:rsid w:val="00930C64"/>
    <w:rsid w:val="009332F6"/>
    <w:rsid w:val="00933304"/>
    <w:rsid w:val="00933495"/>
    <w:rsid w:val="00934049"/>
    <w:rsid w:val="009341F5"/>
    <w:rsid w:val="009341F9"/>
    <w:rsid w:val="009347C8"/>
    <w:rsid w:val="00934E05"/>
    <w:rsid w:val="00935FE3"/>
    <w:rsid w:val="00936487"/>
    <w:rsid w:val="00936B9A"/>
    <w:rsid w:val="00936DB5"/>
    <w:rsid w:val="00936FB3"/>
    <w:rsid w:val="00937FC0"/>
    <w:rsid w:val="009409B6"/>
    <w:rsid w:val="009411F7"/>
    <w:rsid w:val="0094144B"/>
    <w:rsid w:val="009418F8"/>
    <w:rsid w:val="009419E3"/>
    <w:rsid w:val="00941BA6"/>
    <w:rsid w:val="0094244A"/>
    <w:rsid w:val="009427DC"/>
    <w:rsid w:val="00942ADF"/>
    <w:rsid w:val="00943544"/>
    <w:rsid w:val="00945112"/>
    <w:rsid w:val="00946B17"/>
    <w:rsid w:val="0095069D"/>
    <w:rsid w:val="0095183B"/>
    <w:rsid w:val="00951B63"/>
    <w:rsid w:val="00951DF2"/>
    <w:rsid w:val="00952987"/>
    <w:rsid w:val="00953228"/>
    <w:rsid w:val="00953429"/>
    <w:rsid w:val="00953618"/>
    <w:rsid w:val="009536B3"/>
    <w:rsid w:val="009536DB"/>
    <w:rsid w:val="009543EA"/>
    <w:rsid w:val="00954519"/>
    <w:rsid w:val="009559E5"/>
    <w:rsid w:val="00955A27"/>
    <w:rsid w:val="00955C33"/>
    <w:rsid w:val="00955DC5"/>
    <w:rsid w:val="00956286"/>
    <w:rsid w:val="0095741A"/>
    <w:rsid w:val="00957A41"/>
    <w:rsid w:val="00960132"/>
    <w:rsid w:val="0096181E"/>
    <w:rsid w:val="00961C99"/>
    <w:rsid w:val="00961FA5"/>
    <w:rsid w:val="00962128"/>
    <w:rsid w:val="00962850"/>
    <w:rsid w:val="00962998"/>
    <w:rsid w:val="009652FC"/>
    <w:rsid w:val="0097008A"/>
    <w:rsid w:val="00970401"/>
    <w:rsid w:val="00970AFE"/>
    <w:rsid w:val="00973C1D"/>
    <w:rsid w:val="009747E2"/>
    <w:rsid w:val="00974C5D"/>
    <w:rsid w:val="00975B26"/>
    <w:rsid w:val="00975D02"/>
    <w:rsid w:val="00976E78"/>
    <w:rsid w:val="009835A7"/>
    <w:rsid w:val="0098434F"/>
    <w:rsid w:val="009844AC"/>
    <w:rsid w:val="00984D7D"/>
    <w:rsid w:val="00985446"/>
    <w:rsid w:val="00985D49"/>
    <w:rsid w:val="00986247"/>
    <w:rsid w:val="0098657A"/>
    <w:rsid w:val="00990A18"/>
    <w:rsid w:val="0099132E"/>
    <w:rsid w:val="009915D7"/>
    <w:rsid w:val="009919AB"/>
    <w:rsid w:val="00992021"/>
    <w:rsid w:val="0099239B"/>
    <w:rsid w:val="00992635"/>
    <w:rsid w:val="00992DFE"/>
    <w:rsid w:val="00992E1F"/>
    <w:rsid w:val="009935F4"/>
    <w:rsid w:val="00996EAA"/>
    <w:rsid w:val="009978A9"/>
    <w:rsid w:val="009A05BE"/>
    <w:rsid w:val="009A1B96"/>
    <w:rsid w:val="009A1BEC"/>
    <w:rsid w:val="009A21F0"/>
    <w:rsid w:val="009A2352"/>
    <w:rsid w:val="009A2AE5"/>
    <w:rsid w:val="009A3595"/>
    <w:rsid w:val="009A5F1A"/>
    <w:rsid w:val="009A6047"/>
    <w:rsid w:val="009B05B4"/>
    <w:rsid w:val="009B1250"/>
    <w:rsid w:val="009B2CCB"/>
    <w:rsid w:val="009B3738"/>
    <w:rsid w:val="009B4306"/>
    <w:rsid w:val="009B4AC5"/>
    <w:rsid w:val="009B4EC1"/>
    <w:rsid w:val="009B5371"/>
    <w:rsid w:val="009B5EAF"/>
    <w:rsid w:val="009B6F29"/>
    <w:rsid w:val="009B6FC6"/>
    <w:rsid w:val="009B72EF"/>
    <w:rsid w:val="009C4416"/>
    <w:rsid w:val="009C4B9E"/>
    <w:rsid w:val="009C4E9F"/>
    <w:rsid w:val="009C4ECB"/>
    <w:rsid w:val="009C5B62"/>
    <w:rsid w:val="009C5F30"/>
    <w:rsid w:val="009C656D"/>
    <w:rsid w:val="009C6B40"/>
    <w:rsid w:val="009C7569"/>
    <w:rsid w:val="009D08DA"/>
    <w:rsid w:val="009D1D1D"/>
    <w:rsid w:val="009D27F6"/>
    <w:rsid w:val="009D331B"/>
    <w:rsid w:val="009D3AC9"/>
    <w:rsid w:val="009D4144"/>
    <w:rsid w:val="009D4656"/>
    <w:rsid w:val="009D5458"/>
    <w:rsid w:val="009D691F"/>
    <w:rsid w:val="009D6EFB"/>
    <w:rsid w:val="009D7B57"/>
    <w:rsid w:val="009D7D91"/>
    <w:rsid w:val="009D7DF5"/>
    <w:rsid w:val="009E25A3"/>
    <w:rsid w:val="009E3225"/>
    <w:rsid w:val="009E34B9"/>
    <w:rsid w:val="009E4BDF"/>
    <w:rsid w:val="009E50ED"/>
    <w:rsid w:val="009E5A9A"/>
    <w:rsid w:val="009E5CEB"/>
    <w:rsid w:val="009E6C1E"/>
    <w:rsid w:val="009F06B2"/>
    <w:rsid w:val="009F1430"/>
    <w:rsid w:val="009F322D"/>
    <w:rsid w:val="009F3F3A"/>
    <w:rsid w:val="009F4072"/>
    <w:rsid w:val="009F40EB"/>
    <w:rsid w:val="009F4483"/>
    <w:rsid w:val="009F5802"/>
    <w:rsid w:val="009F6AA6"/>
    <w:rsid w:val="009F78E5"/>
    <w:rsid w:val="00A00646"/>
    <w:rsid w:val="00A01483"/>
    <w:rsid w:val="00A017BA"/>
    <w:rsid w:val="00A02C20"/>
    <w:rsid w:val="00A03199"/>
    <w:rsid w:val="00A031AE"/>
    <w:rsid w:val="00A038E0"/>
    <w:rsid w:val="00A05264"/>
    <w:rsid w:val="00A053FC"/>
    <w:rsid w:val="00A0596C"/>
    <w:rsid w:val="00A066E8"/>
    <w:rsid w:val="00A06F9F"/>
    <w:rsid w:val="00A070AE"/>
    <w:rsid w:val="00A0744F"/>
    <w:rsid w:val="00A07A89"/>
    <w:rsid w:val="00A106A4"/>
    <w:rsid w:val="00A10B14"/>
    <w:rsid w:val="00A10FA4"/>
    <w:rsid w:val="00A117F1"/>
    <w:rsid w:val="00A124B6"/>
    <w:rsid w:val="00A12E54"/>
    <w:rsid w:val="00A134F5"/>
    <w:rsid w:val="00A14049"/>
    <w:rsid w:val="00A149EA"/>
    <w:rsid w:val="00A14FFB"/>
    <w:rsid w:val="00A1589E"/>
    <w:rsid w:val="00A160C1"/>
    <w:rsid w:val="00A1636B"/>
    <w:rsid w:val="00A172A6"/>
    <w:rsid w:val="00A2276D"/>
    <w:rsid w:val="00A22C9F"/>
    <w:rsid w:val="00A240AA"/>
    <w:rsid w:val="00A264BA"/>
    <w:rsid w:val="00A2717A"/>
    <w:rsid w:val="00A318EC"/>
    <w:rsid w:val="00A31AEC"/>
    <w:rsid w:val="00A322E6"/>
    <w:rsid w:val="00A33363"/>
    <w:rsid w:val="00A343A1"/>
    <w:rsid w:val="00A348B3"/>
    <w:rsid w:val="00A3670F"/>
    <w:rsid w:val="00A37C6D"/>
    <w:rsid w:val="00A407F3"/>
    <w:rsid w:val="00A433CC"/>
    <w:rsid w:val="00A44CDC"/>
    <w:rsid w:val="00A44DF1"/>
    <w:rsid w:val="00A4569B"/>
    <w:rsid w:val="00A46056"/>
    <w:rsid w:val="00A46713"/>
    <w:rsid w:val="00A47EB0"/>
    <w:rsid w:val="00A50029"/>
    <w:rsid w:val="00A50572"/>
    <w:rsid w:val="00A511AA"/>
    <w:rsid w:val="00A516BA"/>
    <w:rsid w:val="00A51C1E"/>
    <w:rsid w:val="00A527E8"/>
    <w:rsid w:val="00A5391D"/>
    <w:rsid w:val="00A545F5"/>
    <w:rsid w:val="00A54FF8"/>
    <w:rsid w:val="00A5649F"/>
    <w:rsid w:val="00A56668"/>
    <w:rsid w:val="00A566D7"/>
    <w:rsid w:val="00A5753B"/>
    <w:rsid w:val="00A577B2"/>
    <w:rsid w:val="00A5798C"/>
    <w:rsid w:val="00A62050"/>
    <w:rsid w:val="00A62FA2"/>
    <w:rsid w:val="00A6590C"/>
    <w:rsid w:val="00A65A53"/>
    <w:rsid w:val="00A66496"/>
    <w:rsid w:val="00A665C3"/>
    <w:rsid w:val="00A70293"/>
    <w:rsid w:val="00A72714"/>
    <w:rsid w:val="00A72DC7"/>
    <w:rsid w:val="00A74E39"/>
    <w:rsid w:val="00A75403"/>
    <w:rsid w:val="00A766B8"/>
    <w:rsid w:val="00A775E7"/>
    <w:rsid w:val="00A77772"/>
    <w:rsid w:val="00A77B75"/>
    <w:rsid w:val="00A801C2"/>
    <w:rsid w:val="00A801F1"/>
    <w:rsid w:val="00A8088A"/>
    <w:rsid w:val="00A83A4C"/>
    <w:rsid w:val="00A83CFF"/>
    <w:rsid w:val="00A842BE"/>
    <w:rsid w:val="00A85135"/>
    <w:rsid w:val="00A853DF"/>
    <w:rsid w:val="00A85BFC"/>
    <w:rsid w:val="00A85CE1"/>
    <w:rsid w:val="00A87971"/>
    <w:rsid w:val="00A90F8C"/>
    <w:rsid w:val="00A918E5"/>
    <w:rsid w:val="00A920C5"/>
    <w:rsid w:val="00A9289C"/>
    <w:rsid w:val="00A936AB"/>
    <w:rsid w:val="00A938C5"/>
    <w:rsid w:val="00A93C86"/>
    <w:rsid w:val="00A94170"/>
    <w:rsid w:val="00A941B2"/>
    <w:rsid w:val="00A941DC"/>
    <w:rsid w:val="00A9667F"/>
    <w:rsid w:val="00A96A7B"/>
    <w:rsid w:val="00AA0D42"/>
    <w:rsid w:val="00AA25A9"/>
    <w:rsid w:val="00AA4650"/>
    <w:rsid w:val="00AA5D71"/>
    <w:rsid w:val="00AA5EB9"/>
    <w:rsid w:val="00AA6F0B"/>
    <w:rsid w:val="00AA71B7"/>
    <w:rsid w:val="00AA7A6A"/>
    <w:rsid w:val="00AB142A"/>
    <w:rsid w:val="00AB2000"/>
    <w:rsid w:val="00AB3860"/>
    <w:rsid w:val="00AB7BDC"/>
    <w:rsid w:val="00AC087F"/>
    <w:rsid w:val="00AC23F4"/>
    <w:rsid w:val="00AC251F"/>
    <w:rsid w:val="00AC545C"/>
    <w:rsid w:val="00AC5F91"/>
    <w:rsid w:val="00AC6273"/>
    <w:rsid w:val="00AC7B77"/>
    <w:rsid w:val="00AD0312"/>
    <w:rsid w:val="00AD1494"/>
    <w:rsid w:val="00AD1764"/>
    <w:rsid w:val="00AD1C53"/>
    <w:rsid w:val="00AD2A55"/>
    <w:rsid w:val="00AD31D9"/>
    <w:rsid w:val="00AD3DE0"/>
    <w:rsid w:val="00AD4814"/>
    <w:rsid w:val="00AD6BA8"/>
    <w:rsid w:val="00AD78A5"/>
    <w:rsid w:val="00AE0D20"/>
    <w:rsid w:val="00AE1C8B"/>
    <w:rsid w:val="00AE1CE1"/>
    <w:rsid w:val="00AE2456"/>
    <w:rsid w:val="00AE2B23"/>
    <w:rsid w:val="00AE43CF"/>
    <w:rsid w:val="00AE5ABF"/>
    <w:rsid w:val="00AE5CD3"/>
    <w:rsid w:val="00AE650B"/>
    <w:rsid w:val="00AE7D2B"/>
    <w:rsid w:val="00AE7DD9"/>
    <w:rsid w:val="00AF00CB"/>
    <w:rsid w:val="00AF0ADF"/>
    <w:rsid w:val="00AF0C72"/>
    <w:rsid w:val="00AF1470"/>
    <w:rsid w:val="00AF16D9"/>
    <w:rsid w:val="00AF1C2A"/>
    <w:rsid w:val="00AF47F1"/>
    <w:rsid w:val="00AF4F33"/>
    <w:rsid w:val="00AF588D"/>
    <w:rsid w:val="00AF712F"/>
    <w:rsid w:val="00AF7550"/>
    <w:rsid w:val="00AF786D"/>
    <w:rsid w:val="00AF791E"/>
    <w:rsid w:val="00B00029"/>
    <w:rsid w:val="00B012E6"/>
    <w:rsid w:val="00B029AC"/>
    <w:rsid w:val="00B03A2D"/>
    <w:rsid w:val="00B04CAB"/>
    <w:rsid w:val="00B1162D"/>
    <w:rsid w:val="00B12851"/>
    <w:rsid w:val="00B12A89"/>
    <w:rsid w:val="00B130F7"/>
    <w:rsid w:val="00B14721"/>
    <w:rsid w:val="00B14984"/>
    <w:rsid w:val="00B14D56"/>
    <w:rsid w:val="00B1551F"/>
    <w:rsid w:val="00B15921"/>
    <w:rsid w:val="00B15DF4"/>
    <w:rsid w:val="00B16376"/>
    <w:rsid w:val="00B17D8B"/>
    <w:rsid w:val="00B20F56"/>
    <w:rsid w:val="00B2285E"/>
    <w:rsid w:val="00B22B25"/>
    <w:rsid w:val="00B24520"/>
    <w:rsid w:val="00B2502C"/>
    <w:rsid w:val="00B25D36"/>
    <w:rsid w:val="00B27DDF"/>
    <w:rsid w:val="00B27EF8"/>
    <w:rsid w:val="00B31A18"/>
    <w:rsid w:val="00B31D5C"/>
    <w:rsid w:val="00B326B1"/>
    <w:rsid w:val="00B32CBA"/>
    <w:rsid w:val="00B33C6F"/>
    <w:rsid w:val="00B3419F"/>
    <w:rsid w:val="00B3423B"/>
    <w:rsid w:val="00B35041"/>
    <w:rsid w:val="00B35E8B"/>
    <w:rsid w:val="00B366E3"/>
    <w:rsid w:val="00B37985"/>
    <w:rsid w:val="00B40767"/>
    <w:rsid w:val="00B41F1B"/>
    <w:rsid w:val="00B44C8A"/>
    <w:rsid w:val="00B4549B"/>
    <w:rsid w:val="00B47C5A"/>
    <w:rsid w:val="00B50153"/>
    <w:rsid w:val="00B5015C"/>
    <w:rsid w:val="00B50402"/>
    <w:rsid w:val="00B50E6B"/>
    <w:rsid w:val="00B50EA8"/>
    <w:rsid w:val="00B51017"/>
    <w:rsid w:val="00B51222"/>
    <w:rsid w:val="00B52F39"/>
    <w:rsid w:val="00B54837"/>
    <w:rsid w:val="00B54907"/>
    <w:rsid w:val="00B5570D"/>
    <w:rsid w:val="00B55B2E"/>
    <w:rsid w:val="00B55BD7"/>
    <w:rsid w:val="00B567DA"/>
    <w:rsid w:val="00B60352"/>
    <w:rsid w:val="00B6072E"/>
    <w:rsid w:val="00B60A55"/>
    <w:rsid w:val="00B61AC9"/>
    <w:rsid w:val="00B623F2"/>
    <w:rsid w:val="00B62426"/>
    <w:rsid w:val="00B63C72"/>
    <w:rsid w:val="00B64148"/>
    <w:rsid w:val="00B64750"/>
    <w:rsid w:val="00B64BAE"/>
    <w:rsid w:val="00B6551E"/>
    <w:rsid w:val="00B66062"/>
    <w:rsid w:val="00B662A7"/>
    <w:rsid w:val="00B7032A"/>
    <w:rsid w:val="00B71728"/>
    <w:rsid w:val="00B71BBA"/>
    <w:rsid w:val="00B72445"/>
    <w:rsid w:val="00B72D2B"/>
    <w:rsid w:val="00B744D2"/>
    <w:rsid w:val="00B74651"/>
    <w:rsid w:val="00B75B63"/>
    <w:rsid w:val="00B75DFE"/>
    <w:rsid w:val="00B75E37"/>
    <w:rsid w:val="00B760F8"/>
    <w:rsid w:val="00B76860"/>
    <w:rsid w:val="00B8025B"/>
    <w:rsid w:val="00B8039C"/>
    <w:rsid w:val="00B805BE"/>
    <w:rsid w:val="00B80673"/>
    <w:rsid w:val="00B80D81"/>
    <w:rsid w:val="00B81A8D"/>
    <w:rsid w:val="00B81DA8"/>
    <w:rsid w:val="00B831CC"/>
    <w:rsid w:val="00B837DE"/>
    <w:rsid w:val="00B84747"/>
    <w:rsid w:val="00B848AB"/>
    <w:rsid w:val="00B84D79"/>
    <w:rsid w:val="00B84FF3"/>
    <w:rsid w:val="00B8636C"/>
    <w:rsid w:val="00B86B54"/>
    <w:rsid w:val="00B87784"/>
    <w:rsid w:val="00B87C5F"/>
    <w:rsid w:val="00B87DF5"/>
    <w:rsid w:val="00B900A0"/>
    <w:rsid w:val="00B917FF"/>
    <w:rsid w:val="00B93042"/>
    <w:rsid w:val="00B9319A"/>
    <w:rsid w:val="00B94532"/>
    <w:rsid w:val="00B95C98"/>
    <w:rsid w:val="00B962BF"/>
    <w:rsid w:val="00B96452"/>
    <w:rsid w:val="00B9650C"/>
    <w:rsid w:val="00B968CC"/>
    <w:rsid w:val="00B977E7"/>
    <w:rsid w:val="00B97F68"/>
    <w:rsid w:val="00BA0098"/>
    <w:rsid w:val="00BA01D7"/>
    <w:rsid w:val="00BA03C1"/>
    <w:rsid w:val="00BA0C41"/>
    <w:rsid w:val="00BA1546"/>
    <w:rsid w:val="00BA1561"/>
    <w:rsid w:val="00BA2B38"/>
    <w:rsid w:val="00BA2C7E"/>
    <w:rsid w:val="00BA2FA0"/>
    <w:rsid w:val="00BA561C"/>
    <w:rsid w:val="00BA5ADE"/>
    <w:rsid w:val="00BA6B6C"/>
    <w:rsid w:val="00BA7500"/>
    <w:rsid w:val="00BA77B0"/>
    <w:rsid w:val="00BA7E48"/>
    <w:rsid w:val="00BB035E"/>
    <w:rsid w:val="00BB112D"/>
    <w:rsid w:val="00BB1138"/>
    <w:rsid w:val="00BB1750"/>
    <w:rsid w:val="00BB197F"/>
    <w:rsid w:val="00BB2AB0"/>
    <w:rsid w:val="00BB40C6"/>
    <w:rsid w:val="00BB4145"/>
    <w:rsid w:val="00BB6013"/>
    <w:rsid w:val="00BB6227"/>
    <w:rsid w:val="00BB693F"/>
    <w:rsid w:val="00BB7D51"/>
    <w:rsid w:val="00BC04E7"/>
    <w:rsid w:val="00BC10B8"/>
    <w:rsid w:val="00BC1D4B"/>
    <w:rsid w:val="00BC1F6E"/>
    <w:rsid w:val="00BC52EF"/>
    <w:rsid w:val="00BC5CA5"/>
    <w:rsid w:val="00BC5E62"/>
    <w:rsid w:val="00BC6729"/>
    <w:rsid w:val="00BD11EB"/>
    <w:rsid w:val="00BD158D"/>
    <w:rsid w:val="00BD1A5A"/>
    <w:rsid w:val="00BD2529"/>
    <w:rsid w:val="00BD2670"/>
    <w:rsid w:val="00BD2D52"/>
    <w:rsid w:val="00BD393C"/>
    <w:rsid w:val="00BD3C90"/>
    <w:rsid w:val="00BD3EB7"/>
    <w:rsid w:val="00BD4D68"/>
    <w:rsid w:val="00BD54E3"/>
    <w:rsid w:val="00BD558A"/>
    <w:rsid w:val="00BD65DD"/>
    <w:rsid w:val="00BD6872"/>
    <w:rsid w:val="00BD748D"/>
    <w:rsid w:val="00BD7F60"/>
    <w:rsid w:val="00BE04BE"/>
    <w:rsid w:val="00BE05D4"/>
    <w:rsid w:val="00BE1253"/>
    <w:rsid w:val="00BE14CA"/>
    <w:rsid w:val="00BE1D9D"/>
    <w:rsid w:val="00BE21F9"/>
    <w:rsid w:val="00BE3EF0"/>
    <w:rsid w:val="00BE40EC"/>
    <w:rsid w:val="00BE4411"/>
    <w:rsid w:val="00BE54CE"/>
    <w:rsid w:val="00BE6031"/>
    <w:rsid w:val="00BE6823"/>
    <w:rsid w:val="00BE7BE4"/>
    <w:rsid w:val="00BF02E6"/>
    <w:rsid w:val="00BF185B"/>
    <w:rsid w:val="00BF1B55"/>
    <w:rsid w:val="00BF2B48"/>
    <w:rsid w:val="00BF41AB"/>
    <w:rsid w:val="00BF42A4"/>
    <w:rsid w:val="00BF4857"/>
    <w:rsid w:val="00BF4A4C"/>
    <w:rsid w:val="00BF51CF"/>
    <w:rsid w:val="00BF573A"/>
    <w:rsid w:val="00BF6AF3"/>
    <w:rsid w:val="00BF72B9"/>
    <w:rsid w:val="00BF7B5F"/>
    <w:rsid w:val="00BF7C6B"/>
    <w:rsid w:val="00C007AC"/>
    <w:rsid w:val="00C0380B"/>
    <w:rsid w:val="00C03BCD"/>
    <w:rsid w:val="00C04352"/>
    <w:rsid w:val="00C04714"/>
    <w:rsid w:val="00C04A2B"/>
    <w:rsid w:val="00C0763D"/>
    <w:rsid w:val="00C1001C"/>
    <w:rsid w:val="00C100AB"/>
    <w:rsid w:val="00C10A3F"/>
    <w:rsid w:val="00C10B9A"/>
    <w:rsid w:val="00C119D8"/>
    <w:rsid w:val="00C129C2"/>
    <w:rsid w:val="00C12A70"/>
    <w:rsid w:val="00C14754"/>
    <w:rsid w:val="00C16CE6"/>
    <w:rsid w:val="00C173D0"/>
    <w:rsid w:val="00C203CB"/>
    <w:rsid w:val="00C21028"/>
    <w:rsid w:val="00C21A93"/>
    <w:rsid w:val="00C21EA7"/>
    <w:rsid w:val="00C22134"/>
    <w:rsid w:val="00C2248F"/>
    <w:rsid w:val="00C23CA0"/>
    <w:rsid w:val="00C24AED"/>
    <w:rsid w:val="00C2741F"/>
    <w:rsid w:val="00C30C24"/>
    <w:rsid w:val="00C30CCC"/>
    <w:rsid w:val="00C30D1B"/>
    <w:rsid w:val="00C31972"/>
    <w:rsid w:val="00C321C5"/>
    <w:rsid w:val="00C32D0D"/>
    <w:rsid w:val="00C33A8F"/>
    <w:rsid w:val="00C33C30"/>
    <w:rsid w:val="00C34103"/>
    <w:rsid w:val="00C348F4"/>
    <w:rsid w:val="00C34B98"/>
    <w:rsid w:val="00C351ED"/>
    <w:rsid w:val="00C35BF9"/>
    <w:rsid w:val="00C36D66"/>
    <w:rsid w:val="00C374DD"/>
    <w:rsid w:val="00C374F5"/>
    <w:rsid w:val="00C375A2"/>
    <w:rsid w:val="00C40546"/>
    <w:rsid w:val="00C42B51"/>
    <w:rsid w:val="00C435B3"/>
    <w:rsid w:val="00C43EC1"/>
    <w:rsid w:val="00C4578B"/>
    <w:rsid w:val="00C46021"/>
    <w:rsid w:val="00C462C8"/>
    <w:rsid w:val="00C4687A"/>
    <w:rsid w:val="00C52D78"/>
    <w:rsid w:val="00C5352E"/>
    <w:rsid w:val="00C56298"/>
    <w:rsid w:val="00C56AC4"/>
    <w:rsid w:val="00C57160"/>
    <w:rsid w:val="00C572B6"/>
    <w:rsid w:val="00C57625"/>
    <w:rsid w:val="00C619F0"/>
    <w:rsid w:val="00C62763"/>
    <w:rsid w:val="00C631F3"/>
    <w:rsid w:val="00C63995"/>
    <w:rsid w:val="00C642C4"/>
    <w:rsid w:val="00C64396"/>
    <w:rsid w:val="00C648E6"/>
    <w:rsid w:val="00C65776"/>
    <w:rsid w:val="00C65F24"/>
    <w:rsid w:val="00C66E98"/>
    <w:rsid w:val="00C72A1C"/>
    <w:rsid w:val="00C73D6D"/>
    <w:rsid w:val="00C73FDB"/>
    <w:rsid w:val="00C74010"/>
    <w:rsid w:val="00C75BA8"/>
    <w:rsid w:val="00C76166"/>
    <w:rsid w:val="00C769DE"/>
    <w:rsid w:val="00C7793E"/>
    <w:rsid w:val="00C77A25"/>
    <w:rsid w:val="00C77A89"/>
    <w:rsid w:val="00C80855"/>
    <w:rsid w:val="00C80DCC"/>
    <w:rsid w:val="00C823BE"/>
    <w:rsid w:val="00C842B5"/>
    <w:rsid w:val="00C85130"/>
    <w:rsid w:val="00C86535"/>
    <w:rsid w:val="00C86D39"/>
    <w:rsid w:val="00C8738F"/>
    <w:rsid w:val="00C87525"/>
    <w:rsid w:val="00C903E9"/>
    <w:rsid w:val="00C90984"/>
    <w:rsid w:val="00C910D7"/>
    <w:rsid w:val="00C946D3"/>
    <w:rsid w:val="00C963B1"/>
    <w:rsid w:val="00CA03B2"/>
    <w:rsid w:val="00CA04FC"/>
    <w:rsid w:val="00CA085E"/>
    <w:rsid w:val="00CA091B"/>
    <w:rsid w:val="00CA10B5"/>
    <w:rsid w:val="00CA2EAC"/>
    <w:rsid w:val="00CA433E"/>
    <w:rsid w:val="00CA4865"/>
    <w:rsid w:val="00CA4FB5"/>
    <w:rsid w:val="00CA55F4"/>
    <w:rsid w:val="00CA5620"/>
    <w:rsid w:val="00CA578B"/>
    <w:rsid w:val="00CA5EB9"/>
    <w:rsid w:val="00CA65CB"/>
    <w:rsid w:val="00CA784F"/>
    <w:rsid w:val="00CB110F"/>
    <w:rsid w:val="00CB1DC3"/>
    <w:rsid w:val="00CB20F6"/>
    <w:rsid w:val="00CB258C"/>
    <w:rsid w:val="00CB2996"/>
    <w:rsid w:val="00CB4AA3"/>
    <w:rsid w:val="00CB5CE3"/>
    <w:rsid w:val="00CB6453"/>
    <w:rsid w:val="00CB65CD"/>
    <w:rsid w:val="00CB7082"/>
    <w:rsid w:val="00CB72C0"/>
    <w:rsid w:val="00CB72F5"/>
    <w:rsid w:val="00CB76DA"/>
    <w:rsid w:val="00CB79C8"/>
    <w:rsid w:val="00CC0768"/>
    <w:rsid w:val="00CC0D5A"/>
    <w:rsid w:val="00CC1F1A"/>
    <w:rsid w:val="00CC2982"/>
    <w:rsid w:val="00CC2AC7"/>
    <w:rsid w:val="00CC39B8"/>
    <w:rsid w:val="00CC4406"/>
    <w:rsid w:val="00CC4510"/>
    <w:rsid w:val="00CC4AF0"/>
    <w:rsid w:val="00CC5095"/>
    <w:rsid w:val="00CC7D39"/>
    <w:rsid w:val="00CD0B59"/>
    <w:rsid w:val="00CD1516"/>
    <w:rsid w:val="00CD248A"/>
    <w:rsid w:val="00CD248C"/>
    <w:rsid w:val="00CD2F01"/>
    <w:rsid w:val="00CD416F"/>
    <w:rsid w:val="00CD428E"/>
    <w:rsid w:val="00CD594B"/>
    <w:rsid w:val="00CD5967"/>
    <w:rsid w:val="00CD6E2C"/>
    <w:rsid w:val="00CD71C7"/>
    <w:rsid w:val="00CD79AA"/>
    <w:rsid w:val="00CD7B91"/>
    <w:rsid w:val="00CE0747"/>
    <w:rsid w:val="00CE0B29"/>
    <w:rsid w:val="00CE1367"/>
    <w:rsid w:val="00CE1CFA"/>
    <w:rsid w:val="00CE1D7A"/>
    <w:rsid w:val="00CE2296"/>
    <w:rsid w:val="00CE2C6A"/>
    <w:rsid w:val="00CE2D7C"/>
    <w:rsid w:val="00CE4714"/>
    <w:rsid w:val="00CE47F7"/>
    <w:rsid w:val="00CE4B43"/>
    <w:rsid w:val="00CE5A90"/>
    <w:rsid w:val="00CE5AAB"/>
    <w:rsid w:val="00CE73C3"/>
    <w:rsid w:val="00CE7D7D"/>
    <w:rsid w:val="00CE7EF9"/>
    <w:rsid w:val="00CF0E2E"/>
    <w:rsid w:val="00CF32FC"/>
    <w:rsid w:val="00CF4C27"/>
    <w:rsid w:val="00CF4CF5"/>
    <w:rsid w:val="00CF50D1"/>
    <w:rsid w:val="00CF5738"/>
    <w:rsid w:val="00D0214D"/>
    <w:rsid w:val="00D02CEE"/>
    <w:rsid w:val="00D0351B"/>
    <w:rsid w:val="00D03578"/>
    <w:rsid w:val="00D044C0"/>
    <w:rsid w:val="00D04C64"/>
    <w:rsid w:val="00D0530F"/>
    <w:rsid w:val="00D05BC4"/>
    <w:rsid w:val="00D061FE"/>
    <w:rsid w:val="00D063CF"/>
    <w:rsid w:val="00D06878"/>
    <w:rsid w:val="00D06DDB"/>
    <w:rsid w:val="00D074A1"/>
    <w:rsid w:val="00D1039C"/>
    <w:rsid w:val="00D1067A"/>
    <w:rsid w:val="00D10D32"/>
    <w:rsid w:val="00D135B8"/>
    <w:rsid w:val="00D14080"/>
    <w:rsid w:val="00D1578C"/>
    <w:rsid w:val="00D15E63"/>
    <w:rsid w:val="00D16684"/>
    <w:rsid w:val="00D16D9D"/>
    <w:rsid w:val="00D20DF9"/>
    <w:rsid w:val="00D214E7"/>
    <w:rsid w:val="00D21E9A"/>
    <w:rsid w:val="00D22E7B"/>
    <w:rsid w:val="00D25CC0"/>
    <w:rsid w:val="00D26442"/>
    <w:rsid w:val="00D27671"/>
    <w:rsid w:val="00D3066D"/>
    <w:rsid w:val="00D30F3C"/>
    <w:rsid w:val="00D317E3"/>
    <w:rsid w:val="00D3293E"/>
    <w:rsid w:val="00D343DD"/>
    <w:rsid w:val="00D34E1C"/>
    <w:rsid w:val="00D360EE"/>
    <w:rsid w:val="00D374C2"/>
    <w:rsid w:val="00D37676"/>
    <w:rsid w:val="00D379E3"/>
    <w:rsid w:val="00D37A06"/>
    <w:rsid w:val="00D41164"/>
    <w:rsid w:val="00D4227B"/>
    <w:rsid w:val="00D422E2"/>
    <w:rsid w:val="00D429E3"/>
    <w:rsid w:val="00D42B39"/>
    <w:rsid w:val="00D43352"/>
    <w:rsid w:val="00D43C03"/>
    <w:rsid w:val="00D45A14"/>
    <w:rsid w:val="00D460C0"/>
    <w:rsid w:val="00D47A98"/>
    <w:rsid w:val="00D47EB6"/>
    <w:rsid w:val="00D50155"/>
    <w:rsid w:val="00D50C2A"/>
    <w:rsid w:val="00D517B2"/>
    <w:rsid w:val="00D51C5D"/>
    <w:rsid w:val="00D5259F"/>
    <w:rsid w:val="00D5392B"/>
    <w:rsid w:val="00D5637E"/>
    <w:rsid w:val="00D56DE3"/>
    <w:rsid w:val="00D601E3"/>
    <w:rsid w:val="00D60AE4"/>
    <w:rsid w:val="00D62414"/>
    <w:rsid w:val="00D62793"/>
    <w:rsid w:val="00D62B51"/>
    <w:rsid w:val="00D63138"/>
    <w:rsid w:val="00D6428C"/>
    <w:rsid w:val="00D6436C"/>
    <w:rsid w:val="00D64894"/>
    <w:rsid w:val="00D650D1"/>
    <w:rsid w:val="00D651A6"/>
    <w:rsid w:val="00D662D6"/>
    <w:rsid w:val="00D675A8"/>
    <w:rsid w:val="00D713DD"/>
    <w:rsid w:val="00D72842"/>
    <w:rsid w:val="00D729F7"/>
    <w:rsid w:val="00D72C67"/>
    <w:rsid w:val="00D75338"/>
    <w:rsid w:val="00D75621"/>
    <w:rsid w:val="00D75B47"/>
    <w:rsid w:val="00D76514"/>
    <w:rsid w:val="00D76892"/>
    <w:rsid w:val="00D76BBD"/>
    <w:rsid w:val="00D77827"/>
    <w:rsid w:val="00D80140"/>
    <w:rsid w:val="00D807F1"/>
    <w:rsid w:val="00D80870"/>
    <w:rsid w:val="00D81D95"/>
    <w:rsid w:val="00D84EAC"/>
    <w:rsid w:val="00D857F6"/>
    <w:rsid w:val="00D858E8"/>
    <w:rsid w:val="00D85BF1"/>
    <w:rsid w:val="00D87033"/>
    <w:rsid w:val="00D87158"/>
    <w:rsid w:val="00D87AC3"/>
    <w:rsid w:val="00D9034F"/>
    <w:rsid w:val="00D913AB"/>
    <w:rsid w:val="00D9570E"/>
    <w:rsid w:val="00D97391"/>
    <w:rsid w:val="00DA03B5"/>
    <w:rsid w:val="00DA0BA3"/>
    <w:rsid w:val="00DA0D77"/>
    <w:rsid w:val="00DA1787"/>
    <w:rsid w:val="00DA2326"/>
    <w:rsid w:val="00DA2622"/>
    <w:rsid w:val="00DA2D98"/>
    <w:rsid w:val="00DA3138"/>
    <w:rsid w:val="00DA3C49"/>
    <w:rsid w:val="00DA5EDE"/>
    <w:rsid w:val="00DB08D4"/>
    <w:rsid w:val="00DB0B82"/>
    <w:rsid w:val="00DB139E"/>
    <w:rsid w:val="00DB16C0"/>
    <w:rsid w:val="00DB16D0"/>
    <w:rsid w:val="00DB1933"/>
    <w:rsid w:val="00DB1B4C"/>
    <w:rsid w:val="00DB22D2"/>
    <w:rsid w:val="00DB3085"/>
    <w:rsid w:val="00DB35FD"/>
    <w:rsid w:val="00DB38DF"/>
    <w:rsid w:val="00DB3C1D"/>
    <w:rsid w:val="00DB4390"/>
    <w:rsid w:val="00DB6927"/>
    <w:rsid w:val="00DB6EC6"/>
    <w:rsid w:val="00DB7FB4"/>
    <w:rsid w:val="00DC1445"/>
    <w:rsid w:val="00DC17A7"/>
    <w:rsid w:val="00DC1EC2"/>
    <w:rsid w:val="00DC235A"/>
    <w:rsid w:val="00DC2E6C"/>
    <w:rsid w:val="00DC3C35"/>
    <w:rsid w:val="00DC3E9D"/>
    <w:rsid w:val="00DC4355"/>
    <w:rsid w:val="00DC6313"/>
    <w:rsid w:val="00DC659D"/>
    <w:rsid w:val="00DC68C4"/>
    <w:rsid w:val="00DC75E5"/>
    <w:rsid w:val="00DD0BB4"/>
    <w:rsid w:val="00DD1914"/>
    <w:rsid w:val="00DD3473"/>
    <w:rsid w:val="00DD3BB1"/>
    <w:rsid w:val="00DD3EF8"/>
    <w:rsid w:val="00DD47B7"/>
    <w:rsid w:val="00DD5C07"/>
    <w:rsid w:val="00DD7283"/>
    <w:rsid w:val="00DD7AE0"/>
    <w:rsid w:val="00DE02C7"/>
    <w:rsid w:val="00DE1F6A"/>
    <w:rsid w:val="00DE28D5"/>
    <w:rsid w:val="00DE2CAC"/>
    <w:rsid w:val="00DE32A7"/>
    <w:rsid w:val="00DE561F"/>
    <w:rsid w:val="00DE660F"/>
    <w:rsid w:val="00DE6700"/>
    <w:rsid w:val="00DE6720"/>
    <w:rsid w:val="00DE6C51"/>
    <w:rsid w:val="00DE7BF9"/>
    <w:rsid w:val="00DF0C8C"/>
    <w:rsid w:val="00DF0D1C"/>
    <w:rsid w:val="00DF1AF1"/>
    <w:rsid w:val="00DF22CC"/>
    <w:rsid w:val="00DF2BAB"/>
    <w:rsid w:val="00DF3872"/>
    <w:rsid w:val="00DF425D"/>
    <w:rsid w:val="00DF49F9"/>
    <w:rsid w:val="00DF4A97"/>
    <w:rsid w:val="00DF4BDA"/>
    <w:rsid w:val="00DF577D"/>
    <w:rsid w:val="00DF7C1D"/>
    <w:rsid w:val="00E00F7B"/>
    <w:rsid w:val="00E011E7"/>
    <w:rsid w:val="00E026D2"/>
    <w:rsid w:val="00E030A1"/>
    <w:rsid w:val="00E04CE2"/>
    <w:rsid w:val="00E0537B"/>
    <w:rsid w:val="00E054FE"/>
    <w:rsid w:val="00E057AB"/>
    <w:rsid w:val="00E06889"/>
    <w:rsid w:val="00E10EFA"/>
    <w:rsid w:val="00E1160B"/>
    <w:rsid w:val="00E11653"/>
    <w:rsid w:val="00E11F35"/>
    <w:rsid w:val="00E14168"/>
    <w:rsid w:val="00E14907"/>
    <w:rsid w:val="00E15EBA"/>
    <w:rsid w:val="00E165AB"/>
    <w:rsid w:val="00E16903"/>
    <w:rsid w:val="00E16C34"/>
    <w:rsid w:val="00E17D40"/>
    <w:rsid w:val="00E202FE"/>
    <w:rsid w:val="00E212B1"/>
    <w:rsid w:val="00E213D2"/>
    <w:rsid w:val="00E226E5"/>
    <w:rsid w:val="00E239FB"/>
    <w:rsid w:val="00E23FFA"/>
    <w:rsid w:val="00E2515B"/>
    <w:rsid w:val="00E25FF4"/>
    <w:rsid w:val="00E2628E"/>
    <w:rsid w:val="00E27987"/>
    <w:rsid w:val="00E27D9B"/>
    <w:rsid w:val="00E27ECC"/>
    <w:rsid w:val="00E301B3"/>
    <w:rsid w:val="00E30283"/>
    <w:rsid w:val="00E307E0"/>
    <w:rsid w:val="00E30A98"/>
    <w:rsid w:val="00E30D35"/>
    <w:rsid w:val="00E31260"/>
    <w:rsid w:val="00E319EE"/>
    <w:rsid w:val="00E33803"/>
    <w:rsid w:val="00E3399B"/>
    <w:rsid w:val="00E34508"/>
    <w:rsid w:val="00E3467A"/>
    <w:rsid w:val="00E35E2A"/>
    <w:rsid w:val="00E35E6E"/>
    <w:rsid w:val="00E3724A"/>
    <w:rsid w:val="00E37439"/>
    <w:rsid w:val="00E37B2F"/>
    <w:rsid w:val="00E401EE"/>
    <w:rsid w:val="00E429C9"/>
    <w:rsid w:val="00E460F8"/>
    <w:rsid w:val="00E46601"/>
    <w:rsid w:val="00E4699B"/>
    <w:rsid w:val="00E47641"/>
    <w:rsid w:val="00E47E43"/>
    <w:rsid w:val="00E51AD1"/>
    <w:rsid w:val="00E52E88"/>
    <w:rsid w:val="00E5536A"/>
    <w:rsid w:val="00E5596F"/>
    <w:rsid w:val="00E5604D"/>
    <w:rsid w:val="00E564F5"/>
    <w:rsid w:val="00E577CD"/>
    <w:rsid w:val="00E60471"/>
    <w:rsid w:val="00E6250D"/>
    <w:rsid w:val="00E62593"/>
    <w:rsid w:val="00E62CC5"/>
    <w:rsid w:val="00E6339A"/>
    <w:rsid w:val="00E639E5"/>
    <w:rsid w:val="00E641F6"/>
    <w:rsid w:val="00E64526"/>
    <w:rsid w:val="00E65821"/>
    <w:rsid w:val="00E6637F"/>
    <w:rsid w:val="00E666D3"/>
    <w:rsid w:val="00E66CB5"/>
    <w:rsid w:val="00E66F11"/>
    <w:rsid w:val="00E706F0"/>
    <w:rsid w:val="00E721EC"/>
    <w:rsid w:val="00E72217"/>
    <w:rsid w:val="00E7395B"/>
    <w:rsid w:val="00E74342"/>
    <w:rsid w:val="00E74394"/>
    <w:rsid w:val="00E75672"/>
    <w:rsid w:val="00E75877"/>
    <w:rsid w:val="00E75881"/>
    <w:rsid w:val="00E758EC"/>
    <w:rsid w:val="00E75E2F"/>
    <w:rsid w:val="00E76B45"/>
    <w:rsid w:val="00E777A6"/>
    <w:rsid w:val="00E77E8B"/>
    <w:rsid w:val="00E805E3"/>
    <w:rsid w:val="00E80EEF"/>
    <w:rsid w:val="00E816F5"/>
    <w:rsid w:val="00E829FE"/>
    <w:rsid w:val="00E83376"/>
    <w:rsid w:val="00E85CDA"/>
    <w:rsid w:val="00E86439"/>
    <w:rsid w:val="00E86EDA"/>
    <w:rsid w:val="00E90468"/>
    <w:rsid w:val="00E91164"/>
    <w:rsid w:val="00E91173"/>
    <w:rsid w:val="00E911B2"/>
    <w:rsid w:val="00E91737"/>
    <w:rsid w:val="00E9212E"/>
    <w:rsid w:val="00E92B2D"/>
    <w:rsid w:val="00E92EF1"/>
    <w:rsid w:val="00E94517"/>
    <w:rsid w:val="00E95280"/>
    <w:rsid w:val="00E95367"/>
    <w:rsid w:val="00E95C54"/>
    <w:rsid w:val="00E95F63"/>
    <w:rsid w:val="00E9602A"/>
    <w:rsid w:val="00E962DB"/>
    <w:rsid w:val="00E97200"/>
    <w:rsid w:val="00E97578"/>
    <w:rsid w:val="00E97B15"/>
    <w:rsid w:val="00EA0A18"/>
    <w:rsid w:val="00EA0DD5"/>
    <w:rsid w:val="00EA0ED9"/>
    <w:rsid w:val="00EA108B"/>
    <w:rsid w:val="00EA2747"/>
    <w:rsid w:val="00EA2B73"/>
    <w:rsid w:val="00EA4340"/>
    <w:rsid w:val="00EA4DDB"/>
    <w:rsid w:val="00EA4E6E"/>
    <w:rsid w:val="00EA553D"/>
    <w:rsid w:val="00EA6756"/>
    <w:rsid w:val="00EA7F5C"/>
    <w:rsid w:val="00EB04EB"/>
    <w:rsid w:val="00EB06DF"/>
    <w:rsid w:val="00EB06F3"/>
    <w:rsid w:val="00EB38D9"/>
    <w:rsid w:val="00EB403C"/>
    <w:rsid w:val="00EB4C4D"/>
    <w:rsid w:val="00EB4DC9"/>
    <w:rsid w:val="00EB587C"/>
    <w:rsid w:val="00EB5936"/>
    <w:rsid w:val="00EB66EC"/>
    <w:rsid w:val="00EB791C"/>
    <w:rsid w:val="00EB7DFF"/>
    <w:rsid w:val="00EB7EF3"/>
    <w:rsid w:val="00EC00DB"/>
    <w:rsid w:val="00EC04CB"/>
    <w:rsid w:val="00EC0EB9"/>
    <w:rsid w:val="00EC1014"/>
    <w:rsid w:val="00EC21E0"/>
    <w:rsid w:val="00EC2DF0"/>
    <w:rsid w:val="00EC36A2"/>
    <w:rsid w:val="00EC6551"/>
    <w:rsid w:val="00EC66E1"/>
    <w:rsid w:val="00EC6EFD"/>
    <w:rsid w:val="00EC784E"/>
    <w:rsid w:val="00EC7AFC"/>
    <w:rsid w:val="00EC7D11"/>
    <w:rsid w:val="00ED1F3D"/>
    <w:rsid w:val="00ED2069"/>
    <w:rsid w:val="00ED2265"/>
    <w:rsid w:val="00ED26EB"/>
    <w:rsid w:val="00ED2928"/>
    <w:rsid w:val="00ED29BF"/>
    <w:rsid w:val="00ED4DE6"/>
    <w:rsid w:val="00ED5843"/>
    <w:rsid w:val="00ED5FDF"/>
    <w:rsid w:val="00ED6287"/>
    <w:rsid w:val="00ED6C54"/>
    <w:rsid w:val="00ED742D"/>
    <w:rsid w:val="00EE04FC"/>
    <w:rsid w:val="00EE0E71"/>
    <w:rsid w:val="00EE104A"/>
    <w:rsid w:val="00EE12CE"/>
    <w:rsid w:val="00EE24C3"/>
    <w:rsid w:val="00EE2CB4"/>
    <w:rsid w:val="00EE2D57"/>
    <w:rsid w:val="00EE549C"/>
    <w:rsid w:val="00EE5C1A"/>
    <w:rsid w:val="00EE6CE6"/>
    <w:rsid w:val="00EE7244"/>
    <w:rsid w:val="00EF06E6"/>
    <w:rsid w:val="00EF0F07"/>
    <w:rsid w:val="00EF27D7"/>
    <w:rsid w:val="00EF2B58"/>
    <w:rsid w:val="00EF2D4F"/>
    <w:rsid w:val="00EF3568"/>
    <w:rsid w:val="00EF41C5"/>
    <w:rsid w:val="00EF41C7"/>
    <w:rsid w:val="00EF42CB"/>
    <w:rsid w:val="00EF43C3"/>
    <w:rsid w:val="00EF5238"/>
    <w:rsid w:val="00EF6541"/>
    <w:rsid w:val="00EF6554"/>
    <w:rsid w:val="00EF65DE"/>
    <w:rsid w:val="00EF68EC"/>
    <w:rsid w:val="00EF6D75"/>
    <w:rsid w:val="00F004A9"/>
    <w:rsid w:val="00F008BC"/>
    <w:rsid w:val="00F01621"/>
    <w:rsid w:val="00F01642"/>
    <w:rsid w:val="00F03087"/>
    <w:rsid w:val="00F03335"/>
    <w:rsid w:val="00F04CDD"/>
    <w:rsid w:val="00F05BEC"/>
    <w:rsid w:val="00F05E89"/>
    <w:rsid w:val="00F062A4"/>
    <w:rsid w:val="00F0689D"/>
    <w:rsid w:val="00F0756A"/>
    <w:rsid w:val="00F076DE"/>
    <w:rsid w:val="00F07C50"/>
    <w:rsid w:val="00F07C95"/>
    <w:rsid w:val="00F1008E"/>
    <w:rsid w:val="00F10265"/>
    <w:rsid w:val="00F10368"/>
    <w:rsid w:val="00F10BA6"/>
    <w:rsid w:val="00F12031"/>
    <w:rsid w:val="00F13827"/>
    <w:rsid w:val="00F1576D"/>
    <w:rsid w:val="00F20423"/>
    <w:rsid w:val="00F20F2E"/>
    <w:rsid w:val="00F21011"/>
    <w:rsid w:val="00F2168F"/>
    <w:rsid w:val="00F21815"/>
    <w:rsid w:val="00F22C91"/>
    <w:rsid w:val="00F238AE"/>
    <w:rsid w:val="00F23D23"/>
    <w:rsid w:val="00F23FD7"/>
    <w:rsid w:val="00F2581D"/>
    <w:rsid w:val="00F25A87"/>
    <w:rsid w:val="00F262B8"/>
    <w:rsid w:val="00F2692E"/>
    <w:rsid w:val="00F27186"/>
    <w:rsid w:val="00F31206"/>
    <w:rsid w:val="00F31F7A"/>
    <w:rsid w:val="00F32047"/>
    <w:rsid w:val="00F33114"/>
    <w:rsid w:val="00F33B07"/>
    <w:rsid w:val="00F350A7"/>
    <w:rsid w:val="00F35DE7"/>
    <w:rsid w:val="00F36116"/>
    <w:rsid w:val="00F37ABB"/>
    <w:rsid w:val="00F40326"/>
    <w:rsid w:val="00F40949"/>
    <w:rsid w:val="00F40B21"/>
    <w:rsid w:val="00F43829"/>
    <w:rsid w:val="00F43958"/>
    <w:rsid w:val="00F43FE9"/>
    <w:rsid w:val="00F462F5"/>
    <w:rsid w:val="00F46909"/>
    <w:rsid w:val="00F46A17"/>
    <w:rsid w:val="00F472E4"/>
    <w:rsid w:val="00F47C84"/>
    <w:rsid w:val="00F514C2"/>
    <w:rsid w:val="00F51FBD"/>
    <w:rsid w:val="00F52BAA"/>
    <w:rsid w:val="00F52C03"/>
    <w:rsid w:val="00F53673"/>
    <w:rsid w:val="00F54AE7"/>
    <w:rsid w:val="00F54BC4"/>
    <w:rsid w:val="00F55769"/>
    <w:rsid w:val="00F55FE5"/>
    <w:rsid w:val="00F56326"/>
    <w:rsid w:val="00F56651"/>
    <w:rsid w:val="00F568F4"/>
    <w:rsid w:val="00F56E36"/>
    <w:rsid w:val="00F57ECE"/>
    <w:rsid w:val="00F601CD"/>
    <w:rsid w:val="00F6091F"/>
    <w:rsid w:val="00F60E1A"/>
    <w:rsid w:val="00F61A3B"/>
    <w:rsid w:val="00F61A58"/>
    <w:rsid w:val="00F62491"/>
    <w:rsid w:val="00F6325E"/>
    <w:rsid w:val="00F66394"/>
    <w:rsid w:val="00F66401"/>
    <w:rsid w:val="00F66455"/>
    <w:rsid w:val="00F66722"/>
    <w:rsid w:val="00F66877"/>
    <w:rsid w:val="00F66CC3"/>
    <w:rsid w:val="00F674DA"/>
    <w:rsid w:val="00F67773"/>
    <w:rsid w:val="00F7017C"/>
    <w:rsid w:val="00F70894"/>
    <w:rsid w:val="00F7102F"/>
    <w:rsid w:val="00F71116"/>
    <w:rsid w:val="00F71306"/>
    <w:rsid w:val="00F728D5"/>
    <w:rsid w:val="00F73270"/>
    <w:rsid w:val="00F740BA"/>
    <w:rsid w:val="00F742F0"/>
    <w:rsid w:val="00F76148"/>
    <w:rsid w:val="00F76576"/>
    <w:rsid w:val="00F76AB6"/>
    <w:rsid w:val="00F76B38"/>
    <w:rsid w:val="00F828EA"/>
    <w:rsid w:val="00F82C86"/>
    <w:rsid w:val="00F83318"/>
    <w:rsid w:val="00F834D1"/>
    <w:rsid w:val="00F835FF"/>
    <w:rsid w:val="00F8393E"/>
    <w:rsid w:val="00F83A53"/>
    <w:rsid w:val="00F84A21"/>
    <w:rsid w:val="00F84B29"/>
    <w:rsid w:val="00F85500"/>
    <w:rsid w:val="00F85A39"/>
    <w:rsid w:val="00F85E7C"/>
    <w:rsid w:val="00F865A5"/>
    <w:rsid w:val="00F87169"/>
    <w:rsid w:val="00F87B5F"/>
    <w:rsid w:val="00F91533"/>
    <w:rsid w:val="00F91DCF"/>
    <w:rsid w:val="00F9226C"/>
    <w:rsid w:val="00F92BFF"/>
    <w:rsid w:val="00F930F2"/>
    <w:rsid w:val="00F9338B"/>
    <w:rsid w:val="00F9368A"/>
    <w:rsid w:val="00F95DDB"/>
    <w:rsid w:val="00F96B75"/>
    <w:rsid w:val="00F96F47"/>
    <w:rsid w:val="00FA0920"/>
    <w:rsid w:val="00FA14DF"/>
    <w:rsid w:val="00FA2F74"/>
    <w:rsid w:val="00FA3D56"/>
    <w:rsid w:val="00FA4773"/>
    <w:rsid w:val="00FA5810"/>
    <w:rsid w:val="00FA59FE"/>
    <w:rsid w:val="00FA5A31"/>
    <w:rsid w:val="00FA635E"/>
    <w:rsid w:val="00FA7905"/>
    <w:rsid w:val="00FB148A"/>
    <w:rsid w:val="00FB157D"/>
    <w:rsid w:val="00FB195A"/>
    <w:rsid w:val="00FB2147"/>
    <w:rsid w:val="00FB22E9"/>
    <w:rsid w:val="00FB31D1"/>
    <w:rsid w:val="00FB43D3"/>
    <w:rsid w:val="00FB659E"/>
    <w:rsid w:val="00FB7330"/>
    <w:rsid w:val="00FB778B"/>
    <w:rsid w:val="00FC0A47"/>
    <w:rsid w:val="00FC23B0"/>
    <w:rsid w:val="00FC2F43"/>
    <w:rsid w:val="00FC4E4B"/>
    <w:rsid w:val="00FC511A"/>
    <w:rsid w:val="00FC5575"/>
    <w:rsid w:val="00FC7B70"/>
    <w:rsid w:val="00FD17D0"/>
    <w:rsid w:val="00FD1897"/>
    <w:rsid w:val="00FD1A0A"/>
    <w:rsid w:val="00FD253F"/>
    <w:rsid w:val="00FD34F5"/>
    <w:rsid w:val="00FD3C8E"/>
    <w:rsid w:val="00FD4781"/>
    <w:rsid w:val="00FD5F82"/>
    <w:rsid w:val="00FD72E7"/>
    <w:rsid w:val="00FD7C66"/>
    <w:rsid w:val="00FD7CA5"/>
    <w:rsid w:val="00FD7E03"/>
    <w:rsid w:val="00FE0F72"/>
    <w:rsid w:val="00FE166E"/>
    <w:rsid w:val="00FE291A"/>
    <w:rsid w:val="00FE405C"/>
    <w:rsid w:val="00FE5E78"/>
    <w:rsid w:val="00FE7FB1"/>
    <w:rsid w:val="00FF0247"/>
    <w:rsid w:val="00FF30FC"/>
    <w:rsid w:val="00FF47A6"/>
    <w:rsid w:val="00FF4ADB"/>
    <w:rsid w:val="00FF4D8A"/>
    <w:rsid w:val="00FF4F88"/>
    <w:rsid w:val="00FF583F"/>
    <w:rsid w:val="00FF6332"/>
    <w:rsid w:val="00FF681D"/>
    <w:rsid w:val="00FF6DA8"/>
    <w:rsid w:val="00FF724E"/>
    <w:rsid w:val="258224DC"/>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5ABA673F"/>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IN" w:eastAsia="en-IN"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iPriority="0" w:unhideWhenUsed="1" w:qFormat="1"/>
    <w:lsdException w:name="footer" w:uiPriority="0"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unhideWhenUsed="1"/>
    <w:lsdException w:name="FollowedHyperlink" w:uiPriority="0" w:unhideWhenUsed="1" w:qFormat="1"/>
    <w:lsdException w:name="Strong" w:uiPriority="0" w:qFormat="1"/>
    <w:lsdException w:name="Emphasis" w:uiPriority="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qFormat/>
    <w:pPr>
      <w:ind w:left="118"/>
      <w:outlineLvl w:val="0"/>
    </w:pPr>
    <w:rPr>
      <w:b/>
      <w:bCs/>
      <w:sz w:val="22"/>
      <w:szCs w:val="22"/>
    </w:rPr>
  </w:style>
  <w:style w:type="paragraph" w:styleId="Heading2">
    <w:name w:val="heading 2"/>
    <w:basedOn w:val="Normal"/>
    <w:next w:val="Normal"/>
    <w:link w:val="Heading2Char"/>
    <w:unhideWhenUsed/>
    <w:qFormat/>
    <w:pPr>
      <w:keepNext/>
      <w:keepLines/>
      <w:widowControl/>
      <w:tabs>
        <w:tab w:val="left" w:pos="567"/>
      </w:tabs>
      <w:autoSpaceDE/>
      <w:autoSpaceDN/>
      <w:adjustRightInd/>
      <w:spacing w:before="160" w:after="80" w:line="260" w:lineRule="exact"/>
      <w:outlineLvl w:val="1"/>
    </w:pPr>
    <w:rPr>
      <w:rFonts w:ascii="Cambria" w:eastAsia="Times New Roman" w:hAnsi="Cambria"/>
      <w:color w:val="365F91"/>
      <w:sz w:val="32"/>
      <w:szCs w:val="32"/>
      <w:lang w:val="de-DE" w:eastAsia="en-US"/>
    </w:rPr>
  </w:style>
  <w:style w:type="paragraph" w:styleId="Heading3">
    <w:name w:val="heading 3"/>
    <w:basedOn w:val="Normal"/>
    <w:next w:val="Normal"/>
    <w:link w:val="Heading3Char"/>
    <w:unhideWhenUsed/>
    <w:qFormat/>
    <w:pPr>
      <w:keepNext/>
      <w:keepLines/>
      <w:widowControl/>
      <w:tabs>
        <w:tab w:val="left" w:pos="567"/>
      </w:tabs>
      <w:autoSpaceDE/>
      <w:autoSpaceDN/>
      <w:adjustRightInd/>
      <w:spacing w:before="160" w:after="80" w:line="260" w:lineRule="exact"/>
      <w:outlineLvl w:val="2"/>
    </w:pPr>
    <w:rPr>
      <w:rFonts w:eastAsia="Times New Roman"/>
      <w:color w:val="365F91"/>
      <w:sz w:val="28"/>
      <w:szCs w:val="28"/>
      <w:lang w:val="de-DE" w:eastAsia="en-US"/>
    </w:rPr>
  </w:style>
  <w:style w:type="paragraph" w:styleId="Heading4">
    <w:name w:val="heading 4"/>
    <w:basedOn w:val="Normal"/>
    <w:next w:val="Normal"/>
    <w:link w:val="Heading4Char"/>
    <w:unhideWhenUsed/>
    <w:qFormat/>
    <w:pPr>
      <w:keepNext/>
      <w:keepLines/>
      <w:widowControl/>
      <w:tabs>
        <w:tab w:val="left" w:pos="567"/>
      </w:tabs>
      <w:autoSpaceDE/>
      <w:autoSpaceDN/>
      <w:adjustRightInd/>
      <w:spacing w:before="80" w:after="40" w:line="260" w:lineRule="exact"/>
      <w:outlineLvl w:val="3"/>
    </w:pPr>
    <w:rPr>
      <w:rFonts w:eastAsia="Times New Roman"/>
      <w:i/>
      <w:iCs/>
      <w:color w:val="365F91"/>
      <w:sz w:val="22"/>
      <w:szCs w:val="20"/>
      <w:lang w:val="de-DE" w:eastAsia="en-US"/>
    </w:rPr>
  </w:style>
  <w:style w:type="paragraph" w:styleId="Heading5">
    <w:name w:val="heading 5"/>
    <w:basedOn w:val="Normal"/>
    <w:next w:val="Normal"/>
    <w:link w:val="Heading5Char"/>
    <w:unhideWhenUsed/>
    <w:qFormat/>
    <w:pPr>
      <w:keepNext/>
      <w:keepLines/>
      <w:widowControl/>
      <w:tabs>
        <w:tab w:val="left" w:pos="567"/>
      </w:tabs>
      <w:autoSpaceDE/>
      <w:autoSpaceDN/>
      <w:adjustRightInd/>
      <w:spacing w:before="80" w:after="40" w:line="260" w:lineRule="exact"/>
      <w:outlineLvl w:val="4"/>
    </w:pPr>
    <w:rPr>
      <w:rFonts w:eastAsia="Times New Roman"/>
      <w:color w:val="365F91"/>
      <w:sz w:val="22"/>
      <w:szCs w:val="20"/>
      <w:lang w:val="de-DE" w:eastAsia="en-US"/>
    </w:rPr>
  </w:style>
  <w:style w:type="paragraph" w:styleId="Heading6">
    <w:name w:val="heading 6"/>
    <w:basedOn w:val="Normal"/>
    <w:next w:val="Normal"/>
    <w:link w:val="Heading6Char"/>
    <w:unhideWhenUsed/>
    <w:qFormat/>
    <w:pPr>
      <w:keepNext/>
      <w:keepLines/>
      <w:widowControl/>
      <w:tabs>
        <w:tab w:val="left" w:pos="567"/>
      </w:tabs>
      <w:autoSpaceDE/>
      <w:autoSpaceDN/>
      <w:adjustRightInd/>
      <w:spacing w:before="40" w:line="260" w:lineRule="exact"/>
      <w:outlineLvl w:val="5"/>
    </w:pPr>
    <w:rPr>
      <w:rFonts w:eastAsia="Times New Roman"/>
      <w:i/>
      <w:iCs/>
      <w:color w:val="595959"/>
      <w:sz w:val="22"/>
      <w:szCs w:val="20"/>
      <w:lang w:val="de-DE" w:eastAsia="en-US"/>
    </w:rPr>
  </w:style>
  <w:style w:type="paragraph" w:styleId="Heading7">
    <w:name w:val="heading 7"/>
    <w:basedOn w:val="Normal"/>
    <w:next w:val="Normal"/>
    <w:link w:val="Heading7Char"/>
    <w:unhideWhenUsed/>
    <w:qFormat/>
    <w:pPr>
      <w:keepNext/>
      <w:keepLines/>
      <w:widowControl/>
      <w:tabs>
        <w:tab w:val="left" w:pos="567"/>
      </w:tabs>
      <w:autoSpaceDE/>
      <w:autoSpaceDN/>
      <w:adjustRightInd/>
      <w:spacing w:before="40" w:line="260" w:lineRule="exact"/>
      <w:outlineLvl w:val="6"/>
    </w:pPr>
    <w:rPr>
      <w:rFonts w:eastAsia="Times New Roman"/>
      <w:color w:val="595959"/>
      <w:sz w:val="22"/>
      <w:szCs w:val="20"/>
      <w:lang w:val="de-DE" w:eastAsia="en-US"/>
    </w:rPr>
  </w:style>
  <w:style w:type="paragraph" w:styleId="Heading8">
    <w:name w:val="heading 8"/>
    <w:basedOn w:val="Normal"/>
    <w:next w:val="Normal"/>
    <w:link w:val="Heading8Char"/>
    <w:unhideWhenUsed/>
    <w:qFormat/>
    <w:pPr>
      <w:keepNext/>
      <w:keepLines/>
      <w:widowControl/>
      <w:tabs>
        <w:tab w:val="left" w:pos="567"/>
      </w:tabs>
      <w:autoSpaceDE/>
      <w:autoSpaceDN/>
      <w:adjustRightInd/>
      <w:spacing w:line="260" w:lineRule="exact"/>
      <w:outlineLvl w:val="7"/>
    </w:pPr>
    <w:rPr>
      <w:rFonts w:eastAsia="Times New Roman"/>
      <w:i/>
      <w:iCs/>
      <w:color w:val="272727"/>
      <w:sz w:val="22"/>
      <w:szCs w:val="20"/>
      <w:lang w:val="de-DE" w:eastAsia="en-US"/>
    </w:rPr>
  </w:style>
  <w:style w:type="paragraph" w:styleId="Heading9">
    <w:name w:val="heading 9"/>
    <w:basedOn w:val="Normal"/>
    <w:next w:val="Normal"/>
    <w:link w:val="Heading9Char"/>
    <w:unhideWhenUsed/>
    <w:qFormat/>
    <w:pPr>
      <w:keepNext/>
      <w:keepLines/>
      <w:widowControl/>
      <w:tabs>
        <w:tab w:val="left" w:pos="567"/>
      </w:tabs>
      <w:autoSpaceDE/>
      <w:autoSpaceDN/>
      <w:adjustRightInd/>
      <w:spacing w:line="260" w:lineRule="exact"/>
      <w:outlineLvl w:val="8"/>
    </w:pPr>
    <w:rPr>
      <w:rFonts w:eastAsia="Times New Roman"/>
      <w:color w:val="272727"/>
      <w:sz w:val="22"/>
      <w:szCs w:val="20"/>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qFormat/>
    <w:rPr>
      <w:rFonts w:ascii="Segoe UI" w:hAnsi="Segoe UI" w:cs="Segoe UI"/>
      <w:sz w:val="18"/>
      <w:szCs w:val="18"/>
    </w:rPr>
  </w:style>
  <w:style w:type="paragraph" w:styleId="BodyText">
    <w:name w:val="Body Text"/>
    <w:basedOn w:val="Normal"/>
    <w:link w:val="BodyTextChar"/>
    <w:qFormat/>
    <w:pPr>
      <w:ind w:left="118"/>
    </w:pPr>
    <w:rPr>
      <w:sz w:val="22"/>
      <w:szCs w:val="22"/>
    </w:rPr>
  </w:style>
  <w:style w:type="paragraph" w:styleId="BodyText2">
    <w:name w:val="Body Text 2"/>
    <w:basedOn w:val="Normal"/>
    <w:link w:val="BodyText2Char"/>
    <w:pPr>
      <w:widowControl/>
      <w:pBdr>
        <w:top w:val="wave" w:sz="6" w:space="0" w:color="auto"/>
        <w:left w:val="wave" w:sz="6" w:space="3" w:color="auto"/>
        <w:bottom w:val="wave" w:sz="6" w:space="1" w:color="auto"/>
        <w:right w:val="wave" w:sz="6" w:space="4" w:color="auto"/>
      </w:pBdr>
      <w:tabs>
        <w:tab w:val="left" w:pos="567"/>
      </w:tabs>
      <w:spacing w:line="260" w:lineRule="exact"/>
      <w:jc w:val="both"/>
    </w:pPr>
    <w:rPr>
      <w:b/>
      <w:bCs/>
      <w:color w:val="0000FF"/>
      <w:sz w:val="22"/>
      <w:szCs w:val="22"/>
      <w:u w:val="single"/>
      <w:lang w:val="de-DE" w:eastAsia="en-US"/>
    </w:rPr>
  </w:style>
  <w:style w:type="paragraph" w:styleId="BodyText3">
    <w:name w:val="Body Text 3"/>
    <w:basedOn w:val="Normal"/>
    <w:link w:val="BodyText3Char"/>
    <w:qFormat/>
    <w:pPr>
      <w:widowControl/>
      <w:jc w:val="both"/>
    </w:pPr>
    <w:rPr>
      <w:color w:val="0000FF"/>
      <w:sz w:val="22"/>
      <w:szCs w:val="22"/>
      <w:lang w:val="de-DE" w:eastAsia="en-GB"/>
    </w:rPr>
  </w:style>
  <w:style w:type="paragraph" w:styleId="BodyTextIndent">
    <w:name w:val="Body Text Indent"/>
    <w:basedOn w:val="Normal"/>
    <w:link w:val="BodyTextIndentChar"/>
    <w:pPr>
      <w:widowControl/>
      <w:ind w:left="720"/>
      <w:jc w:val="both"/>
    </w:pPr>
    <w:rPr>
      <w:sz w:val="22"/>
      <w:szCs w:val="22"/>
      <w:lang w:val="de-DE" w:eastAsia="en-GB"/>
    </w:rPr>
  </w:style>
  <w:style w:type="paragraph" w:styleId="BodyTextIndent2">
    <w:name w:val="Body Text Indent 2"/>
    <w:basedOn w:val="Normal"/>
    <w:link w:val="BodyTextIndent2Char"/>
    <w:qFormat/>
    <w:pPr>
      <w:widowControl/>
      <w:pBdr>
        <w:top w:val="wave" w:sz="6" w:space="0" w:color="auto"/>
        <w:left w:val="wave" w:sz="6" w:space="3" w:color="auto"/>
        <w:bottom w:val="wave" w:sz="6" w:space="1" w:color="auto"/>
        <w:right w:val="wave" w:sz="6" w:space="4" w:color="auto"/>
      </w:pBdr>
      <w:tabs>
        <w:tab w:val="left" w:pos="567"/>
      </w:tabs>
      <w:spacing w:line="260" w:lineRule="exact"/>
      <w:ind w:left="1134"/>
      <w:jc w:val="both"/>
    </w:pPr>
    <w:rPr>
      <w:b/>
      <w:bCs/>
      <w:color w:val="0000FF"/>
      <w:sz w:val="22"/>
      <w:szCs w:val="22"/>
      <w:lang w:val="de-DE" w:eastAsia="en-US"/>
    </w:rPr>
  </w:style>
  <w:style w:type="paragraph" w:styleId="BodyTextIndent3">
    <w:name w:val="Body Text Indent 3"/>
    <w:basedOn w:val="Normal"/>
    <w:link w:val="BodyTextIndent3Char"/>
    <w:qFormat/>
    <w:pPr>
      <w:widowControl/>
      <w:tabs>
        <w:tab w:val="left" w:pos="567"/>
        <w:tab w:val="left" w:pos="1134"/>
      </w:tabs>
      <w:spacing w:line="260" w:lineRule="exact"/>
      <w:ind w:left="633"/>
      <w:jc w:val="both"/>
    </w:pPr>
    <w:rPr>
      <w:sz w:val="22"/>
      <w:szCs w:val="21"/>
      <w:lang w:val="de-DE" w:eastAsia="en-US"/>
    </w:rPr>
  </w:style>
  <w:style w:type="paragraph" w:styleId="Caption">
    <w:name w:val="caption"/>
    <w:basedOn w:val="Normal"/>
    <w:next w:val="Text"/>
    <w:qFormat/>
    <w:pPr>
      <w:keepNext/>
      <w:widowControl/>
      <w:suppressAutoHyphens/>
      <w:autoSpaceDE/>
      <w:autoSpaceDN/>
      <w:adjustRightInd/>
      <w:spacing w:before="300" w:after="100" w:line="300" w:lineRule="atLeast"/>
      <w:jc w:val="center"/>
    </w:pPr>
    <w:rPr>
      <w:rFonts w:ascii="Arial" w:hAnsi="Arial"/>
      <w:b/>
      <w:sz w:val="22"/>
      <w:szCs w:val="20"/>
      <w:lang w:val="de-DE" w:eastAsia="en-US"/>
    </w:rPr>
  </w:style>
  <w:style w:type="paragraph" w:customStyle="1" w:styleId="Text">
    <w:name w:val="Text"/>
    <w:basedOn w:val="Normal"/>
    <w:qFormat/>
    <w:pPr>
      <w:widowControl/>
      <w:overflowPunct w:val="0"/>
      <w:spacing w:before="100" w:beforeAutospacing="1" w:after="100" w:afterAutospacing="1" w:line="360" w:lineRule="auto"/>
      <w:ind w:left="56"/>
      <w:textAlignment w:val="baseline"/>
    </w:pPr>
    <w:rPr>
      <w:rFonts w:ascii="Arial" w:hAnsi="Arial" w:cs="Arial"/>
      <w:bCs/>
      <w:color w:val="0000FF"/>
      <w:sz w:val="20"/>
      <w:szCs w:val="14"/>
      <w:lang w:val="de-DE" w:eastAsia="en-US"/>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pPr>
      <w:widowControl/>
      <w:tabs>
        <w:tab w:val="left" w:pos="567"/>
      </w:tabs>
      <w:autoSpaceDE/>
      <w:autoSpaceDN/>
      <w:adjustRightInd/>
      <w:spacing w:line="260" w:lineRule="exact"/>
    </w:pPr>
    <w:rPr>
      <w:rFonts w:eastAsia="Times New Roman"/>
      <w:sz w:val="20"/>
      <w:szCs w:val="20"/>
      <w:lang w:val="zh-CN" w:eastAsia="en-US"/>
    </w:rPr>
  </w:style>
  <w:style w:type="paragraph" w:styleId="CommentSubject">
    <w:name w:val="annotation subject"/>
    <w:basedOn w:val="CommentText"/>
    <w:next w:val="CommentText"/>
    <w:link w:val="CommentSubjectChar"/>
    <w:uiPriority w:val="99"/>
    <w:unhideWhenUsed/>
    <w:qFormat/>
    <w:pPr>
      <w:widowControl w:val="0"/>
      <w:tabs>
        <w:tab w:val="clear" w:pos="567"/>
      </w:tabs>
      <w:autoSpaceDE w:val="0"/>
      <w:autoSpaceDN w:val="0"/>
      <w:adjustRightInd w:val="0"/>
      <w:spacing w:line="240" w:lineRule="auto"/>
    </w:pPr>
    <w:rPr>
      <w:rFonts w:eastAsia="PMingLiU"/>
      <w:b/>
      <w:bCs/>
      <w:lang w:val="en-IN" w:eastAsia="en-IN"/>
    </w:rPr>
  </w:style>
  <w:style w:type="paragraph" w:styleId="Date">
    <w:name w:val="Date"/>
    <w:basedOn w:val="Normal"/>
    <w:next w:val="Normal"/>
    <w:link w:val="DateChar"/>
    <w:pPr>
      <w:widowControl/>
      <w:autoSpaceDE/>
      <w:autoSpaceDN/>
      <w:adjustRightInd/>
    </w:pPr>
    <w:rPr>
      <w:sz w:val="22"/>
      <w:szCs w:val="20"/>
      <w:lang w:val="de-DE" w:eastAsia="en-US"/>
    </w:rPr>
  </w:style>
  <w:style w:type="paragraph" w:styleId="DocumentMap">
    <w:name w:val="Document Map"/>
    <w:basedOn w:val="Normal"/>
    <w:link w:val="DocumentMapChar"/>
    <w:semiHidden/>
    <w:qFormat/>
    <w:pPr>
      <w:widowControl/>
      <w:shd w:val="clear" w:color="auto" w:fill="000080"/>
      <w:tabs>
        <w:tab w:val="left" w:pos="567"/>
      </w:tabs>
      <w:autoSpaceDE/>
      <w:autoSpaceDN/>
      <w:adjustRightInd/>
      <w:spacing w:line="260" w:lineRule="exact"/>
    </w:pPr>
    <w:rPr>
      <w:rFonts w:ascii="Tahoma" w:hAnsi="Tahoma" w:cs="Tahoma"/>
      <w:sz w:val="22"/>
      <w:szCs w:val="20"/>
      <w:lang w:val="de-DE" w:eastAsia="en-US"/>
    </w:rPr>
  </w:style>
  <w:style w:type="character" w:styleId="Emphasis">
    <w:name w:val="Emphasis"/>
    <w:qFormat/>
    <w:rPr>
      <w:i/>
      <w:iCs/>
    </w:rPr>
  </w:style>
  <w:style w:type="character" w:styleId="FollowedHyperlink">
    <w:name w:val="FollowedHyperlink"/>
    <w:unhideWhenUsed/>
    <w:qFormat/>
    <w:rPr>
      <w:color w:val="954F72"/>
      <w:u w:val="single"/>
    </w:rPr>
  </w:style>
  <w:style w:type="paragraph" w:styleId="Footer">
    <w:name w:val="footer"/>
    <w:basedOn w:val="Normal"/>
    <w:link w:val="FooterChar"/>
    <w:unhideWhenUsed/>
    <w:qFormat/>
    <w:pPr>
      <w:tabs>
        <w:tab w:val="center" w:pos="4513"/>
        <w:tab w:val="right" w:pos="9026"/>
      </w:tabs>
    </w:pPr>
  </w:style>
  <w:style w:type="paragraph" w:styleId="Header">
    <w:name w:val="header"/>
    <w:basedOn w:val="Normal"/>
    <w:link w:val="HeaderChar"/>
    <w:unhideWhenUsed/>
    <w:qFormat/>
    <w:pPr>
      <w:tabs>
        <w:tab w:val="center" w:pos="4513"/>
        <w:tab w:val="right" w:pos="9026"/>
      </w:tabs>
    </w:pPr>
  </w:style>
  <w:style w:type="character" w:styleId="Hyperlink">
    <w:name w:val="Hyperlink"/>
    <w:unhideWhenUsed/>
    <w:rPr>
      <w:color w:val="0563C1"/>
      <w:u w:val="single"/>
    </w:rPr>
  </w:style>
  <w:style w:type="paragraph" w:styleId="NormalWeb">
    <w:name w:val="Normal (Web)"/>
    <w:basedOn w:val="Normal"/>
    <w:uiPriority w:val="99"/>
    <w:qFormat/>
    <w:pPr>
      <w:widowControl/>
      <w:autoSpaceDE/>
      <w:autoSpaceDN/>
      <w:adjustRightInd/>
      <w:spacing w:before="100" w:beforeAutospacing="1" w:after="100" w:afterAutospacing="1"/>
    </w:pPr>
    <w:rPr>
      <w:rFonts w:eastAsia="MS Mincho"/>
      <w:lang w:val="de-DE" w:eastAsia="ja-JP"/>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next w:val="Normal"/>
    <w:link w:val="SubtitleChar"/>
    <w:uiPriority w:val="11"/>
    <w:qFormat/>
    <w:pPr>
      <w:widowControl/>
      <w:tabs>
        <w:tab w:val="left" w:pos="567"/>
      </w:tabs>
      <w:autoSpaceDE/>
      <w:autoSpaceDN/>
      <w:adjustRightInd/>
      <w:spacing w:after="160" w:line="260" w:lineRule="exact"/>
    </w:pPr>
    <w:rPr>
      <w:rFonts w:eastAsia="Times New Roman"/>
      <w:color w:val="595959"/>
      <w:spacing w:val="15"/>
      <w:sz w:val="28"/>
      <w:szCs w:val="28"/>
      <w:lang w:val="de-DE" w:eastAsia="en-U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pPr>
      <w:widowControl/>
      <w:tabs>
        <w:tab w:val="left" w:pos="567"/>
      </w:tabs>
      <w:autoSpaceDE/>
      <w:autoSpaceDN/>
      <w:adjustRightInd/>
      <w:spacing w:after="80"/>
      <w:contextualSpacing/>
    </w:pPr>
    <w:rPr>
      <w:rFonts w:ascii="Cambria" w:eastAsia="Times New Roman" w:hAnsi="Cambria"/>
      <w:spacing w:val="-10"/>
      <w:kern w:val="28"/>
      <w:sz w:val="56"/>
      <w:szCs w:val="56"/>
      <w:lang w:val="de-DE" w:eastAsia="en-US"/>
    </w:rPr>
  </w:style>
  <w:style w:type="character" w:customStyle="1" w:styleId="Heading1Char">
    <w:name w:val="Heading 1 Char"/>
    <w:link w:val="Heading1"/>
    <w:qFormat/>
    <w:locked/>
    <w:rPr>
      <w:rFonts w:ascii="Calibri Light" w:eastAsia="Times New Roman" w:hAnsi="Calibri Light" w:cs="Times New Roman"/>
      <w:b/>
      <w:bCs/>
      <w:kern w:val="32"/>
      <w:sz w:val="32"/>
      <w:szCs w:val="32"/>
    </w:rPr>
  </w:style>
  <w:style w:type="character" w:customStyle="1" w:styleId="BodyTextChar">
    <w:name w:val="Body Text Char"/>
    <w:link w:val="BodyText"/>
    <w:qFormat/>
    <w:locked/>
    <w:rPr>
      <w:rFonts w:ascii="Times New Roman" w:hAnsi="Times New Roman" w:cs="Times New Roman"/>
      <w:sz w:val="24"/>
      <w:szCs w:val="24"/>
    </w:rPr>
  </w:style>
  <w:style w:type="paragraph" w:styleId="ListParagraph">
    <w:name w:val="List Paragraph"/>
    <w:basedOn w:val="Normal"/>
    <w:uiPriority w:val="99"/>
    <w:qFormat/>
  </w:style>
  <w:style w:type="paragraph" w:customStyle="1" w:styleId="TableParagraph">
    <w:name w:val="Table Paragraph"/>
    <w:basedOn w:val="Normal"/>
    <w:uiPriority w:val="1"/>
    <w:qFormat/>
  </w:style>
  <w:style w:type="character" w:customStyle="1" w:styleId="HeaderChar">
    <w:name w:val="Header Char"/>
    <w:link w:val="Header"/>
    <w:qFormat/>
    <w:locked/>
    <w:rPr>
      <w:rFonts w:ascii="Times New Roman" w:hAnsi="Times New Roman" w:cs="Times New Roman"/>
      <w:sz w:val="24"/>
      <w:szCs w:val="24"/>
    </w:rPr>
  </w:style>
  <w:style w:type="character" w:customStyle="1" w:styleId="FooterChar">
    <w:name w:val="Footer Char"/>
    <w:link w:val="Footer"/>
    <w:qFormat/>
    <w:locked/>
    <w:rPr>
      <w:rFonts w:ascii="Times New Roman" w:hAnsi="Times New Roman" w:cs="Times New Roman"/>
      <w:sz w:val="24"/>
      <w:szCs w:val="24"/>
    </w:rPr>
  </w:style>
  <w:style w:type="character" w:customStyle="1" w:styleId="BalloonTextChar">
    <w:name w:val="Balloon Text Char"/>
    <w:link w:val="BalloonText"/>
    <w:semiHidden/>
    <w:qFormat/>
    <w:rPr>
      <w:rFonts w:ascii="Segoe UI" w:hAnsi="Segoe UI" w:cs="Segoe UI"/>
      <w:sz w:val="18"/>
      <w:szCs w:val="18"/>
      <w:lang w:val="en-IN" w:eastAsia="en-IN"/>
    </w:rPr>
  </w:style>
  <w:style w:type="character" w:customStyle="1" w:styleId="DoNotTranslateExternal1">
    <w:name w:val="DoNotTranslateExternal1"/>
    <w:qFormat/>
    <w:rPr>
      <w:b/>
      <w:szCs w:val="22"/>
    </w:rPr>
  </w:style>
  <w:style w:type="paragraph" w:customStyle="1" w:styleId="lbltxt">
    <w:name w:val="lbltxt"/>
    <w:qFormat/>
    <w:pPr>
      <w:tabs>
        <w:tab w:val="left" w:pos="567"/>
      </w:tabs>
    </w:pPr>
    <w:rPr>
      <w:rFonts w:ascii="Times New Roman" w:hAnsi="Times New Roman"/>
      <w:sz w:val="22"/>
      <w:lang w:val="en-GB" w:eastAsia="en-US"/>
    </w:rPr>
  </w:style>
  <w:style w:type="character" w:customStyle="1" w:styleId="Initial">
    <w:name w:val="Initial"/>
    <w:qFormat/>
    <w:rPr>
      <w:rFonts w:ascii="CG Times" w:hAnsi="CG Times"/>
      <w:sz w:val="24"/>
      <w:lang w:val="da-DK"/>
    </w:rPr>
  </w:style>
  <w:style w:type="character" w:customStyle="1" w:styleId="bodybold">
    <w:name w:val="body bold"/>
    <w:uiPriority w:val="99"/>
    <w:qFormat/>
    <w:rPr>
      <w:rFonts w:cs="Times New Roman"/>
      <w:b/>
      <w:bCs/>
    </w:rPr>
  </w:style>
  <w:style w:type="paragraph" w:customStyle="1" w:styleId="BasicParagraph">
    <w:name w:val="[Basic Paragraph]"/>
    <w:basedOn w:val="Normal"/>
    <w:uiPriority w:val="99"/>
    <w:qFormat/>
    <w:pPr>
      <w:spacing w:line="288" w:lineRule="auto"/>
      <w:textAlignment w:val="center"/>
    </w:pPr>
    <w:rPr>
      <w:rFonts w:ascii="Times-Roman" w:hAnsi="Times-Roman" w:cs="Times-Roman"/>
      <w:color w:val="000000"/>
      <w:sz w:val="22"/>
      <w:lang w:val="en-US" w:eastAsia="ja-JP"/>
    </w:rPr>
  </w:style>
  <w:style w:type="paragraph" w:customStyle="1" w:styleId="Default">
    <w:name w:val="Default"/>
    <w:qFormat/>
    <w:pPr>
      <w:autoSpaceDE w:val="0"/>
      <w:autoSpaceDN w:val="0"/>
      <w:adjustRightInd w:val="0"/>
    </w:pPr>
    <w:rPr>
      <w:rFonts w:ascii="Times New Roman" w:eastAsia="MS Mincho" w:hAnsi="Times New Roman"/>
      <w:color w:val="000000"/>
      <w:sz w:val="24"/>
      <w:szCs w:val="24"/>
      <w:lang w:val="en-GB" w:eastAsia="ja-JP"/>
    </w:rPr>
  </w:style>
  <w:style w:type="paragraph" w:customStyle="1" w:styleId="trianglemarkcopy">
    <w:name w:val="triangle mark copy"/>
    <w:basedOn w:val="Normal"/>
    <w:uiPriority w:val="99"/>
    <w:qFormat/>
    <w:pPr>
      <w:tabs>
        <w:tab w:val="left" w:pos="828"/>
      </w:tabs>
      <w:suppressAutoHyphens/>
      <w:spacing w:before="90" w:line="250" w:lineRule="atLeast"/>
      <w:ind w:left="810" w:hanging="270"/>
      <w:textAlignment w:val="center"/>
    </w:pPr>
    <w:rPr>
      <w:rFonts w:ascii="Georgia-Bold" w:hAnsi="Georgia-Bold" w:cs="Georgia-Bold"/>
      <w:b/>
      <w:bCs/>
      <w:color w:val="000000"/>
      <w:sz w:val="20"/>
      <w:szCs w:val="20"/>
      <w:lang w:val="en-US" w:eastAsia="ja-JP"/>
    </w:rPr>
  </w:style>
  <w:style w:type="paragraph" w:customStyle="1" w:styleId="DONOT">
    <w:name w:val="DO NOT!"/>
    <w:basedOn w:val="Normal"/>
    <w:qFormat/>
    <w:pPr>
      <w:widowControl/>
      <w:autoSpaceDE/>
      <w:autoSpaceDN/>
      <w:adjustRightInd/>
      <w:spacing w:line="270" w:lineRule="auto"/>
      <w:ind w:right="-46"/>
    </w:pPr>
    <w:rPr>
      <w:rFonts w:eastAsia="Times New Roman"/>
      <w:color w:val="231F20"/>
      <w:sz w:val="20"/>
      <w:lang w:val="en-US" w:eastAsia="ja-JP"/>
    </w:rPr>
  </w:style>
  <w:style w:type="character" w:customStyle="1" w:styleId="CommentTextChar">
    <w:name w:val="Comment Text Char"/>
    <w:link w:val="CommentText"/>
    <w:uiPriority w:val="99"/>
    <w:rPr>
      <w:rFonts w:ascii="Times New Roman" w:eastAsia="Times New Roman" w:hAnsi="Times New Roman"/>
      <w:lang w:val="zh-CN" w:eastAsia="en-US"/>
    </w:rPr>
  </w:style>
  <w:style w:type="paragraph" w:customStyle="1" w:styleId="BULLETED">
    <w:name w:val="BULLETED"/>
    <w:basedOn w:val="ListParagraph"/>
    <w:pPr>
      <w:numPr>
        <w:numId w:val="1"/>
      </w:numPr>
      <w:tabs>
        <w:tab w:val="left" w:pos="810"/>
      </w:tabs>
      <w:suppressAutoHyphens/>
      <w:spacing w:before="90" w:line="250" w:lineRule="atLeast"/>
      <w:contextualSpacing/>
      <w:textAlignment w:val="center"/>
    </w:pPr>
    <w:rPr>
      <w:color w:val="000000"/>
      <w:sz w:val="20"/>
      <w:lang w:val="en-US" w:eastAsia="ja-JP"/>
    </w:rPr>
  </w:style>
  <w:style w:type="paragraph" w:customStyle="1" w:styleId="SUBSTEP">
    <w:name w:val="SUB STEP"/>
    <w:basedOn w:val="Normal"/>
    <w:qFormat/>
    <w:pPr>
      <w:tabs>
        <w:tab w:val="left" w:pos="240"/>
        <w:tab w:val="left" w:pos="360"/>
        <w:tab w:val="left" w:pos="660"/>
        <w:tab w:val="left" w:pos="780"/>
      </w:tabs>
      <w:suppressAutoHyphens/>
      <w:spacing w:before="180" w:line="320" w:lineRule="atLeast"/>
      <w:ind w:left="-90" w:firstLine="90"/>
      <w:textAlignment w:val="center"/>
    </w:pPr>
    <w:rPr>
      <w:b/>
      <w:bCs/>
      <w:color w:val="000000"/>
      <w:sz w:val="22"/>
      <w:szCs w:val="28"/>
      <w:lang w:val="en-US" w:eastAsia="ja-JP"/>
    </w:rPr>
  </w:style>
  <w:style w:type="paragraph" w:customStyle="1" w:styleId="STEPS">
    <w:name w:val="STEPS"/>
    <w:basedOn w:val="Normal"/>
    <w:qFormat/>
    <w:pPr>
      <w:suppressAutoHyphens/>
      <w:spacing w:before="270" w:line="250" w:lineRule="atLeast"/>
      <w:textAlignment w:val="center"/>
    </w:pPr>
    <w:rPr>
      <w:rFonts w:cs="Georgia"/>
      <w:b/>
      <w:color w:val="000000"/>
      <w:szCs w:val="20"/>
      <w:lang w:val="en-US" w:eastAsia="ja-JP"/>
    </w:rPr>
  </w:style>
  <w:style w:type="character" w:customStyle="1" w:styleId="CommentSubjectChar">
    <w:name w:val="Comment Subject Char"/>
    <w:link w:val="CommentSubject"/>
    <w:uiPriority w:val="99"/>
    <w:qFormat/>
    <w:rPr>
      <w:rFonts w:ascii="Times New Roman" w:eastAsia="Times New Roman" w:hAnsi="Times New Roman"/>
      <w:b/>
      <w:bCs/>
      <w:lang w:val="en-IN" w:eastAsia="en-IN"/>
    </w:rPr>
  </w:style>
  <w:style w:type="paragraph" w:customStyle="1" w:styleId="Revision1">
    <w:name w:val="Revision1"/>
    <w:hidden/>
    <w:semiHidden/>
    <w:rPr>
      <w:rFonts w:ascii="Times New Roman" w:hAnsi="Times New Roman"/>
      <w:sz w:val="24"/>
      <w:szCs w:val="24"/>
    </w:rPr>
  </w:style>
  <w:style w:type="paragraph" w:customStyle="1" w:styleId="TitleA">
    <w:name w:val="Title A"/>
    <w:basedOn w:val="Normal"/>
    <w:qFormat/>
    <w:pPr>
      <w:jc w:val="center"/>
      <w:outlineLvl w:val="0"/>
    </w:pPr>
    <w:rPr>
      <w:b/>
      <w:sz w:val="22"/>
      <w:szCs w:val="22"/>
      <w:lang w:val="de-DE"/>
    </w:rPr>
  </w:style>
  <w:style w:type="paragraph" w:customStyle="1" w:styleId="BodytextAgency">
    <w:name w:val="Body text (Agency)"/>
    <w:basedOn w:val="Normal"/>
    <w:link w:val="BodytextAgencyChar"/>
    <w:qFormat/>
    <w:pPr>
      <w:widowControl/>
      <w:autoSpaceDE/>
      <w:autoSpaceDN/>
      <w:adjustRightInd/>
      <w:spacing w:after="140" w:line="280" w:lineRule="atLeast"/>
    </w:pPr>
    <w:rPr>
      <w:rFonts w:ascii="Verdana" w:eastAsia="Verdana" w:hAnsi="Verdana" w:cs="Verdana"/>
      <w:sz w:val="18"/>
      <w:szCs w:val="18"/>
      <w:lang w:val="de-DE" w:eastAsia="de-DE" w:bidi="de-DE"/>
    </w:rPr>
  </w:style>
  <w:style w:type="character" w:customStyle="1" w:styleId="BodytextAgencyChar">
    <w:name w:val="Body text (Agency) Char"/>
    <w:link w:val="BodytextAgency"/>
    <w:qFormat/>
    <w:rPr>
      <w:rFonts w:ascii="Verdana" w:eastAsia="Verdana" w:hAnsi="Verdana" w:cs="Verdana"/>
      <w:sz w:val="18"/>
      <w:szCs w:val="18"/>
      <w:lang w:eastAsia="de-DE" w:bidi="de-DE"/>
    </w:rPr>
  </w:style>
  <w:style w:type="paragraph" w:customStyle="1" w:styleId="NormalAgency">
    <w:name w:val="Normal (Agency)"/>
    <w:link w:val="NormalAgencyChar"/>
    <w:rPr>
      <w:rFonts w:ascii="Verdana" w:eastAsia="Verdana" w:hAnsi="Verdana" w:cs="Verdana"/>
      <w:sz w:val="18"/>
      <w:szCs w:val="18"/>
      <w:lang w:val="de-DE" w:eastAsia="de-DE" w:bidi="de-DE"/>
    </w:rPr>
  </w:style>
  <w:style w:type="paragraph" w:customStyle="1" w:styleId="TabletextrowsAgency">
    <w:name w:val="Table text rows (Agency)"/>
    <w:basedOn w:val="Normal"/>
    <w:pPr>
      <w:widowControl/>
      <w:autoSpaceDE/>
      <w:autoSpaceDN/>
      <w:adjustRightInd/>
      <w:spacing w:line="280" w:lineRule="exact"/>
    </w:pPr>
    <w:rPr>
      <w:rFonts w:ascii="Verdana" w:eastAsia="Times New Roman" w:hAnsi="Verdana" w:cs="Verdana"/>
      <w:sz w:val="18"/>
      <w:szCs w:val="18"/>
      <w:lang w:val="de-DE" w:eastAsia="de-DE" w:bidi="de-DE"/>
    </w:rPr>
  </w:style>
  <w:style w:type="character" w:customStyle="1" w:styleId="NormalAgencyChar">
    <w:name w:val="Normal (Agency) Char"/>
    <w:link w:val="NormalAgency"/>
    <w:rPr>
      <w:rFonts w:ascii="Verdana" w:eastAsia="Verdana" w:hAnsi="Verdana" w:cs="Verdana"/>
      <w:sz w:val="18"/>
      <w:szCs w:val="18"/>
      <w:lang w:eastAsia="de-DE" w:bidi="de-DE"/>
    </w:rPr>
  </w:style>
  <w:style w:type="paragraph" w:customStyle="1" w:styleId="In-texttable">
    <w:name w:val="In-text table"/>
    <w:basedOn w:val="Normal"/>
    <w:qFormat/>
    <w:pPr>
      <w:keepNext/>
      <w:widowControl/>
      <w:overflowPunct w:val="0"/>
      <w:spacing w:line="288" w:lineRule="auto"/>
      <w:textAlignment w:val="baseline"/>
    </w:pPr>
    <w:rPr>
      <w:rFonts w:ascii="Arial" w:eastAsia="Calibri" w:hAnsi="Arial" w:cs="Arial"/>
      <w:color w:val="000000"/>
      <w:sz w:val="16"/>
      <w:szCs w:val="16"/>
      <w:lang w:val="en-US" w:eastAsia="en-US"/>
    </w:rPr>
  </w:style>
  <w:style w:type="paragraph" w:customStyle="1" w:styleId="gtctablespaceafter">
    <w:name w:val="gtctablespaceafter"/>
    <w:basedOn w:val="Normal"/>
    <w:pPr>
      <w:widowControl/>
      <w:autoSpaceDE/>
      <w:autoSpaceDN/>
      <w:adjustRightInd/>
      <w:spacing w:after="280"/>
    </w:pPr>
    <w:rPr>
      <w:rFonts w:eastAsia="Times New Roman"/>
      <w:sz w:val="2"/>
      <w:szCs w:val="2"/>
      <w:lang w:val="de-DE" w:eastAsia="de-DE" w:bidi="de-DE"/>
    </w:rPr>
  </w:style>
  <w:style w:type="paragraph" w:customStyle="1" w:styleId="TitleB">
    <w:name w:val="Title B"/>
    <w:basedOn w:val="Normal"/>
    <w:qFormat/>
    <w:pPr>
      <w:keepNext/>
      <w:widowControl/>
      <w:numPr>
        <w:numId w:val="2"/>
      </w:numPr>
      <w:tabs>
        <w:tab w:val="left" w:pos="567"/>
      </w:tabs>
      <w:autoSpaceDE/>
      <w:autoSpaceDN/>
      <w:adjustRightInd/>
      <w:ind w:left="567" w:hanging="567"/>
    </w:pPr>
    <w:rPr>
      <w:b/>
      <w:sz w:val="22"/>
      <w:szCs w:val="22"/>
      <w:lang w:val="de-DE"/>
    </w:rPr>
  </w:style>
  <w:style w:type="paragraph" w:customStyle="1" w:styleId="EMEAHeadingLeaflet">
    <w:name w:val="EMEA Heading Leaflet"/>
    <w:next w:val="Normal"/>
    <w:qFormat/>
    <w:pPr>
      <w:tabs>
        <w:tab w:val="left" w:pos="562"/>
      </w:tabs>
      <w:suppressAutoHyphens/>
      <w:spacing w:beforeLines="100" w:before="100" w:afterLines="100" w:after="100"/>
    </w:pPr>
    <w:rPr>
      <w:rFonts w:ascii="Times New Roman Bold" w:eastAsia="Times New Roman" w:hAnsi="Times New Roman Bold"/>
      <w:b/>
      <w:sz w:val="22"/>
      <w:lang w:val="en-US" w:eastAsia="en-US"/>
    </w:rPr>
  </w:style>
  <w:style w:type="paragraph" w:customStyle="1" w:styleId="EMEANormal">
    <w:name w:val="EMEA Normal"/>
    <w:link w:val="EMEANormalChar"/>
    <w:qFormat/>
    <w:pPr>
      <w:tabs>
        <w:tab w:val="left" w:pos="562"/>
      </w:tabs>
      <w:suppressAutoHyphens/>
    </w:pPr>
    <w:rPr>
      <w:rFonts w:ascii="Times New Roman" w:eastAsia="Times New Roman" w:hAnsi="Times New Roman"/>
      <w:sz w:val="22"/>
      <w:lang w:val="en-US" w:eastAsia="en-US"/>
    </w:rPr>
  </w:style>
  <w:style w:type="character" w:customStyle="1" w:styleId="EMEANormalChar">
    <w:name w:val="EMEA Normal Char"/>
    <w:link w:val="EMEANormal"/>
    <w:qFormat/>
    <w:locked/>
    <w:rPr>
      <w:rFonts w:ascii="Times New Roman" w:eastAsia="Times New Roman" w:hAnsi="Times New Roman"/>
      <w:sz w:val="22"/>
      <w:lang w:val="en-US" w:eastAsia="en-US"/>
    </w:rPr>
  </w:style>
  <w:style w:type="character" w:customStyle="1" w:styleId="UnresolvedMention1">
    <w:name w:val="Unresolved Mention1"/>
    <w:uiPriority w:val="99"/>
    <w:semiHidden/>
    <w:unhideWhenUsed/>
    <w:qFormat/>
    <w:rPr>
      <w:color w:val="605E5C"/>
      <w:shd w:val="clear" w:color="auto" w:fill="E1DFDD"/>
    </w:rPr>
  </w:style>
  <w:style w:type="paragraph" w:customStyle="1" w:styleId="ARROWBULLETED">
    <w:name w:val="ARROW BULLETED"/>
    <w:basedOn w:val="ListParagraph"/>
    <w:qFormat/>
    <w:pPr>
      <w:numPr>
        <w:numId w:val="3"/>
      </w:numPr>
      <w:tabs>
        <w:tab w:val="left" w:pos="567"/>
        <w:tab w:val="left" w:pos="828"/>
      </w:tabs>
      <w:suppressAutoHyphens/>
      <w:spacing w:before="90" w:line="250" w:lineRule="atLeast"/>
      <w:contextualSpacing/>
    </w:pPr>
    <w:rPr>
      <w:rFonts w:eastAsia="Times New Roman"/>
      <w:bCs/>
      <w:color w:val="000000"/>
      <w:spacing w:val="-2"/>
      <w:sz w:val="20"/>
      <w:szCs w:val="20"/>
      <w:lang w:val="de-DE" w:eastAsia="ja-JP"/>
    </w:rPr>
  </w:style>
  <w:style w:type="character" w:customStyle="1" w:styleId="Heading2Char">
    <w:name w:val="Heading 2 Char"/>
    <w:link w:val="Heading2"/>
    <w:qFormat/>
    <w:rPr>
      <w:rFonts w:ascii="Cambria" w:eastAsia="Times New Roman" w:hAnsi="Cambria"/>
      <w:color w:val="365F91"/>
      <w:sz w:val="32"/>
      <w:szCs w:val="32"/>
      <w:lang w:eastAsia="en-US"/>
    </w:rPr>
  </w:style>
  <w:style w:type="character" w:customStyle="1" w:styleId="Heading3Char">
    <w:name w:val="Heading 3 Char"/>
    <w:link w:val="Heading3"/>
    <w:qFormat/>
    <w:rPr>
      <w:rFonts w:ascii="Times New Roman" w:eastAsia="Times New Roman" w:hAnsi="Times New Roman"/>
      <w:color w:val="365F91"/>
      <w:sz w:val="28"/>
      <w:szCs w:val="28"/>
      <w:lang w:eastAsia="en-US"/>
    </w:rPr>
  </w:style>
  <w:style w:type="character" w:customStyle="1" w:styleId="Heading4Char">
    <w:name w:val="Heading 4 Char"/>
    <w:link w:val="Heading4"/>
    <w:qFormat/>
    <w:rPr>
      <w:rFonts w:ascii="Times New Roman" w:eastAsia="Times New Roman" w:hAnsi="Times New Roman"/>
      <w:i/>
      <w:iCs/>
      <w:color w:val="365F91"/>
      <w:sz w:val="22"/>
      <w:lang w:eastAsia="en-US"/>
    </w:rPr>
  </w:style>
  <w:style w:type="character" w:customStyle="1" w:styleId="Heading5Char">
    <w:name w:val="Heading 5 Char"/>
    <w:link w:val="Heading5"/>
    <w:qFormat/>
    <w:rPr>
      <w:rFonts w:ascii="Times New Roman" w:eastAsia="Times New Roman" w:hAnsi="Times New Roman"/>
      <w:color w:val="365F91"/>
      <w:sz w:val="22"/>
      <w:lang w:eastAsia="en-US"/>
    </w:rPr>
  </w:style>
  <w:style w:type="character" w:customStyle="1" w:styleId="Heading6Char">
    <w:name w:val="Heading 6 Char"/>
    <w:link w:val="Heading6"/>
    <w:rPr>
      <w:rFonts w:ascii="Times New Roman" w:eastAsia="Times New Roman" w:hAnsi="Times New Roman"/>
      <w:i/>
      <w:iCs/>
      <w:color w:val="595959"/>
      <w:sz w:val="22"/>
      <w:lang w:eastAsia="en-US"/>
    </w:rPr>
  </w:style>
  <w:style w:type="character" w:customStyle="1" w:styleId="Heading7Char">
    <w:name w:val="Heading 7 Char"/>
    <w:link w:val="Heading7"/>
    <w:rPr>
      <w:rFonts w:ascii="Times New Roman" w:eastAsia="Times New Roman" w:hAnsi="Times New Roman"/>
      <w:color w:val="595959"/>
      <w:sz w:val="22"/>
      <w:lang w:eastAsia="en-US"/>
    </w:rPr>
  </w:style>
  <w:style w:type="character" w:customStyle="1" w:styleId="Heading8Char">
    <w:name w:val="Heading 8 Char"/>
    <w:link w:val="Heading8"/>
    <w:qFormat/>
    <w:rPr>
      <w:rFonts w:ascii="Times New Roman" w:eastAsia="Times New Roman" w:hAnsi="Times New Roman"/>
      <w:i/>
      <w:iCs/>
      <w:color w:val="272727"/>
      <w:sz w:val="22"/>
      <w:lang w:eastAsia="en-US"/>
    </w:rPr>
  </w:style>
  <w:style w:type="character" w:customStyle="1" w:styleId="Heading9Char">
    <w:name w:val="Heading 9 Char"/>
    <w:link w:val="Heading9"/>
    <w:rPr>
      <w:rFonts w:ascii="Times New Roman" w:eastAsia="Times New Roman" w:hAnsi="Times New Roman"/>
      <w:color w:val="272727"/>
      <w:sz w:val="22"/>
      <w:lang w:eastAsia="en-US"/>
    </w:rPr>
  </w:style>
  <w:style w:type="character" w:customStyle="1" w:styleId="TitleChar">
    <w:name w:val="Title Char"/>
    <w:link w:val="Title"/>
    <w:qFormat/>
    <w:rPr>
      <w:rFonts w:ascii="Cambria" w:eastAsia="Times New Roman" w:hAnsi="Cambria"/>
      <w:spacing w:val="-10"/>
      <w:kern w:val="28"/>
      <w:sz w:val="56"/>
      <w:szCs w:val="56"/>
      <w:lang w:eastAsia="en-US"/>
    </w:rPr>
  </w:style>
  <w:style w:type="character" w:customStyle="1" w:styleId="SubtitleChar">
    <w:name w:val="Subtitle Char"/>
    <w:link w:val="Subtitle"/>
    <w:uiPriority w:val="11"/>
    <w:rPr>
      <w:rFonts w:ascii="Times New Roman" w:eastAsia="Times New Roman" w:hAnsi="Times New Roman"/>
      <w:color w:val="595959"/>
      <w:spacing w:val="15"/>
      <w:sz w:val="28"/>
      <w:szCs w:val="28"/>
      <w:lang w:eastAsia="en-US"/>
    </w:rPr>
  </w:style>
  <w:style w:type="paragraph" w:styleId="Quote">
    <w:name w:val="Quote"/>
    <w:basedOn w:val="Normal"/>
    <w:next w:val="Normal"/>
    <w:link w:val="QuoteChar"/>
    <w:uiPriority w:val="29"/>
    <w:qFormat/>
    <w:pPr>
      <w:widowControl/>
      <w:tabs>
        <w:tab w:val="left" w:pos="567"/>
      </w:tabs>
      <w:autoSpaceDE/>
      <w:autoSpaceDN/>
      <w:adjustRightInd/>
      <w:spacing w:before="160" w:after="160" w:line="260" w:lineRule="exact"/>
      <w:jc w:val="center"/>
    </w:pPr>
    <w:rPr>
      <w:i/>
      <w:iCs/>
      <w:color w:val="404040"/>
      <w:sz w:val="22"/>
      <w:szCs w:val="20"/>
      <w:lang w:val="de-DE" w:eastAsia="en-US"/>
    </w:rPr>
  </w:style>
  <w:style w:type="character" w:customStyle="1" w:styleId="QuoteChar">
    <w:name w:val="Quote Char"/>
    <w:link w:val="Quote"/>
    <w:uiPriority w:val="29"/>
    <w:qFormat/>
    <w:rPr>
      <w:rFonts w:ascii="Times New Roman" w:hAnsi="Times New Roman"/>
      <w:i/>
      <w:iCs/>
      <w:color w:val="404040"/>
      <w:sz w:val="22"/>
      <w:lang w:eastAsia="en-US"/>
    </w:rPr>
  </w:style>
  <w:style w:type="character" w:customStyle="1" w:styleId="IntenseEmphasis1">
    <w:name w:val="Intense Emphasis1"/>
    <w:uiPriority w:val="21"/>
    <w:qFormat/>
    <w:rPr>
      <w:i/>
      <w:iCs/>
      <w:color w:val="365F91"/>
    </w:rPr>
  </w:style>
  <w:style w:type="paragraph" w:styleId="IntenseQuote">
    <w:name w:val="Intense Quote"/>
    <w:basedOn w:val="Normal"/>
    <w:next w:val="Normal"/>
    <w:link w:val="IntenseQuoteChar"/>
    <w:uiPriority w:val="30"/>
    <w:qFormat/>
    <w:pPr>
      <w:widowControl/>
      <w:pBdr>
        <w:top w:val="single" w:sz="4" w:space="10" w:color="365F91"/>
        <w:bottom w:val="single" w:sz="4" w:space="10" w:color="365F91"/>
      </w:pBdr>
      <w:tabs>
        <w:tab w:val="left" w:pos="567"/>
      </w:tabs>
      <w:autoSpaceDE/>
      <w:autoSpaceDN/>
      <w:adjustRightInd/>
      <w:spacing w:before="360" w:after="360" w:line="260" w:lineRule="exact"/>
      <w:ind w:left="864" w:right="864"/>
      <w:jc w:val="center"/>
    </w:pPr>
    <w:rPr>
      <w:i/>
      <w:iCs/>
      <w:color w:val="365F91"/>
      <w:sz w:val="22"/>
      <w:szCs w:val="20"/>
      <w:lang w:val="de-DE" w:eastAsia="en-US"/>
    </w:rPr>
  </w:style>
  <w:style w:type="character" w:customStyle="1" w:styleId="IntenseQuoteChar">
    <w:name w:val="Intense Quote Char"/>
    <w:link w:val="IntenseQuote"/>
    <w:uiPriority w:val="30"/>
    <w:qFormat/>
    <w:rPr>
      <w:rFonts w:ascii="Times New Roman" w:hAnsi="Times New Roman"/>
      <w:i/>
      <w:iCs/>
      <w:color w:val="365F91"/>
      <w:sz w:val="22"/>
      <w:lang w:eastAsia="en-US"/>
    </w:rPr>
  </w:style>
  <w:style w:type="character" w:customStyle="1" w:styleId="IntenseReference1">
    <w:name w:val="Intense Reference1"/>
    <w:uiPriority w:val="32"/>
    <w:qFormat/>
    <w:rPr>
      <w:b/>
      <w:bCs/>
      <w:smallCaps/>
      <w:color w:val="365F91"/>
      <w:spacing w:val="5"/>
    </w:rPr>
  </w:style>
  <w:style w:type="character" w:customStyle="1" w:styleId="BodyTextIndentChar">
    <w:name w:val="Body Text Indent Char"/>
    <w:link w:val="BodyTextIndent"/>
    <w:rPr>
      <w:rFonts w:ascii="Times New Roman" w:hAnsi="Times New Roman"/>
      <w:sz w:val="22"/>
      <w:szCs w:val="22"/>
      <w:lang w:eastAsia="en-GB"/>
    </w:rPr>
  </w:style>
  <w:style w:type="character" w:customStyle="1" w:styleId="BodyText3Char">
    <w:name w:val="Body Text 3 Char"/>
    <w:link w:val="BodyText3"/>
    <w:qFormat/>
    <w:rPr>
      <w:rFonts w:ascii="Times New Roman" w:hAnsi="Times New Roman"/>
      <w:color w:val="0000FF"/>
      <w:sz w:val="22"/>
      <w:szCs w:val="22"/>
      <w:lang w:eastAsia="en-GB"/>
    </w:rPr>
  </w:style>
  <w:style w:type="character" w:customStyle="1" w:styleId="BodyTextIndent2Char">
    <w:name w:val="Body Text Indent 2 Char"/>
    <w:link w:val="BodyTextIndent2"/>
    <w:rPr>
      <w:rFonts w:ascii="Times New Roman" w:hAnsi="Times New Roman"/>
      <w:b/>
      <w:bCs/>
      <w:color w:val="0000FF"/>
      <w:sz w:val="22"/>
      <w:szCs w:val="22"/>
      <w:lang w:eastAsia="en-US"/>
    </w:rPr>
  </w:style>
  <w:style w:type="character" w:customStyle="1" w:styleId="BodyText2Char">
    <w:name w:val="Body Text 2 Char"/>
    <w:link w:val="BodyText2"/>
    <w:rPr>
      <w:rFonts w:ascii="Times New Roman" w:hAnsi="Times New Roman"/>
      <w:b/>
      <w:bCs/>
      <w:color w:val="0000FF"/>
      <w:sz w:val="22"/>
      <w:szCs w:val="22"/>
      <w:u w:val="single"/>
      <w:lang w:eastAsia="en-US"/>
    </w:rPr>
  </w:style>
  <w:style w:type="paragraph" w:customStyle="1" w:styleId="EMEAEnBodyText">
    <w:name w:val="EMEA En Body Text"/>
    <w:basedOn w:val="Normal"/>
    <w:qFormat/>
    <w:pPr>
      <w:widowControl/>
      <w:autoSpaceDE/>
      <w:autoSpaceDN/>
      <w:adjustRightInd/>
      <w:spacing w:before="120" w:after="120"/>
      <w:jc w:val="both"/>
    </w:pPr>
    <w:rPr>
      <w:sz w:val="22"/>
      <w:szCs w:val="20"/>
      <w:lang w:val="de-DE" w:eastAsia="en-US"/>
    </w:rPr>
  </w:style>
  <w:style w:type="character" w:customStyle="1" w:styleId="DocumentMapChar">
    <w:name w:val="Document Map Char"/>
    <w:link w:val="DocumentMap"/>
    <w:semiHidden/>
    <w:rPr>
      <w:rFonts w:ascii="Tahoma" w:hAnsi="Tahoma" w:cs="Tahoma"/>
      <w:sz w:val="22"/>
      <w:shd w:val="clear" w:color="auto" w:fill="000080"/>
      <w:lang w:eastAsia="en-US"/>
    </w:rPr>
  </w:style>
  <w:style w:type="paragraph" w:customStyle="1" w:styleId="AHeader1">
    <w:name w:val="AHeader 1"/>
    <w:basedOn w:val="Normal"/>
    <w:qFormat/>
    <w:pPr>
      <w:widowControl/>
      <w:numPr>
        <w:numId w:val="4"/>
      </w:numPr>
      <w:autoSpaceDE/>
      <w:autoSpaceDN/>
      <w:adjustRightInd/>
      <w:spacing w:after="120"/>
    </w:pPr>
    <w:rPr>
      <w:rFonts w:ascii="Arial" w:hAnsi="Arial" w:cs="Arial"/>
      <w:b/>
      <w:bCs/>
      <w:szCs w:val="20"/>
      <w:lang w:val="de-DE" w:eastAsia="en-US"/>
    </w:rPr>
  </w:style>
  <w:style w:type="paragraph" w:customStyle="1" w:styleId="AHeader2">
    <w:name w:val="AHeader 2"/>
    <w:basedOn w:val="AHeader1"/>
    <w:qFormat/>
    <w:pPr>
      <w:numPr>
        <w:ilvl w:val="1"/>
      </w:numPr>
      <w:tabs>
        <w:tab w:val="left" w:pos="360"/>
      </w:tabs>
    </w:pPr>
    <w:rPr>
      <w:sz w:val="22"/>
    </w:rPr>
  </w:style>
  <w:style w:type="paragraph" w:customStyle="1" w:styleId="AHeader3">
    <w:name w:val="AHeader 3"/>
    <w:basedOn w:val="AHeader2"/>
    <w:qFormat/>
    <w:pPr>
      <w:numPr>
        <w:ilvl w:val="2"/>
      </w:numPr>
    </w:pPr>
  </w:style>
  <w:style w:type="paragraph" w:customStyle="1" w:styleId="AHeader2abc">
    <w:name w:val="AHeader 2 abc"/>
    <w:basedOn w:val="AHeader3"/>
    <w:qFormat/>
    <w:pPr>
      <w:numPr>
        <w:ilvl w:val="3"/>
      </w:numPr>
      <w:jc w:val="both"/>
    </w:pPr>
    <w:rPr>
      <w:b w:val="0"/>
      <w:bCs w:val="0"/>
    </w:rPr>
  </w:style>
  <w:style w:type="paragraph" w:customStyle="1" w:styleId="AHeader3abc">
    <w:name w:val="AHeader 3 abc"/>
    <w:basedOn w:val="AHeader2abc"/>
    <w:pPr>
      <w:numPr>
        <w:ilvl w:val="4"/>
      </w:numPr>
    </w:pPr>
  </w:style>
  <w:style w:type="character" w:customStyle="1" w:styleId="BodyTextIndent3Char">
    <w:name w:val="Body Text Indent 3 Char"/>
    <w:link w:val="BodyTextIndent3"/>
    <w:qFormat/>
    <w:rPr>
      <w:rFonts w:ascii="Times New Roman" w:hAnsi="Times New Roman"/>
      <w:sz w:val="22"/>
      <w:szCs w:val="21"/>
      <w:lang w:eastAsia="en-US"/>
    </w:rPr>
  </w:style>
  <w:style w:type="paragraph" w:customStyle="1" w:styleId="Ballongtext3">
    <w:name w:val="Ballongtext3"/>
    <w:basedOn w:val="Normal"/>
    <w:semiHidden/>
    <w:qFormat/>
    <w:pPr>
      <w:widowControl/>
      <w:tabs>
        <w:tab w:val="left" w:pos="567"/>
      </w:tabs>
      <w:autoSpaceDE/>
      <w:autoSpaceDN/>
      <w:adjustRightInd/>
      <w:spacing w:line="260" w:lineRule="exact"/>
    </w:pPr>
    <w:rPr>
      <w:rFonts w:ascii="Tahoma" w:hAnsi="Tahoma" w:cs="Tahoma"/>
      <w:sz w:val="16"/>
      <w:szCs w:val="16"/>
      <w:lang w:val="de-DE" w:eastAsia="en-US"/>
    </w:rPr>
  </w:style>
  <w:style w:type="paragraph" w:customStyle="1" w:styleId="Kommentarsmne3">
    <w:name w:val="Kommentarsämne3"/>
    <w:basedOn w:val="CommentText"/>
    <w:next w:val="CommentText"/>
    <w:semiHidden/>
    <w:qFormat/>
    <w:rPr>
      <w:rFonts w:eastAsia="PMingLiU"/>
      <w:b/>
      <w:bCs/>
      <w:lang w:val="de-DE"/>
    </w:rPr>
  </w:style>
  <w:style w:type="character" w:customStyle="1" w:styleId="TextChar">
    <w:name w:val="Text Char"/>
    <w:rPr>
      <w:rFonts w:ascii="Arial" w:hAnsi="Arial" w:cs="Arial"/>
      <w:bCs/>
      <w:color w:val="0000FF"/>
      <w:szCs w:val="14"/>
      <w:lang w:val="de-DE" w:eastAsia="en-US" w:bidi="ar-SA"/>
    </w:rPr>
  </w:style>
  <w:style w:type="character" w:customStyle="1" w:styleId="PeggyHo">
    <w:name w:val="Peggy Ho"/>
    <w:basedOn w:val="DefaultParagraphFont"/>
    <w:semiHidden/>
    <w:qFormat/>
  </w:style>
  <w:style w:type="paragraph" w:customStyle="1" w:styleId="TextBullet">
    <w:name w:val="TextBullet"/>
    <w:basedOn w:val="Normal"/>
    <w:pPr>
      <w:widowControl/>
      <w:numPr>
        <w:numId w:val="5"/>
      </w:numPr>
      <w:suppressAutoHyphens/>
      <w:autoSpaceDE/>
      <w:autoSpaceDN/>
      <w:adjustRightInd/>
      <w:spacing w:after="100" w:line="340" w:lineRule="atLeast"/>
    </w:pPr>
    <w:rPr>
      <w:rFonts w:ascii="Arial" w:hAnsi="Arial"/>
      <w:sz w:val="22"/>
      <w:szCs w:val="20"/>
      <w:lang w:val="de-DE" w:eastAsia="en-US"/>
    </w:rPr>
  </w:style>
  <w:style w:type="character" w:customStyle="1" w:styleId="TextBulletChar">
    <w:name w:val="TextBullet Char"/>
    <w:qFormat/>
    <w:rPr>
      <w:rFonts w:ascii="Arial" w:hAnsi="Arial"/>
      <w:sz w:val="22"/>
      <w:lang w:val="de-DE" w:eastAsia="en-US"/>
    </w:rPr>
  </w:style>
  <w:style w:type="character" w:customStyle="1" w:styleId="SidhuvudChar1">
    <w:name w:val="Sidhuvud Char1"/>
    <w:qFormat/>
    <w:rPr>
      <w:rFonts w:ascii="Helvetica" w:hAnsi="Helvetica"/>
      <w:lang w:val="de-DE" w:eastAsia="en-US" w:bidi="ar-SA"/>
    </w:rPr>
  </w:style>
  <w:style w:type="paragraph" w:customStyle="1" w:styleId="Para">
    <w:name w:val="Para"/>
    <w:basedOn w:val="Normal"/>
    <w:next w:val="Normal"/>
    <w:pPr>
      <w:widowControl/>
    </w:pPr>
    <w:rPr>
      <w:lang w:val="de-DE" w:eastAsia="en-US"/>
    </w:rPr>
  </w:style>
  <w:style w:type="paragraph" w:customStyle="1" w:styleId="SynopsisText">
    <w:name w:val="SynopsisText"/>
    <w:basedOn w:val="Text"/>
    <w:qForma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widowControl/>
      <w:overflowPunct w:val="0"/>
      <w:adjustRightInd/>
      <w:spacing w:before="100" w:beforeAutospacing="1" w:after="100" w:afterAutospacing="1" w:line="360" w:lineRule="auto"/>
      <w:ind w:left="56"/>
    </w:pPr>
    <w:rPr>
      <w:rFonts w:ascii="Arial" w:hAnsi="Arial" w:cs="Arial"/>
      <w:color w:val="0000FF"/>
      <w:sz w:val="20"/>
      <w:szCs w:val="20"/>
      <w:lang w:val="de-DE" w:eastAsia="en-US"/>
    </w:rPr>
  </w:style>
  <w:style w:type="character" w:customStyle="1" w:styleId="emailstyle18">
    <w:name w:val="emailstyle18"/>
    <w:semiHidden/>
    <w:qFormat/>
    <w:rPr>
      <w:rFonts w:ascii="Arial" w:hAnsi="Arial" w:cs="Arial" w:hint="default"/>
      <w:color w:val="auto"/>
      <w:sz w:val="20"/>
      <w:szCs w:val="20"/>
    </w:rPr>
  </w:style>
  <w:style w:type="paragraph" w:customStyle="1" w:styleId="synopsistext0">
    <w:name w:val="synopsistext"/>
    <w:basedOn w:val="Normal"/>
    <w:qFormat/>
    <w:pPr>
      <w:widowControl/>
      <w:autoSpaceDE/>
      <w:autoSpaceDN/>
      <w:adjustRightInd/>
      <w:spacing w:before="120" w:after="120"/>
    </w:pPr>
    <w:rPr>
      <w:rFonts w:ascii="Arial" w:eastAsia="MS Mincho" w:hAnsi="Arial" w:cs="Arial"/>
      <w:color w:val="000000"/>
      <w:sz w:val="20"/>
      <w:szCs w:val="20"/>
      <w:lang w:val="de-DE" w:eastAsia="ja-JP"/>
    </w:rPr>
  </w:style>
  <w:style w:type="paragraph" w:customStyle="1" w:styleId="lblhead1">
    <w:name w:val="lblhead1"/>
    <w:basedOn w:val="lbltxt"/>
    <w:qFormat/>
    <w:pPr>
      <w:keepNext/>
      <w:ind w:left="567" w:hanging="567"/>
    </w:pPr>
    <w:rPr>
      <w:b/>
      <w:caps/>
      <w:lang w:val="de-DE"/>
    </w:rPr>
  </w:style>
  <w:style w:type="paragraph" w:customStyle="1" w:styleId="TableCenterBold">
    <w:name w:val="TableCenterBold"/>
    <w:basedOn w:val="Normal"/>
    <w:pPr>
      <w:widowControl/>
      <w:suppressAutoHyphens/>
      <w:autoSpaceDE/>
      <w:autoSpaceDN/>
      <w:adjustRightInd/>
      <w:spacing w:before="60" w:line="240" w:lineRule="exact"/>
      <w:jc w:val="center"/>
    </w:pPr>
    <w:rPr>
      <w:b/>
      <w:lang w:val="de-DE" w:eastAsia="en-US"/>
    </w:rPr>
  </w:style>
  <w:style w:type="paragraph" w:customStyle="1" w:styleId="lblbullet">
    <w:name w:val="lblbullet"/>
    <w:basedOn w:val="Normal"/>
    <w:pPr>
      <w:widowControl/>
      <w:tabs>
        <w:tab w:val="left" w:pos="567"/>
      </w:tabs>
      <w:autoSpaceDE/>
      <w:autoSpaceDN/>
      <w:adjustRightInd/>
      <w:ind w:left="567" w:hanging="567"/>
    </w:pPr>
    <w:rPr>
      <w:sz w:val="22"/>
      <w:szCs w:val="20"/>
      <w:lang w:val="de-DE" w:eastAsia="en-US"/>
    </w:rPr>
  </w:style>
  <w:style w:type="paragraph" w:customStyle="1" w:styleId="Ballongtext1">
    <w:name w:val="Ballongtext1"/>
    <w:basedOn w:val="Normal"/>
    <w:semiHidden/>
    <w:qFormat/>
    <w:pPr>
      <w:widowControl/>
      <w:tabs>
        <w:tab w:val="left" w:pos="567"/>
      </w:tabs>
      <w:autoSpaceDE/>
      <w:autoSpaceDN/>
      <w:adjustRightInd/>
      <w:spacing w:line="260" w:lineRule="exact"/>
    </w:pPr>
    <w:rPr>
      <w:rFonts w:ascii="Tahoma" w:hAnsi="Tahoma" w:cs="Tahoma"/>
      <w:sz w:val="16"/>
      <w:szCs w:val="16"/>
      <w:lang w:val="de-DE" w:eastAsia="en-US"/>
    </w:rPr>
  </w:style>
  <w:style w:type="paragraph" w:customStyle="1" w:styleId="Kommentarsmne1">
    <w:name w:val="Kommentarsämne1"/>
    <w:basedOn w:val="CommentText"/>
    <w:next w:val="CommentText"/>
    <w:semiHidden/>
    <w:qFormat/>
    <w:rPr>
      <w:rFonts w:eastAsia="PMingLiU"/>
      <w:b/>
      <w:bCs/>
      <w:lang w:val="de-DE"/>
    </w:rPr>
  </w:style>
  <w:style w:type="character" w:customStyle="1" w:styleId="SidhuvudChar">
    <w:name w:val="Sidhuvud Char"/>
    <w:qFormat/>
    <w:rPr>
      <w:rFonts w:ascii="Helvetica" w:hAnsi="Helvetica"/>
      <w:lang w:val="de-DE" w:eastAsia="en-US" w:bidi="ar-SA"/>
    </w:rPr>
  </w:style>
  <w:style w:type="paragraph" w:customStyle="1" w:styleId="TableLeftAlign">
    <w:name w:val="TableLeftAlign"/>
    <w:basedOn w:val="Normal"/>
    <w:uiPriority w:val="99"/>
    <w:qFormat/>
    <w:pPr>
      <w:widowControl/>
      <w:suppressAutoHyphens/>
      <w:autoSpaceDE/>
      <w:autoSpaceDN/>
      <w:adjustRightInd/>
      <w:spacing w:before="60" w:after="60" w:line="240" w:lineRule="exact"/>
    </w:pPr>
    <w:rPr>
      <w:rFonts w:ascii="Arial" w:hAnsi="Arial"/>
      <w:sz w:val="20"/>
      <w:szCs w:val="20"/>
      <w:lang w:val="de-DE" w:eastAsia="en-US"/>
    </w:rPr>
  </w:style>
  <w:style w:type="paragraph" w:customStyle="1" w:styleId="Liststycke1">
    <w:name w:val="Liststycke1"/>
    <w:basedOn w:val="Normal"/>
    <w:qFormat/>
    <w:pPr>
      <w:widowControl/>
      <w:tabs>
        <w:tab w:val="left" w:pos="567"/>
      </w:tabs>
      <w:autoSpaceDE/>
      <w:autoSpaceDN/>
      <w:adjustRightInd/>
      <w:spacing w:line="260" w:lineRule="exact"/>
      <w:ind w:left="1304"/>
    </w:pPr>
    <w:rPr>
      <w:sz w:val="22"/>
      <w:szCs w:val="20"/>
      <w:lang w:val="de-DE" w:eastAsia="en-US"/>
    </w:rPr>
  </w:style>
  <w:style w:type="paragraph" w:customStyle="1" w:styleId="Ballongtext2">
    <w:name w:val="Ballongtext2"/>
    <w:basedOn w:val="Normal"/>
    <w:semiHidden/>
    <w:pPr>
      <w:widowControl/>
      <w:tabs>
        <w:tab w:val="left" w:pos="567"/>
      </w:tabs>
      <w:autoSpaceDE/>
      <w:autoSpaceDN/>
      <w:adjustRightInd/>
      <w:spacing w:line="260" w:lineRule="exact"/>
    </w:pPr>
    <w:rPr>
      <w:rFonts w:ascii="Tahoma" w:hAnsi="Tahoma" w:cs="Tahoma"/>
      <w:sz w:val="16"/>
      <w:szCs w:val="16"/>
      <w:lang w:val="de-DE" w:eastAsia="en-US"/>
    </w:rPr>
  </w:style>
  <w:style w:type="paragraph" w:customStyle="1" w:styleId="Kommentarsmne2">
    <w:name w:val="Kommentarsämne2"/>
    <w:basedOn w:val="CommentText"/>
    <w:next w:val="CommentText"/>
    <w:semiHidden/>
    <w:qFormat/>
    <w:rPr>
      <w:rFonts w:eastAsia="PMingLiU"/>
      <w:b/>
      <w:bCs/>
      <w:lang w:val="de-DE"/>
    </w:rPr>
  </w:style>
  <w:style w:type="character" w:customStyle="1" w:styleId="BeskrivningChar">
    <w:name w:val="Beskrivning Char"/>
    <w:rPr>
      <w:rFonts w:ascii="Arial" w:hAnsi="Arial"/>
      <w:b/>
      <w:sz w:val="22"/>
      <w:lang w:val="de-DE" w:eastAsia="en-US"/>
    </w:rPr>
  </w:style>
  <w:style w:type="character" w:customStyle="1" w:styleId="z3988">
    <w:name w:val="z3988"/>
    <w:basedOn w:val="DefaultParagraphFont"/>
  </w:style>
  <w:style w:type="character" w:customStyle="1" w:styleId="SidhuvudChar2">
    <w:name w:val="Sidhuvud Char2"/>
    <w:rPr>
      <w:rFonts w:ascii="Helvetica" w:hAnsi="Helvetica"/>
      <w:lang w:val="de-DE" w:eastAsia="en-US" w:bidi="ar-SA"/>
    </w:rPr>
  </w:style>
  <w:style w:type="character" w:customStyle="1" w:styleId="DateChar">
    <w:name w:val="Date Char"/>
    <w:link w:val="Date"/>
    <w:qFormat/>
    <w:rPr>
      <w:rFonts w:ascii="Times New Roman" w:hAnsi="Times New Roman"/>
      <w:sz w:val="22"/>
      <w:lang w:eastAsia="en-US"/>
    </w:rPr>
  </w:style>
  <w:style w:type="paragraph" w:customStyle="1" w:styleId="TextItalicized">
    <w:name w:val="Text Italicized"/>
    <w:basedOn w:val="Normal"/>
    <w:link w:val="TextItalicizedChar"/>
    <w:pPr>
      <w:widowControl/>
      <w:autoSpaceDE/>
      <w:autoSpaceDN/>
      <w:adjustRightInd/>
    </w:pPr>
    <w:rPr>
      <w:rFonts w:eastAsia="MS Mincho"/>
      <w:i/>
      <w:iCs/>
      <w:color w:val="000000"/>
      <w:lang w:val="de-DE" w:eastAsia="ja-JP"/>
    </w:rPr>
  </w:style>
  <w:style w:type="character" w:customStyle="1" w:styleId="TextItalicizedChar">
    <w:name w:val="Text Italicized Char"/>
    <w:link w:val="TextItalicized"/>
    <w:qFormat/>
    <w:rPr>
      <w:rFonts w:ascii="Times New Roman" w:eastAsia="MS Mincho" w:hAnsi="Times New Roman"/>
      <w:i/>
      <w:iCs/>
      <w:color w:val="000000"/>
      <w:sz w:val="24"/>
      <w:szCs w:val="24"/>
      <w:lang w:eastAsia="ja-JP"/>
    </w:rPr>
  </w:style>
  <w:style w:type="paragraph" w:customStyle="1" w:styleId="CoverPage">
    <w:name w:val="CoverPage"/>
    <w:basedOn w:val="Normal"/>
    <w:pPr>
      <w:keepNext/>
      <w:keepLines/>
      <w:widowControl/>
      <w:suppressAutoHyphens/>
      <w:autoSpaceDE/>
      <w:autoSpaceDN/>
      <w:adjustRightInd/>
      <w:spacing w:before="400" w:after="400"/>
      <w:jc w:val="center"/>
    </w:pPr>
    <w:rPr>
      <w:rFonts w:ascii="Arial" w:hAnsi="Arial"/>
      <w:b/>
      <w:szCs w:val="20"/>
      <w:lang w:val="de-DE" w:eastAsia="en-US"/>
    </w:rPr>
  </w:style>
  <w:style w:type="paragraph" w:customStyle="1" w:styleId="MemoHeaderStyle">
    <w:name w:val="MemoHeaderStyle"/>
    <w:basedOn w:val="Normal"/>
    <w:next w:val="Normal"/>
    <w:qFormat/>
    <w:pPr>
      <w:widowControl/>
      <w:tabs>
        <w:tab w:val="left" w:pos="567"/>
      </w:tabs>
      <w:autoSpaceDE/>
      <w:autoSpaceDN/>
      <w:adjustRightInd/>
      <w:spacing w:line="120" w:lineRule="atLeast"/>
      <w:ind w:left="1418"/>
      <w:jc w:val="both"/>
    </w:pPr>
    <w:rPr>
      <w:rFonts w:ascii="Arial" w:hAnsi="Arial"/>
      <w:b/>
      <w:smallCaps/>
      <w:sz w:val="22"/>
      <w:szCs w:val="20"/>
      <w:lang w:val="de-DE" w:eastAsia="en-US"/>
    </w:rPr>
  </w:style>
  <w:style w:type="paragraph" w:customStyle="1" w:styleId="DraftingNotesAgency">
    <w:name w:val="Drafting Notes (Agency)"/>
    <w:basedOn w:val="Normal"/>
    <w:next w:val="BodytextAgency"/>
    <w:link w:val="DraftingNotesAgencyChar"/>
    <w:pPr>
      <w:widowControl/>
      <w:autoSpaceDE/>
      <w:autoSpaceDN/>
      <w:adjustRightInd/>
      <w:spacing w:after="140" w:line="280" w:lineRule="atLeast"/>
    </w:pPr>
    <w:rPr>
      <w:rFonts w:ascii="Courier New" w:eastAsia="Verdana" w:hAnsi="Courier New"/>
      <w:i/>
      <w:color w:val="339966"/>
      <w:sz w:val="22"/>
      <w:szCs w:val="18"/>
      <w:lang w:val="de-DE"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eastAsia="en-GB"/>
    </w:rPr>
  </w:style>
  <w:style w:type="table" w:customStyle="1" w:styleId="TablegridAgencyblack">
    <w:name w:val="Table grid (Agency) black"/>
    <w:basedOn w:val="TableNormal"/>
    <w:semiHidden/>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qFormat/>
    <w:pPr>
      <w:keepNext/>
    </w:pPr>
    <w:rPr>
      <w:rFonts w:eastAsia="Times New Roman"/>
      <w:b/>
      <w:lang w:eastAsia="en-GB" w:bidi="ar-SA"/>
    </w:rPr>
  </w:style>
  <w:style w:type="paragraph" w:customStyle="1" w:styleId="CM1">
    <w:name w:val="CM1"/>
    <w:basedOn w:val="Default"/>
    <w:next w:val="Default"/>
    <w:uiPriority w:val="99"/>
    <w:rPr>
      <w:rFonts w:ascii="EUAlbertina" w:eastAsia="PMingLiU" w:hAnsi="EUAlbertina"/>
      <w:color w:val="auto"/>
      <w:lang w:val="de-DE" w:eastAsia="en-GB"/>
    </w:rPr>
  </w:style>
  <w:style w:type="paragraph" w:customStyle="1" w:styleId="CM3">
    <w:name w:val="CM3"/>
    <w:basedOn w:val="Default"/>
    <w:next w:val="Default"/>
    <w:uiPriority w:val="99"/>
    <w:rPr>
      <w:rFonts w:ascii="EUAlbertina" w:eastAsia="PMingLiU" w:hAnsi="EUAlbertina"/>
      <w:color w:val="auto"/>
      <w:lang w:val="de-DE" w:eastAsia="en-GB"/>
    </w:rPr>
  </w:style>
  <w:style w:type="paragraph" w:customStyle="1" w:styleId="CM4">
    <w:name w:val="CM4"/>
    <w:basedOn w:val="Default"/>
    <w:next w:val="Default"/>
    <w:uiPriority w:val="99"/>
    <w:rPr>
      <w:rFonts w:ascii="EUAlbertina" w:eastAsia="PMingLiU" w:hAnsi="EUAlbertina"/>
      <w:color w:val="auto"/>
      <w:lang w:val="de-DE" w:eastAsia="en-GB"/>
    </w:rPr>
  </w:style>
  <w:style w:type="character" w:customStyle="1" w:styleId="glossary-term">
    <w:name w:val="glossary-term"/>
    <w:qFormat/>
  </w:style>
  <w:style w:type="character" w:customStyle="1" w:styleId="st1">
    <w:name w:val="st1"/>
    <w:qFormat/>
  </w:style>
  <w:style w:type="paragraph" w:customStyle="1" w:styleId="gtctabletitleotherwise">
    <w:name w:val="gtctabletitleotherwise"/>
    <w:basedOn w:val="Normal"/>
    <w:pPr>
      <w:widowControl/>
      <w:autoSpaceDE/>
      <w:autoSpaceDN/>
      <w:adjustRightInd/>
      <w:spacing w:before="120"/>
      <w:jc w:val="center"/>
    </w:pPr>
    <w:rPr>
      <w:rFonts w:eastAsia="Times New Roman"/>
      <w:b/>
      <w:bCs/>
      <w:lang w:val="de-DE" w:eastAsia="en-US"/>
    </w:rPr>
  </w:style>
  <w:style w:type="paragraph" w:customStyle="1" w:styleId="EMEAHeadingUnderline">
    <w:name w:val="EMEA Heading Underline"/>
    <w:next w:val="EMEANormal"/>
    <w:pPr>
      <w:tabs>
        <w:tab w:val="left" w:pos="562"/>
      </w:tabs>
      <w:suppressAutoHyphens/>
      <w:spacing w:beforeLines="100" w:afterLines="100"/>
    </w:pPr>
    <w:rPr>
      <w:rFonts w:ascii="Times New Roman" w:eastAsia="Times New Roman" w:hAnsi="Times New Roman"/>
      <w:sz w:val="22"/>
      <w:u w:val="single"/>
      <w:lang w:val="de-DE" w:eastAsia="en-US"/>
    </w:rPr>
  </w:style>
  <w:style w:type="table" w:customStyle="1" w:styleId="TableGrid1">
    <w:name w:val="Table Grid1"/>
    <w:basedOn w:val="TableNormal"/>
    <w:qFormat/>
    <w:pPr>
      <w:tabs>
        <w:tab w:val="left" w:pos="562"/>
      </w:tabs>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tcbodytext">
    <w:name w:val="gtcbodytext"/>
    <w:basedOn w:val="Normal"/>
    <w:qFormat/>
    <w:pPr>
      <w:widowControl/>
      <w:autoSpaceDE/>
      <w:autoSpaceDN/>
      <w:adjustRightInd/>
      <w:spacing w:before="240" w:after="240" w:line="300" w:lineRule="auto"/>
    </w:pPr>
    <w:rPr>
      <w:rFonts w:eastAsia="Times New Roman"/>
      <w:lang w:val="de-DE" w:eastAsia="en-US"/>
    </w:rPr>
  </w:style>
  <w:style w:type="paragraph" w:customStyle="1" w:styleId="ListBullets">
    <w:name w:val="List Bullets"/>
    <w:basedOn w:val="Normal"/>
    <w:qFormat/>
    <w:pPr>
      <w:widowControl/>
      <w:numPr>
        <w:numId w:val="6"/>
      </w:numPr>
      <w:spacing w:after="120"/>
      <w:contextualSpacing/>
    </w:pPr>
    <w:rPr>
      <w:rFonts w:ascii="Verdana" w:eastAsia="Cambria" w:hAnsi="Verdana" w:cs="Arial"/>
      <w:sz w:val="20"/>
      <w:lang w:val="de-DE" w:eastAsia="en-GB"/>
    </w:rPr>
  </w:style>
  <w:style w:type="paragraph" w:customStyle="1" w:styleId="ListBulletsIndent">
    <w:name w:val="List Bullets Indent"/>
    <w:basedOn w:val="ListBullets"/>
    <w:qFormat/>
    <w:pPr>
      <w:numPr>
        <w:ilvl w:val="1"/>
      </w:numPr>
      <w:tabs>
        <w:tab w:val="left" w:pos="360"/>
      </w:tabs>
    </w:pPr>
  </w:style>
  <w:style w:type="paragraph" w:styleId="Revision">
    <w:name w:val="Revision"/>
    <w:hidden/>
    <w:uiPriority w:val="99"/>
    <w:unhideWhenUsed/>
    <w:rsid w:val="00211AE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4.jpeg"/><Relationship Id="rId68" Type="http://schemas.openxmlformats.org/officeDocument/2006/relationships/image" Target="media/image59.jpeg"/><Relationship Id="rId84" Type="http://schemas.openxmlformats.org/officeDocument/2006/relationships/fontTable" Target="fontTable.xml"/><Relationship Id="rId89" Type="http://schemas.openxmlformats.org/officeDocument/2006/relationships/customXml" Target="../customXml/item6.xml"/><Relationship Id="rId16" Type="http://schemas.openxmlformats.org/officeDocument/2006/relationships/image" Target="media/image7.jpeg"/><Relationship Id="rId11" Type="http://schemas.openxmlformats.org/officeDocument/2006/relationships/image" Target="media/image2.png"/><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image" Target="media/image44.jpeg"/><Relationship Id="rId58" Type="http://schemas.openxmlformats.org/officeDocument/2006/relationships/image" Target="media/image49.jpeg"/><Relationship Id="rId74" Type="http://schemas.openxmlformats.org/officeDocument/2006/relationships/image" Target="media/image65.jpeg"/><Relationship Id="rId79" Type="http://schemas.openxmlformats.org/officeDocument/2006/relationships/image" Target="media/image70.jpeg"/><Relationship Id="rId5" Type="http://schemas.openxmlformats.org/officeDocument/2006/relationships/styles" Target="styles.xml"/><Relationship Id="rId90" Type="http://schemas.openxmlformats.org/officeDocument/2006/relationships/customXml" Target="../customXml/item7.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77" Type="http://schemas.openxmlformats.org/officeDocument/2006/relationships/image" Target="media/image68.jpeg"/><Relationship Id="rId8" Type="http://schemas.openxmlformats.org/officeDocument/2006/relationships/footnotes" Target="footnotes.xml"/><Relationship Id="rId51" Type="http://schemas.openxmlformats.org/officeDocument/2006/relationships/image" Target="media/image42.jpeg"/><Relationship Id="rId72" Type="http://schemas.openxmlformats.org/officeDocument/2006/relationships/image" Target="media/image63.jpeg"/><Relationship Id="rId80" Type="http://schemas.openxmlformats.org/officeDocument/2006/relationships/header" Target="header1.xml"/><Relationship Id="rId85" Type="http://schemas.microsoft.com/office/2011/relationships/people" Target="people.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footer" Target="footer3.xml"/><Relationship Id="rId88"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image" Target="media/image1.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footer" Target="footer1.xml"/><Relationship Id="rId86"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jpeg"/><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jpeg"/><Relationship Id="rId7" Type="http://schemas.openxmlformats.org/officeDocument/2006/relationships/webSettings" Target="webSettings.xml"/><Relationship Id="rId71" Type="http://schemas.openxmlformats.org/officeDocument/2006/relationships/image" Target="media/image62.jpeg"/><Relationship Id="rId2" Type="http://schemas.openxmlformats.org/officeDocument/2006/relationships/customXml" Target="../customXml/item2.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7.jpeg"/><Relationship Id="rId87" Type="http://schemas.openxmlformats.org/officeDocument/2006/relationships/customXml" Target="../customXml/item4.xml"/><Relationship Id="rId61" Type="http://schemas.openxmlformats.org/officeDocument/2006/relationships/image" Target="media/image52.jpeg"/><Relationship Id="rId82" Type="http://schemas.openxmlformats.org/officeDocument/2006/relationships/footer" Target="footer2.xml"/><Relationship Id="rId1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82ad3a63-90ad-4a46-a3cb-757f4658e205" origin="userSelected">
  <element uid="9036a7a1-5a4f-48d3-b24b-dfdab053dac9" value=""/>
  <element uid="523da9b1-25e0-4c9d-8976-14cdf8125397" value=""/>
  <element uid="7349a702-6462-4442-88eb-c64cd513835c" value=""/>
</sisl>
</file>

<file path=customXml/item3.xml><?xml version="1.0" encoding="utf-8"?>
<s:customData xmlns="http://www.wps.cn/officeDocument/2013/wpsCustomData" xmlns:s="http://www.wps.cn/officeDocument/2013/wpsCustomData">
  <customSectProps/>
  <customShpExts>
    <customShpInfo spid="_x0000_s1026" textRotate="1"/>
  </customShpExts>
</s:customDat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_dlc_DocId xmlns="a034c160-bfb7-45f5-8632-2eb7e0508071">EMADOC-1700519818-2905927</_dlc_DocId>
    <I_ParentOrganizationID xmlns="a034c160-bfb7-45f5-8632-2eb7e0508071" xsi:nil="true"/>
    <_Flow_SignoffStatus xmlns="62874b74-7561-4a92-a6e7-f8370cb4455a" xsi:nil="true"/>
    <I_AgreedConditionMedDRA xmlns="a034c160-bfb7-45f5-8632-2eb7e0508071" xsi:nil="true"/>
    <IconOverlay xmlns="http://schemas.microsoft.com/sharepoint/v4" xsi:nil="true"/>
    <I_AllowRecord xmlns="a034c160-bfb7-45f5-8632-2eb7e0508071">true</I_AllowRecord>
    <I_Process xmlns="a034c160-bfb7-45f5-8632-2eb7e0508071" xsi:nil="true"/>
    <Information xmlns="62874b74-7561-4a92-a6e7-f8370cb4455a" xsi:nil="true"/>
    <_dlc_DocIdUrl xmlns="a034c160-bfb7-45f5-8632-2eb7e0508071">
      <Url>https://euema.sharepoint.com/sites/CRM/_layouts/15/DocIdRedir.aspx?ID=EMADOC-1700519818-2905927</Url>
      <Description>EMADOC-1700519818-2905927</Description>
    </_dlc_DocIdUrl>
    <I_LocationID xmlns="a034c160-bfb7-45f5-8632-2eb7e0508071" xsi:nil="true"/>
    <I_AgreedCondition xmlns="a034c160-bfb7-45f5-8632-2eb7e0508071" xsi:nil="true"/>
    <I_RegulatoryEntitlement xmlns="a034c160-bfb7-45f5-8632-2eb7e0508071" xsi:nil="true"/>
    <Sign_x002d_off xmlns="62874b74-7561-4a92-a6e7-f8370cb4455a" xsi:nil="true"/>
    <ApplicationID xmlns="a034c160-bfb7-45f5-8632-2eb7e0508071" xsi:nil="true"/>
    <lcf76f155ced4ddcb4097134ff3c332f xmlns="62874b74-7561-4a92-a6e7-f8370cb4455a">
      <Terms xmlns="http://schemas.microsoft.com/office/infopath/2007/PartnerControls"/>
    </lcf76f155ced4ddcb4097134ff3c332f>
    <TaxCatchAll xmlns="a034c160-bfb7-45f5-8632-2eb7e0508071" xsi:nil="true"/>
    <Application_x0020_Status xmlns="62874b74-7561-4a92-a6e7-f8370cb4455a" xsi:nil="true"/>
    <vqsn xmlns="62874b74-7561-4a92-a6e7-f8370cb4455a" xsi:nil="true"/>
    <_vti_ItemDeclaredRecord xmlns="62874b74-7561-4a92-a6e7-f8370cb4455a" xsi:nil="true"/>
  </documentManagement>
</p:properties>
</file>

<file path=customXml/itemProps1.xml><?xml version="1.0" encoding="utf-8"?>
<ds:datastoreItem xmlns:ds="http://schemas.openxmlformats.org/officeDocument/2006/customXml" ds:itemID="{5C24ED1B-B32F-4350-9075-31AB84752B89}">
  <ds:schemaRefs>
    <ds:schemaRef ds:uri="http://schemas.openxmlformats.org/officeDocument/2006/bibliography"/>
  </ds:schemaRefs>
</ds:datastoreItem>
</file>

<file path=customXml/itemProps2.xml><?xml version="1.0" encoding="utf-8"?>
<ds:datastoreItem xmlns:ds="http://schemas.openxmlformats.org/officeDocument/2006/customXml" ds:itemID="{5E7084F0-BB17-421D-973D-379938128BC0}">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944884D8-2E9A-4259-9211-944AD3018511}"/>
</file>

<file path=customXml/itemProps5.xml><?xml version="1.0" encoding="utf-8"?>
<ds:datastoreItem xmlns:ds="http://schemas.openxmlformats.org/officeDocument/2006/customXml" ds:itemID="{8E769D49-55CD-4F79-81E2-9C051CE34021}"/>
</file>

<file path=customXml/itemProps6.xml><?xml version="1.0" encoding="utf-8"?>
<ds:datastoreItem xmlns:ds="http://schemas.openxmlformats.org/officeDocument/2006/customXml" ds:itemID="{23A2F1FE-7EAC-4253-BC0E-1CFC78A10573}"/>
</file>

<file path=customXml/itemProps7.xml><?xml version="1.0" encoding="utf-8"?>
<ds:datastoreItem xmlns:ds="http://schemas.openxmlformats.org/officeDocument/2006/customXml" ds:itemID="{13C6032D-3A86-45A2-AC14-6EC6841C8BC4}"/>
</file>

<file path=docProps/app.xml><?xml version="1.0" encoding="utf-8"?>
<Properties xmlns="http://schemas.openxmlformats.org/officeDocument/2006/extended-properties" xmlns:vt="http://schemas.openxmlformats.org/officeDocument/2006/docPropsVTypes">
  <Template>Normal</Template>
  <TotalTime>0</TotalTime>
  <Pages>3</Pages>
  <Words>85878</Words>
  <Characters>554384</Characters>
  <Application>Microsoft Office Word</Application>
  <DocSecurity>0</DocSecurity>
  <Lines>16680</Lines>
  <Paragraphs>7469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Amgevita : EPAR – Product information – tracked changes</dc:title>
  <dc:creator/>
  <cp:lastModifiedBy/>
  <cp:revision>1</cp:revision>
  <dcterms:created xsi:type="dcterms:W3CDTF">2026-04-22T16:29:00Z</dcterms:created>
  <dcterms:modified xsi:type="dcterms:W3CDTF">2026-04-22T16:30:00Z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513a46-b961-46d6-9006-1e87d5eb3e82_Enabled">
    <vt:lpwstr>true</vt:lpwstr>
  </property>
  <property fmtid="{D5CDD505-2E9C-101B-9397-08002B2CF9AE}" pid="3" name="MSIP_Label_cf513a46-b961-46d6-9006-1e87d5eb3e82_SetDate">
    <vt:lpwstr>2026-04-22T16:29:29Z</vt:lpwstr>
  </property>
  <property fmtid="{D5CDD505-2E9C-101B-9397-08002B2CF9AE}" pid="4" name="MSIP_Label_cf513a46-b961-46d6-9006-1e87d5eb3e82_Method">
    <vt:lpwstr>Privileged</vt:lpwstr>
  </property>
  <property fmtid="{D5CDD505-2E9C-101B-9397-08002B2CF9AE}" pid="5" name="MSIP_Label_cf513a46-b961-46d6-9006-1e87d5eb3e82_Name">
    <vt:lpwstr>Internal Use Only Ethics and Compliance</vt:lpwstr>
  </property>
  <property fmtid="{D5CDD505-2E9C-101B-9397-08002B2CF9AE}" pid="6" name="MSIP_Label_cf513a46-b961-46d6-9006-1e87d5eb3e82_SiteId">
    <vt:lpwstr>4b4266a6-1368-41af-ad5a-59eb634f7ad8</vt:lpwstr>
  </property>
  <property fmtid="{D5CDD505-2E9C-101B-9397-08002B2CF9AE}" pid="7" name="MSIP_Label_cf513a46-b961-46d6-9006-1e87d5eb3e82_ActionId">
    <vt:lpwstr>e20ce14f-ff07-4218-8b40-bc1e23487265</vt:lpwstr>
  </property>
  <property fmtid="{D5CDD505-2E9C-101B-9397-08002B2CF9AE}" pid="8" name="MSIP_Label_cf513a46-b961-46d6-9006-1e87d5eb3e82_ContentBits">
    <vt:lpwstr>2</vt:lpwstr>
  </property>
  <property fmtid="{D5CDD505-2E9C-101B-9397-08002B2CF9AE}" pid="9" name="MSIP_Label_cf513a46-b961-46d6-9006-1e87d5eb3e82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4bda726b-0bcb-4e64-a641-2f3fb3750ca9</vt:lpwstr>
  </property>
</Properties>
</file>